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1CEB44C-BFEC-4694-9230-A9CC83004779" style="width:450.8pt;height:351.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noProof/>
        </w:rPr>
      </w:pPr>
      <w:r>
        <w:rPr>
          <w:noProof/>
          <w:color w:val="000000"/>
          <w:u w:color="000000"/>
          <w:bdr w:val="nil"/>
        </w:rPr>
        <w:t>•</w:t>
      </w:r>
      <w:r>
        <w:rPr>
          <w:noProof/>
        </w:rPr>
        <w:tab/>
        <w:t>Razlogi za predlog in njegovi cilji</w:t>
      </w:r>
    </w:p>
    <w:p>
      <w:pPr>
        <w:rPr>
          <w:noProof/>
        </w:rPr>
      </w:pPr>
      <w:r>
        <w:rPr>
          <w:noProof/>
        </w:rPr>
        <w:t>Združeno kraljestvo je 31. januarja 2020 izstopilo iz Evropske unije (EU). V skladu s sporazumom o izstopu</w:t>
      </w:r>
      <w:r>
        <w:rPr>
          <w:rStyle w:val="FootnoteReference"/>
          <w:noProof/>
        </w:rPr>
        <w:footnoteReference w:id="1"/>
      </w:r>
      <w:r>
        <w:rPr>
          <w:noProof/>
        </w:rPr>
        <w:t xml:space="preserve"> je v odnosu do EU zdaj tretja država.</w:t>
      </w:r>
    </w:p>
    <w:p>
      <w:pPr>
        <w:rPr>
          <w:noProof/>
        </w:rPr>
      </w:pPr>
      <w:r>
        <w:rPr>
          <w:noProof/>
        </w:rPr>
        <w:t>Vendar sta se EU in Združeno kraljestvo dogovorila o prehodnem obdobju do konca leta 2020, v katerem se bo v Združenem kraljestvu še naprej uporabljala zakonodaja EU</w:t>
      </w:r>
      <w:r>
        <w:rPr>
          <w:rStyle w:val="FootnoteReference"/>
          <w:noProof/>
        </w:rPr>
        <w:footnoteReference w:id="2"/>
      </w:r>
      <w:r>
        <w:rPr>
          <w:noProof/>
        </w:rPr>
        <w:t>, med drugim tudi o DDV.</w:t>
      </w:r>
    </w:p>
    <w:p>
      <w:pPr>
        <w:rPr>
          <w:noProof/>
        </w:rPr>
      </w:pPr>
      <w:r>
        <w:rPr>
          <w:noProof/>
        </w:rPr>
        <w:t>Od 1. januarja 2021 se zakonodaja EU o DDV za Združeno kraljestvo ne bo več uporabljala. Vendar se bo na Severnem Irskem na podlagi Protokola o Irski/Severni Irski</w:t>
      </w:r>
      <w:r>
        <w:rPr>
          <w:rStyle w:val="FootnoteReference"/>
          <w:noProof/>
        </w:rPr>
        <w:footnoteReference w:id="3"/>
      </w:r>
      <w:r>
        <w:rPr>
          <w:noProof/>
        </w:rPr>
        <w:t xml:space="preserve"> (v nadaljnjem besedilu: protokol), ki je del sporazuma o izstopu, zakonodaja EU o DDV še naprej uporabljala, kar zadeva blago, da bi se preprečila trda meja med Irsko in Severno Irsko. Kar zadeva storitve, pa se za Severno Irsko skupaj z drugimi deli Združenega kraljestva šteje, da je zunaj EU.</w:t>
      </w:r>
    </w:p>
    <w:p>
      <w:pPr>
        <w:rPr>
          <w:noProof/>
        </w:rPr>
      </w:pPr>
      <w:r>
        <w:rPr>
          <w:noProof/>
        </w:rPr>
        <w:t>To neizogibno vodi v dvojni ali mešani sistem DDV na Severnem Irskem, pri čemer se za dobavo, pridobitev znotraj Skupnosti in uvoz blaga, ki se nahaja na Severnem Irskem, v skladu s pravili o kraju obdavčljivih transakcij iz naslova V direktive o DDV</w:t>
      </w:r>
      <w:r>
        <w:rPr>
          <w:rStyle w:val="FootnoteReference"/>
          <w:noProof/>
        </w:rPr>
        <w:footnoteReference w:id="4"/>
      </w:r>
      <w:r>
        <w:rPr>
          <w:noProof/>
        </w:rPr>
        <w:t xml:space="preserve"> uporabljajo harmonizirana pravila EU, medtem ko se za opravljanje storitev na istem ozemlju ne uporablja sistem DDV v EU.</w:t>
      </w:r>
    </w:p>
    <w:p>
      <w:pPr>
        <w:rPr>
          <w:noProof/>
        </w:rPr>
      </w:pPr>
      <w:r>
        <w:rPr>
          <w:noProof/>
        </w:rPr>
        <w:t>Za pravilno delovanje sistema DDV v EU je bistveno, da so davčni zavezanci, ki na Severnem Irskem dobavljajo (vključno s tako imenovano dobavo znotraj Skupnosti) ali pridobivajo blago (med drugim tudi s strani pravnih oseb, ki niso davčni zavezanci), kot so navedeni v členu 214, identificirani za namene DDV v skladu s pravili EU. To je potrebno tudi zato, da se zagotovi ustrezno delovanje neobveznih posebnih ureditev za davčne zavezance, ki opravljajo storitve za osebe, ki niso davčni zavezanci, ali prodajajo blago na daljavo.</w:t>
      </w:r>
    </w:p>
    <w:p>
      <w:pPr>
        <w:rPr>
          <w:noProof/>
        </w:rPr>
      </w:pPr>
      <w:r>
        <w:rPr>
          <w:noProof/>
        </w:rPr>
        <w:t>S tega vidika je pomembno, da so ti davčni zavezanci (in po potrebi pravne osebe, ki niso davčni zavezanci) identificirani na Severnem Irskem z ločeno identifikacijsko številko za DDV v EU, ki se dodeli v skladu s pravili EU in se razlikuje od katere koli identifikacijske številke za DDV v Združenem kraljestvu (ki se začne z „GB“), ki se dodeli v skladu z zakonodajo Združenega kraljestva. Možno je, da bo treba to identifikacijsko številko za DDV dodeliti poleg identifikacijske številke za DDV, ki se uporablja v Združenem kraljestvu, če na primer podjetje na Severnem Irskem dobavlja blago in hkrati opravlja storitve.</w:t>
      </w:r>
    </w:p>
    <w:p>
      <w:pPr>
        <w:rPr>
          <w:noProof/>
        </w:rPr>
      </w:pPr>
      <w:r>
        <w:rPr>
          <w:noProof/>
        </w:rPr>
        <w:t xml:space="preserve">Za podjetja, zlasti tista, ki se ukvarjajo s trgovino z blagom s Severno Irsko, bi moralo biti jasno in lahko razumljivo, katera pravila se uporabljajo, tj. tista, ki veljajo v EU, ali tista, ki se uporabljajo v Združenem kraljestvu. Identifikacijska številka za DDV v EU ima pomembno vlogo pri delovanju sistema DDV v EU, na primer za utemeljitev oprostitve za t. i. „dobavo blaga znotraj Skupnosti“ (prek sistema VIES), določitev veljavnih postopkov za vračilo DDV </w:t>
      </w:r>
      <w:r>
        <w:rPr>
          <w:noProof/>
        </w:rPr>
        <w:lastRenderedPageBreak/>
        <w:t>(sistem EU za vračilo DDV</w:t>
      </w:r>
      <w:r>
        <w:rPr>
          <w:rStyle w:val="FootnoteReference"/>
          <w:noProof/>
        </w:rPr>
        <w:footnoteReference w:id="5"/>
      </w:r>
      <w:r>
        <w:rPr>
          <w:noProof/>
        </w:rPr>
        <w:t xml:space="preserve"> ali 13. direktiva</w:t>
      </w:r>
      <w:r>
        <w:rPr>
          <w:rStyle w:val="FootnoteReference"/>
          <w:noProof/>
        </w:rPr>
        <w:footnoteReference w:id="6"/>
      </w:r>
      <w:r>
        <w:rPr>
          <w:noProof/>
        </w:rPr>
        <w:t>), združevanje za namene DDV, tristranske posle in verižne posle („vmesni subjekt“), ureditve skladiščenja na odpoklic, „carinski postopek 42“ in „varnostno mrežo“ (kraj pridobitve znotraj Skupnosti v državi članici, ki je izdala DDV).</w:t>
      </w:r>
    </w:p>
    <w:p>
      <w:pPr>
        <w:rPr>
          <w:noProof/>
        </w:rPr>
      </w:pPr>
      <w:r>
        <w:rPr>
          <w:noProof/>
        </w:rPr>
        <w:t>Zato se predlaga, da imajo identifikacijske številke za DDV na Severnem Irskem posebno predpono „XI“. Nova posebna predpona je potrebna, saj Severna Irska nima posebne oznake ISO – 3166 alfa 2, ki se uporablja za določanje predpon identifikacijskih številk za DDV v EU, kot je določeno v členu 215 Direktive o DDV. Vendar standard ISO predvideva možnost uporabe oznak X za ozemlja, ki nimajo posebne oznake. Oznaka „XI“ je torej logična izbira.</w:t>
      </w:r>
    </w:p>
    <w:p>
      <w:pPr>
        <w:rPr>
          <w:noProof/>
        </w:rPr>
      </w:pPr>
      <w:r>
        <w:rPr>
          <w:noProof/>
        </w:rPr>
        <w:t>Opozoriti je treba, da čeprav člen 214 direktive o DDV določa splošno obveznost identifikacije davčnih zavezancev za DDV (in po potrebi pravnih oseb, ki niso davčni zavezanci), obstaja tudi možnost, da se v skladu s pogoji iz člena 272 navedene direktive nekateri davčni zavezanci oprostijo te in drugih obveznosti. Tako bi se lahko Združeno kraljestvo odločilo, da identifikacijo s posebno predpono omeji na trgovce na Severnem Irskem, ki dejansko trgujejo z blagom znotraj EU, in izključi na primer podjetja, ki samo dobavljajo blago na domačem trgu.</w:t>
      </w:r>
    </w:p>
    <w:p>
      <w:pPr>
        <w:rPr>
          <w:noProof/>
        </w:rPr>
      </w:pPr>
      <w:r>
        <w:rPr>
          <w:noProof/>
        </w:rPr>
        <w:t>Kot je bilo že navedeno, ima identifikacijska številka za DDV (s pravilno predpono države) pomembno vlogo v trgovini znotraj EU. Veljavna identifikacijska številka za DDV s pravilno predpono je zdaj vsebinski pogoj za uporabo oprostitve iz člena 138 direktive o DDV za t. i. „dobavo blaga znotraj Skupnosti“. Poleg tega jo prosilci potrebujejo za dostop do sistema EU za vračilo DDV.</w:t>
      </w:r>
    </w:p>
    <w:p>
      <w:pPr>
        <w:pStyle w:val="ManualHeading2"/>
        <w:rPr>
          <w:rFonts w:eastAsia="Arial Unicode MS"/>
          <w:noProof/>
          <w:color w:val="000000"/>
          <w:u w:color="000000"/>
          <w:bdr w:val="nil"/>
        </w:rPr>
      </w:pPr>
      <w:r>
        <w:rPr>
          <w:noProof/>
          <w:color w:val="000000"/>
          <w:u w:color="000000"/>
          <w:bdr w:val="nil"/>
        </w:rPr>
        <w:t>•</w:t>
      </w:r>
      <w:r>
        <w:rPr>
          <w:noProof/>
        </w:rPr>
        <w:tab/>
        <w:t>Skladnost z veljavnimi predpisi s področja zadevne politike</w:t>
      </w:r>
    </w:p>
    <w:p>
      <w:pPr>
        <w:pBdr>
          <w:top w:val="nil"/>
          <w:left w:val="nil"/>
          <w:bottom w:val="nil"/>
          <w:right w:val="nil"/>
          <w:between w:val="nil"/>
          <w:bar w:val="nil"/>
        </w:pBdr>
        <w:spacing w:before="0" w:after="240"/>
        <w:rPr>
          <w:noProof/>
        </w:rPr>
      </w:pPr>
      <w:r>
        <w:rPr>
          <w:noProof/>
        </w:rPr>
        <w:t>Predlagana uporaba oznake „XI“ je skladna z njeno predvideno uporabo za carinske in trošarinske namene v zvezi s Severno Irsko.</w:t>
      </w:r>
    </w:p>
    <w:p>
      <w:pPr>
        <w:pStyle w:val="ManualHeading2"/>
        <w:rPr>
          <w:rFonts w:eastAsia="Arial Unicode MS"/>
          <w:noProof/>
        </w:rPr>
      </w:pPr>
      <w:r>
        <w:rPr>
          <w:noProof/>
          <w:color w:val="000000"/>
          <w:u w:color="000000"/>
          <w:bdr w:val="nil"/>
        </w:rPr>
        <w:t>•</w:t>
      </w:r>
      <w:r>
        <w:rPr>
          <w:noProof/>
        </w:rPr>
        <w:tab/>
        <w:t>Skladnost z drugimi politikami Unije</w:t>
      </w:r>
    </w:p>
    <w:p>
      <w:pPr>
        <w:pBdr>
          <w:top w:val="nil"/>
          <w:left w:val="nil"/>
          <w:bottom w:val="nil"/>
          <w:right w:val="nil"/>
          <w:between w:val="nil"/>
          <w:bar w:val="nil"/>
        </w:pBdr>
        <w:spacing w:before="0" w:after="240"/>
        <w:rPr>
          <w:rFonts w:eastAsia="Arial Unicode MS"/>
          <w:noProof/>
        </w:rPr>
      </w:pPr>
      <w:r>
        <w:rPr>
          <w:noProof/>
        </w:rPr>
        <w:t>Predlog je skladen s splošnim izvajanjem protokola, da se zagotovi pravočasna in pravilna priprava na poseben položaj Severne Irske po izstopu Združenega kraljestva iz EU.</w:t>
      </w:r>
    </w:p>
    <w:p>
      <w:pPr>
        <w:pStyle w:val="ManualHeading1"/>
        <w:rPr>
          <w:noProof/>
        </w:rPr>
      </w:pPr>
      <w:r>
        <w:rPr>
          <w:noProof/>
        </w:rPr>
        <w:t>2.</w:t>
      </w:r>
      <w:r>
        <w:rPr>
          <w:noProof/>
        </w:rPr>
        <w:tab/>
        <w:t>PRAVNA PODLAGA, SUBSIDIARNOST IN SORAZMERNOST</w:t>
      </w:r>
    </w:p>
    <w:p>
      <w:pPr>
        <w:pStyle w:val="ManualHeading2"/>
        <w:rPr>
          <w:rFonts w:eastAsia="Arial Unicode MS"/>
          <w:noProof/>
          <w:u w:color="000000"/>
          <w:bdr w:val="nil"/>
        </w:rPr>
      </w:pPr>
      <w:r>
        <w:rPr>
          <w:noProof/>
          <w:u w:color="000000"/>
          <w:bdr w:val="nil"/>
        </w:rPr>
        <w:t>•</w:t>
      </w:r>
      <w:r>
        <w:rPr>
          <w:noProof/>
        </w:rPr>
        <w:tab/>
      </w:r>
      <w:r>
        <w:rPr>
          <w:noProof/>
          <w:u w:color="000000"/>
          <w:bdr w:val="nil"/>
        </w:rPr>
        <w:t>Pravna podlaga</w:t>
      </w:r>
    </w:p>
    <w:p>
      <w:pPr>
        <w:rPr>
          <w:noProof/>
        </w:rPr>
      </w:pPr>
      <w:r>
        <w:rPr>
          <w:noProof/>
        </w:rPr>
        <w:t>Direktiva spreminja direktivo o DDV na podlagi člena 113 Pogodbe o delovanju Evropske unije. V tej določbi je določeno, da Svet po posebnem zakonodajnem postopku ter po posvetovanju z Evropskim parlamentom in Ekonomsko-socialnim odborom soglasno sprejme določbe za harmonizacijo pravil držav članic na področju posrednega obdavčenja.</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Subsidiarnost (za neizključno pristojnost) </w:t>
      </w:r>
    </w:p>
    <w:p>
      <w:pPr>
        <w:pStyle w:val="Text1"/>
        <w:ind w:left="0"/>
        <w:rPr>
          <w:noProof/>
        </w:rPr>
      </w:pPr>
      <w:r>
        <w:rPr>
          <w:noProof/>
        </w:rPr>
        <w:t>V skladu z načelom subsidiarnosti, kakor je določeno v členu 5(3) Pogodbe o Evropski uniji, se lahko ukrepi na ravni Unije sprejmejo le, če države članice zastavljenih ciljev ne morejo zadovoljivo doseči same, ampak jih je mogoče zaradi obsega ali učinkov predlaganega ukrepa lažje doseči na ravni EU.</w:t>
      </w:r>
    </w:p>
    <w:p>
      <w:pPr>
        <w:pStyle w:val="Text1"/>
        <w:ind w:left="0"/>
        <w:rPr>
          <w:noProof/>
        </w:rPr>
      </w:pPr>
      <w:r>
        <w:rPr>
          <w:noProof/>
        </w:rPr>
        <w:lastRenderedPageBreak/>
        <w:t>O ureditvi DDV v zvezi s Severno Irsko se zaradi njene narave ne morejo odločati posamezne države članice. Poleg tega je DDV harmoniziran na ravni Unije, zato je za kakršno koli pobudo za uvedbo posebne oznake, ki bi se uporabljala za sistem DDV v EU v zvezi s Severno Irsko, potreben predlog Komisije za spremembo direktive o DDV.</w:t>
      </w:r>
    </w:p>
    <w:p>
      <w:pPr>
        <w:pStyle w:val="ManualHeading2"/>
        <w:rPr>
          <w:rFonts w:eastAsia="Arial Unicode MS"/>
          <w:noProof/>
          <w:u w:color="000000"/>
          <w:bdr w:val="nil"/>
        </w:rPr>
      </w:pPr>
      <w:r>
        <w:rPr>
          <w:noProof/>
          <w:u w:color="000000"/>
          <w:bdr w:val="nil"/>
        </w:rPr>
        <w:t>•</w:t>
      </w:r>
      <w:r>
        <w:rPr>
          <w:noProof/>
        </w:rPr>
        <w:tab/>
      </w:r>
      <w:r>
        <w:rPr>
          <w:noProof/>
          <w:u w:color="000000"/>
          <w:bdr w:val="nil"/>
        </w:rPr>
        <w:t>Sorazmernost</w:t>
      </w:r>
    </w:p>
    <w:p>
      <w:pPr>
        <w:pBdr>
          <w:top w:val="nil"/>
          <w:left w:val="nil"/>
          <w:bottom w:val="nil"/>
          <w:right w:val="nil"/>
          <w:between w:val="nil"/>
          <w:bar w:val="nil"/>
        </w:pBdr>
        <w:spacing w:before="0" w:after="240"/>
        <w:rPr>
          <w:noProof/>
        </w:rPr>
      </w:pPr>
      <w:r>
        <w:rPr>
          <w:noProof/>
        </w:rPr>
        <w:t>Predlog je, kar zadeva uvedbo posebne kode za Severno Irsko, skladen z načelom sorazmernosti, kar pomeni, da ne presega tistega, kar je potrebno za doseganje ciljev Pogodb, zlasti nemotenega delovanja enotnega trga po izstopu Združenega kraljestva iz EU. Podobno kot pri preskusu subsidiarnosti države članice ne morejo obravnavati praktičnih vidikov posebnega položaja Severne Irske v sistemu DDV v EU brez predloga za spremembo direktive o DDV.</w:t>
      </w:r>
    </w:p>
    <w:p>
      <w:pPr>
        <w:pStyle w:val="ManualHeading2"/>
        <w:rPr>
          <w:rFonts w:eastAsia="Arial Unicode MS"/>
          <w:noProof/>
          <w:u w:color="000000"/>
          <w:bdr w:val="nil"/>
        </w:rPr>
      </w:pPr>
      <w:r>
        <w:rPr>
          <w:noProof/>
          <w:u w:color="000000"/>
          <w:bdr w:val="nil"/>
        </w:rPr>
        <w:t>•</w:t>
      </w:r>
      <w:r>
        <w:rPr>
          <w:noProof/>
        </w:rPr>
        <w:tab/>
      </w:r>
      <w:r>
        <w:rPr>
          <w:noProof/>
          <w:u w:color="000000"/>
          <w:bdr w:val="nil"/>
        </w:rPr>
        <w:t>Izbira instrumenta</w:t>
      </w:r>
    </w:p>
    <w:p>
      <w:pPr>
        <w:pBdr>
          <w:top w:val="nil"/>
          <w:left w:val="nil"/>
          <w:bottom w:val="nil"/>
          <w:right w:val="nil"/>
          <w:between w:val="nil"/>
          <w:bar w:val="nil"/>
        </w:pBdr>
        <w:spacing w:before="0" w:after="240"/>
        <w:rPr>
          <w:rFonts w:eastAsia="Arial Unicode MS"/>
          <w:noProof/>
        </w:rPr>
      </w:pPr>
      <w:r>
        <w:rPr>
          <w:noProof/>
        </w:rPr>
        <w:t>Ker gre za spremembo direktive o DDV, se predlaga direktiva.</w:t>
      </w:r>
    </w:p>
    <w:p>
      <w:pPr>
        <w:pStyle w:val="ManualHeading1"/>
        <w:rPr>
          <w:noProof/>
        </w:rPr>
      </w:pPr>
      <w:r>
        <w:rPr>
          <w:noProof/>
        </w:rPr>
        <w:t>4.</w:t>
      </w:r>
      <w:r>
        <w:rPr>
          <w:noProof/>
        </w:rPr>
        <w:tab/>
        <w:t>PRORAČUNSKE POSLEDICE</w:t>
      </w:r>
    </w:p>
    <w:p>
      <w:pPr>
        <w:rPr>
          <w:noProof/>
        </w:rPr>
      </w:pPr>
      <w:r>
        <w:rPr>
          <w:noProof/>
        </w:rPr>
        <w:t>Predlog nima nobenih negativnih posledic za proračun Unije.</w:t>
      </w:r>
    </w:p>
    <w:p>
      <w:r>
        <w:rPr>
          <w:noProof/>
        </w:rPr>
        <w:t xml:space="preserve">V zvezi s tem je treba opozoriti, da se v skladu z drugim odstavkom člena 8 protokola prihodki iz transakcij, ki so obdavčljive na Severnem Irskem, ne nakažejo EU. </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2020/0165 (CNS)</w:t>
      </w:r>
    </w:p>
    <w:p>
      <w:pPr>
        <w:pStyle w:val="Statut"/>
        <w:rPr>
          <w:noProof/>
        </w:rPr>
      </w:pPr>
      <w:r>
        <w:rPr>
          <w:noProof/>
        </w:rPr>
        <w:t>Predlog</w:t>
      </w:r>
    </w:p>
    <w:p>
      <w:pPr>
        <w:pStyle w:val="Typedudocument"/>
        <w:rPr>
          <w:noProof/>
        </w:rPr>
      </w:pPr>
      <w:r>
        <w:rPr>
          <w:noProof/>
        </w:rPr>
        <w:t>DIREKTIVA SVETA</w:t>
      </w:r>
    </w:p>
    <w:p>
      <w:pPr>
        <w:pStyle w:val="Titreobjet"/>
        <w:rPr>
          <w:noProof/>
        </w:rPr>
      </w:pPr>
      <w:r>
        <w:rPr>
          <w:noProof/>
        </w:rPr>
        <w:t>o spremembi Direktive 2006/112/ES o skupnem sistemu davka na dodano vrednost glede identifikacije davčnih zavezancev na Severnem Irskem</w:t>
      </w:r>
    </w:p>
    <w:p>
      <w:pPr>
        <w:pStyle w:val="Institutionquiagit"/>
        <w:rPr>
          <w:noProof/>
        </w:rPr>
      </w:pPr>
      <w:r>
        <w:rPr>
          <w:noProof/>
        </w:rPr>
        <w:t>SVET EVROPSKE UNIJE JE –</w:t>
      </w:r>
    </w:p>
    <w:p>
      <w:pPr>
        <w:rPr>
          <w:noProof/>
        </w:rPr>
      </w:pPr>
      <w:r>
        <w:rPr>
          <w:noProof/>
        </w:rPr>
        <w:t>ob upoštevanju Pogodbe o delovanju Evropske unije in zlasti člena 113 Pogodbe v povezavi s členom 131 Sporazuma o izstopu Združenega kraljestva Velika Britanija in Severna Irska iz Evropske unije in Evropske skupnosti za atomsko energijo</w:t>
      </w:r>
      <w:r>
        <w:rPr>
          <w:rStyle w:val="FootnoteReference"/>
          <w:noProof/>
        </w:rPr>
        <w:footnoteReference w:id="7"/>
      </w:r>
      <w:r>
        <w:rPr>
          <w:noProof/>
        </w:rPr>
        <w:t>,</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ob upoštevanju mnenja Evropskega parlamenta</w:t>
      </w:r>
      <w:r>
        <w:rPr>
          <w:rStyle w:val="FootnoteReference"/>
          <w:noProof/>
        </w:rPr>
        <w:footnoteReference w:id="8"/>
      </w:r>
      <w:r>
        <w:rPr>
          <w:noProof/>
        </w:rPr>
        <w:t>,</w:t>
      </w:r>
    </w:p>
    <w:p>
      <w:pPr>
        <w:rPr>
          <w:noProof/>
        </w:rPr>
      </w:pPr>
      <w:r>
        <w:rPr>
          <w:noProof/>
        </w:rPr>
        <w:t>ob upoštevanju mnenja Evropskega ekonomsko-socialnega odbora</w:t>
      </w:r>
      <w:r>
        <w:rPr>
          <w:rStyle w:val="FootnoteReference"/>
          <w:noProof/>
        </w:rPr>
        <w:footnoteReference w:id="9"/>
      </w:r>
      <w:r>
        <w:rPr>
          <w:noProof/>
        </w:rPr>
        <w:t xml:space="preserve">, </w:t>
      </w:r>
    </w:p>
    <w:p>
      <w:pPr>
        <w:rPr>
          <w:noProof/>
        </w:rPr>
      </w:pPr>
      <w:r>
        <w:rPr>
          <w:noProof/>
        </w:rPr>
        <w:t>v skladu s posebnim zakonodajnim postopkom,</w:t>
      </w:r>
    </w:p>
    <w:p>
      <w:pPr>
        <w:rPr>
          <w:noProof/>
        </w:rPr>
      </w:pPr>
      <w:r>
        <w:rPr>
          <w:noProof/>
        </w:rPr>
        <w:t>ob upoštevanju naslednjega:</w:t>
      </w:r>
    </w:p>
    <w:p>
      <w:pPr>
        <w:pStyle w:val="ManualConsidrant"/>
        <w:rPr>
          <w:noProof/>
        </w:rPr>
      </w:pPr>
      <w:r>
        <w:t>(1)</w:t>
      </w:r>
      <w:r>
        <w:tab/>
      </w:r>
      <w:r>
        <w:rPr>
          <w:noProof/>
        </w:rPr>
        <w:t>Združeno kraljestvo je 31. januarja 2020 izstopilo iz Evropske unije na podlagi Sporazuma o izstopu Združenega kraljestva Velika Britanija in Severna Irska iz Evropske unije in Evropske skupnosti za atomsko energijo (v nadaljnjem besedilu: sporazum o izstopu): Sporazum o izstopu določa prehodno obdobje, ki se bo končalo 31. decembra 2020. Do tega datuma se za Združeno kraljestvo in v njem še naprej uporablja zakonodaja Unije o davku na dodano vrednost (v nadaljnjem besedilu: zakonodaja Unije o DDV). Po prehodnem obdobju se zakonodaja Unije o DDV za Združeno kraljestvo ali v njem ne bo več uporabljala.</w:t>
      </w:r>
    </w:p>
    <w:p>
      <w:pPr>
        <w:pStyle w:val="ManualConsidrant"/>
        <w:rPr>
          <w:noProof/>
        </w:rPr>
      </w:pPr>
      <w:r>
        <w:t>(2)</w:t>
      </w:r>
      <w:r>
        <w:tab/>
      </w:r>
      <w:r>
        <w:rPr>
          <w:noProof/>
        </w:rPr>
        <w:t>Vendar se bo na Severnem Irskem</w:t>
      </w:r>
      <w:r>
        <w:rPr>
          <w:rStyle w:val="FootnoteReference"/>
          <w:noProof/>
        </w:rPr>
        <w:footnoteReference w:id="10"/>
      </w:r>
      <w:r>
        <w:rPr>
          <w:noProof/>
        </w:rPr>
        <w:t xml:space="preserve"> v skladu s členom 8 Protokola o Irski/Severni Irski (v nadaljnjem besedilu: protokol), ki je del sporazuma o izstopu, zakonodaja Unije o DDV po prehodnem obdobju še naprej uporabljala, kar zadeva blago, da bi se preprečila trda meja med Irsko in Severno Irsko. </w:t>
      </w:r>
    </w:p>
    <w:p>
      <w:pPr>
        <w:pStyle w:val="ManualConsidrant"/>
        <w:rPr>
          <w:noProof/>
        </w:rPr>
      </w:pPr>
      <w:r>
        <w:t>(3)</w:t>
      </w:r>
      <w:r>
        <w:tab/>
      </w:r>
      <w:r>
        <w:rPr>
          <w:noProof/>
        </w:rPr>
        <w:t>Zato bo za davčne zavezance in nekatere pravne osebe, ki niso davčni zavezanci, veljala zakonodaja Unije o DDV za transakcije z blagom na Severnem Irskem, za vse druge transakcije v Združenem kraljestvu, med drugim tudi v zvezi s Severno Irsko, pa bo zanje veljala zakonodaja Združenega kraljestva o DDV.</w:t>
      </w:r>
    </w:p>
    <w:p>
      <w:pPr>
        <w:pStyle w:val="ManualConsidrant"/>
        <w:rPr>
          <w:noProof/>
        </w:rPr>
      </w:pPr>
      <w:r>
        <w:t>(4)</w:t>
      </w:r>
      <w:r>
        <w:tab/>
      </w:r>
      <w:r>
        <w:rPr>
          <w:noProof/>
        </w:rPr>
        <w:t xml:space="preserve">Za pravilno delovanje sistema DDV v Uniji je bistveno, da se vsem davčnim zavezancem, ki dobavljajo blago na Severnem Irskem ali ga pridobivajo znotraj Skupnosti (vključno s pravnimi osebami, ki niso davčni zavezanci), kot so navedeni v </w:t>
      </w:r>
      <w:r>
        <w:rPr>
          <w:noProof/>
        </w:rPr>
        <w:lastRenderedPageBreak/>
        <w:t>točkah (a), (b) in (c) člena 214(1) Direktive Sveta 2006/112/ES</w:t>
      </w:r>
      <w:r>
        <w:rPr>
          <w:rStyle w:val="FootnoteReference"/>
          <w:noProof/>
        </w:rPr>
        <w:footnoteReference w:id="11"/>
      </w:r>
      <w:r>
        <w:rPr>
          <w:noProof/>
        </w:rPr>
        <w:t>, ali davčnim zavezancem zaradi uporabe neobveznih posebnih ureditev za davčne zavezance, ki opravljajo storitve za osebe, ki niso davčni zavezanci, ali prodajajo blago na daljavo, dodeli posebna številka za DDV.</w:t>
      </w:r>
    </w:p>
    <w:p>
      <w:pPr>
        <w:pStyle w:val="ManualConsidrant"/>
        <w:rPr>
          <w:noProof/>
        </w:rPr>
      </w:pPr>
      <w:r>
        <w:t>(5)</w:t>
      </w:r>
      <w:r>
        <w:tab/>
      </w:r>
      <w:r>
        <w:rPr>
          <w:noProof/>
        </w:rPr>
        <w:t>Zato bi bilo treba na Severnem Irskem uvesti posebne identifikacijske številke za DDV s posebno predpono, da bi se lahko razlikovalo med davčnimi zavezanci in pravnimi osebami, ki niso davčni zavezanci, katerih transakcije z blagom na Severnem Irskem so predmet zakonodaje Unije o DDV, in osebami, ki opravljajo druge transakcije, za katere so identificirane za namene DDV v Združenem kraljestvu.</w:t>
      </w:r>
    </w:p>
    <w:p>
      <w:pPr>
        <w:pStyle w:val="ManualConsidrant"/>
        <w:rPr>
          <w:noProof/>
        </w:rPr>
      </w:pPr>
      <w:r>
        <w:t>(6)</w:t>
      </w:r>
      <w:r>
        <w:tab/>
      </w:r>
      <w:r>
        <w:rPr>
          <w:noProof/>
        </w:rPr>
        <w:t>Predpone identifikacijskih številk za DDV v Uniji praviloma temeljijo na oznaki ISO – 3166 alfa 2 za države. Severna Irska nima posebne kode v okviru tega sistema, vendar standard ISO predvideva možnost uporabe oznak X za ozemlja, ki nimajo posebne oznake. Zato je primerno, da se za Severno Irsko predlaga oznaka „XI“.</w:t>
      </w:r>
    </w:p>
    <w:p>
      <w:pPr>
        <w:pStyle w:val="ManualConsidrant"/>
        <w:rPr>
          <w:noProof/>
        </w:rPr>
      </w:pPr>
      <w:r>
        <w:t>(7)</w:t>
      </w:r>
      <w:r>
        <w:tab/>
      </w:r>
      <w:r>
        <w:rPr>
          <w:noProof/>
        </w:rPr>
        <w:t>Direktivo 2006/112/ES bi bilo zato treba ustrezno spremeniti –</w:t>
      </w:r>
    </w:p>
    <w:p>
      <w:pPr>
        <w:pStyle w:val="Formuledadoption"/>
        <w:rPr>
          <w:noProof/>
        </w:rPr>
      </w:pPr>
      <w:r>
        <w:rPr>
          <w:noProof/>
        </w:rPr>
        <w:t>SPREJEL NASLEDNJO DIREKTIVO:</w:t>
      </w:r>
    </w:p>
    <w:p>
      <w:pPr>
        <w:pStyle w:val="Titrearticle"/>
        <w:rPr>
          <w:noProof/>
        </w:rPr>
      </w:pPr>
      <w:r>
        <w:rPr>
          <w:noProof/>
        </w:rPr>
        <w:t>Člen 1</w:t>
      </w:r>
    </w:p>
    <w:p>
      <w:pPr>
        <w:rPr>
          <w:noProof/>
        </w:rPr>
      </w:pPr>
      <w:r>
        <w:rPr>
          <w:noProof/>
        </w:rPr>
        <w:t>V členu 215 Direktive 2006/112/ES se doda naslednji tretji odstavek:</w:t>
      </w:r>
    </w:p>
    <w:p>
      <w:pPr>
        <w:rPr>
          <w:noProof/>
        </w:rPr>
      </w:pPr>
      <w:r>
        <w:rPr>
          <w:noProof/>
        </w:rPr>
        <w:t>„Za Severno Irsko se uporablja predpona ‚XI‘.“</w:t>
      </w:r>
    </w:p>
    <w:p>
      <w:pPr>
        <w:pStyle w:val="Titrearticle"/>
        <w:rPr>
          <w:noProof/>
        </w:rPr>
      </w:pPr>
      <w:r>
        <w:rPr>
          <w:noProof/>
        </w:rPr>
        <w:t>Člen 2</w:t>
      </w:r>
    </w:p>
    <w:p>
      <w:pPr>
        <w:pStyle w:val="ManualNumPar1"/>
        <w:rPr>
          <w:noProof/>
        </w:rPr>
      </w:pPr>
      <w:r>
        <w:rPr>
          <w:noProof/>
        </w:rPr>
        <w:t>1.</w:t>
      </w:r>
      <w:r>
        <w:rPr>
          <w:noProof/>
        </w:rPr>
        <w:tab/>
        <w:t>Države članice uveljavijo zakone in druge predpise, potrebne za uskladitev s to direktivo, do 31. decembra 2020. Komisiji takoj sporočijo besedilo teh predpisov.</w:t>
      </w:r>
    </w:p>
    <w:p>
      <w:pPr>
        <w:pStyle w:val="Text1"/>
        <w:rPr>
          <w:noProof/>
        </w:rPr>
      </w:pPr>
      <w:r>
        <w:rPr>
          <w:noProof/>
        </w:rPr>
        <w:t xml:space="preserve">Države članice se v sprejetih predpisih sklicujejo na to direktivo ali pa sklic nanjo navedejo ob njihovi uradni objavi. Način sklicevanja in </w:t>
      </w:r>
      <w:r>
        <w:rPr>
          <w:noProof/>
          <w:snapToGrid w:val="0"/>
        </w:rPr>
        <w:t>obliko izjave</w:t>
      </w:r>
      <w:r>
        <w:rPr>
          <w:noProof/>
        </w:rPr>
        <w:t xml:space="preserve"> določijo države članice.</w:t>
      </w:r>
    </w:p>
    <w:p>
      <w:pPr>
        <w:pStyle w:val="ManualNumPar1"/>
        <w:rPr>
          <w:noProof/>
        </w:rPr>
      </w:pPr>
      <w:r>
        <w:rPr>
          <w:noProof/>
        </w:rPr>
        <w:t>2.</w:t>
      </w:r>
      <w:r>
        <w:rPr>
          <w:noProof/>
        </w:rPr>
        <w:tab/>
        <w:t>Države članice Komisiji sporočijo besedila temeljnih predpisov nacionalnega prava, ki jih sprejmejo na področju, ki ga ureja ta direktiva.</w:t>
      </w:r>
    </w:p>
    <w:p>
      <w:pPr>
        <w:pStyle w:val="Titrearticle"/>
        <w:rPr>
          <w:noProof/>
        </w:rPr>
      </w:pPr>
      <w:r>
        <w:rPr>
          <w:noProof/>
        </w:rPr>
        <w:t>Člen 3</w:t>
      </w:r>
    </w:p>
    <w:p>
      <w:pPr>
        <w:rPr>
          <w:noProof/>
        </w:rPr>
      </w:pPr>
      <w:r>
        <w:rPr>
          <w:noProof/>
        </w:rPr>
        <w:t xml:space="preserve">Ta direktiva začne veljati dan po objavi v </w:t>
      </w:r>
      <w:r>
        <w:rPr>
          <w:i/>
          <w:iCs/>
          <w:noProof/>
        </w:rPr>
        <w:t>Uradnem listu Evropske unije</w:t>
      </w:r>
      <w:r>
        <w:rPr>
          <w:noProof/>
        </w:rPr>
        <w:t>.</w:t>
      </w:r>
    </w:p>
    <w:p>
      <w:pPr>
        <w:pStyle w:val="Titrearticle"/>
        <w:rPr>
          <w:noProof/>
        </w:rPr>
      </w:pPr>
      <w:r>
        <w:rPr>
          <w:noProof/>
        </w:rPr>
        <w:t>Člen 4</w:t>
      </w:r>
    </w:p>
    <w:p>
      <w:pPr>
        <w:rPr>
          <w:noProof/>
        </w:rPr>
      </w:pPr>
      <w:r>
        <w:rPr>
          <w:noProof/>
        </w:rPr>
        <w:t>Ta direktiva je naslovljena na države članice.</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Sporazum o izstopu Združenega kraljestva Velika Britanija in Severna Irska iz Evropske unije in Evropske skupnosti za atomsko energijo (UL C 384 I, 12.11.2019, str. 1).</w:t>
      </w:r>
    </w:p>
  </w:footnote>
  <w:footnote w:id="2">
    <w:p>
      <w:pPr>
        <w:pStyle w:val="FootnoteText"/>
      </w:pPr>
      <w:r>
        <w:rPr>
          <w:rStyle w:val="FootnoteReference"/>
        </w:rPr>
        <w:footnoteRef/>
      </w:r>
      <w:r>
        <w:tab/>
        <w:t>Glej člena 126 in 127 sporazuma o izstopu.</w:t>
      </w:r>
    </w:p>
  </w:footnote>
  <w:footnote w:id="3">
    <w:p>
      <w:pPr>
        <w:pStyle w:val="FootnoteText"/>
      </w:pPr>
      <w:r>
        <w:rPr>
          <w:rStyle w:val="FootnoteReference"/>
        </w:rPr>
        <w:footnoteRef/>
      </w:r>
      <w:r>
        <w:tab/>
        <w:t>UL C 384 I, 12.11.2019, str. 92.</w:t>
      </w:r>
    </w:p>
  </w:footnote>
  <w:footnote w:id="4">
    <w:p>
      <w:pPr>
        <w:pStyle w:val="FootnoteText"/>
      </w:pPr>
      <w:r>
        <w:rPr>
          <w:rStyle w:val="FootnoteReference"/>
        </w:rPr>
        <w:footnoteRef/>
      </w:r>
      <w:r>
        <w:tab/>
        <w:t>Direktiva Sveta 2006/112/ES z dne 28. novembra 2006 o skupnem sistemu davka na dodano vrednost (UL L 347, 11.12.2006, str. 1).</w:t>
      </w:r>
    </w:p>
  </w:footnote>
  <w:footnote w:id="5">
    <w:p>
      <w:pPr>
        <w:pStyle w:val="FootnoteText"/>
      </w:pPr>
      <w:r>
        <w:rPr>
          <w:rStyle w:val="FootnoteReference"/>
        </w:rPr>
        <w:footnoteRef/>
      </w:r>
      <w:r>
        <w:tab/>
        <w:t>Direktiva Sveta št. 2008/9/ES z dne 12. februarja 2008 o podrobnih pravilih za vračilo davka na dodano vrednost, opredeljenih v Direktivi 2006/112/ES, davčnim zavezancem, ki nimajo sedeža v državi članici vračila, ampak v drugi državi članici (UL L 44, 20.2.2008, str. 23).</w:t>
      </w:r>
    </w:p>
  </w:footnote>
  <w:footnote w:id="6">
    <w:p>
      <w:pPr>
        <w:pStyle w:val="FootnoteText"/>
      </w:pPr>
      <w:r>
        <w:rPr>
          <w:rStyle w:val="FootnoteReference"/>
        </w:rPr>
        <w:footnoteRef/>
      </w:r>
      <w:r>
        <w:tab/>
        <w:t>Trinajsta direktiva Sveta 86/560/EGS z dne 17. novembra 1986 o usklajevanju zakonodaje držav članic glede prometnih davkov – Postopki vračila davka na dodano vrednost davčnim zavezancem, ki nimajo stalnega prebivališča ali sedeža na ozemlju Skupnosti (UL L 326, 21.11.1986, str. 40).</w:t>
      </w:r>
    </w:p>
  </w:footnote>
  <w:footnote w:id="7">
    <w:p>
      <w:pPr>
        <w:pStyle w:val="FootnoteText"/>
      </w:pPr>
      <w:r>
        <w:rPr>
          <w:rStyle w:val="FootnoteReference"/>
        </w:rPr>
        <w:footnoteRef/>
      </w:r>
      <w:r>
        <w:tab/>
        <w:t>UL L 29, 31.1.2020, str. 7.</w:t>
      </w:r>
    </w:p>
  </w:footnote>
  <w:footnote w:id="8">
    <w:p>
      <w:pPr>
        <w:pStyle w:val="FootnoteText"/>
      </w:pPr>
      <w:r>
        <w:rPr>
          <w:rStyle w:val="FootnoteReference"/>
        </w:rPr>
        <w:footnoteRef/>
      </w:r>
      <w:r>
        <w:tab/>
        <w:t>UL C , , str. .</w:t>
      </w:r>
    </w:p>
  </w:footnote>
  <w:footnote w:id="9">
    <w:p>
      <w:pPr>
        <w:pStyle w:val="FootnoteText"/>
      </w:pPr>
      <w:r>
        <w:rPr>
          <w:rStyle w:val="FootnoteReference"/>
        </w:rPr>
        <w:footnoteRef/>
      </w:r>
      <w:r>
        <w:tab/>
        <w:t>UL C , , str. .</w:t>
      </w:r>
    </w:p>
  </w:footnote>
  <w:footnote w:id="10">
    <w:p>
      <w:pPr>
        <w:pStyle w:val="FootnoteText"/>
      </w:pPr>
      <w:r>
        <w:rPr>
          <w:rStyle w:val="FootnoteReference"/>
        </w:rPr>
        <w:footnoteRef/>
      </w:r>
      <w:r>
        <w:tab/>
        <w:t>Pod pogojem, da se ohrani demokratična privolitev iz člena 18 protokola k nadaljnji uporabi člena 8 protokola.</w:t>
      </w:r>
    </w:p>
  </w:footnote>
  <w:footnote w:id="11">
    <w:p>
      <w:pPr>
        <w:pStyle w:val="FootnoteText"/>
      </w:pPr>
      <w:r>
        <w:rPr>
          <w:rStyle w:val="FootnoteReference"/>
        </w:rPr>
        <w:footnoteRef/>
      </w:r>
      <w:r>
        <w:tab/>
        <w:t>Direktiva Sveta 2006/112/ES z dne 28. novembra 2006 o skupnem sistemu davka na dodano vrednost (UL L 347, 11.12.2006,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7EA6F8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518A5E0"/>
    <w:lvl w:ilvl="0">
      <w:start w:val="1"/>
      <w:numFmt w:val="decimal"/>
      <w:pStyle w:val="ListNumber3"/>
      <w:lvlText w:val="%1."/>
      <w:lvlJc w:val="left"/>
      <w:pPr>
        <w:tabs>
          <w:tab w:val="num" w:pos="926"/>
        </w:tabs>
        <w:ind w:left="926" w:hanging="360"/>
      </w:pPr>
    </w:lvl>
  </w:abstractNum>
  <w:abstractNum w:abstractNumId="2">
    <w:nsid w:val="FFFFFF7F"/>
    <w:multiLevelType w:val="singleLevel"/>
    <w:tmpl w:val="D1F07914"/>
    <w:lvl w:ilvl="0">
      <w:start w:val="1"/>
      <w:numFmt w:val="decimal"/>
      <w:pStyle w:val="ListNumber2"/>
      <w:lvlText w:val="%1."/>
      <w:lvlJc w:val="left"/>
      <w:pPr>
        <w:tabs>
          <w:tab w:val="num" w:pos="643"/>
        </w:tabs>
        <w:ind w:left="643" w:hanging="360"/>
      </w:pPr>
    </w:lvl>
  </w:abstractNum>
  <w:abstractNum w:abstractNumId="3">
    <w:nsid w:val="FFFFFF81"/>
    <w:multiLevelType w:val="singleLevel"/>
    <w:tmpl w:val="C186C44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CE05BD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22A8CB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4563F64"/>
    <w:lvl w:ilvl="0">
      <w:start w:val="1"/>
      <w:numFmt w:val="decimal"/>
      <w:pStyle w:val="ListNumber"/>
      <w:lvlText w:val="%1."/>
      <w:lvlJc w:val="left"/>
      <w:pPr>
        <w:tabs>
          <w:tab w:val="num" w:pos="360"/>
        </w:tabs>
        <w:ind w:left="360" w:hanging="360"/>
      </w:pPr>
    </w:lvl>
  </w:abstractNum>
  <w:abstractNum w:abstractNumId="7">
    <w:nsid w:val="FFFFFF89"/>
    <w:multiLevelType w:val="singleLevel"/>
    <w:tmpl w:val="6BC854D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8-10 10:01:4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1CEB44C-BFEC-4694-9230-A9CC83004779"/>
    <w:docVar w:name="LW_COVERPAGE_TYPE" w:val="1"/>
    <w:docVar w:name="LW_CROSSREFERENCE" w:val="&lt;UNUSED&gt;"/>
    <w:docVar w:name="LW_DocType" w:val="COM"/>
    <w:docVar w:name="LW_EMISSION" w:val="7.8.2020"/>
    <w:docVar w:name="LW_EMISSION_ISODATE" w:val="2020-08-07"/>
    <w:docVar w:name="LW_EMISSION_LOCATION" w:val="BRX"/>
    <w:docVar w:name="LW_EMISSION_PREFIX" w:val="Bruselj, "/>
    <w:docVar w:name="LW_EMISSION_SUFFIX" w:val=" "/>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NS"/>
    <w:docVar w:name="LW_REF.II.NEW.CP_NUMBER" w:val="0165"/>
    <w:docVar w:name="LW_REF.II.NEW.CP_YEAR" w:val="2020"/>
    <w:docVar w:name="LW_REF.INST.NEW" w:val="COM"/>
    <w:docVar w:name="LW_REF.INST.NEW_ADOPTED" w:val="final"/>
    <w:docVar w:name="LW_REF.INST.NEW_TEXT" w:val="(2020) 3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spremembi Direktive 2006/112/ES o skupnem sistemu davka na dodano vrednost glede identifikacije dav\u269?nih zavezancev na Severnem Irskem"/>
    <w:docVar w:name="LW_TYPE.DOC.CP" w:val="DIREKTIVA SVET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A3C79-8892-4979-9B96-9BD7496CD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1689</Words>
  <Characters>9210</Characters>
  <Application>Microsoft Office Word</Application>
  <DocSecurity>0</DocSecurity>
  <Lines>164</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2020-06-16T12:20:00Z</cp:lastPrinted>
  <dcterms:created xsi:type="dcterms:W3CDTF">2020-08-04T08:44:00Z</dcterms:created>
  <dcterms:modified xsi:type="dcterms:W3CDTF">2020-08-10T08:01:00Z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DQCStatus">
    <vt:lpwstr>Green (DQC version 03)</vt:lpwstr>
  </property>
</Properties>
</file>