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F088430B-18CE-4EC6-941F-7EFA4F4A1815" style="width:450.8pt;height:422.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spacing w:before="0" w:after="240"/>
        <w:rPr>
          <w:noProof/>
        </w:rPr>
      </w:pPr>
      <w:bookmarkStart w:id="0" w:name="_GoBack"/>
      <w:bookmarkEnd w:id="0"/>
      <w:r>
        <w:rPr>
          <w:noProof/>
        </w:rPr>
        <w:lastRenderedPageBreak/>
        <w:t>SELETUSKIRI</w:t>
      </w:r>
    </w:p>
    <w:p>
      <w:pPr>
        <w:pStyle w:val="ManualHeading1"/>
        <w:rPr>
          <w:noProof/>
        </w:rPr>
      </w:pPr>
      <w:r>
        <w:t>1.</w:t>
      </w:r>
      <w:r>
        <w:tab/>
      </w:r>
      <w:r>
        <w:rPr>
          <w:noProof/>
        </w:rPr>
        <w:t>ETTEPANEKU TAUST</w:t>
      </w:r>
    </w:p>
    <w:p>
      <w:pPr>
        <w:pStyle w:val="ManualHeading2"/>
        <w:rPr>
          <w:rFonts w:eastAsia="Arial Unicode MS"/>
          <w:noProof/>
        </w:rPr>
      </w:pPr>
      <w:r>
        <w:t>1.1.</w:t>
      </w:r>
      <w:r>
        <w:tab/>
      </w:r>
      <w:r>
        <w:rPr>
          <w:noProof/>
        </w:rPr>
        <w:t>Ettepaneku põhjused ja eesmärgid</w:t>
      </w:r>
    </w:p>
    <w:p>
      <w:pPr>
        <w:spacing w:before="0" w:after="240"/>
        <w:rPr>
          <w:bCs/>
          <w:iCs/>
          <w:noProof/>
          <w:color w:val="000000"/>
          <w:szCs w:val="24"/>
        </w:rPr>
      </w:pPr>
      <w:r>
        <w:rPr>
          <w:noProof/>
        </w:rPr>
        <w:t>ELi liikmesriike on tõsiselt mõjutanud COVID-19 pandeemiast tingitud majanduskriis. See nõuab kiiret reageerimist, et toetada kapitaliturgudel osalejaid. Komisjoni 13. märtsi 2020. aasta teatises „Euroopa koordineeritud majanduslikud meetmed COVID-19 puhangule reageerimiseks“</w:t>
      </w:r>
      <w:r>
        <w:rPr>
          <w:rStyle w:val="FootnoteReference"/>
          <w:noProof/>
        </w:rPr>
        <w:footnoteReference w:id="1"/>
      </w:r>
      <w:r>
        <w:rPr>
          <w:noProof/>
        </w:rPr>
        <w:t xml:space="preserve"> rõhutas komisjon, kui oluline on tagada ELi finantssektori likviidsus ja võidelda ähvardava majanduslanguse vastu kõigil tasanditel võetavate meetmetega. Lisaks esitas komisjon 27. mai 2020. aasta teatises „Euroopa võimalus: parandame vead ja teeme ettevalmistusi järgmise põlvkonna jaoks“</w:t>
      </w:r>
      <w:r>
        <w:rPr>
          <w:rStyle w:val="FootnoteReference"/>
          <w:noProof/>
        </w:rPr>
        <w:footnoteReference w:id="2"/>
      </w:r>
      <w:r>
        <w:rPr>
          <w:noProof/>
        </w:rPr>
        <w:t xml:space="preserve"> peamised vahendid Euroopa majanduse taastekava toetuseks, sealhulgas meetmed, mille eesmärk on taaskäivitada majandus ja edendada erasektori investeeringuid. Kõnealuses teatises rõhutati ka seda, et likviidsus ja juurdepääs rahastusele on ettevõtjate jaoks jätkuvalt probleem.</w:t>
      </w:r>
    </w:p>
    <w:p>
      <w:pPr>
        <w:pBdr>
          <w:top w:val="nil"/>
          <w:left w:val="nil"/>
          <w:bottom w:val="nil"/>
          <w:right w:val="nil"/>
          <w:between w:val="nil"/>
          <w:bar w:val="nil"/>
        </w:pBdr>
        <w:spacing w:before="0" w:after="240"/>
        <w:rPr>
          <w:noProof/>
        </w:rPr>
      </w:pPr>
      <w:r>
        <w:rPr>
          <w:noProof/>
        </w:rPr>
        <w:t>Prospektimääruses</w:t>
      </w:r>
      <w:r>
        <w:rPr>
          <w:rStyle w:val="FootnoteReference"/>
          <w:noProof/>
        </w:rPr>
        <w:footnoteReference w:id="3"/>
      </w:r>
      <w:r>
        <w:rPr>
          <w:noProof/>
        </w:rPr>
        <w:t xml:space="preserve"> sätestatud prospektikorra sihipäraste muudatuste eesmärk on anda ettevõtetele lühikese aja jooksul juurdepääs uuele rahastusele, et aidata kaasa majanduse taastumisele COVID-19 pandeemiast. Eelkõige on nende eesmärk aidata ettevõtetel kaasata kapitali, et nad saaksid taastada jätkusuutlikud võla ja omakapitali suhtarvud ning suurendada oma vastupidavust.</w:t>
      </w:r>
    </w:p>
    <w:p>
      <w:pPr>
        <w:pBdr>
          <w:top w:val="nil"/>
          <w:left w:val="nil"/>
          <w:bottom w:val="nil"/>
          <w:right w:val="nil"/>
          <w:between w:val="nil"/>
          <w:bar w:val="nil"/>
        </w:pBdr>
        <w:spacing w:before="0" w:after="240"/>
        <w:rPr>
          <w:rFonts w:eastAsia="Arial Unicode MS"/>
          <w:noProof/>
        </w:rPr>
      </w:pPr>
      <w:r>
        <w:rPr>
          <w:noProof/>
        </w:rPr>
        <w:t xml:space="preserve">Prospekt on õiguslikult nõutav dokument, milles esitatakse teave ettevõtte ja väärtpaberite kohta, mida sellised ettevõtted üldsusele pakuvad või millega nad soovivad reguleeritud turul kaubelda. Selle teabe alusel peaksid investorid saama otsustada, kas investeerida teatava ettevõtte emiteeritavatesse väärtpaberitesse. Prospekti koostamise kulud võivad mõjuda heidutavalt finantsraskustes emitentidele, kes soovivad kaasata uusi rahalisi vahendeid, eelkõige kapitali. COVID-19 pandeemiast tuleneva olukorra tõttu on väga oluline tagada, et juba noteeritud emitentide puhul ei takistaks prospekt kapitali kaasamist avalikelt turgudelt. </w:t>
      </w:r>
    </w:p>
    <w:p>
      <w:pPr>
        <w:pBdr>
          <w:top w:val="nil"/>
          <w:left w:val="nil"/>
          <w:bottom w:val="nil"/>
          <w:right w:val="nil"/>
          <w:between w:val="nil"/>
          <w:bar w:val="nil"/>
        </w:pBdr>
        <w:spacing w:before="0" w:after="240"/>
        <w:rPr>
          <w:rFonts w:eastAsia="Arial Unicode MS"/>
          <w:noProof/>
        </w:rPr>
      </w:pPr>
      <w:r>
        <w:rPr>
          <w:noProof/>
        </w:rPr>
        <w:t xml:space="preserve">Seepärast on käesoleva ettepaneku eesmärk lihtsustada menetlust, et emitendid saaksid kiiresti kaasata kapitali seoses COVID-19 pandeemiast tuleneva majandusliku hädaolukorraga. Need prospektimääruse muudatused on seotud uut liiki lühiprospekti (edaspidi „ELi taasteprospekt“) loomisega ning sihipäraste muudatustega, mille eesmärk on leevendada survet finantsvahendajatele (krediidiasutuste teated prospekti lisade ja mittekapitaliväärtpaberite emissioonide kohta). </w:t>
      </w:r>
    </w:p>
    <w:p>
      <w:pPr>
        <w:pStyle w:val="ManualHeading3"/>
        <w:rPr>
          <w:noProof/>
        </w:rPr>
      </w:pPr>
      <w:r>
        <w:t>1.1.1.</w:t>
      </w:r>
      <w:r>
        <w:tab/>
      </w:r>
      <w:r>
        <w:rPr>
          <w:noProof/>
        </w:rPr>
        <w:t>ELi taasteprospekt</w:t>
      </w:r>
    </w:p>
    <w:p>
      <w:pPr>
        <w:pBdr>
          <w:top w:val="nil"/>
          <w:left w:val="nil"/>
          <w:bottom w:val="nil"/>
          <w:right w:val="nil"/>
          <w:between w:val="nil"/>
          <w:bar w:val="nil"/>
        </w:pBdr>
        <w:spacing w:before="0" w:after="240"/>
        <w:rPr>
          <w:rFonts w:eastAsia="Arial Unicode MS"/>
          <w:noProof/>
        </w:rPr>
      </w:pPr>
      <w:r>
        <w:rPr>
          <w:noProof/>
        </w:rPr>
        <w:t xml:space="preserve">ELi taasteprospekti eesmärk on näha noteeritud emitentidele ette lihtsustatud avalikustamiseeskirjad, mis on kohandatud nende konkreetsetele vajadustele kriisijärgses keskkonnas, säilitades samas prospekti kui asjakohase vahendi potentsiaalsete investorite teavitamiseks. Praeguses kriisijärgses olukorras on esmatähtis vähendada regulatiivseid </w:t>
      </w:r>
      <w:r>
        <w:rPr>
          <w:noProof/>
        </w:rPr>
        <w:lastRenderedPageBreak/>
        <w:t>tõkkeid, mis võivad mõjutada ettevõtete rekapitaliseerimist, ja võimaldada emitentidel kaasata avalikelt turgudelt vahendeid majanduse taaskäivitamise varases etapis.</w:t>
      </w:r>
    </w:p>
    <w:p>
      <w:pPr>
        <w:pBdr>
          <w:top w:val="nil"/>
          <w:left w:val="nil"/>
          <w:bottom w:val="nil"/>
          <w:right w:val="nil"/>
          <w:between w:val="nil"/>
          <w:bar w:val="nil"/>
        </w:pBdr>
        <w:spacing w:before="0" w:after="240"/>
        <w:rPr>
          <w:rFonts w:eastAsia="Arial Unicode MS"/>
          <w:noProof/>
        </w:rPr>
      </w:pPr>
      <w:r>
        <w:rPr>
          <w:noProof/>
        </w:rPr>
        <w:t xml:space="preserve">ELi taasteprospekti eesmärk on keskenduda olulisele teabele ja sellist prospekti saaks kasutada üksnes aktsiate teiseste emissioonide puhul. Tingimusel et emitentide aktsiatega on juba olnud lubatud kaubelda reguleeritud turul või VKEde kasvuturul vähemalt viimase 18 kuu jooksul järjest, peaks lihtsustatud avalikustamiskord vähendama prospekti koostamise kulusid ja muutma dokumendi arusaadavamaks. Lisaks peaks ELi taasteprospekt tõhustama riiklike pädevate asutuste poolset kontrolli. Kavandatud ELi taasteprospektide korra kohaselt väheneks prospektide kinnitamise aeg viie tööpäevani, et emitendid saaksid kiiresti kasutada kapitali kaasamise võimalusi. Selle uut liiki prospekti puhul saaks kasutada ka kinnitatud prospektide ELi ühtset passi piiriüleste pakkumiste ja kauplemisele lubamise jaoks. </w:t>
      </w:r>
    </w:p>
    <w:p>
      <w:pPr>
        <w:pBdr>
          <w:top w:val="nil"/>
          <w:left w:val="nil"/>
          <w:bottom w:val="nil"/>
          <w:right w:val="nil"/>
          <w:between w:val="nil"/>
          <w:bar w:val="nil"/>
        </w:pBdr>
        <w:spacing w:before="0" w:after="240"/>
        <w:rPr>
          <w:noProof/>
        </w:rPr>
      </w:pPr>
      <w:r>
        <w:rPr>
          <w:noProof/>
        </w:rPr>
        <w:t xml:space="preserve">ELi taasteprospekti on i) lihtne koostada ettevõtetel, kes soovivad kaasata kapitaliturult kapitali, ii) lihtne mõista investoritel, kes soovivad ettevõtteid rahastada, ning iii) kerge kontrollida ja heaks kiita riiklikel pädevatel asutustel. </w:t>
      </w:r>
    </w:p>
    <w:p>
      <w:pPr>
        <w:pBdr>
          <w:top w:val="nil"/>
          <w:left w:val="nil"/>
          <w:bottom w:val="nil"/>
          <w:right w:val="nil"/>
          <w:between w:val="nil"/>
          <w:bar w:val="nil"/>
        </w:pBdr>
        <w:spacing w:before="0" w:after="240"/>
        <w:rPr>
          <w:rFonts w:eastAsia="Arial Unicode MS"/>
          <w:noProof/>
        </w:rPr>
      </w:pPr>
      <w:r>
        <w:rPr>
          <w:noProof/>
        </w:rPr>
        <w:t>ELi taasteprospekti eesmärk on aidata ettevõtetel end rekapitaliseerida majanduse taaskäivitamise etapis. Seepärast on see kavandatud ajutise korrana, mis aegub 18 kuud pärast käesoleva määruse kohaldamise alguskuupäeva. Prospektimääruse läbivaatamise raames tuleks hinnata ka seda, kas ELi taasteprospekt täidab oma eesmärke. Selle hindamise hõlbustamiseks nähakse ettepanekuga ette, et ESMA keskne andmete säilitamise mehhanism, mis kogub riiklikelt pädevatelt asutustelt prospektiandmeid, koguks andmeid ka ELi taasteprospektide kohta. ESMA keskse andmete säilitamise mehhanismi mõnetine kohandamine ei nõua eeldatavasti ESMA töötajatelt lisaressursse. Samuti ei tohiks see kaasa tuua märkimisväärseid lisakulusid.</w:t>
      </w:r>
    </w:p>
    <w:p>
      <w:pPr>
        <w:pStyle w:val="ManualHeading3"/>
        <w:rPr>
          <w:noProof/>
        </w:rPr>
      </w:pPr>
      <w:r>
        <w:t>1.1.2.</w:t>
      </w:r>
      <w:r>
        <w:tab/>
      </w:r>
      <w:r>
        <w:rPr>
          <w:noProof/>
        </w:rPr>
        <w:t>Muudatused, et leevendada survet finantsvahendajatele</w:t>
      </w:r>
    </w:p>
    <w:p>
      <w:pPr>
        <w:pBdr>
          <w:top w:val="nil"/>
          <w:left w:val="nil"/>
          <w:bottom w:val="nil"/>
          <w:right w:val="nil"/>
          <w:between w:val="nil"/>
          <w:bar w:val="nil"/>
        </w:pBdr>
        <w:spacing w:before="0" w:after="240"/>
        <w:rPr>
          <w:i/>
          <w:noProof/>
        </w:rPr>
      </w:pPr>
      <w:r>
        <w:rPr>
          <w:i/>
          <w:noProof/>
        </w:rPr>
        <w:t xml:space="preserve">Lisad </w:t>
      </w:r>
    </w:p>
    <w:p>
      <w:pPr>
        <w:spacing w:before="0" w:after="240"/>
        <w:rPr>
          <w:noProof/>
          <w:szCs w:val="24"/>
        </w:rPr>
      </w:pPr>
      <w:r>
        <w:rPr>
          <w:noProof/>
        </w:rPr>
        <w:t xml:space="preserve">Emitent peab avaldama prospekti lisa mis tahes uute oluliste asjaolude, olulised vigade või oluliste ebatäpsuste puhul, mis on seotud prospektis sisalduva teabega ja mis võivad mõjutada väärtpaberite kohta hinnangu andmist ning mis ilmnevad või mida täheldatakse pärast prospekti kinnitamist, kuid enne pakkumisperioodi lõppemist või reguleeritud turul kauplemise alustamist, olenevalt sellest, kumb toimub hiljem. Lisa avaldamine annab investoritele taganemisõiguse, mida võib kasutada kahe tööpäeva jooksul alates lisa avaldamisest. Investorite kaitsmise kohustuse raames peavad finantsvahendajad võtma lisa avaldamise päeval investoritega ühendust, et teavitada neid lisa avaldamisest. Selline tähtaeg ja investorite lai määratlus on tekitanud finantsvahendajatele raskusi. </w:t>
      </w:r>
    </w:p>
    <w:p>
      <w:pPr>
        <w:spacing w:before="0" w:after="240"/>
        <w:rPr>
          <w:noProof/>
        </w:rPr>
      </w:pPr>
      <w:r>
        <w:rPr>
          <w:noProof/>
        </w:rPr>
        <w:t xml:space="preserve">Nende raskuste lahendamiseks ja finantsvahendajatele vahendite vabastamiseks täpsustatakse ettepanekus finantsvahendajate kohustusi seoses prospekti lisadega. Finantsvahendajad peaksid võimalikust lisa avaldamisest teavitama üksnes neid investoreid, kes on ostnud ja märkinud väärtpabereid nende kaudu, tingimusel et ost või märkimine lepiti kokku pärast prospekti kinnitamist, kuid enne pakkumisperioodi lõppemist või reguleeritud turul kauplemise alustamist, olenevalt sellest, kumb toimub hiljem. Pärast lisa avaldamist peab finantsvahendaja võtma ühendust üksnes nende investoritega, kellel on taganemisõigus. Lisaks pikendatakse ettepanekuga tähtaega, mille jooksul finantsvahendajad peavad investoritega ühendust võtma, ühe tööpäevani alates lisa avaldamisest. Investorikaitse kõrge taseme säilitamiseks pikendatakse ajavahemikku, mille jooksul võivad investorid taganemisõigust kasutada, kahelt tööpäevalt kolmele tööpäevale alates lisa avaldamisest. </w:t>
      </w:r>
    </w:p>
    <w:p>
      <w:pPr>
        <w:spacing w:before="0" w:after="240"/>
        <w:rPr>
          <w:noProof/>
          <w:sz w:val="22"/>
        </w:rPr>
      </w:pPr>
      <w:r>
        <w:rPr>
          <w:noProof/>
        </w:rPr>
        <w:lastRenderedPageBreak/>
        <w:t>Kuna lisade sihipärased muudatused kõrvaldaks need raskused ja vabastaks finantsvahendajatele vahendeid, säilitades samal ajal investorikaitse kõrge taseme, ei oleks sellised muudatused ajaliselt piiratud.</w:t>
      </w:r>
    </w:p>
    <w:p>
      <w:pPr>
        <w:spacing w:before="0" w:after="240"/>
        <w:rPr>
          <w:noProof/>
          <w:szCs w:val="24"/>
        </w:rPr>
      </w:pPr>
      <w:r>
        <w:rPr>
          <w:i/>
          <w:noProof/>
          <w:szCs w:val="24"/>
        </w:rPr>
        <w:t>Krediidiasutuste emiteeritud mittekapitaliväärtpaberid</w:t>
      </w:r>
    </w:p>
    <w:p>
      <w:pPr>
        <w:spacing w:before="0" w:after="240"/>
        <w:rPr>
          <w:noProof/>
          <w:szCs w:val="24"/>
        </w:rPr>
      </w:pPr>
      <w:r>
        <w:rPr>
          <w:noProof/>
        </w:rPr>
        <w:t xml:space="preserve">Krediidiasutuse poolt pidevalt või korduvalt emiteeritud mittekapitaliväärtpaberite pakkumise suhtes ei kehti teatavatel tingimustel prospekti avaldamise kohustus, kui kõnealuste väärtpaberite müügihind kokku on 12 kuu jooksul arvestatuna väiksem kui 75 miljonit eurot krediidiasutuse kohta. Krediidiasutused on aktiivselt osalenud majanduse taaskäivitamises, et toetada rahastamist vajanud ettevõtteid, ja eeldatakse, et nad on majanduse taaskäivitamise tugisammas. Selleks et aidata krediidiasutustel kaasata rohkem rahastust ja pakkuda neile hingamisruumi oma klientide toetamiseks reaalmajanduses, teeb komisjon ettepaneku tõsta künnist sihipäraselt 75 miljonilt eurolt 150 miljonile eurole. </w:t>
      </w:r>
      <w:r>
        <w:rPr>
          <w:noProof/>
          <w:color w:val="000000"/>
          <w:szCs w:val="24"/>
        </w:rPr>
        <w:t xml:space="preserve">Selle eesmärk on toetada krediidiasutuste rahastamist majanduse taaskäivitamise etapis, tõstes prospekti koostamisest vabastamise künnist teatavat liiki väärtpaberite pakkumiste puhul. Kuna see meede on otseselt seotud COVID-19 pandeemiast taastumise etapiga, peaks see olema kättesaadav piiratud aja jooksul, st 18 kuud. </w:t>
      </w:r>
    </w:p>
    <w:p>
      <w:pPr>
        <w:pStyle w:val="ManualHeading2"/>
        <w:rPr>
          <w:rFonts w:eastAsia="Arial Unicode MS"/>
          <w:noProof/>
          <w:color w:val="000000"/>
          <w:u w:color="000000"/>
          <w:bdr w:val="nil"/>
        </w:rPr>
      </w:pPr>
      <w:r>
        <w:t>1.2.</w:t>
      </w:r>
      <w:r>
        <w:tab/>
      </w:r>
      <w:r>
        <w:rPr>
          <w:noProof/>
        </w:rPr>
        <w:t>Kooskõla poliitikavaldkonnas praegu kehtivate õigusnormidega</w:t>
      </w:r>
    </w:p>
    <w:p>
      <w:pPr>
        <w:spacing w:before="0" w:after="240"/>
        <w:rPr>
          <w:noProof/>
        </w:rPr>
      </w:pPr>
      <w:r>
        <w:rPr>
          <w:noProof/>
        </w:rPr>
        <w:t>Kuigi käesoleva ettepanekuga nähakse ette erakorralised meetmed COVID-19 pandeemia mõju leevendamiseks, on see kooskõlas prospektimääruse üldeesmärkidega soodustada vahendite kaasamist kapitaliturgudelt, tagada investorite kaitse ja edendada järelevalvealast ühtsust kogu ELis. Käesolev ettepanek täiendab ka aruandluskohustusi, mis on sätestatud läbipaistvusdirektiivis</w:t>
      </w:r>
      <w:r>
        <w:rPr>
          <w:rStyle w:val="FootnoteReference"/>
          <w:noProof/>
        </w:rPr>
        <w:footnoteReference w:id="4"/>
      </w:r>
      <w:r>
        <w:rPr>
          <w:noProof/>
        </w:rPr>
        <w:t xml:space="preserve"> reguleeritud turgude puhul, komisjoni delegeeritud määruses (EL) 2017/565</w:t>
      </w:r>
      <w:r>
        <w:rPr>
          <w:rStyle w:val="FootnoteReference"/>
          <w:noProof/>
        </w:rPr>
        <w:footnoteReference w:id="5"/>
      </w:r>
      <w:r>
        <w:rPr>
          <w:noProof/>
        </w:rPr>
        <w:t xml:space="preserve"> VKEde kasvuturgude puhul ja turukuritarvituse määruses</w:t>
      </w:r>
      <w:r>
        <w:rPr>
          <w:rStyle w:val="FootnoteReference"/>
          <w:noProof/>
        </w:rPr>
        <w:footnoteReference w:id="6"/>
      </w:r>
      <w:r>
        <w:rPr>
          <w:noProof/>
        </w:rPr>
        <w:t xml:space="preserve"> mõlema kauplemiskoha puhul.</w:t>
      </w:r>
    </w:p>
    <w:p>
      <w:pPr>
        <w:pStyle w:val="ManualHeading2"/>
        <w:rPr>
          <w:rFonts w:eastAsia="Arial Unicode MS"/>
          <w:noProof/>
        </w:rPr>
      </w:pPr>
      <w:r>
        <w:t>1.3.</w:t>
      </w:r>
      <w:r>
        <w:tab/>
      </w:r>
      <w:r>
        <w:rPr>
          <w:noProof/>
        </w:rPr>
        <w:t>Kooskõla muude liidu tegevuspõhimõtetega</w:t>
      </w:r>
    </w:p>
    <w:p>
      <w:pPr>
        <w:pBdr>
          <w:top w:val="nil"/>
          <w:left w:val="nil"/>
          <w:bottom w:val="nil"/>
          <w:right w:val="nil"/>
          <w:between w:val="nil"/>
          <w:bar w:val="nil"/>
        </w:pBdr>
        <w:spacing w:before="0" w:after="240"/>
        <w:rPr>
          <w:noProof/>
        </w:rPr>
      </w:pPr>
      <w:r>
        <w:rPr>
          <w:noProof/>
        </w:rPr>
        <w:t>Käesolev seadusandlik ettepanek prospektimääruse muutmise kohta on osa meetmepaketist, mille eesmärk on aidata kaasa majanduse taaskäivitamisele pärast COVID-19 pandeemiat ning mis hõlmab ka seadusandlikku ettepanekut, millega muudetakse MiFID II,</w:t>
      </w:r>
      <w:r>
        <w:rPr>
          <w:rStyle w:val="FootnoteReference"/>
          <w:noProof/>
        </w:rPr>
        <w:footnoteReference w:id="7"/>
      </w:r>
      <w:r>
        <w:rPr>
          <w:noProof/>
        </w:rPr>
        <w:t xml:space="preserve"> ja seadusandlikku ettepanekut, millega muudetakse väärtpaberistamise raamistikku, sealhulgas väärtpaberistamise määrust</w:t>
      </w:r>
      <w:r>
        <w:rPr>
          <w:rStyle w:val="FootnoteReference"/>
          <w:noProof/>
        </w:rPr>
        <w:footnoteReference w:id="8"/>
      </w:r>
      <w:r>
        <w:rPr>
          <w:noProof/>
        </w:rPr>
        <w:t xml:space="preserve"> ja kapitalinõuete määrust</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lastRenderedPageBreak/>
        <w:t>Käesoleva seadusandliku ettepaneku eesmärk on ka täiendada kapitaliturgude liidu eesmärke, milleks on mitmekesistada ettevõtete turupõhiseid rahastamisallikaid. Muutes aktsiate emiteerimise ELis noteeritud ettevõtetele lihtsamaks, hõlbustaks see algatus ettevõtetel kapitali kaasamist. Seega oleks käesolev ettepanek kooskõlas kapitaliturgude liidu kõrgetasemelise foorumi 10. juunil 2020 avaldatud soovitusega,</w:t>
      </w:r>
      <w:r>
        <w:rPr>
          <w:rStyle w:val="FootnoteReference"/>
          <w:noProof/>
        </w:rPr>
        <w:footnoteReference w:id="10"/>
      </w:r>
      <w:r>
        <w:rPr>
          <w:noProof/>
        </w:rPr>
        <w:t xml:space="preserve"> milles rõhutati vajadust leevendada noteerimiseeskirju ja osutati ka prospektimäärusele. Osana meetmetest, mille eesmärk on leevendada COVID-19 pandeemia mõju reaalmajandusele ja finantsturgudele, soovitakse käesoleva algatusega vähendada ka noteeritud emitentide regulatiivseid kulusid nii reguleeritud turgudel kui ka VKEde kasvuturgudel. Eelkõige aitab VKEde kasvuturgude emitentidele võimaldatud paindlikkus saavutada hiljuti vastu võetud Euroopa Parlamendi ja nõukogu määruse (EL) 2019/2115</w:t>
      </w:r>
      <w:r>
        <w:rPr>
          <w:rStyle w:val="FootnoteReference"/>
          <w:noProof/>
        </w:rPr>
        <w:footnoteReference w:id="11"/>
      </w:r>
      <w:r>
        <w:rPr>
          <w:noProof/>
        </w:rPr>
        <w:t xml:space="preserve"> eesmärke. Kõnealuse määrusega on kehtestatud meetmed nimetatud kauplemiskoha kasutamise edendamiseks. Lisaks peab käesolev algatus olema kooskõlas mis tahes täiendavate ettepanekutega, mida komisjon kavatseb eri poliitikavaldkondades välja töötada, et leevendada COVID-19 pandeemia mõju kapitaliturgudele, sealhulgas majanduse taaskäivitamist toetavate peamiste vahenditega, mis on esitatud komisjoni 27. mai 2020. aasta teatises „Euroopa võimalus: parandame vead ja teeme ettevalmistusi järgmise põlvkonna jaoks“. </w:t>
      </w:r>
    </w:p>
    <w:p>
      <w:pPr>
        <w:pStyle w:val="ManualHeading1"/>
        <w:rPr>
          <w:noProof/>
        </w:rPr>
      </w:pPr>
      <w:r>
        <w:t>2.</w:t>
      </w:r>
      <w:r>
        <w:tab/>
      </w:r>
      <w:r>
        <w:rPr>
          <w:noProof/>
        </w:rPr>
        <w:t>ÕIGUSLIK ALUS, SUBSIDIAARSUS JA PROPORTSIONAALSUS</w:t>
      </w:r>
    </w:p>
    <w:p>
      <w:pPr>
        <w:pStyle w:val="ManualHeading2"/>
        <w:rPr>
          <w:rFonts w:eastAsia="Arial Unicode MS"/>
          <w:noProof/>
          <w:u w:color="000000"/>
          <w:bdr w:val="nil"/>
        </w:rPr>
      </w:pPr>
      <w:r>
        <w:t>2.1.</w:t>
      </w:r>
      <w:r>
        <w:tab/>
      </w:r>
      <w:r>
        <w:rPr>
          <w:noProof/>
          <w:u w:color="000000"/>
          <w:bdr w:val="nil"/>
        </w:rPr>
        <w:t>Õiguslik alus</w:t>
      </w:r>
    </w:p>
    <w:p>
      <w:pPr>
        <w:pBdr>
          <w:top w:val="nil"/>
          <w:left w:val="nil"/>
          <w:bottom w:val="nil"/>
          <w:right w:val="nil"/>
          <w:between w:val="nil"/>
          <w:bar w:val="nil"/>
        </w:pBdr>
        <w:spacing w:before="0" w:after="240"/>
        <w:rPr>
          <w:rFonts w:eastAsia="Arial Unicode MS"/>
          <w:noProof/>
        </w:rPr>
      </w:pPr>
      <w:r>
        <w:rPr>
          <w:noProof/>
        </w:rPr>
        <w:t>Prospektimääruse õiguslik alus on Euroopa Liidu toimimise lepingu artikkel 114, millega antakse Euroopa institutsioonidele pädevus kehtestada asjakohaseid sätteid, mille eesmärk on ühtse turu loomine ja toimimine. Neid määrusi saab muuta, sealhulgas nende kohaldamisala ajutiselt kitsendades, üksnes liidu seadusandja, käesoleval juhul aluslepingu artikli 114 alusel.</w:t>
      </w:r>
    </w:p>
    <w:p>
      <w:pPr>
        <w:pStyle w:val="ManualHeading2"/>
        <w:rPr>
          <w:rFonts w:eastAsia="Arial Unicode MS"/>
          <w:noProof/>
          <w:u w:color="000000"/>
          <w:bdr w:val="nil"/>
        </w:rPr>
      </w:pPr>
      <w:r>
        <w:t>2.2.</w:t>
      </w:r>
      <w:r>
        <w:tab/>
      </w:r>
      <w:r>
        <w:rPr>
          <w:noProof/>
          <w:u w:color="000000"/>
          <w:bdr w:val="nil"/>
        </w:rPr>
        <w:t xml:space="preserve">Subsidiaarsus </w:t>
      </w:r>
    </w:p>
    <w:p>
      <w:pPr>
        <w:pBdr>
          <w:top w:val="nil"/>
          <w:left w:val="nil"/>
          <w:bottom w:val="nil"/>
          <w:right w:val="nil"/>
          <w:between w:val="nil"/>
          <w:bar w:val="nil"/>
        </w:pBdr>
        <w:spacing w:before="0" w:after="240"/>
        <w:rPr>
          <w:noProof/>
        </w:rPr>
      </w:pPr>
      <w:r>
        <w:rPr>
          <w:noProof/>
        </w:rPr>
        <w:t xml:space="preserve">Vastavalt ELi toimimise lepingu artiklile 4 tuleb ELi meetmeid siseturu väljakujundamiseks hinnata Euroopa Liidu lepingu artikli 5 lõikes 3 sätestatud subsidiaarsuse põhimõtte alusel. Subsidiaarsuse põhimõtte kohaselt tuleks ELi tasandi meetmeid võtta ainult juhul, kui liikmesriigid üksi ei suuda piisaval määral saavutada kavandatava meetme eesmärke ja seega on vaja võtta meetmeid ELi tasandil. </w:t>
      </w:r>
    </w:p>
    <w:p>
      <w:pPr>
        <w:pBdr>
          <w:top w:val="nil"/>
          <w:left w:val="nil"/>
          <w:bottom w:val="nil"/>
          <w:right w:val="nil"/>
          <w:between w:val="nil"/>
          <w:bar w:val="nil"/>
        </w:pBdr>
        <w:spacing w:before="0" w:after="240"/>
        <w:rPr>
          <w:rFonts w:eastAsia="Arial Unicode MS"/>
          <w:noProof/>
        </w:rPr>
      </w:pPr>
      <w:r>
        <w:rPr>
          <w:noProof/>
        </w:rPr>
        <w:t>Avalikustamisnõuded väärtpaberite pakkumise või reguleeritud turul kauplemisele lubamise korral tulenevad prospektimääruse kohaldamisest. See Euroopa määrus on otseselt õiguslikult siduv kõikides liikmesriikides. Need sätted ei võimalda liikmesriikidele peaaegu mingit paindlikkust eeskirjade kohandamiseks kohalikele oludele. Nendest sätetest tulenevaid probleeme saab tõhusalt lahendada üksnes Euroopa tasandil tehtavate seadusandlike muudatuste abil</w:t>
      </w:r>
      <w:r>
        <w:rPr>
          <w:rStyle w:val="FootnoteReference"/>
          <w:noProof/>
        </w:rPr>
        <w:footnoteReference w:id="12"/>
      </w:r>
      <w:r>
        <w:rPr>
          <w:noProof/>
        </w:rPr>
        <w:t xml:space="preserve">. Võimalikud alternatiivid, st muud kui seadusandlikud meetmed liidu </w:t>
      </w:r>
      <w:r>
        <w:rPr>
          <w:noProof/>
        </w:rPr>
        <w:lastRenderedPageBreak/>
        <w:t>tasandil, ei suudaks seatud eesmärki piisavalt ja tulemuslikult saavutada, sest nendega ei saa muuta määruse sätteid.</w:t>
      </w:r>
    </w:p>
    <w:p>
      <w:pPr>
        <w:pBdr>
          <w:top w:val="nil"/>
          <w:left w:val="nil"/>
          <w:bottom w:val="nil"/>
          <w:right w:val="nil"/>
          <w:between w:val="nil"/>
          <w:bar w:val="nil"/>
        </w:pBdr>
        <w:spacing w:before="0" w:after="240"/>
        <w:rPr>
          <w:rFonts w:eastAsia="Arial Unicode MS"/>
          <w:noProof/>
        </w:rPr>
      </w:pPr>
      <w:r>
        <w:rPr>
          <w:noProof/>
        </w:rPr>
        <w:t>Ühtne ELi prospekt on oluline vahend kapitaliturgude integreerimiseks kogu liidus. Kui riiklik pädev asutus on prospekti kinnitanud, võib emitent taotleda passi, et kasutada prospekti teises ELi liikmesriigis. Selles vastuvõtvas liikmesriigis ei oleks kinnitusi ega haldusmenetlust prospektiga seoses enam vaja. See pass toimib eeldusel, et prospekti miinimumsisu on kohaldatavate prospektieeskirjadega liidu tasandil ühtlustatud. Kuna olemuselt on seega tegemist Euroopa passiga, siis saab parandusi teha ainult ELi tasandil. Võimalikud alternatiivid, näiteks meetmed liikmesriigi tasandil, tekitaksid kaubandustõkkeid ega suudaks piisavalt ja tulemuslikult saavutada eesmärki luua prospektidele passi andmise ühtne alus.</w:t>
      </w:r>
    </w:p>
    <w:p>
      <w:pPr>
        <w:pBdr>
          <w:top w:val="nil"/>
          <w:left w:val="nil"/>
          <w:bottom w:val="nil"/>
          <w:right w:val="nil"/>
          <w:between w:val="nil"/>
          <w:bar w:val="nil"/>
        </w:pBdr>
        <w:spacing w:before="0" w:after="240"/>
        <w:rPr>
          <w:rFonts w:eastAsia="Arial Unicode MS"/>
          <w:noProof/>
        </w:rPr>
      </w:pPr>
      <w:r>
        <w:rPr>
          <w:noProof/>
        </w:rPr>
        <w:t>Prospektimääruse kavandatud muudatused annaksid kogu liidus selge signaali, et prospektikorda saab erandlikel asjaoludel kohandada. Prospektimääruses kindlaks määratud sihipärase koormuse leevendamine ning prospekti koostamise hõlbustamine emitentide puhul, kelle aktsiad on juba lubatud kauplemisele reguleeritud turul või VKEde kasvuturul, võib aidata süvendada sellistele emitentidele kättesaadavaid üleeuroopalisi kapitalikogumeid. See hõlmab sellise konkreetse prospektikorra loomist, mille sisu ja vorm sobivad rangetel tingimustel nii emitentidele kui ka investoritele. Neid eesmärke ei saa liikmesriigid üksi saavutada, sest see kahjustaks nii emitentide kui ka investorite võrdseid võimalusi ning tekitaks õiguslikku arbitraaži ja takistusi piiriülesele kaubandusele. Neid eesmärke saab paremini saavutada liidu tasandil.</w:t>
      </w:r>
    </w:p>
    <w:p>
      <w:pPr>
        <w:pStyle w:val="ManualHeading2"/>
        <w:rPr>
          <w:rFonts w:eastAsia="Arial Unicode MS"/>
          <w:noProof/>
          <w:u w:color="000000"/>
          <w:bdr w:val="nil"/>
        </w:rPr>
      </w:pPr>
      <w:r>
        <w:t>2.3.</w:t>
      </w:r>
      <w:r>
        <w:tab/>
      </w:r>
      <w:r>
        <w:rPr>
          <w:noProof/>
          <w:u w:color="000000"/>
          <w:bdr w:val="nil"/>
        </w:rPr>
        <w:t>Proportsionaalsus</w:t>
      </w:r>
    </w:p>
    <w:p>
      <w:pPr>
        <w:pBdr>
          <w:top w:val="nil"/>
          <w:left w:val="nil"/>
          <w:bottom w:val="nil"/>
          <w:right w:val="nil"/>
          <w:between w:val="nil"/>
          <w:bar w:val="nil"/>
        </w:pBdr>
        <w:spacing w:before="0" w:after="240"/>
        <w:rPr>
          <w:rFonts w:eastAsia="Arial Unicode MS"/>
          <w:noProof/>
        </w:rPr>
      </w:pPr>
      <w:r>
        <w:rPr>
          <w:noProof/>
        </w:rPr>
        <w:t>Käesoleva ettepanekuga tehakse prospektimäärusesse üksnes tehnilisi muudatusi, et kiiresti reageerida COVID-19 pandeemia majanduslikele tagajärgedele. Prospektinõuete leevendamiseks kavandatud meetmed järgivad proportsionaalsuse põhimõtet. Need on eesmärkide saavutamiseks piisavad ega lähe vajalikust kaugemale ning mõni meede on ajaliselt piiratud.</w:t>
      </w:r>
    </w:p>
    <w:p>
      <w:pPr>
        <w:pBdr>
          <w:top w:val="nil"/>
          <w:left w:val="nil"/>
          <w:bottom w:val="nil"/>
          <w:right w:val="nil"/>
          <w:between w:val="nil"/>
          <w:bar w:val="nil"/>
        </w:pBdr>
        <w:spacing w:before="0" w:after="240"/>
        <w:rPr>
          <w:rFonts w:eastAsia="Arial Unicode MS"/>
          <w:i/>
          <w:noProof/>
        </w:rPr>
      </w:pPr>
      <w:r>
        <w:rPr>
          <w:i/>
          <w:noProof/>
        </w:rPr>
        <w:t>Emitendid</w:t>
      </w:r>
    </w:p>
    <w:p>
      <w:pPr>
        <w:pBdr>
          <w:top w:val="nil"/>
          <w:left w:val="nil"/>
          <w:bottom w:val="nil"/>
          <w:right w:val="nil"/>
          <w:between w:val="nil"/>
          <w:bar w:val="nil"/>
        </w:pBdr>
        <w:spacing w:before="0" w:after="240"/>
        <w:rPr>
          <w:rFonts w:eastAsia="Arial Unicode MS"/>
          <w:noProof/>
        </w:rPr>
      </w:pPr>
      <w:r>
        <w:rPr>
          <w:noProof/>
        </w:rPr>
        <w:t>Ettepanekuga leevendatakse emitentidele kehtivaid prospekti avalikustamise nõudeid kooskõlas proportsionaalsuse põhimõttega. Tingimusel et emitentide aktsiatega on juba olnud lubatud kaubelda reguleeritud turul või VKEde kasvuturul vähemalt viimase 18 kuu jooksul järjest, saavad kapitali kaasata soovivad emitendid kasu ELi taasteprospekti leebemast avalikustamiskorrast. Selline lihtsustatud avalikustamiskord vähendaks nõuete täitmisega seotud kulusid, kuna ELi taasteprospekt oleks palju lühem ja seega vähem kulukas koostada. Lisaks saaksid need emitendid kasu prospektide kiiremast kinnitamisest, mis võimaldaks neil rahastamisvõimalusi tulemuslikumalt ära kasutada. Selleks et ELi taasteprospekt ei läheks vajalikust kaugemale, on see ajaliselt piiratud ja seepärast kavandatud ajutise korrana, mis aegub 18 kuud pärast käesoleva määruse kohaldamise alguskuupäeva.</w:t>
      </w:r>
    </w:p>
    <w:p>
      <w:pPr>
        <w:pBdr>
          <w:top w:val="nil"/>
          <w:left w:val="nil"/>
          <w:bottom w:val="nil"/>
          <w:right w:val="nil"/>
          <w:between w:val="nil"/>
          <w:bar w:val="nil"/>
        </w:pBdr>
        <w:spacing w:before="0" w:after="240"/>
        <w:rPr>
          <w:rFonts w:eastAsia="Arial Unicode MS"/>
          <w:noProof/>
        </w:rPr>
      </w:pPr>
      <w:r>
        <w:rPr>
          <w:i/>
          <w:noProof/>
        </w:rPr>
        <w:t>Investorid</w:t>
      </w:r>
    </w:p>
    <w:p>
      <w:pPr>
        <w:spacing w:before="0" w:after="240"/>
        <w:rPr>
          <w:noProof/>
        </w:rPr>
      </w:pPr>
      <w:r>
        <w:rPr>
          <w:noProof/>
        </w:rPr>
        <w:t xml:space="preserve">Kavandatav ELi taasteprospekt on kooskõlas proportsionaalsuse põhimõttega ka potentsiaalsete investorite seisukohast. ELi taasteprospekt oleks lugejasõbralikum, kuna see </w:t>
      </w:r>
      <w:r>
        <w:rPr>
          <w:noProof/>
        </w:rPr>
        <w:lastRenderedPageBreak/>
        <w:t>oleks lühem ja keskenduks olulisele teabele. Seda kasutataks konkreetsetes olukordades, kus emitendil on varasemad kogemused ja seepärast on teave turul juba avaldatud.</w:t>
      </w:r>
    </w:p>
    <w:p>
      <w:pPr>
        <w:pBdr>
          <w:top w:val="nil"/>
          <w:left w:val="nil"/>
          <w:bottom w:val="nil"/>
          <w:right w:val="nil"/>
          <w:between w:val="nil"/>
          <w:bar w:val="nil"/>
        </w:pBdr>
        <w:spacing w:before="0" w:after="240"/>
        <w:rPr>
          <w:rFonts w:eastAsia="Arial Unicode MS"/>
          <w:i/>
          <w:noProof/>
        </w:rPr>
      </w:pPr>
      <w:r>
        <w:rPr>
          <w:i/>
          <w:noProof/>
        </w:rPr>
        <w:t xml:space="preserve">Finantsvahendajad </w:t>
      </w:r>
    </w:p>
    <w:p>
      <w:pPr>
        <w:spacing w:before="0" w:after="240"/>
        <w:rPr>
          <w:noProof/>
          <w:sz w:val="22"/>
        </w:rPr>
      </w:pPr>
      <w:r>
        <w:rPr>
          <w:noProof/>
        </w:rPr>
        <w:t xml:space="preserve">Finantsvahendajad saaksid kasu sihipärastest muudatustest, mis täpsustaksid lisadega seotud nõudeid ja aitaksid neil ületada raskused lisa avaldamise korral investoritega tulemuslikult ühenduse võtmisel, säilitades samal ajal investorikaitse kõrge taseme. </w:t>
      </w:r>
      <w:r>
        <w:rPr>
          <w:noProof/>
          <w:color w:val="000000"/>
          <w:szCs w:val="24"/>
        </w:rPr>
        <w:t>Kuna lisasid käsitlevad sihipärased muudatused kõrvaldaksid need raskused, ei oleks sellised muudatused ajaliselt piiratud.</w:t>
      </w:r>
    </w:p>
    <w:p>
      <w:pPr>
        <w:pBdr>
          <w:top w:val="nil"/>
          <w:left w:val="nil"/>
          <w:bottom w:val="nil"/>
          <w:right w:val="nil"/>
          <w:between w:val="nil"/>
          <w:bar w:val="nil"/>
        </w:pBdr>
        <w:spacing w:before="0" w:after="240"/>
        <w:rPr>
          <w:rFonts w:eastAsia="Arial Unicode MS"/>
          <w:noProof/>
        </w:rPr>
      </w:pPr>
      <w:r>
        <w:rPr>
          <w:noProof/>
        </w:rPr>
        <w:t xml:space="preserve">Krediidiasutused, kes on majanduse taaskäivitamise etapis aktiivselt toetanud ettevõtteid, saaksid samuti kasu sihipärasest leevendusest, kuna ettepanekuga nähakse ette, et prospekti koostamisest vabastamise künnist suurendatakse pidevalt või korduvalt emiteeritud mittekapitaliväärtpaberite pakkumiste puhul 75 miljonilt eurolt 150 miljonile eurole. Kuna sellise meetme eesmärk on aidata krediidiasutusi, kes on majanduse taaskäivitamise etapi tugisammas, oleks see ajaliselt piiratud 18 kuuga. </w:t>
      </w:r>
    </w:p>
    <w:p>
      <w:pPr>
        <w:pBdr>
          <w:top w:val="nil"/>
          <w:left w:val="nil"/>
          <w:bottom w:val="nil"/>
          <w:right w:val="nil"/>
          <w:between w:val="nil"/>
          <w:bar w:val="nil"/>
        </w:pBdr>
        <w:spacing w:before="0" w:after="240"/>
        <w:rPr>
          <w:rFonts w:eastAsia="Arial Unicode MS"/>
          <w:i/>
          <w:noProof/>
        </w:rPr>
      </w:pPr>
      <w:r>
        <w:rPr>
          <w:i/>
          <w:noProof/>
        </w:rPr>
        <w:t xml:space="preserve">Liikmesriikide pädevad asutused </w:t>
      </w:r>
    </w:p>
    <w:p>
      <w:pPr>
        <w:pBdr>
          <w:top w:val="nil"/>
          <w:left w:val="nil"/>
          <w:bottom w:val="nil"/>
          <w:right w:val="nil"/>
          <w:between w:val="nil"/>
          <w:bar w:val="nil"/>
        </w:pBdr>
        <w:spacing w:before="0" w:after="240"/>
        <w:rPr>
          <w:noProof/>
        </w:rPr>
      </w:pPr>
      <w:r>
        <w:rPr>
          <w:noProof/>
        </w:rPr>
        <w:t xml:space="preserve">Liikmesriikide pädevad asutused peaksid samuti saama kasu kavandatud lihtsustatud ELi taasteprospektist: kuna ELi taasteprospekti puhul tuleks avalikustada ja uurida vähem teavet, väheneks nende töökoormus ja kinnitamisprotsess muutuks lihtsamaks. </w:t>
      </w:r>
    </w:p>
    <w:p>
      <w:pPr>
        <w:pStyle w:val="ManualHeading2"/>
        <w:rPr>
          <w:rFonts w:eastAsia="Arial Unicode MS"/>
          <w:noProof/>
          <w:u w:color="000000"/>
          <w:bdr w:val="nil"/>
        </w:rPr>
      </w:pPr>
      <w:r>
        <w:t>2.4.</w:t>
      </w:r>
      <w:r>
        <w:tab/>
      </w:r>
      <w:r>
        <w:rPr>
          <w:noProof/>
          <w:u w:color="000000"/>
          <w:bdr w:val="nil"/>
        </w:rPr>
        <w:t>Vahendi valik</w:t>
      </w:r>
    </w:p>
    <w:p>
      <w:pPr>
        <w:pBdr>
          <w:top w:val="nil"/>
          <w:left w:val="nil"/>
          <w:bottom w:val="nil"/>
          <w:right w:val="nil"/>
          <w:between w:val="nil"/>
          <w:bar w:val="nil"/>
        </w:pBdr>
        <w:spacing w:before="0" w:after="240"/>
        <w:rPr>
          <w:rFonts w:eastAsia="Arial Unicode MS"/>
          <w:noProof/>
        </w:rPr>
      </w:pPr>
      <w:r>
        <w:rPr>
          <w:noProof/>
        </w:rPr>
        <w:t xml:space="preserve">Kavandatud seadusandlike muudatuste eesmärk on eelkõige vähendada emitentide halduskoormust ja nõuete täitmisega seotud kulusid, mis tulenevad prospektimääruse kohaldamisest. Selleks muudetakse seadusandlike meetmetega prospektimääruse kehtivaid sätteid. Prospektimääruse õiguslik alus on ELi toimimise lepingu artikli 114 lõige 1. Muutmismäärusel on seega sama õiguslik alus. </w:t>
      </w:r>
    </w:p>
    <w:p>
      <w:pPr>
        <w:pStyle w:val="ManualHeading1"/>
        <w:rPr>
          <w:noProof/>
        </w:rPr>
      </w:pPr>
      <w:r>
        <w:t>3.</w:t>
      </w:r>
      <w:r>
        <w:tab/>
      </w:r>
      <w:r>
        <w:rPr>
          <w:noProof/>
        </w:rPr>
        <w:t>JÄRELHINDAMISE, SIDUSRÜHMADEGA KONSULTEERIMISE JA MÕJU HINDAMISE TULEMUSED</w:t>
      </w:r>
    </w:p>
    <w:p>
      <w:pPr>
        <w:pStyle w:val="ManualHeading2"/>
        <w:rPr>
          <w:rFonts w:eastAsia="Arial Unicode MS"/>
          <w:noProof/>
          <w:u w:color="000000"/>
          <w:bdr w:val="nil"/>
        </w:rPr>
      </w:pPr>
      <w:r>
        <w:t>3.1.</w:t>
      </w:r>
      <w:r>
        <w:tab/>
      </w:r>
      <w:r>
        <w:rPr>
          <w:noProof/>
          <w:u w:color="000000"/>
          <w:bdr w:val="nil"/>
        </w:rPr>
        <w:t>Mõjuhinnang</w:t>
      </w:r>
    </w:p>
    <w:p>
      <w:pPr>
        <w:pBdr>
          <w:top w:val="nil"/>
          <w:left w:val="nil"/>
          <w:bottom w:val="nil"/>
          <w:right w:val="nil"/>
          <w:between w:val="nil"/>
          <w:bar w:val="nil"/>
        </w:pBdr>
        <w:spacing w:before="0" w:after="240"/>
        <w:rPr>
          <w:rFonts w:eastAsia="Arial Unicode MS"/>
          <w:noProof/>
        </w:rPr>
      </w:pPr>
      <w:r>
        <w:rPr>
          <w:noProof/>
        </w:rPr>
        <w:t>Võttes arvesse kiireloomulist vajadust võtta meetmeid, et aidata finantsturgudel ja reaalmajandusel taastuda COVID-19 pandeemiast tingitud kriisist, asendati mõjuhinnang kulude-tulude analüüsiga, mis on esitatud kapitaliturgude taastepaketile lisatud komisjoni talituste töödokumendis.</w:t>
      </w:r>
    </w:p>
    <w:p>
      <w:pPr>
        <w:pBdr>
          <w:top w:val="nil"/>
          <w:left w:val="nil"/>
          <w:bottom w:val="nil"/>
          <w:right w:val="nil"/>
          <w:between w:val="nil"/>
          <w:bar w:val="nil"/>
        </w:pBdr>
        <w:spacing w:before="0" w:after="240"/>
        <w:rPr>
          <w:noProof/>
        </w:rPr>
      </w:pPr>
      <w:r>
        <w:rPr>
          <w:noProof/>
        </w:rPr>
        <w:t xml:space="preserve">ELi taasteprospekti lihtsustatud avalikustamiskorra eesmärk on oluliselt vähendada emitentide jaoks nõuete täitmisega seotud kulusid ja keskenduda investorite seisukohast olulisele teabele. Samuti peaks see vähendama riiklike pädevate asutuste töökoormust, kuna kontrollida tuleks vähem teavet. Samal ajal oleks kinnitamisprotsess kiirem. Ka finantsvahendajad saaksid kasu lisasid käsitlevatest sihipärastest muudatustest ja mittekapitaliväärtpaberite emissioonide puhul prospekti koostamisest vabastamise künnise tõstmisest. </w:t>
      </w:r>
    </w:p>
    <w:p>
      <w:pPr>
        <w:pStyle w:val="ManualHeading2"/>
        <w:rPr>
          <w:rFonts w:eastAsia="Arial Unicode MS"/>
          <w:noProof/>
          <w:u w:color="000000"/>
          <w:bdr w:val="nil"/>
        </w:rPr>
      </w:pPr>
      <w:r>
        <w:t>3.2.</w:t>
      </w:r>
      <w:r>
        <w:tab/>
      </w:r>
      <w:r>
        <w:rPr>
          <w:noProof/>
          <w:u w:color="000000"/>
          <w:bdr w:val="nil"/>
        </w:rPr>
        <w:t>Põhiõigused</w:t>
      </w:r>
    </w:p>
    <w:p>
      <w:pPr>
        <w:spacing w:before="0" w:after="240"/>
        <w:rPr>
          <w:noProof/>
        </w:rPr>
      </w:pPr>
      <w:r>
        <w:rPr>
          <w:noProof/>
        </w:rPr>
        <w:t xml:space="preserve">Käesoleva ettepaneku sätete puhul on mingil määral asjakohased ELi põhiõiguste harta isikuandmete kaitse (artikkel 8), ettevõtlusvabadus (artikkel 16) ja tarbijakaitse (artikkel 38). Neid õigusi ja vabadusi on lubatud piirata vastavalt ELi põhiõiguste harta artiklile 52. </w:t>
      </w:r>
      <w:r>
        <w:rPr>
          <w:noProof/>
        </w:rPr>
        <w:lastRenderedPageBreak/>
        <w:t xml:space="preserve">Prospektiga seotud õigusaktide puhul on turu terviklikkuse tagamise eesmärk üldist huvi pakkuv eesmärk, mis õigustab põhiõiguste teatavat piiramist. Mis puutub isikuandmete kaitsesse, siis prospektis teatava teabe avalikustamine on vajalik, tagamaks, et investorid saavad täita oma hoolsuskohustust. </w:t>
      </w:r>
    </w:p>
    <w:p>
      <w:pPr>
        <w:pStyle w:val="ManualHeading1"/>
        <w:rPr>
          <w:noProof/>
        </w:rPr>
      </w:pPr>
      <w:r>
        <w:t>4.</w:t>
      </w:r>
      <w:r>
        <w:tab/>
      </w:r>
      <w:r>
        <w:rPr>
          <w:noProof/>
        </w:rPr>
        <w:t>MÕJU EELARVELE</w:t>
      </w:r>
    </w:p>
    <w:p>
      <w:pPr>
        <w:autoSpaceDE w:val="0"/>
        <w:autoSpaceDN w:val="0"/>
        <w:spacing w:before="0" w:after="240"/>
        <w:rPr>
          <w:rFonts w:eastAsia="Arial Unicode MS"/>
          <w:noProof/>
        </w:rPr>
      </w:pPr>
      <w:r>
        <w:rPr>
          <w:noProof/>
        </w:rPr>
        <w:t>Algatus ei tohiks ELi eelarvet mõjutada.</w:t>
      </w:r>
    </w:p>
    <w:p>
      <w:pPr>
        <w:pStyle w:val="ManualHeading1"/>
        <w:rPr>
          <w:noProof/>
        </w:rPr>
      </w:pPr>
      <w:r>
        <w:t>5.</w:t>
      </w:r>
      <w:r>
        <w:tab/>
      </w:r>
      <w:r>
        <w:rPr>
          <w:noProof/>
        </w:rPr>
        <w:t>MUU TEAVE</w:t>
      </w:r>
    </w:p>
    <w:p>
      <w:pPr>
        <w:pStyle w:val="ManualHeading2"/>
        <w:rPr>
          <w:rFonts w:eastAsia="Arial Unicode MS"/>
          <w:noProof/>
          <w:u w:color="000000"/>
          <w:bdr w:val="nil"/>
        </w:rPr>
      </w:pPr>
      <w:r>
        <w:t>5.1.</w:t>
      </w:r>
      <w:r>
        <w:tab/>
      </w:r>
      <w:r>
        <w:rPr>
          <w:noProof/>
          <w:u w:color="000000"/>
          <w:bdr w:val="nil"/>
        </w:rPr>
        <w:t>Rakenduskavad ning järelevalve, hindamise ja aruandluse kord</w:t>
      </w:r>
    </w:p>
    <w:p>
      <w:pPr>
        <w:pBdr>
          <w:top w:val="nil"/>
          <w:left w:val="nil"/>
          <w:bottom w:val="nil"/>
          <w:right w:val="nil"/>
          <w:between w:val="nil"/>
          <w:bar w:val="nil"/>
        </w:pBdr>
        <w:spacing w:before="0" w:after="240"/>
        <w:rPr>
          <w:noProof/>
        </w:rPr>
      </w:pPr>
      <w:r>
        <w:rPr>
          <w:noProof/>
        </w:rPr>
        <w:t>Uue määruse mõju seire toimub ESMA ja riiklike pädevate asutuste koostöös liidus kinnitatud prospektide aastaaruannete alusel, mille ESMA on volitatud igal aastal koostama. Selleks oleks vaja, et ESMA keskne andmete säilitamise mehhanism, mis kogub riiklikelt pädevatelt asutustelt prospektiandmeid, koguks andmeid ka ELi taasteprospektide kohta.</w:t>
      </w:r>
    </w:p>
    <w:p>
      <w:pPr>
        <w:spacing w:before="0" w:after="240"/>
        <w:rPr>
          <w:noProof/>
        </w:rPr>
      </w:pPr>
      <w:r>
        <w:rPr>
          <w:noProof/>
        </w:rPr>
        <w:t xml:space="preserve">ELi taasteprospekti hakatakse hindama. Peamised parameetrid, millega mõõdetakse ELi taasteprospekti puhul seatud eesmärkide saavutamist, on järgmised: </w:t>
      </w:r>
    </w:p>
    <w:p>
      <w:pPr>
        <w:pStyle w:val="Point0"/>
        <w:rPr>
          <w:noProof/>
        </w:rPr>
      </w:pPr>
      <w:r>
        <w:t>(a)</w:t>
      </w:r>
      <w:r>
        <w:tab/>
      </w:r>
      <w:r>
        <w:rPr>
          <w:noProof/>
        </w:rPr>
        <w:t>kinnitatud ELi taasteprospektide arv ja sellise arvu kujunemise analüüs;</w:t>
      </w:r>
    </w:p>
    <w:p>
      <w:pPr>
        <w:pStyle w:val="Point0"/>
        <w:rPr>
          <w:noProof/>
        </w:rPr>
      </w:pPr>
      <w:r>
        <w:t>(b)</w:t>
      </w:r>
      <w:r>
        <w:tab/>
      </w:r>
      <w:r>
        <w:rPr>
          <w:noProof/>
        </w:rPr>
        <w:t>ELi taasteprospekti koostamise ja kinnitamise kulud võrrelduna praeguste teisese emissiooni prospekti kuludega ning saavutatud üldine rahaline kokkuhoid.</w:t>
      </w:r>
    </w:p>
    <w:p>
      <w:pPr>
        <w:spacing w:before="0" w:after="240"/>
        <w:rPr>
          <w:noProof/>
        </w:rPr>
      </w:pPr>
      <w:r>
        <w:rPr>
          <w:noProof/>
        </w:rPr>
        <w:t>Näitajate loetelu ei ole ammendav ja seda on võimalik laiendada muude mõjude seireks.</w:t>
      </w:r>
    </w:p>
    <w:p>
      <w:pPr>
        <w:pStyle w:val="ManualHeading2"/>
        <w:rPr>
          <w:rFonts w:eastAsia="Arial Unicode MS"/>
          <w:noProof/>
          <w:u w:color="000000"/>
          <w:bdr w:val="nil"/>
        </w:rPr>
      </w:pPr>
      <w:r>
        <w:t>5.2.</w:t>
      </w:r>
      <w:r>
        <w:tab/>
      </w:r>
      <w:r>
        <w:rPr>
          <w:noProof/>
          <w:u w:color="000000"/>
          <w:bdr w:val="nil"/>
        </w:rPr>
        <w:t>Ettepaneku konkreetsete sätete üksikasjalik selgitus</w:t>
      </w:r>
    </w:p>
    <w:p>
      <w:pPr>
        <w:pBdr>
          <w:top w:val="nil"/>
          <w:left w:val="nil"/>
          <w:bottom w:val="nil"/>
          <w:right w:val="nil"/>
          <w:between w:val="nil"/>
          <w:bar w:val="nil"/>
        </w:pBdr>
        <w:spacing w:before="0" w:after="240"/>
        <w:rPr>
          <w:noProof/>
        </w:rPr>
      </w:pPr>
      <w:r>
        <w:rPr>
          <w:noProof/>
        </w:rPr>
        <w:t xml:space="preserve">Prospektimääruse muudatuste eesmärk on luua uut liiki prospekt – ELi taasteprospekt – ning teha sihipärased muudatused finantsvahendajate jaoks. </w:t>
      </w:r>
    </w:p>
    <w:p>
      <w:pPr>
        <w:pBdr>
          <w:top w:val="nil"/>
          <w:left w:val="nil"/>
          <w:bottom w:val="nil"/>
          <w:right w:val="nil"/>
          <w:between w:val="nil"/>
          <w:bar w:val="nil"/>
        </w:pBdr>
        <w:spacing w:before="0" w:after="240"/>
        <w:rPr>
          <w:noProof/>
        </w:rPr>
      </w:pPr>
      <w:r>
        <w:rPr>
          <w:noProof/>
        </w:rPr>
        <w:t xml:space="preserve">Käesoleva ettepaneku </w:t>
      </w:r>
      <w:r>
        <w:rPr>
          <w:b/>
          <w:noProof/>
        </w:rPr>
        <w:t>artiklis 1</w:t>
      </w:r>
      <w:r>
        <w:rPr>
          <w:noProof/>
        </w:rPr>
        <w:t xml:space="preserve"> käsitletakse prospektimääruse muudatusi. </w:t>
      </w:r>
    </w:p>
    <w:p>
      <w:pPr>
        <w:spacing w:before="0" w:after="240"/>
        <w:rPr>
          <w:noProof/>
        </w:rPr>
      </w:pPr>
      <w:r>
        <w:rPr>
          <w:noProof/>
        </w:rPr>
        <w:t>Ettepaneku artikli 1 lõige 1 käsitleb krediidiasutuste poolt pidevalt või korduvalt emiteeritud mittekapitaliväärtpabereid (</w:t>
      </w:r>
      <w:r>
        <w:rPr>
          <w:i/>
          <w:iCs/>
          <w:noProof/>
        </w:rPr>
        <w:t>prospektimääruse artikli 1 lõige 4</w:t>
      </w:r>
      <w:r>
        <w:rPr>
          <w:noProof/>
        </w:rPr>
        <w:t>).</w:t>
      </w:r>
    </w:p>
    <w:p>
      <w:pPr>
        <w:spacing w:before="0" w:after="240"/>
        <w:rPr>
          <w:noProof/>
          <w:color w:val="000000"/>
          <w:szCs w:val="24"/>
        </w:rPr>
      </w:pPr>
      <w:r>
        <w:rPr>
          <w:noProof/>
        </w:rPr>
        <w:t>Krediidiasutuse poolt pidevalt või korduvalt emiteeritud mittekapitaliväärtpaberite pakkumise suhtes ei kehti teatavatel tingimustel prospekti avaldamise kohustus, kui kõnealuste väärtpaberite müügihind kokku on 12 kuu jooksul arvestatuna väiksem kui 75 miljonit eurot krediidiasutuse kohta. Lisaks on kehtiva korraga ette nähtud, et väärtpaberid ei tohi olla allutatud, vahetatavad ega asendatavad ning need ei tohi anda õigust märkida või omandada muud liiki väärtpabereid ega olla seotud tuletisinstrumentidega. Krediidiasutused on aktiivselt osalenud majanduse taaskäivitamises, et toetada rahastamist vajanud ettevõtteid, ja eeldatakse, et nad on majanduse taaskäivitamise etapi tugisammas. Selleks et aidata krediidiasutustel kaasata rohkem rahastust ja pakkuda neile hingamisruumi oma klientide toetamiseks reaalmajanduses, tehakse ettepanek tõsta künnist sihipäraselt 75 miljonilt eurolt 150 miljonile eurole. Selle sihipärase muudatusega saaksid krediidiasutused kasu kitsalt määratletud leevendusest, mis aitaks neil COVID-19 pandeemiast tingitud kriisist taastumise etapis pakkuda mittekapitaliväärtpabereid prospekti avaldamata. Kuna kõnealune meede on mõeldud üksnes taastumisetapiks, oleks see kohaldatav piiratud, 18-kuulise ajavahemiku jooksul.</w:t>
      </w:r>
    </w:p>
    <w:p>
      <w:pPr>
        <w:spacing w:before="0" w:after="240"/>
        <w:rPr>
          <w:noProof/>
        </w:rPr>
      </w:pPr>
      <w:r>
        <w:rPr>
          <w:noProof/>
        </w:rPr>
        <w:lastRenderedPageBreak/>
        <w:t>Käesoleva ettepaneku artikli 1 lõigetes 2 ja 3 käsitletakse olulisuse kontrolli (</w:t>
      </w:r>
      <w:r>
        <w:rPr>
          <w:i/>
          <w:iCs/>
          <w:noProof/>
        </w:rPr>
        <w:t>prospektimääruse artikkel 6</w:t>
      </w:r>
      <w:r>
        <w:rPr>
          <w:noProof/>
        </w:rPr>
        <w:t>) ja kokkuvõtte (</w:t>
      </w:r>
      <w:r>
        <w:rPr>
          <w:i/>
          <w:iCs/>
          <w:noProof/>
        </w:rPr>
        <w:t>prospektimääruse artikkel 7)</w:t>
      </w:r>
      <w:r>
        <w:rPr>
          <w:noProof/>
        </w:rPr>
        <w:t xml:space="preserve"> tehnilisi kohandusi seoses käesoleva ettepaneku artikli 1 lõikes 4 sätestatud ELi taasteprospekti korraga. </w:t>
      </w:r>
    </w:p>
    <w:p>
      <w:pPr>
        <w:pBdr>
          <w:top w:val="nil"/>
          <w:left w:val="nil"/>
          <w:bottom w:val="nil"/>
          <w:right w:val="nil"/>
          <w:between w:val="nil"/>
          <w:bar w:val="nil"/>
        </w:pBdr>
        <w:spacing w:before="0" w:after="240"/>
        <w:rPr>
          <w:noProof/>
        </w:rPr>
      </w:pPr>
      <w:r>
        <w:rPr>
          <w:noProof/>
        </w:rPr>
        <w:t>Ettepaneku artikli 1 lõikega 4 luuakse uus kord ELi taasteprospekti jaoks (</w:t>
      </w:r>
      <w:r>
        <w:rPr>
          <w:i/>
          <w:iCs/>
          <w:noProof/>
        </w:rPr>
        <w:t>prospektimääruse artikkel 14a</w:t>
      </w:r>
      <w:r>
        <w:rPr>
          <w:noProof/>
        </w:rPr>
        <w:t>).</w:t>
      </w:r>
    </w:p>
    <w:p>
      <w:pPr>
        <w:pBdr>
          <w:top w:val="nil"/>
          <w:left w:val="nil"/>
          <w:bottom w:val="nil"/>
          <w:right w:val="nil"/>
          <w:between w:val="nil"/>
          <w:bar w:val="nil"/>
        </w:pBdr>
        <w:spacing w:before="0" w:after="240"/>
        <w:rPr>
          <w:rFonts w:eastAsia="Arial Unicode MS"/>
          <w:noProof/>
        </w:rPr>
      </w:pPr>
      <w:r>
        <w:rPr>
          <w:i/>
          <w:noProof/>
        </w:rPr>
        <w:t xml:space="preserve">ELi taasteprospekti kohaldamisala </w:t>
      </w:r>
    </w:p>
    <w:p>
      <w:pPr>
        <w:pBdr>
          <w:top w:val="nil"/>
          <w:left w:val="nil"/>
          <w:bottom w:val="nil"/>
          <w:right w:val="nil"/>
          <w:between w:val="nil"/>
          <w:bar w:val="nil"/>
        </w:pBdr>
        <w:spacing w:before="0" w:after="240"/>
        <w:rPr>
          <w:noProof/>
        </w:rPr>
      </w:pPr>
      <w:r>
        <w:rPr>
          <w:noProof/>
        </w:rPr>
        <w:t xml:space="preserve">Käesoleva ettepaneku artikli 1 lõike 4 kohaselt saaks ELi taasteprospekti kasutada üksnes emitendid, kelle aktsiad on juba vähemalt 18 kuu jooksul olnud lubatud kauplemisele reguleeritud turul või VKEde kasvuturul. Emitendid peaksid olema avalikustanud korraldatud teabe vastavalt direktiivile 2004/109/EÜ, ja kui see on asjakohane, määrusele (EL) nr 594/2014 ning asjakohasel juhul komisjoni delegeeritud määruses (EL) 2017/565 osutatud teabe. ELi taasteprospekt ei sobiks esmasteks avalikeks pakkumisteks, kus potentsiaalsetel emitentidel ei ole finantsturgudel varasemat kogemust. COVID-19 pandeemia tõttu suurtes võlgades olevate ettevõtete võla ja omakapitali suhte vähendamiseks võib lühiprospekti kasutada üksnes aktsiaemissioonide puhul. </w:t>
      </w:r>
    </w:p>
    <w:p>
      <w:pPr>
        <w:pBdr>
          <w:top w:val="nil"/>
          <w:left w:val="nil"/>
          <w:bottom w:val="nil"/>
          <w:right w:val="nil"/>
          <w:between w:val="nil"/>
          <w:bar w:val="nil"/>
        </w:pBdr>
        <w:spacing w:before="0" w:after="240"/>
        <w:rPr>
          <w:i/>
          <w:noProof/>
        </w:rPr>
      </w:pPr>
      <w:r>
        <w:rPr>
          <w:i/>
          <w:noProof/>
        </w:rPr>
        <w:t xml:space="preserve">ELi taasteprospekti sisu ja kinnitamine </w:t>
      </w:r>
    </w:p>
    <w:p>
      <w:pPr>
        <w:pBdr>
          <w:top w:val="nil"/>
          <w:left w:val="nil"/>
          <w:bottom w:val="nil"/>
          <w:right w:val="nil"/>
          <w:between w:val="nil"/>
          <w:bar w:val="nil"/>
        </w:pBdr>
        <w:spacing w:before="0" w:after="240"/>
        <w:rPr>
          <w:noProof/>
        </w:rPr>
      </w:pPr>
      <w:r>
        <w:rPr>
          <w:noProof/>
        </w:rPr>
        <w:t>Käesoleva ettepaneku artikli 1 lõike 4 kohaselt keskendub ELi taasteprospekt olulisele teabele. Erandina prospektimääruse artiklist 6 on põhielemendid, mille emitendid peavad avalikustama, loetletud prospektimääruse uues Va lisas. ELi taasteprospekti lühendataks maksimaalselt 30 leheküljeni. Tasakaalustamismeetmena oleks siiski lubatud esitada viidetena turul juba kättesaadavat teavet, nagu on määratletud prospektimääruse artiklis 19, ja seda teavet ei võetaks arvesse eespool osutatud maksimaalses mahus, milleks on 30 lehekülge. Võimalik oleks koostada ka kaheleheküljeline lühikokkuvõte.</w:t>
      </w:r>
    </w:p>
    <w:p>
      <w:pPr>
        <w:pBdr>
          <w:top w:val="nil"/>
          <w:left w:val="nil"/>
          <w:bottom w:val="nil"/>
          <w:right w:val="nil"/>
          <w:between w:val="nil"/>
          <w:bar w:val="nil"/>
        </w:pBdr>
        <w:spacing w:before="0" w:after="240"/>
        <w:rPr>
          <w:noProof/>
        </w:rPr>
      </w:pPr>
      <w:r>
        <w:rPr>
          <w:noProof/>
        </w:rPr>
        <w:t>Kiirendatud kinnitamise menetlus on prospektimääruses juba sätestatud. Selle põhjal oleks võimalik ka ELi taasteprospekti kiire kinnitamine, mis ei tohiks ületada 5 tööpäeva.</w:t>
      </w:r>
    </w:p>
    <w:p>
      <w:pPr>
        <w:spacing w:before="0" w:after="240"/>
        <w:rPr>
          <w:noProof/>
        </w:rPr>
      </w:pPr>
      <w:r>
        <w:rPr>
          <w:noProof/>
        </w:rPr>
        <w:t>Käesoleva ettepaneku artikli 1 lõigetes 5, 6 ja 10 käsitletakse tehnilisi kohandusi vastavalt prospekti kontrollimise ja kinnitamise tähtajas (</w:t>
      </w:r>
      <w:r>
        <w:rPr>
          <w:i/>
          <w:iCs/>
          <w:noProof/>
        </w:rPr>
        <w:t>prospektimääruse artikkel 20</w:t>
      </w:r>
      <w:r>
        <w:rPr>
          <w:noProof/>
        </w:rPr>
        <w:t>), andmete säilitamise mehhanismis (</w:t>
      </w:r>
      <w:r>
        <w:rPr>
          <w:i/>
          <w:iCs/>
          <w:noProof/>
        </w:rPr>
        <w:t>prospektimääruse artikkel 21</w:t>
      </w:r>
      <w:r>
        <w:rPr>
          <w:noProof/>
        </w:rPr>
        <w:t>) ja avaldatavate elementide loetelus (</w:t>
      </w:r>
      <w:r>
        <w:rPr>
          <w:i/>
          <w:iCs/>
          <w:noProof/>
        </w:rPr>
        <w:t>prospektimääruse uus Va lisa</w:t>
      </w:r>
      <w:r>
        <w:rPr>
          <w:noProof/>
        </w:rPr>
        <w:t xml:space="preserve">) seoses ELi taasteprospekti korraga, mis on sätestatud käesoleva ettepaneku artikli 1 lõikes 4. </w:t>
      </w:r>
    </w:p>
    <w:p>
      <w:pPr>
        <w:spacing w:before="0" w:after="240"/>
        <w:rPr>
          <w:noProof/>
        </w:rPr>
      </w:pPr>
      <w:r>
        <w:rPr>
          <w:noProof/>
        </w:rPr>
        <w:t>Käesoleva ettepaneku artikli 1 lõigete 8 ja 9 kohaselt peaks ELi taasteprospekti kord aeguma pärast 18-kuulist kohaldamisaega (</w:t>
      </w:r>
      <w:r>
        <w:rPr>
          <w:i/>
          <w:iCs/>
          <w:noProof/>
        </w:rPr>
        <w:t>prospektimääruse artikkel 47a</w:t>
      </w:r>
      <w:r>
        <w:rPr>
          <w:noProof/>
        </w:rPr>
        <w:t>). Selle hindamine, kas ELi taasteprospekt vastab käesoleva määruse eesmärkidele, peaks olema prospektimääruse läbivaatamise osa (</w:t>
      </w:r>
      <w:r>
        <w:rPr>
          <w:i/>
          <w:iCs/>
          <w:noProof/>
        </w:rPr>
        <w:t>prospektimääruse artikkel 48</w:t>
      </w:r>
      <w:r>
        <w:rPr>
          <w:noProof/>
        </w:rPr>
        <w:t>).</w:t>
      </w:r>
    </w:p>
    <w:p>
      <w:pPr>
        <w:spacing w:before="0" w:after="240"/>
        <w:rPr>
          <w:b/>
          <w:noProof/>
        </w:rPr>
      </w:pPr>
      <w:r>
        <w:rPr>
          <w:noProof/>
        </w:rPr>
        <w:t>Käesoleva ettepaneku artikli 1 lõikes 7 käsitletakse lisasid (</w:t>
      </w:r>
      <w:r>
        <w:rPr>
          <w:i/>
          <w:iCs/>
          <w:noProof/>
        </w:rPr>
        <w:t>prospektimääruse artikkel 23</w:t>
      </w:r>
      <w:r>
        <w:rPr>
          <w:noProof/>
        </w:rPr>
        <w:t>).</w:t>
      </w:r>
      <w:r>
        <w:rPr>
          <w:b/>
          <w:noProof/>
          <w:u w:val="single"/>
        </w:rPr>
        <w:t xml:space="preserve"> </w:t>
      </w:r>
    </w:p>
    <w:p>
      <w:pPr>
        <w:spacing w:before="0" w:after="240"/>
        <w:rPr>
          <w:noProof/>
        </w:rPr>
      </w:pPr>
      <w:r>
        <w:rPr>
          <w:noProof/>
        </w:rPr>
        <w:t xml:space="preserve">Kehtiva korra kohaselt peavad emitendid avaldama prospekti lisa iga olulise uue asjaolu puhul, mis on seotud prospektis sisalduva teabega ja mis võib mõjutada väärtpaberite kohta hinnangu andmist ning mis ilmneb või mida täheldatakse pärast prospekti kinnitamist, kuid enne pakkumisperioodi lõppemist või reguleeritud turul kauplemise alustamist, olenevalt sellest, kumb toimub hiljem. Lisa avaldamine annab investoritele taganemisõiguse, mida võib kasutada kahe tööpäeva jooksul alates lisa avaldamisest. Investorite kaitsmise kohustuse raames peavad finantsvahendajad võtma lisa avaldamise päeval investoritega ühendust, et </w:t>
      </w:r>
      <w:r>
        <w:rPr>
          <w:noProof/>
        </w:rPr>
        <w:lastRenderedPageBreak/>
        <w:t xml:space="preserve">teavitada neid lisa avaldamisest. Selline tähtaeg ja investorite lai määratlus on tekitanud finantsvahendajatele raskusi. </w:t>
      </w:r>
    </w:p>
    <w:p>
      <w:pPr>
        <w:spacing w:before="0" w:after="240"/>
        <w:rPr>
          <w:noProof/>
          <w:szCs w:val="24"/>
        </w:rPr>
      </w:pPr>
      <w:r>
        <w:rPr>
          <w:noProof/>
        </w:rPr>
        <w:t xml:space="preserve">Nende raskuste lahendamiseks ja finantsvahendajatele vahendite vabastamiseks nähakse käesoleva ettepanekuga ette sihipärased muudatused. Esimene muudatus käsitleb kohaldamisala. Selles täpsustatakse, et finantsvahendajad peavad võtma ühendust üksnes nende investoritega ja teavitama üksnes neid investoreid, kes on nende kaudu väärtpabereid märkinud ja ostnud pärast prospekti kinnitamist, kuid enne pakkumisperioodi lõppemist või reguleeritud turul kauplemise alustamist, olenevalt sellest, kumb leiab aset hiljem. </w:t>
      </w:r>
    </w:p>
    <w:p>
      <w:pPr>
        <w:spacing w:before="0" w:after="240"/>
        <w:rPr>
          <w:noProof/>
        </w:rPr>
      </w:pPr>
      <w:r>
        <w:rPr>
          <w:noProof/>
        </w:rPr>
        <w:t xml:space="preserve">Teiseks pikendatakse ettepanekuga tähtaega, mille jooksul peavad finantsvahendajad võtma ühendust investoritega, kes märkisid ja ostsid väärtpabereid nende kaudu ning kellel on taganemisõigus, ühe tööpäevani alates lisa avaldamisest. Investorite kaitse kõrge taseme säilitamiseks pikendatakse ajavahemikku, mille jooksul võivad investorid taganemisõigust kasutada, kahelt tööpäevalt kolmele tööpäevale alates lisa avaldamisest. </w:t>
      </w:r>
    </w:p>
    <w:p>
      <w:pPr>
        <w:spacing w:before="0" w:after="240"/>
        <w:rPr>
          <w:noProof/>
        </w:rPr>
      </w:pPr>
      <w:r>
        <w:rPr>
          <w:noProof/>
        </w:rPr>
        <w:t>Kuna lisade sihipärased muudatused kõrvaldaks raskused ja vabastaks finantsvahendajatele vahendeid, säilitades samal ajal investorikaitse kõrge taseme, ei oleks sellised muudatused ajaliselt piiratud.</w:t>
      </w:r>
    </w:p>
    <w:p>
      <w:pPr>
        <w:spacing w:before="0" w:after="240"/>
        <w:rPr>
          <w:noProof/>
        </w:rPr>
      </w:pPr>
      <w:r>
        <w:rPr>
          <w:noProof/>
        </w:rPr>
        <w:t xml:space="preserve">Käesoleva ettepaneku </w:t>
      </w:r>
      <w:r>
        <w:rPr>
          <w:b/>
          <w:bCs/>
          <w:noProof/>
        </w:rPr>
        <w:t>artikkel 2</w:t>
      </w:r>
      <w:r>
        <w:rPr>
          <w:noProof/>
        </w:rPr>
        <w:t xml:space="preserve"> käsitleb ettepaneku jõustumist.</w:t>
      </w:r>
    </w:p>
    <w:p>
      <w:pPr>
        <w:spacing w:before="0" w:after="240"/>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2020/0155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muudetakse määrust (EL) 2017/1129 seoses ELi taasteprospektiga ja sihipäraste kohandustega finantsvahendajate jaoks, et aidata kaasa COVID-19 pandeemiast taastumisele</w:t>
      </w:r>
    </w:p>
    <w:p>
      <w:pPr>
        <w:pStyle w:val="IntrtEEE"/>
        <w:rPr>
          <w:noProof/>
        </w:rPr>
      </w:pPr>
      <w:r>
        <w:rPr>
          <w:noProof/>
        </w:rPr>
        <w:t>(EMPs kohaldatav tekst)</w:t>
      </w:r>
    </w:p>
    <w:p>
      <w:pPr>
        <w:pStyle w:val="Institutionquiagit"/>
        <w:spacing w:before="0" w:after="240"/>
        <w:rPr>
          <w:noProof/>
        </w:rPr>
      </w:pPr>
      <w:r>
        <w:rPr>
          <w:noProof/>
        </w:rPr>
        <w:t>EUROOPA PARLAMENT JA EUROOPA LIIDU NÕUKOGU,</w:t>
      </w:r>
    </w:p>
    <w:p>
      <w:pPr>
        <w:spacing w:before="0" w:after="240"/>
        <w:rPr>
          <w:noProof/>
        </w:rPr>
      </w:pPr>
      <w:r>
        <w:rPr>
          <w:noProof/>
        </w:rPr>
        <w:t>võttes arvesse Euroopa Liidu toimimise lepingut, eriti selle artiklit 114,</w:t>
      </w:r>
    </w:p>
    <w:p>
      <w:pPr>
        <w:spacing w:before="0" w:after="240"/>
        <w:rPr>
          <w:noProof/>
        </w:rPr>
      </w:pPr>
      <w:r>
        <w:rPr>
          <w:noProof/>
        </w:rPr>
        <w:t>võttes arvesse Euroopa Komisjoni ettepanekut,</w:t>
      </w:r>
    </w:p>
    <w:p>
      <w:pPr>
        <w:spacing w:before="0" w:after="240"/>
        <w:rPr>
          <w:noProof/>
        </w:rPr>
      </w:pPr>
      <w:r>
        <w:rPr>
          <w:noProof/>
        </w:rPr>
        <w:t>olles edastanud seadusandliku akti eelnõu liikmesriikide parlamentidele,</w:t>
      </w:r>
    </w:p>
    <w:p>
      <w:pPr>
        <w:spacing w:before="0" w:after="240"/>
        <w:rPr>
          <w:noProof/>
        </w:rPr>
      </w:pPr>
      <w:r>
        <w:rPr>
          <w:noProof/>
        </w:rPr>
        <w:t xml:space="preserve">võttes arvesse Euroopa Majandus- ja Sotsiaalkomitee arvamust, </w:t>
      </w:r>
    </w:p>
    <w:p>
      <w:pPr>
        <w:spacing w:before="0" w:after="240"/>
        <w:rPr>
          <w:noProof/>
        </w:rPr>
      </w:pPr>
      <w:r>
        <w:rPr>
          <w:noProof/>
        </w:rPr>
        <w:t>toimides seadusandliku tavamenetluse kohaselt</w:t>
      </w:r>
    </w:p>
    <w:p>
      <w:pPr>
        <w:spacing w:before="0" w:after="240"/>
        <w:rPr>
          <w:noProof/>
        </w:rPr>
      </w:pPr>
      <w:r>
        <w:rPr>
          <w:noProof/>
        </w:rPr>
        <w:t>ning arvestades järgmist:</w:t>
      </w:r>
    </w:p>
    <w:p>
      <w:pPr>
        <w:pStyle w:val="ManualConsidrant"/>
        <w:rPr>
          <w:noProof/>
          <w:color w:val="000000" w:themeColor="text1"/>
        </w:rPr>
      </w:pPr>
      <w:r>
        <w:t>(1)</w:t>
      </w:r>
      <w:r>
        <w:tab/>
      </w:r>
      <w:r>
        <w:rPr>
          <w:noProof/>
        </w:rPr>
        <w:t>COVID-19 pandeemia mõjutab rängalt inimesi, ettevõtteid, tervishoiusüsteeme ja liikmesriikide majandust. 27. märtsi 2020. aasta teatises Euroopa Parlamendile, Euroopa Ülemkogule, nõukogule, Euroopa Majandus- ja Sotsiaalkomiteele ning Regioonide Komiteele „Euroopa võimalus: parandame vead ja teeme ettevalmistusi järgmise põlvkonna jaoks“</w:t>
      </w:r>
      <w:r>
        <w:rPr>
          <w:rStyle w:val="FootnoteReference"/>
          <w:noProof/>
        </w:rPr>
        <w:footnoteReference w:id="13"/>
      </w:r>
      <w:r>
        <w:rPr>
          <w:noProof/>
        </w:rPr>
        <w:t xml:space="preserve"> rõhutas komisjon, et likviidsus ja juurdepääs rahastusele on järgnevatel kuudel pidev probleem.</w:t>
      </w:r>
      <w:r>
        <w:rPr>
          <w:noProof/>
          <w:color w:val="000000" w:themeColor="text1"/>
        </w:rPr>
        <w:t xml:space="preserve"> </w:t>
      </w:r>
      <w:r>
        <w:rPr>
          <w:noProof/>
        </w:rPr>
        <w:t>Seepärast on esmatähtis toetada taastumist COVID-19 pandeemia põhjustatud tõsisest majandusšokist, tehes kehtivatesse finantsalastesse õigusaktidesse sihipäraseid muudatusi. See meetmepakett võetakse vastu nimetuse „Kapitaliturgude taastepakett“ all.</w:t>
      </w:r>
    </w:p>
    <w:p>
      <w:pPr>
        <w:pStyle w:val="ManualConsidrant"/>
        <w:rPr>
          <w:noProof/>
        </w:rPr>
      </w:pPr>
      <w:r>
        <w:t>(2)</w:t>
      </w:r>
      <w:r>
        <w:tab/>
      </w:r>
      <w:r>
        <w:rPr>
          <w:noProof/>
        </w:rPr>
        <w:t>Euroopa Parlamendi ja nõukogu määruses (EL) 2017/1129</w:t>
      </w:r>
      <w:r>
        <w:rPr>
          <w:rStyle w:val="FootnoteReference"/>
          <w:noProof/>
        </w:rPr>
        <w:footnoteReference w:id="14"/>
      </w:r>
      <w:r>
        <w:rPr>
          <w:noProof/>
        </w:rPr>
        <w:t xml:space="preserve"> on sätestatud väärtpaberite avaliku pakkumise või liidu reguleeritud turul kauplemisele lubamise korral avaldatava prospekti koostamise, kinnitamise ja levitamise nõuded.</w:t>
      </w:r>
      <w:r>
        <w:rPr>
          <w:noProof/>
          <w:color w:val="000000"/>
          <w:szCs w:val="24"/>
        </w:rPr>
        <w:t xml:space="preserve"> Osana meetmetest, millega aidatakse emitentidel taastuda COVID-19 pandeemiast tingitud majandusšokist, tuleb prospektikorda sihipäraselt muuta. Sellised muudatused peaksid võimaldama emitentidel ja finantsvahendajatel vähendada vahetult pärast kriisi kulusid ja vabastada vahendeid majanduse taaskäivitamise etapiks.</w:t>
      </w:r>
    </w:p>
    <w:p>
      <w:pPr>
        <w:pStyle w:val="ManualConsidrant"/>
        <w:rPr>
          <w:noProof/>
          <w:color w:val="000000" w:themeColor="text1"/>
        </w:rPr>
      </w:pPr>
      <w:r>
        <w:t>(3)</w:t>
      </w:r>
      <w:r>
        <w:tab/>
      </w:r>
      <w:r>
        <w:rPr>
          <w:noProof/>
        </w:rPr>
        <w:t xml:space="preserve">Krediidiasutused on aktiivselt osalenud majanduse taaskäivitamises, et toetada rahastamist vajanud ettevõtteid, ja eeldatakse, et nad on majanduse taaskäivitamise tugisammas. </w:t>
      </w:r>
      <w:r>
        <w:rPr>
          <w:noProof/>
          <w:color w:val="000000" w:themeColor="text1"/>
        </w:rPr>
        <w:t xml:space="preserve">Määrusega (EL) 2017/2019 on ette nähtud, et krediidiasutused on </w:t>
      </w:r>
      <w:r>
        <w:rPr>
          <w:noProof/>
          <w:color w:val="000000" w:themeColor="text1"/>
        </w:rPr>
        <w:lastRenderedPageBreak/>
        <w:t xml:space="preserve">vabastatud prospekti avaldamise kohustusest teatavate mittekapitaliväärtpaberite pakkumise puhul, mida emiteeritakse pidevalt või korduvalt ja mille kogusumma 12 kuu jooksul ei ületa 75 miljonit eurot. </w:t>
      </w:r>
      <w:r>
        <w:rPr>
          <w:noProof/>
        </w:rPr>
        <w:t>Seda vabastuskünnist tuleks piiratud ajaks suurendada, et hõlbustada krediidiasutustel vahendite kaasamist ja anda neile hingamisruumi, et nad saaksid toetada oma kliente reaalmajanduses.</w:t>
      </w:r>
      <w:r>
        <w:rPr>
          <w:noProof/>
          <w:color w:val="000000" w:themeColor="text1"/>
        </w:rPr>
        <w:t xml:space="preserve"> </w:t>
      </w:r>
      <w:r>
        <w:rPr>
          <w:noProof/>
        </w:rPr>
        <w:t>Kuna kõnealune meede on mõeldud üksnes majanduse taaskäivitamise etapiks, peaks see olema kättesaadav piiratud, 18-kuulise ajavahemiku jooksul.</w:t>
      </w:r>
    </w:p>
    <w:p>
      <w:pPr>
        <w:pStyle w:val="ManualConsidrant"/>
        <w:rPr>
          <w:noProof/>
        </w:rPr>
      </w:pPr>
      <w:r>
        <w:t>(4)</w:t>
      </w:r>
      <w:r>
        <w:tab/>
      </w:r>
      <w:r>
        <w:rPr>
          <w:noProof/>
        </w:rPr>
        <w:t>Selleks et kiiresti leevendada COVID-19 pandeemia ränka majanduslikku mõju, on oluline võtta meetmeid, et hõlbustada investeerimist reaalmajandusse, soodustada liidu ettevõtete kiiret rekapitaliseerimist ja võimaldada emitentidel kaasata avalikelt turgudelt vahendeid majanduse taaskäivitamise protsessi varases etapis. Nende eesmärkide saavutamiseks on asjakohane luua uus lühiprospekt („ELi taasteprospekt“), mida emitentidel on lihtne koostada, investoritel, kes soovivad neid rahastada, lihtne mõista ning pädevatel asutustel lihtne kontrollida ja kinnitada.</w:t>
      </w:r>
    </w:p>
    <w:p>
      <w:pPr>
        <w:pStyle w:val="ManualConsidrant"/>
        <w:rPr>
          <w:noProof/>
          <w:sz w:val="22"/>
        </w:rPr>
      </w:pPr>
      <w:r>
        <w:t>(5)</w:t>
      </w:r>
      <w:r>
        <w:tab/>
      </w:r>
      <w:r>
        <w:rPr>
          <w:noProof/>
        </w:rPr>
        <w:t>Ettevõtted, kelle aktsiatega on olnud lubatud kaubelda reguleeritud turul või VKEde kasvuturul pidevalt vähemalt viimase 18 kuu jooksul järjest enne aktsiate pakkumist või kauplemisele lubamist, peaksid olema täitnud perioodilise ja pideva avalikustamise nõuded vastavalt Euroopa Parlamendi ja nõukogu määrusele (EL) nr 596/2014,</w:t>
      </w:r>
      <w:r>
        <w:rPr>
          <w:rStyle w:val="FootnoteReference"/>
          <w:noProof/>
        </w:rPr>
        <w:footnoteReference w:id="15"/>
      </w:r>
      <w:r>
        <w:rPr>
          <w:noProof/>
        </w:rPr>
        <w:t xml:space="preserve"> Euroopa Parlamendi ja nõukogu direktiivile 2004/109/EÜ</w:t>
      </w:r>
      <w:r>
        <w:rPr>
          <w:rStyle w:val="FootnoteReference"/>
          <w:noProof/>
        </w:rPr>
        <w:footnoteReference w:id="16"/>
      </w:r>
      <w:r>
        <w:rPr>
          <w:noProof/>
        </w:rPr>
        <w:t xml:space="preserve"> või komisjoni delegeeritud määrusele (EL) 2017/565</w:t>
      </w:r>
      <w:r>
        <w:rPr>
          <w:rStyle w:val="FootnoteReference"/>
          <w:noProof/>
        </w:rPr>
        <w:footnoteReference w:id="17"/>
      </w:r>
      <w:r>
        <w:rPr>
          <w:noProof/>
        </w:rPr>
        <w:t xml:space="preserve">. Seega on suur osa prospekti nõutavast sisust juba avalikult kättesaadav ja investorid kauplevad selle teabe alusel. Seepärast tuleks ELi taasteprospekti kasutada üksnes teiseste emissioonide puhul ja see peaks keskenduma üksnes olulisele teabele, mida investorid vajavad teadlike investeerimisotsuste tegemiseks. </w:t>
      </w:r>
    </w:p>
    <w:p>
      <w:pPr>
        <w:pStyle w:val="ManualConsidrant"/>
        <w:rPr>
          <w:noProof/>
        </w:rPr>
      </w:pPr>
      <w:r>
        <w:t>(6)</w:t>
      </w:r>
      <w:r>
        <w:tab/>
      </w:r>
      <w:r>
        <w:rPr>
          <w:noProof/>
        </w:rPr>
        <w:t>Selleks et ELi taasteprospekt oleks emitentide jaoks tõhus vahend, peaks see olema üksainus piiratud suurusega dokument, kus on võimalik esitada teavet viidetena, ja selle puhul peaks saama kasutada üleeuroopalisel tasandil väärtpaberite avaliku pakkumise või reguleeritud turul kauplemisele lubamise passi.</w:t>
      </w:r>
    </w:p>
    <w:p>
      <w:pPr>
        <w:pStyle w:val="ManualConsidrant"/>
        <w:rPr>
          <w:noProof/>
        </w:rPr>
      </w:pPr>
      <w:r>
        <w:t>(7)</w:t>
      </w:r>
      <w:r>
        <w:tab/>
      </w:r>
      <w:r>
        <w:rPr>
          <w:noProof/>
        </w:rPr>
        <w:t xml:space="preserve">ELi taasteprospekt peaks sisaldama lühikokkuvõtet kui kasulikku teabeallikat investoritele, eelkõige jaeinvestoritele. See kokkuvõte peaks olema ELi taasteprospekti eraldi osa ja selles tuleks keskenduda põhiteabele, mis võimaldaks investoritel otsustada, milliseid väärtpaberite pakkumisi ja kauplemisele võtmisi tuleks põhjalikumalt analüüsida, vaadates ELi taasteprospekti oma otsuse tegemiseks tervikuna läbi vaadata. </w:t>
      </w:r>
    </w:p>
    <w:p>
      <w:pPr>
        <w:pStyle w:val="ManualConsidrant"/>
        <w:rPr>
          <w:noProof/>
        </w:rPr>
      </w:pPr>
      <w:r>
        <w:t>(8)</w:t>
      </w:r>
      <w:r>
        <w:tab/>
      </w:r>
      <w:r>
        <w:rPr>
          <w:noProof/>
        </w:rPr>
        <w:t xml:space="preserve">Selleks et koguda andmeid, mille alusel hinnata ELi taasteprospekti korra toimimist, tuleks ELi taasteprospekt lisada ESMA hallatavasse andmete säilitamise mehhanismi. Kõnealuse mehhanismi muutmisest tuleneva halduskoormuse vähendamiseks võiks </w:t>
      </w:r>
      <w:r>
        <w:rPr>
          <w:noProof/>
        </w:rPr>
        <w:lastRenderedPageBreak/>
        <w:t>ELi taasteprospektis kasutada samu andmeid, mis on kindlaks määratud määruse (EL) 2017/1129 artiklis 14 teiseste emissioonide prospektide jaoks, tingimusel et need kaht liiki prospektid jäävad selgelt eristatuks.</w:t>
      </w:r>
    </w:p>
    <w:p>
      <w:pPr>
        <w:pStyle w:val="ManualConsidrant"/>
        <w:rPr>
          <w:noProof/>
        </w:rPr>
      </w:pPr>
      <w:r>
        <w:t>(9)</w:t>
      </w:r>
      <w:r>
        <w:tab/>
      </w:r>
      <w:r>
        <w:rPr>
          <w:noProof/>
        </w:rPr>
        <w:t>ELi taasteprospekt peaks täiendama määruses (EL) 2017/1129 sätestatud muud liiki prospekte, pidades silmas eri liiki väärtpabereid, emitente, pakkumisi ja kauplemisele lubamisi. Seepärast tuleks kõiki määruses (EL) 2017/1129 sisalduvaid viiteid prospektile käsitada viidetena igat liiki prospektidele, sealhulgas käesolevas määruses sätestatud ELi taasteprospektile, kui ei ole sõnaselgelt sätestatud teisiti.</w:t>
      </w:r>
    </w:p>
    <w:p>
      <w:pPr>
        <w:pStyle w:val="ManualConsidrant"/>
        <w:rPr>
          <w:noProof/>
        </w:rPr>
      </w:pPr>
      <w:r>
        <w:t>(10)</w:t>
      </w:r>
      <w:r>
        <w:tab/>
      </w:r>
      <w:r>
        <w:rPr>
          <w:noProof/>
        </w:rPr>
        <w:t xml:space="preserve">Määruse (EL) 2017/1129 kohaselt peavad finantsvahendajad teavitama investoreid lisa avaldamise võimalusest ja teatavatel tingimustel võtma investoritega ühendust lisa avaldamise päeval. Selliste investorite ring, kellega tuleb ühendust võtta, ja ühenduse võtmise tähtaeg võivad tekitada raskusi. Selleks et pakkuda finantsvahendajatele leevendust ja vabastada nende vahendeid, säilitades samal ajal investorikaitse kõrge taseme, tuleks kehtestada proportsionaalsem kord. Sellise korraga tuleks täpsustada, milliste investoritega peaksid finantsvahendajad lisa avaldamise korral ühendust võtma, ja pikendada tähtaega, mille jooksul nad peavad seda tegema. </w:t>
      </w:r>
    </w:p>
    <w:p>
      <w:pPr>
        <w:pStyle w:val="ManualConsidrant"/>
        <w:rPr>
          <w:noProof/>
        </w:rPr>
      </w:pPr>
      <w:r>
        <w:t>(11)</w:t>
      </w:r>
      <w:r>
        <w:tab/>
      </w:r>
      <w:r>
        <w:rPr>
          <w:noProof/>
        </w:rPr>
        <w:t xml:space="preserve">Kuna ELi taasteprospekt on mõeldud majanduse taaskäivitamise etapiks, peaks see prospektikord aeguma 18 kuud pärast käesoleva määruse kohaldamise alguskuupäeva. Selleks et tagada ELi taasteprospektide järjepidevus, tuleks enne prospektikorra aegumist heaks kiidetud prospektide suhtes jätkata varasemalt kehtinud nõuete kohaldamist. </w:t>
      </w:r>
    </w:p>
    <w:p>
      <w:pPr>
        <w:pStyle w:val="ManualConsidrant"/>
        <w:rPr>
          <w:noProof/>
        </w:rPr>
      </w:pPr>
      <w:r>
        <w:t>(12)</w:t>
      </w:r>
      <w:r>
        <w:tab/>
      </w:r>
      <w:r>
        <w:rPr>
          <w:noProof/>
        </w:rPr>
        <w:t>Komisjon peaks enne 21. juulit 2022 esitama Euroopa Parlamendile ja nõukogule aruande käesoleva määruse kohaldamise kohta, lisades sellele asjakohasel juhul seadusandliku ettepaneku. Kõnealuse läbivaatamise käigus tuleks muu hulgas hinnata, kas ELi taasteprospektide avalikustamise kord on käesoleva määruse eesmärkide saavutamiseks asjakohane.</w:t>
      </w:r>
    </w:p>
    <w:p>
      <w:pPr>
        <w:pStyle w:val="ManualConsidrant"/>
        <w:rPr>
          <w:noProof/>
          <w:sz w:val="22"/>
        </w:rPr>
      </w:pPr>
      <w:r>
        <w:t>(13)</w:t>
      </w:r>
      <w:r>
        <w:tab/>
      </w:r>
      <w:r>
        <w:rPr>
          <w:noProof/>
        </w:rPr>
        <w:t>Seepärast tuleks määrust (EL) 2017/1129 vastavalt muuta,</w:t>
      </w:r>
    </w:p>
    <w:p>
      <w:pPr>
        <w:pStyle w:val="Formuledadoption"/>
        <w:spacing w:before="0" w:after="240"/>
        <w:rPr>
          <w:noProof/>
        </w:rPr>
      </w:pPr>
      <w:r>
        <w:rPr>
          <w:noProof/>
        </w:rPr>
        <w:t>ON VASTU VÕTNUD KÄESOLEVA MÄÄRUSE:</w:t>
      </w:r>
    </w:p>
    <w:p>
      <w:pPr>
        <w:pStyle w:val="Titrearticle"/>
        <w:spacing w:before="0" w:after="240"/>
        <w:rPr>
          <w:noProof/>
        </w:rPr>
      </w:pPr>
      <w:r>
        <w:rPr>
          <w:noProof/>
        </w:rPr>
        <w:t xml:space="preserve">Artikkel 1 </w:t>
      </w:r>
      <w:r>
        <w:rPr>
          <w:noProof/>
        </w:rPr>
        <w:br/>
      </w:r>
      <w:r>
        <w:rPr>
          <w:b/>
          <w:i w:val="0"/>
          <w:noProof/>
        </w:rPr>
        <w:t>Määruse (EL) 2017/1129 muutmine</w:t>
      </w:r>
    </w:p>
    <w:p>
      <w:pPr>
        <w:spacing w:before="0" w:after="240"/>
        <w:rPr>
          <w:noProof/>
        </w:rPr>
      </w:pPr>
      <w:r>
        <w:rPr>
          <w:noProof/>
        </w:rPr>
        <w:t xml:space="preserve">Määrust (EL) 2017/1129 muudetakse järgmiselt. </w:t>
      </w:r>
    </w:p>
    <w:p>
      <w:pPr>
        <w:pStyle w:val="Point0"/>
        <w:rPr>
          <w:noProof/>
        </w:rPr>
      </w:pPr>
      <w:r>
        <w:t>(1)</w:t>
      </w:r>
      <w:r>
        <w:tab/>
      </w:r>
      <w:r>
        <w:rPr>
          <w:noProof/>
        </w:rPr>
        <w:t>Artikli 1 lõikele 4 lisatakse punkt k:</w:t>
      </w:r>
    </w:p>
    <w:p>
      <w:pPr>
        <w:pStyle w:val="Point1"/>
        <w:rPr>
          <w:noProof/>
        </w:rPr>
      </w:pPr>
      <w:r>
        <w:rPr>
          <w:noProof/>
        </w:rPr>
        <w:t>„k)</w:t>
      </w:r>
      <w:r>
        <w:rPr>
          <w:noProof/>
        </w:rPr>
        <w:tab/>
        <w:t>alates [käesoleva määruse kohaldamise alguskuupäev] kuni [18 kuud pärast käesoleva määruse kohaldamise alguskuupäeva] mittekapitaliväärtpaberid, mida krediidiasutus emiteerib jätkuvalt või korduvalt ja mille puhul on väärtpaberite pakkumise agregeeritud müügihind liidus väiksem kui 150 000 000 eurot krediidiasutuse kohta, kusjuures seda arvestatakse 12 kuu kohta, tingimusel et need väärtpaberid:</w:t>
      </w:r>
    </w:p>
    <w:p>
      <w:pPr>
        <w:pStyle w:val="Point2"/>
        <w:rPr>
          <w:noProof/>
        </w:rPr>
      </w:pPr>
      <w:r>
        <w:rPr>
          <w:noProof/>
        </w:rPr>
        <w:t>i)</w:t>
      </w:r>
      <w:r>
        <w:rPr>
          <w:noProof/>
        </w:rPr>
        <w:tab/>
        <w:t>ei ole allutatud, vahetatavad ega asendatavad ning</w:t>
      </w:r>
    </w:p>
    <w:p>
      <w:pPr>
        <w:pStyle w:val="Point2"/>
        <w:rPr>
          <w:noProof/>
        </w:rPr>
      </w:pPr>
      <w:r>
        <w:rPr>
          <w:noProof/>
        </w:rPr>
        <w:t>ii)</w:t>
      </w:r>
      <w:r>
        <w:rPr>
          <w:noProof/>
        </w:rPr>
        <w:tab/>
        <w:t>ei anna õigust märkida ega omandada muud liiki väärtpabereid ega ole seotud tuletisinstrumendiga.“</w:t>
      </w:r>
    </w:p>
    <w:p>
      <w:pPr>
        <w:pStyle w:val="Point0"/>
        <w:rPr>
          <w:noProof/>
        </w:rPr>
      </w:pPr>
      <w:r>
        <w:t>(2)</w:t>
      </w:r>
      <w:r>
        <w:tab/>
      </w:r>
      <w:r>
        <w:rPr>
          <w:noProof/>
        </w:rPr>
        <w:t xml:space="preserve">Artikli 6 lõike 1 esimese lõigu sissejuhatav lause asendatakse järgmisega: </w:t>
      </w:r>
    </w:p>
    <w:p>
      <w:pPr>
        <w:pStyle w:val="Point1"/>
        <w:rPr>
          <w:noProof/>
        </w:rPr>
      </w:pPr>
      <w:r>
        <w:rPr>
          <w:noProof/>
        </w:rPr>
        <w:lastRenderedPageBreak/>
        <w:t>„1.</w:t>
      </w:r>
      <w:r>
        <w:rPr>
          <w:noProof/>
        </w:rPr>
        <w:tab/>
        <w:t>Ilma et see piiraks artikli 14 lõike 2, artikli 14a lõike 2 ja artikli 18 lõike 1 kohaldamist, sisaldab prospekt vajalikku teavet, mis on oluline investorile, et teadlikult hinnata järgmist:“.</w:t>
      </w:r>
    </w:p>
    <w:p>
      <w:pPr>
        <w:pStyle w:val="Point0"/>
        <w:rPr>
          <w:noProof/>
        </w:rPr>
      </w:pPr>
      <w:r>
        <w:t>(3)</w:t>
      </w:r>
      <w:r>
        <w:tab/>
      </w:r>
      <w:r>
        <w:rPr>
          <w:noProof/>
        </w:rPr>
        <w:t>Artiklisse 7 lisatakse lõige 12a:</w:t>
      </w:r>
    </w:p>
    <w:p>
      <w:pPr>
        <w:pStyle w:val="Point1"/>
        <w:rPr>
          <w:noProof/>
        </w:rPr>
      </w:pPr>
      <w:r>
        <w:rPr>
          <w:noProof/>
        </w:rPr>
        <w:t>„12a.</w:t>
      </w:r>
      <w:r>
        <w:rPr>
          <w:noProof/>
        </w:rPr>
        <w:tab/>
        <w:t xml:space="preserve">Erandina lõigetest 3–12 peab artikli 14a kohaselt koostatud ELi taasteprospekt sisaldama käesoleva lõike kohast kokkuvõtet. </w:t>
      </w:r>
    </w:p>
    <w:p>
      <w:pPr>
        <w:pStyle w:val="Text2"/>
        <w:rPr>
          <w:noProof/>
        </w:rPr>
      </w:pPr>
      <w:r>
        <w:rPr>
          <w:noProof/>
        </w:rPr>
        <w:t xml:space="preserve">ELi taasteprospekti kokkuvõte koostatakse lühidokumendina, mis on sisutihe ja printimisel maksimaalselt kahel A4 leheküljel. </w:t>
      </w:r>
    </w:p>
    <w:p>
      <w:pPr>
        <w:pStyle w:val="Text2"/>
        <w:rPr>
          <w:noProof/>
        </w:rPr>
      </w:pPr>
      <w:r>
        <w:rPr>
          <w:noProof/>
        </w:rPr>
        <w:t xml:space="preserve">Kokkuvõte ei tohi sisaldada ristviiteid prospekti muudele osadele ega viidetena esitatud teavet ning peab: </w:t>
      </w:r>
    </w:p>
    <w:p>
      <w:pPr>
        <w:pStyle w:val="Point2"/>
        <w:rPr>
          <w:noProof/>
        </w:rPr>
      </w:pPr>
      <w:r>
        <w:t>(a)</w:t>
      </w:r>
      <w:r>
        <w:tab/>
      </w:r>
      <w:r>
        <w:rPr>
          <w:noProof/>
        </w:rPr>
        <w:t xml:space="preserve">olema esitatud ja vormistatud kergesti loetaval kujul, kasutades selleks loetavas suuruses tähemärke; </w:t>
      </w:r>
    </w:p>
    <w:p>
      <w:pPr>
        <w:pStyle w:val="Point2"/>
        <w:rPr>
          <w:noProof/>
        </w:rPr>
      </w:pPr>
      <w:r>
        <w:t>(b)</w:t>
      </w:r>
      <w:r>
        <w:tab/>
      </w:r>
      <w:r>
        <w:rPr>
          <w:noProof/>
        </w:rPr>
        <w:t>olema kirjutatud keeleliselt ja stiililiselt nii, et see hõlbustab teabest arusaamist, eelkõige keeleliselt selgelt, mittetehniliselt, sisutihedalt ja investorite jaoks arusaadavalt;</w:t>
      </w:r>
    </w:p>
    <w:p>
      <w:pPr>
        <w:pStyle w:val="Point2"/>
        <w:rPr>
          <w:noProof/>
        </w:rPr>
      </w:pPr>
      <w:r>
        <w:t>(c)</w:t>
      </w:r>
      <w:r>
        <w:tab/>
      </w:r>
      <w:r>
        <w:rPr>
          <w:noProof/>
        </w:rPr>
        <w:t>koosnema järgmisest neljast osast:</w:t>
      </w:r>
    </w:p>
    <w:p>
      <w:pPr>
        <w:pStyle w:val="Point3"/>
        <w:rPr>
          <w:noProof/>
        </w:rPr>
      </w:pPr>
      <w:r>
        <w:rPr>
          <w:noProof/>
        </w:rPr>
        <w:t>i)</w:t>
      </w:r>
      <w:r>
        <w:rPr>
          <w:noProof/>
        </w:rPr>
        <w:tab/>
        <w:t xml:space="preserve">sissejuhatus, mis sisaldab käesoleva artikli lõikes 5 kindlaks määratud hoiatust; </w:t>
      </w:r>
    </w:p>
    <w:p>
      <w:pPr>
        <w:pStyle w:val="Point3"/>
        <w:rPr>
          <w:noProof/>
        </w:rPr>
      </w:pPr>
      <w:r>
        <w:rPr>
          <w:noProof/>
        </w:rPr>
        <w:t>ii)</w:t>
      </w:r>
      <w:r>
        <w:rPr>
          <w:noProof/>
        </w:rPr>
        <w:tab/>
        <w:t xml:space="preserve">põhiteave emitendi kohta; </w:t>
      </w:r>
    </w:p>
    <w:p>
      <w:pPr>
        <w:pStyle w:val="Point3"/>
        <w:rPr>
          <w:noProof/>
        </w:rPr>
      </w:pPr>
      <w:r>
        <w:rPr>
          <w:noProof/>
        </w:rPr>
        <w:t>iii)</w:t>
      </w:r>
      <w:r>
        <w:rPr>
          <w:noProof/>
        </w:rPr>
        <w:tab/>
        <w:t xml:space="preserve">põhiteave väärtpaberite kohta; </w:t>
      </w:r>
    </w:p>
    <w:p>
      <w:pPr>
        <w:pStyle w:val="Point3"/>
        <w:rPr>
          <w:noProof/>
        </w:rPr>
      </w:pPr>
      <w:r>
        <w:rPr>
          <w:noProof/>
        </w:rPr>
        <w:t>iv)</w:t>
      </w:r>
      <w:r>
        <w:rPr>
          <w:noProof/>
        </w:rPr>
        <w:tab/>
        <w:t>põhiteave väärtpaberite avaliku pakkumise või reguleeritud turul kauplemisele võtmise või mõlema kohta.“</w:t>
      </w:r>
    </w:p>
    <w:p>
      <w:pPr>
        <w:pStyle w:val="Point0"/>
        <w:rPr>
          <w:noProof/>
        </w:rPr>
      </w:pPr>
      <w:r>
        <w:t>(4)</w:t>
      </w:r>
      <w:r>
        <w:tab/>
      </w:r>
      <w:r>
        <w:rPr>
          <w:noProof/>
        </w:rPr>
        <w:t>Lisatakse artikkel 14a:</w:t>
      </w:r>
    </w:p>
    <w:p>
      <w:pPr>
        <w:pStyle w:val="NormalCentered"/>
        <w:rPr>
          <w:noProof/>
        </w:rPr>
      </w:pPr>
      <w:r>
        <w:rPr>
          <w:noProof/>
        </w:rPr>
        <w:t xml:space="preserve">„Artikkel 14a </w:t>
      </w:r>
      <w:r>
        <w:rPr>
          <w:noProof/>
        </w:rPr>
        <w:br/>
        <w:t>ELi taasteprospekt</w:t>
      </w:r>
    </w:p>
    <w:p>
      <w:pPr>
        <w:pStyle w:val="ManualNumPar1"/>
        <w:rPr>
          <w:noProof/>
        </w:rPr>
      </w:pPr>
      <w:r>
        <w:t>1.</w:t>
      </w:r>
      <w:r>
        <w:tab/>
      </w:r>
      <w:r>
        <w:rPr>
          <w:noProof/>
        </w:rPr>
        <w:t>Järgmised emitendid võivad otsustada koostada aktsiate avalikul pakkumisel või reguleeritud turul kauplemisele võtmisel vastavalt käesolevas artiklis sätestatud lihtsustatud korrale ELi taasteprospekti:</w:t>
      </w:r>
    </w:p>
    <w:p>
      <w:pPr>
        <w:pStyle w:val="Point2"/>
        <w:rPr>
          <w:noProof/>
        </w:rPr>
      </w:pPr>
      <w:r>
        <w:t>(a)</w:t>
      </w:r>
      <w:r>
        <w:tab/>
      </w:r>
      <w:r>
        <w:rPr>
          <w:noProof/>
        </w:rPr>
        <w:t>emitendid, kelle aktsiatega on olnud lubatud kaubelda reguleeritud turul vähemalt viimase 18 kuu jooksul järjest ja kes emiteerivad aktsiaid, mis on vahetatavad olemasolevate, varem emiteeritud aktsiate vastu;</w:t>
      </w:r>
    </w:p>
    <w:p>
      <w:pPr>
        <w:pStyle w:val="Point2"/>
        <w:rPr>
          <w:noProof/>
        </w:rPr>
      </w:pPr>
      <w:r>
        <w:t>(b)</w:t>
      </w:r>
      <w:r>
        <w:tab/>
      </w:r>
      <w:r>
        <w:rPr>
          <w:noProof/>
        </w:rPr>
        <w:t>emitendid, kelle aktsiatega on VKEde kasvuturul juba kaubeldud vähemalt viimase 18 kuu jooksul järjest, tingimusel et nende aktsiate pakkumiseks on avaldatud prospekt, ja kes emiteerivad aktsiaid, mis on vahetatavad olemasolevate, varem emiteeritud aktsiate vastu.</w:t>
      </w:r>
    </w:p>
    <w:p>
      <w:pPr>
        <w:pStyle w:val="ManualNumPar1"/>
        <w:rPr>
          <w:noProof/>
        </w:rPr>
      </w:pPr>
      <w:r>
        <w:t>2.</w:t>
      </w:r>
      <w:r>
        <w:tab/>
      </w:r>
      <w:r>
        <w:rPr>
          <w:noProof/>
        </w:rPr>
        <w:t>Erandina artikli 6 lõikest 1 ja ilma et see piiraks artikli 18 lõike 1 kohaldamist, sisaldab ELi taasteprospekt asjakohast vähendatud teavet, mida on investoritele vaja, et mõista:</w:t>
      </w:r>
    </w:p>
    <w:p>
      <w:pPr>
        <w:pStyle w:val="Point2"/>
        <w:rPr>
          <w:noProof/>
        </w:rPr>
      </w:pPr>
      <w:r>
        <w:t>(a)</w:t>
      </w:r>
      <w:r>
        <w:tab/>
      </w:r>
      <w:r>
        <w:rPr>
          <w:noProof/>
        </w:rPr>
        <w:t>emitendi prospekti ning olulisi muutusi emitendi finantsseisundis alates viimase majandusaasta lõpust, kui see on asjakohane;</w:t>
      </w:r>
    </w:p>
    <w:p>
      <w:pPr>
        <w:pStyle w:val="Point2"/>
        <w:rPr>
          <w:noProof/>
        </w:rPr>
      </w:pPr>
      <w:r>
        <w:t>(b)</w:t>
      </w:r>
      <w:r>
        <w:tab/>
      </w:r>
      <w:r>
        <w:rPr>
          <w:noProof/>
        </w:rPr>
        <w:t>oluline teave aktsiate kohta, emiteerimise põhjused ja mõju emitendi üldisele kapitalistruktuurile ning tulu kasutamine.</w:t>
      </w:r>
    </w:p>
    <w:p>
      <w:pPr>
        <w:pStyle w:val="Text2"/>
        <w:rPr>
          <w:noProof/>
        </w:rPr>
      </w:pPr>
      <w:r>
        <w:rPr>
          <w:noProof/>
        </w:rPr>
        <w:lastRenderedPageBreak/>
        <w:t>ELi taasteprospektis sisalduv teave kirjutatakse ja esitatakse hõlpsasti analüüsitaval, sisutihedal ja arusaadaval kujul ning see peab võimaldama investoritel teha teadliku investeerimisotsuse. Pädev asutus võtab arvesse ka seda, kas emitent on avalikustanud korraldatud teabe vastavalt direktiivile 2004/109/EÜ, ja kui see on asjakohane, määrusele (EL) nr 596/2014 ning asjakohasel juhul komisjoni delegeeritud määruses (EL) 2017/565 osutatud teabe.</w:t>
      </w:r>
    </w:p>
    <w:p>
      <w:pPr>
        <w:pStyle w:val="Text2"/>
        <w:rPr>
          <w:noProof/>
        </w:rPr>
      </w:pPr>
      <w:r>
        <w:rPr>
          <w:noProof/>
        </w:rPr>
        <w:t xml:space="preserve">ELi taasteprospekt on üksainus dokument, mis sisaldab Va lisas sätestatud miinimumteavet. Selle maksimaalne pikkus trükituna on 30 A4-formaadis lehekülge ning see esitatakse ja vormistatakse kergesti loetaval kujul, kasutades loetavas suuruses tähemärke. </w:t>
      </w:r>
    </w:p>
    <w:p>
      <w:pPr>
        <w:pStyle w:val="Text2"/>
        <w:rPr>
          <w:noProof/>
        </w:rPr>
      </w:pPr>
      <w:r>
        <w:rPr>
          <w:noProof/>
        </w:rPr>
        <w:t>Artikli 19 kohaselt viidetena esitatud teavet ei võeta käesoleva lõike kolmandas lõigus osutatud maksimaalse pikkuse (30 A4-formaadis lehekülge) puhul arvesse.</w:t>
      </w:r>
    </w:p>
    <w:p>
      <w:pPr>
        <w:pStyle w:val="Text2"/>
        <w:rPr>
          <w:noProof/>
        </w:rPr>
      </w:pPr>
      <w:r>
        <w:rPr>
          <w:noProof/>
        </w:rPr>
        <w:t>Emitendid võivad otsustada, millises järjekorras nad Va lisas osutatud teabe ELi taasteprospektis esitavad.“</w:t>
      </w:r>
    </w:p>
    <w:p>
      <w:pPr>
        <w:pStyle w:val="Point0"/>
        <w:rPr>
          <w:noProof/>
        </w:rPr>
      </w:pPr>
      <w:r>
        <w:t>(5)</w:t>
      </w:r>
      <w:r>
        <w:tab/>
      </w:r>
      <w:r>
        <w:rPr>
          <w:noProof/>
        </w:rPr>
        <w:t>Artiklisse 20 lisatakse lõige 6a:</w:t>
      </w:r>
    </w:p>
    <w:p>
      <w:pPr>
        <w:pStyle w:val="Point1"/>
        <w:rPr>
          <w:noProof/>
        </w:rPr>
      </w:pPr>
      <w:r>
        <w:rPr>
          <w:noProof/>
        </w:rPr>
        <w:t>„6a.</w:t>
      </w:r>
      <w:r>
        <w:rPr>
          <w:noProof/>
        </w:rPr>
        <w:tab/>
        <w:t>Erandina lõigetest 2 ja 4 lühendatakse lõike 2 esimeses lõigus ja lõikes 4 sätestatud tähtaegu artikli 14a kohaselt koostatud ELi taasteprospekti puhul viie tööpäevani. Emitent teavitab pädevat asutust vähemalt viis tööpäeva enne kuupäeva, mil on kavas kinnitamistaotlus esitada.“</w:t>
      </w:r>
    </w:p>
    <w:p>
      <w:pPr>
        <w:pStyle w:val="Point0"/>
        <w:rPr>
          <w:noProof/>
        </w:rPr>
      </w:pPr>
      <w:r>
        <w:t>(6)</w:t>
      </w:r>
      <w:r>
        <w:tab/>
      </w:r>
      <w:r>
        <w:rPr>
          <w:noProof/>
        </w:rPr>
        <w:t>Artiklisse 21 lisatakse lõige 5a:</w:t>
      </w:r>
    </w:p>
    <w:p>
      <w:pPr>
        <w:pStyle w:val="Point1"/>
        <w:rPr>
          <w:noProof/>
        </w:rPr>
      </w:pPr>
      <w:r>
        <w:rPr>
          <w:noProof/>
        </w:rPr>
        <w:t>„5a.</w:t>
      </w:r>
      <w:r>
        <w:rPr>
          <w:noProof/>
        </w:rPr>
        <w:tab/>
        <w:t>Artikli 14a kohaselt koostatud ELi taasteprospektid liigitatakse käesoleva artikli lõikes 6 osutatud andmete säilitamise mehhanismis. Artikli 14 kohaselt koostatud prospektide liigitamiseks kasutatud andmeid võib kasutada artikli 14a kohaselt koostatud ELi taasteprospektide liigitamiseks, tingimusel et neid kahte liiki prospekte kõnealuses andemete säilitamise mehhanismis eristatakse.“</w:t>
      </w:r>
    </w:p>
    <w:p>
      <w:pPr>
        <w:pStyle w:val="Point0"/>
        <w:rPr>
          <w:noProof/>
        </w:rPr>
      </w:pPr>
      <w:r>
        <w:t>(7)</w:t>
      </w:r>
      <w:r>
        <w:tab/>
      </w:r>
      <w:r>
        <w:rPr>
          <w:noProof/>
        </w:rPr>
        <w:t>Artiklit 23 muudetakse järgmiselt:</w:t>
      </w:r>
    </w:p>
    <w:p>
      <w:pPr>
        <w:pStyle w:val="Point1"/>
        <w:rPr>
          <w:noProof/>
        </w:rPr>
      </w:pPr>
      <w:r>
        <w:t>(a)</w:t>
      </w:r>
      <w:r>
        <w:tab/>
      </w:r>
      <w:r>
        <w:rPr>
          <w:noProof/>
        </w:rPr>
        <w:t>lõike 2 esimene lõik asendatakse järgmisega:</w:t>
      </w:r>
    </w:p>
    <w:p>
      <w:pPr>
        <w:pStyle w:val="Point1"/>
        <w:rPr>
          <w:noProof/>
        </w:rPr>
      </w:pPr>
      <w:r>
        <w:rPr>
          <w:noProof/>
        </w:rPr>
        <w:t>„2.</w:t>
      </w:r>
      <w:r>
        <w:rPr>
          <w:noProof/>
        </w:rPr>
        <w:tab/>
        <w:t>Kui prospekt on seotud väärtpaberite avaliku pakkumisega, on investoritel, kes on juba nõustunud ostma või märkima väärtpabereid enne lisa avaldamist, õigus taganeda nõustumusest kolme tööpäeva jooksul pärast lisa avaldamist, juhul kui lõikes 1 osutatud uus oluline asjaolu, oluline viga või oluline ebatäpsus ilmnes enne avaliku pakkumise perioodi lõppu või väärtpaberite üleandmist, olenevalt sellest, kumb on varasem. Emitent või pakkuja võib kõnealust tähtaega pikendada. Taganemisõiguse kasutamise viimane kuupäev sätestatakse lisas.“;</w:t>
      </w:r>
    </w:p>
    <w:p>
      <w:pPr>
        <w:pStyle w:val="Point1"/>
        <w:rPr>
          <w:noProof/>
        </w:rPr>
      </w:pPr>
      <w:r>
        <w:t>(b)</w:t>
      </w:r>
      <w:r>
        <w:tab/>
      </w:r>
      <w:r>
        <w:rPr>
          <w:noProof/>
        </w:rPr>
        <w:t>lõike 3 esimene ja teine lõik asendatakse järgmistega:</w:t>
      </w:r>
    </w:p>
    <w:p>
      <w:pPr>
        <w:pStyle w:val="Point1"/>
        <w:rPr>
          <w:noProof/>
        </w:rPr>
      </w:pPr>
      <w:r>
        <w:rPr>
          <w:noProof/>
        </w:rPr>
        <w:t>„3.</w:t>
      </w:r>
      <w:r>
        <w:rPr>
          <w:noProof/>
        </w:rPr>
        <w:tab/>
        <w:t>Kui investorid ostavad või märgivad väärtpabereid finantsvahendaja kaudu pärast nende väärtpaberite prospekti kinnitamist, kuid enne pakkumisperioodi lõppemist või reguleeritud turul kauplemise alustamist, olenevalt sellest, kumb leiab aset hiljem, teavitab kõnealune finantsvahendaja asjaomaseid investoreid lisa avaldamise võimalusest, kohast ja ajast ning sellest, et finantsvahendaja aitaks neil sellisel juhul kasutada nende õigust nõustumusest taganeda.</w:t>
      </w:r>
    </w:p>
    <w:p>
      <w:pPr>
        <w:pStyle w:val="Text2"/>
        <w:rPr>
          <w:noProof/>
        </w:rPr>
      </w:pPr>
      <w:r>
        <w:rPr>
          <w:noProof/>
        </w:rPr>
        <w:lastRenderedPageBreak/>
        <w:t>Kui käesoleva lõike esimeses lõigus osutatud investoritel on lõikes 2 osutatud taganemisõigus, võtab finantsvahendaja nende investoritega ühendust ühe tööpäeva jooksul pärast lisa avaldamist.“</w:t>
      </w:r>
    </w:p>
    <w:p>
      <w:pPr>
        <w:pStyle w:val="Point0"/>
        <w:rPr>
          <w:noProof/>
        </w:rPr>
      </w:pPr>
      <w:r>
        <w:t>(8)</w:t>
      </w:r>
      <w:r>
        <w:tab/>
      </w:r>
      <w:r>
        <w:rPr>
          <w:noProof/>
        </w:rPr>
        <w:t>Lisatakse artikkel 47a:</w:t>
      </w:r>
    </w:p>
    <w:p>
      <w:pPr>
        <w:pStyle w:val="NormalCentered"/>
        <w:rPr>
          <w:noProof/>
        </w:rPr>
      </w:pPr>
      <w:r>
        <w:rPr>
          <w:noProof/>
        </w:rPr>
        <w:t xml:space="preserve">„Artikkel 47a </w:t>
      </w:r>
      <w:r>
        <w:rPr>
          <w:noProof/>
        </w:rPr>
        <w:br/>
        <w:t>ELi taasteprospekti ajapiirang</w:t>
      </w:r>
    </w:p>
    <w:p>
      <w:pPr>
        <w:pStyle w:val="Text1"/>
        <w:rPr>
          <w:noProof/>
        </w:rPr>
      </w:pPr>
      <w:r>
        <w:rPr>
          <w:noProof/>
        </w:rPr>
        <w:t xml:space="preserve">Artiklis 14a sätestatud kord aegub [18 kuud pärast käesoleva määruse kohaldamise alguskuupäeva]. </w:t>
      </w:r>
    </w:p>
    <w:p>
      <w:pPr>
        <w:pStyle w:val="Text1"/>
        <w:rPr>
          <w:noProof/>
        </w:rPr>
      </w:pPr>
      <w:r>
        <w:rPr>
          <w:noProof/>
        </w:rPr>
        <w:t>Artikli 14a kohaselt koostatud ELi taasteprospekte, mis on kinnitatud ajavahemikul [käesoleva määruse kohaldamise alguskuupäev] kuni [18 kuud pärast käesoleva määruse kohaldamise alguskuupäeva], reguleeritakse jätkuvalt kooskõlas kõnealuse artikliga kuni nende kehtivusaja lõpuni või kuni kaheteist kuu möödumiseni [18 kuud pärast käesoleva määruse kohaldamise alguskuupäeva], olenevalt sellest, kumb on varem.“</w:t>
      </w:r>
    </w:p>
    <w:p>
      <w:pPr>
        <w:pStyle w:val="Point0"/>
        <w:rPr>
          <w:noProof/>
        </w:rPr>
      </w:pPr>
      <w:r>
        <w:t>(9)</w:t>
      </w:r>
      <w:r>
        <w:tab/>
      </w:r>
      <w:r>
        <w:rPr>
          <w:noProof/>
        </w:rPr>
        <w:t xml:space="preserve">Artikli 48 lõige 2 asendatakse järgmisega: </w:t>
      </w:r>
    </w:p>
    <w:p>
      <w:pPr>
        <w:pStyle w:val="Point1"/>
        <w:rPr>
          <w:noProof/>
        </w:rPr>
      </w:pPr>
      <w:r>
        <w:rPr>
          <w:noProof/>
        </w:rPr>
        <w:t xml:space="preserve">„2. Muu hulgas hinnatakse aruandes, kas prospekti kokkuvõte, artiklites 14, 14a ja 15 sätestatud avalikustamiskorrad ja artiklis 9 osutatud universaalne registreerimisdokument on nende eesmärke arvestades endiselt asjakohased. See aruanne sisaldab eelkõige järgmist: </w:t>
      </w:r>
    </w:p>
    <w:p>
      <w:pPr>
        <w:pStyle w:val="Point2"/>
        <w:rPr>
          <w:noProof/>
        </w:rPr>
      </w:pPr>
      <w:r>
        <w:t>(a)</w:t>
      </w:r>
      <w:r>
        <w:tab/>
      </w:r>
      <w:r>
        <w:rPr>
          <w:noProof/>
        </w:rPr>
        <w:t xml:space="preserve">artikli 15 lõike 1 punktides a–d osutatud nelja kategooriasse kuuluvate isikute ELi kasvuprospektide arv kategooria kaupa ning analüüs iga sellise arvu muutumise kohta ja suundumuste kohta seoses kauplemiskohtade valikuga isikute poolt, kellel on õigus koostada ELi kasvuprospekt; </w:t>
      </w:r>
    </w:p>
    <w:p>
      <w:pPr>
        <w:pStyle w:val="Point2"/>
        <w:rPr>
          <w:noProof/>
        </w:rPr>
      </w:pPr>
      <w:r>
        <w:t>(b)</w:t>
      </w:r>
      <w:r>
        <w:tab/>
      </w:r>
      <w:r>
        <w:rPr>
          <w:noProof/>
        </w:rPr>
        <w:t xml:space="preserve">analüüs selle kohta, kas ELi kasvuprospekt tagab sobiva tasakaalu investorite kaitse ja selle koostamise õigust omavate isikute halduskoormuse vähendamise vahel; </w:t>
      </w:r>
    </w:p>
    <w:p>
      <w:pPr>
        <w:pStyle w:val="Point2"/>
        <w:rPr>
          <w:noProof/>
        </w:rPr>
      </w:pPr>
      <w:r>
        <w:t>(c)</w:t>
      </w:r>
      <w:r>
        <w:tab/>
      </w:r>
      <w:r>
        <w:rPr>
          <w:noProof/>
        </w:rPr>
        <w:t>kinnitatud ELi taasteprospektide arv ja sellise arvu muutumise analüüs;</w:t>
      </w:r>
    </w:p>
    <w:p>
      <w:pPr>
        <w:pStyle w:val="Point2"/>
        <w:rPr>
          <w:noProof/>
        </w:rPr>
      </w:pPr>
      <w:r>
        <w:t>(d)</w:t>
      </w:r>
      <w:r>
        <w:tab/>
      </w:r>
      <w:r>
        <w:rPr>
          <w:noProof/>
        </w:rPr>
        <w:t xml:space="preserve">ELi taasteprospekti koostamise ja kinnitamise kulud võrrelduna praeguste prospekti kuludega ning saavutatud üldine rahaline kokkuhoid; </w:t>
      </w:r>
    </w:p>
    <w:p>
      <w:pPr>
        <w:pStyle w:val="Point2"/>
        <w:rPr>
          <w:noProof/>
        </w:rPr>
      </w:pPr>
      <w:r>
        <w:t>(e)</w:t>
      </w:r>
      <w:r>
        <w:tab/>
      </w:r>
      <w:r>
        <w:rPr>
          <w:noProof/>
        </w:rPr>
        <w:t xml:space="preserve">analüüs selle kohta, kas ELi taasteprospekt tagab sobiva tasakaalu investorite kaitse ja sellise prospekti koostamise õigust omavate isikute halduskoormuse vähendamise vahel;“. </w:t>
      </w:r>
    </w:p>
    <w:p>
      <w:pPr>
        <w:pStyle w:val="Point0"/>
        <w:rPr>
          <w:noProof/>
        </w:rPr>
      </w:pPr>
      <w:r>
        <w:t>(10)</w:t>
      </w:r>
      <w:r>
        <w:tab/>
      </w:r>
      <w:r>
        <w:rPr>
          <w:noProof/>
        </w:rPr>
        <w:t>Käesoleva määruse lisas esitatud tekst lisatakse Va lisana.</w:t>
      </w:r>
    </w:p>
    <w:p>
      <w:pPr>
        <w:pStyle w:val="Titrearticle"/>
        <w:spacing w:before="0" w:after="240"/>
        <w:rPr>
          <w:i w:val="0"/>
          <w:noProof/>
        </w:rPr>
      </w:pPr>
      <w:r>
        <w:rPr>
          <w:noProof/>
        </w:rPr>
        <w:t xml:space="preserve">Artikkel 2 </w:t>
      </w:r>
      <w:r>
        <w:rPr>
          <w:noProof/>
        </w:rPr>
        <w:br/>
      </w:r>
      <w:r>
        <w:rPr>
          <w:b/>
          <w:i w:val="0"/>
          <w:noProof/>
        </w:rPr>
        <w:t>Jõustumine ja kohaldamine</w:t>
      </w:r>
    </w:p>
    <w:p>
      <w:pPr>
        <w:rPr>
          <w:noProof/>
        </w:rPr>
      </w:pPr>
      <w:r>
        <w:rPr>
          <w:noProof/>
        </w:rPr>
        <w:t xml:space="preserve">Käesolev määrus jõustub kahekümnendal päeval pärast selle avaldamist </w:t>
      </w:r>
      <w:r>
        <w:rPr>
          <w:i/>
          <w:iCs/>
          <w:noProof/>
        </w:rPr>
        <w:t>Euroopa Liidu Teatajas</w:t>
      </w:r>
      <w:r>
        <w:rPr>
          <w:noProof/>
        </w:rPr>
        <w:t>.</w:t>
      </w:r>
    </w:p>
    <w:p>
      <w:pPr>
        <w:pStyle w:val="Applicationdirecte"/>
        <w:keepNext/>
        <w:keepLines/>
        <w:rPr>
          <w:noProof/>
        </w:rPr>
      </w:pPr>
      <w:r>
        <w:rPr>
          <w:noProof/>
        </w:rPr>
        <w:lastRenderedPageBreak/>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Komisjoni 13. märtsi 2020. aasta teatis Euroopa Parlamendile, Euroopa Ülemkogule, nõukogule, Euroopa Keskpangale, Euroopa Investeerimispangale ja eurorühmale „Euroopa koordineeritud majanduslikud meetmed COVID-19 puhangule reageerimiseks“ (COM(2020) 112 final).</w:t>
      </w:r>
    </w:p>
  </w:footnote>
  <w:footnote w:id="2">
    <w:p>
      <w:pPr>
        <w:pStyle w:val="FootnoteText"/>
      </w:pPr>
      <w:r>
        <w:rPr>
          <w:rStyle w:val="FootnoteReference"/>
        </w:rPr>
        <w:footnoteRef/>
      </w:r>
      <w:r>
        <w:tab/>
        <w:t>Komisjoni 27. mai 2020. aasta teatis Euroopa Parlamendile, Euroopa Ülemkogule, nõukogule, Euroopa Majandus- ja Sotsiaalkomiteele ning Regioonide Komiteele „Euroopa võimalus: parandame vead ja teeme ettevalmistusi järgmise põlvkonna jaoks“ (COM(2020) 456 final).</w:t>
      </w:r>
    </w:p>
  </w:footnote>
  <w:footnote w:id="3">
    <w:p>
      <w:pPr>
        <w:pStyle w:val="FootnoteText"/>
      </w:pPr>
      <w:r>
        <w:rPr>
          <w:rStyle w:val="FootnoteReference"/>
        </w:rPr>
        <w:footnoteRef/>
      </w:r>
      <w:r>
        <w:tab/>
        <w:t>Euroopa Parlamendi ja nõukogu 14. juuni 2017. aasta määrus (EL) 2017/1129, mis käsitleb väärtpaberite avalikul pakkumisel või reguleeritud turul kauplemisele võtmisel avaldatavat prospekti ning millega tunnistatakse kehtetuks direktiiv 2003/71/EÜ (ELT L 168, 30.6.2017, lk 12).</w:t>
      </w:r>
    </w:p>
  </w:footnote>
  <w:footnote w:id="4">
    <w:p>
      <w:pPr>
        <w:pStyle w:val="FootnoteText"/>
      </w:pPr>
      <w:r>
        <w:rPr>
          <w:rStyle w:val="FootnoteReference"/>
        </w:rPr>
        <w:footnoteRef/>
      </w:r>
      <w:r>
        <w:tab/>
        <w:t>Euroopa Parlamendi ja nõukogu 15. detsembri 2004. aasta direktiiv 2004/109/EÜ läbipaistvuse nõuete ühtlustamise kohta teabele, mis kuulub avaldamisele emitentide kohta, kelle väärtpaberid on lubatud reguleeritud turul kauplemisele, ning millega muudetakse direktiivi 2001/34/EÜ (ELT L 390, 31.12.2004, lk 38).</w:t>
      </w:r>
    </w:p>
  </w:footnote>
  <w:footnote w:id="5">
    <w:p>
      <w:pPr>
        <w:pStyle w:val="FootnoteText"/>
      </w:pPr>
      <w:r>
        <w:rPr>
          <w:rStyle w:val="FootnoteReference"/>
        </w:rPr>
        <w:footnoteRef/>
      </w:r>
      <w:r>
        <w:tab/>
        <w:t>Komisjoni 25. aprilli 2016. aasta delegeeritud määrus (EL) 2017/565, millega täiendatakse Euroopa Parlamendi ja nõukogu direktiivi 2014/65/EL seoses investeerimisühingute suhtes kohaldatavate organisatsiooniliste nõuete ja tegutsemistingimustega ning nimetatud direktiivi jaoks määratletud mõistetega (ELT L 87, 31.3.2017, lk 1).</w:t>
      </w:r>
    </w:p>
  </w:footnote>
  <w:footnote w:id="6">
    <w:p>
      <w:pPr>
        <w:pStyle w:val="FootnoteText"/>
      </w:pPr>
      <w:r>
        <w:rPr>
          <w:rStyle w:val="FootnoteReference"/>
        </w:rPr>
        <w:footnoteRef/>
      </w:r>
      <w:r>
        <w:tab/>
        <w:t>Euroopa Parlamendi ja nõukogu 16. aprilli 2014. aasta määrus (EL) nr 596/2014, mis käsitleb turukuritarvitusi (turukuritarvituse määrus) ning millega tunnistatakse kehtetuks Euroopa Parlamendi ja nõukogu direktiiv 2003/6/EÜ ja komisjoni direktiivid 2003/124/EÜ, 2003/125/EÜ ja 2004/72/EÜ (ELT L 173, 12.6.2014, lk 1).</w:t>
      </w:r>
    </w:p>
  </w:footnote>
  <w:footnote w:id="7">
    <w:p>
      <w:pPr>
        <w:pStyle w:val="FootnoteText"/>
      </w:pPr>
      <w:r>
        <w:rPr>
          <w:rStyle w:val="FootnoteReference"/>
        </w:rPr>
        <w:footnoteRef/>
      </w:r>
      <w:r>
        <w:tab/>
        <w:t>Euroopa Parlamendi ja nõukogu 15. mai 2014. aasta direktiiv 2014/65/EL finantsinstrumentide turgude kohta ning millega muudetakse direktiive 2002/92/EÜ ja 2011/61/EL (ELT L 173, 12.6.2014, lk 349).</w:t>
      </w:r>
    </w:p>
  </w:footnote>
  <w:footnote w:id="8">
    <w:p>
      <w:pPr>
        <w:pStyle w:val="FootnoteText"/>
      </w:pPr>
      <w:r>
        <w:rPr>
          <w:rStyle w:val="FootnoteReference"/>
        </w:rPr>
        <w:footnoteRef/>
      </w:r>
      <w:r>
        <w:tab/>
        <w:t>Euroopa Parlamendi ja nõukogu 12. detsembri 2017. aasta määrus (EL) 2017/2402, millega kehtestatakse väärtpaberistamise üldnormid ning luuakse lihtsa, läbipaistva ja standarditud väärtpaberistamise erinormid ning millega muudetakse direktiive 2009/65/EÜ, 2009/138/EÜ ja 2011/61/EL ning määrusi (EÜ) nr 1060/2009 ja (EL) nr 648/2012.</w:t>
      </w:r>
    </w:p>
  </w:footnote>
  <w:footnote w:id="9">
    <w:p>
      <w:pPr>
        <w:pStyle w:val="FootnoteText"/>
      </w:pPr>
      <w:r>
        <w:rPr>
          <w:rStyle w:val="FootnoteReference"/>
        </w:rPr>
        <w:footnoteRef/>
      </w:r>
      <w:r>
        <w:tab/>
        <w:t>Euroopa Parlamendi ja nõukogu 26. juuni 2013. aasta määrus (EL) nr 575/2013 krediidiasutuste ja investeerimisühingute suhtes kohaldatavate usaldatavusnõuete kohta ja määruse (EL) nr 648/2012 muutmise kohta.</w:t>
      </w:r>
    </w:p>
  </w:footnote>
  <w:footnote w:id="10">
    <w:p>
      <w:pPr>
        <w:pStyle w:val="FootnoteText"/>
      </w:pPr>
      <w:r>
        <w:rPr>
          <w:rStyle w:val="FootnoteReference"/>
        </w:rPr>
        <w:footnoteRef/>
      </w:r>
      <w:r>
        <w:tab/>
      </w:r>
      <w:hyperlink r:id="rId1" w:history="1">
        <w:r>
          <w:rPr>
            <w:rStyle w:val="Hyperlink"/>
          </w:rPr>
          <w:t>https://ec.europa.eu/info/files/200610-cmu-high-level-forum-final-report_et</w:t>
        </w:r>
      </w:hyperlink>
      <w:r>
        <w:t xml:space="preserve"> </w:t>
      </w:r>
    </w:p>
  </w:footnote>
  <w:footnote w:id="11">
    <w:p>
      <w:pPr>
        <w:pStyle w:val="FootnoteText"/>
      </w:pPr>
      <w:r>
        <w:rPr>
          <w:rStyle w:val="FootnoteReference"/>
        </w:rPr>
        <w:footnoteRef/>
      </w:r>
      <w:r>
        <w:tab/>
        <w:t>Euroopa Parlamendi ja nõukogu 27. novembri 2019. aasta määrus (EL) 2019/2115, millega muudetakse direktiivi 2014/65/EL ja määruseid (EL) nr 596/2014 ning (EL) 2017/1129 VKEde kasvuturgude kasutamise edendamise osas (ELT L 320, 11.12.2019, lk 1).</w:t>
      </w:r>
    </w:p>
  </w:footnote>
  <w:footnote w:id="12">
    <w:p>
      <w:pPr>
        <w:pStyle w:val="FootnoteText"/>
      </w:pPr>
      <w:r>
        <w:rPr>
          <w:rStyle w:val="FootnoteReference"/>
        </w:rPr>
        <w:footnoteRef/>
      </w:r>
      <w:r>
        <w:tab/>
        <w:t>Vodafone´i kohtuasi C-58/08: „Kui EÜ artiklil 95 põhineva aktiga on kõrvaldatud kõik takistused kaubavahetusele valdkonnas, mille ühtlustamiseks see on vastu võetud, ei saa ühenduse seadusandjalt võtta võimalust kohandada seda akti vastavalt sellele, kuidas on muutunud asjaolud või arenenud edasi teadmised, arvestades et tema ülesanne on tagada asutamislepingust tulenevate üldiste huvide kaitse“.</w:t>
      </w:r>
    </w:p>
  </w:footnote>
  <w:footnote w:id="13">
    <w:p>
      <w:pPr>
        <w:pStyle w:val="FootnoteText"/>
      </w:pPr>
      <w:r>
        <w:rPr>
          <w:rStyle w:val="FootnoteReference"/>
        </w:rPr>
        <w:footnoteRef/>
      </w:r>
      <w:r>
        <w:tab/>
        <w:t>COM(2020) 456 final, 27.5.2020.</w:t>
      </w:r>
    </w:p>
  </w:footnote>
  <w:footnote w:id="14">
    <w:p>
      <w:pPr>
        <w:pStyle w:val="FootnoteText"/>
      </w:pPr>
      <w:r>
        <w:rPr>
          <w:rStyle w:val="FootnoteReference"/>
        </w:rPr>
        <w:footnoteRef/>
      </w:r>
      <w:r>
        <w:tab/>
        <w:t>Euroopa Parlamendi ja nõukogu 14. juuni 2017. aasta määrus (EL) 2017/1129, mis käsitleb väärtpaberite avalikul pakkumisel või reguleeritud turul kauplemisele võtmisel avaldatavat prospekti ning millega tunnistatakse kehtetuks direktiiv 2003/71/EÜ (ELT L 168, 30.6.2017, lk 12).</w:t>
      </w:r>
    </w:p>
  </w:footnote>
  <w:footnote w:id="15">
    <w:p>
      <w:pPr>
        <w:pStyle w:val="FootnoteText"/>
      </w:pPr>
      <w:r>
        <w:rPr>
          <w:rStyle w:val="FootnoteReference"/>
        </w:rPr>
        <w:footnoteRef/>
      </w:r>
      <w:r>
        <w:tab/>
        <w:t>Euroopa Parlamendi ja nõukogu 16. aprilli 2014. aasta määrus (EL) nr 596/2014, mis käsitleb turukuritarvitusi (turukuritarvituse määrus) ning millega tunnistatakse kehtetuks Euroopa Parlamendi ja nõukogu direktiiv 2003/6/EÜ ja komisjoni direktiivid 2003/124/EÜ, 2003/125/EÜ ja 2004/72/EÜ (ELT L 173, 12.6.2014, lk 1).</w:t>
      </w:r>
    </w:p>
  </w:footnote>
  <w:footnote w:id="16">
    <w:p>
      <w:pPr>
        <w:pStyle w:val="FootnoteText"/>
      </w:pPr>
      <w:r>
        <w:rPr>
          <w:rStyle w:val="FootnoteReference"/>
        </w:rPr>
        <w:footnoteRef/>
      </w:r>
      <w:r>
        <w:tab/>
        <w:t>Euroopa Parlamendi ja nõukogu 15. detsembri 2004. aasta direktiiv 2004/109/EÜ läbipaistvuse nõuete ühtlustamise kohta teabele, mis kuulub avaldamisele emitentide kohta, kelle väärtpaberid on lubatud reguleeritud turul kauplemisele, ning millega muudetakse direktiivi 2001/34/EÜ (ELT L 390, 31.12.2004, lk 38).</w:t>
      </w:r>
    </w:p>
  </w:footnote>
  <w:footnote w:id="17">
    <w:p>
      <w:pPr>
        <w:pStyle w:val="FootnoteText"/>
      </w:pPr>
      <w:r>
        <w:rPr>
          <w:rStyle w:val="FootnoteReference"/>
        </w:rPr>
        <w:footnoteRef/>
      </w:r>
      <w:r>
        <w:tab/>
        <w:t>Komisjoni 25. aprilli 2016. aasta delegeeritud määrus (EL) 2017/565, millega täiendatakse Euroopa Parlamendi ja nõukogu direktiivi 2014/65/EL seoses investeerimisühingute suhtes kohaldatavate organisatsiooniliste nõuete ja tegutsemistingimustega ning nimetatud direktiivi jaoks määratletud mõistetega (ELT L 87, 31.3.2017, lk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24"/>
  </w:num>
  <w:num w:numId="24">
    <w:abstractNumId w:val="6"/>
  </w:num>
  <w:num w:numId="25">
    <w:abstractNumId w:val="12"/>
  </w:num>
  <w:num w:numId="26">
    <w:abstractNumId w:val="4"/>
  </w:num>
  <w:num w:numId="27">
    <w:abstractNumId w:val="23"/>
  </w:num>
  <w:num w:numId="28">
    <w:abstractNumId w:val="3"/>
  </w:num>
  <w:num w:numId="29">
    <w:abstractNumId w:val="13"/>
  </w:num>
  <w:num w:numId="30">
    <w:abstractNumId w:val="19"/>
  </w:num>
  <w:num w:numId="31">
    <w:abstractNumId w:val="20"/>
  </w:num>
  <w:num w:numId="32">
    <w:abstractNumId w:val="5"/>
  </w:num>
  <w:num w:numId="33">
    <w:abstractNumId w:val="17"/>
  </w:num>
  <w:num w:numId="34">
    <w:abstractNumId w:val="2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1"/>
  </w:num>
  <w:num w:numId="38">
    <w:abstractNumId w:val="24"/>
  </w:num>
  <w:num w:numId="39">
    <w:abstractNumId w:val="6"/>
  </w:num>
  <w:num w:numId="40">
    <w:abstractNumId w:val="12"/>
  </w:num>
  <w:num w:numId="41">
    <w:abstractNumId w:val="4"/>
  </w:num>
  <w:num w:numId="42">
    <w:abstractNumId w:val="23"/>
  </w:num>
  <w:num w:numId="43">
    <w:abstractNumId w:val="3"/>
  </w:num>
  <w:num w:numId="44">
    <w:abstractNumId w:val="13"/>
  </w:num>
  <w:num w:numId="45">
    <w:abstractNumId w:val="19"/>
  </w:num>
  <w:num w:numId="46">
    <w:abstractNumId w:val="20"/>
  </w:num>
  <w:num w:numId="47">
    <w:abstractNumId w:val="5"/>
  </w:num>
  <w:num w:numId="48">
    <w:abstractNumId w:val="17"/>
  </w:num>
  <w:num w:numId="49">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0 11:15: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088430B-18CE-4EC6-941F-7EFA4F4A1815"/>
    <w:docVar w:name="LW_COVERPAGE_TYPE" w:val="1"/>
    <w:docVar w:name="LW_CROSSREFERENCE" w:val="{SWD(2020) 120 final}"/>
    <w:docVar w:name="LW_DocType" w:val="COM"/>
    <w:docVar w:name="LW_EMISSION" w:val="24.7.2020"/>
    <w:docVar w:name="LW_EMISSION_ISODATE" w:val="2020-07-24"/>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155"/>
    <w:docVar w:name="LW_REF.II.NEW.CP_YEAR" w:val="2020"/>
    <w:docVar w:name="LW_REF.INST.NEW" w:val="COM"/>
    <w:docVar w:name="LW_REF.INST.NEW_ADOPTED" w:val="final"/>
    <w:docVar w:name="LW_REF.INST.NEW_TEXT" w:val="(2020) 2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ga muudetakse määrust (EL) 2017/1129 seoses ELi taasteprospektiga ja sihipäraste kohandustega finantsvahendajate jaoks, et aidata kaasa COVID-19 pandeemiast taastumisele"/>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t-E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Sti-art">
    <w:name w:val="Sti-art"/>
    <w:basedOn w:val="Normal"/>
    <w:pPr>
      <w:ind w:left="3730" w:firstLine="590"/>
    </w:pPr>
  </w:style>
  <w:style w:type="paragraph" w:customStyle="1" w:styleId="Tri-art">
    <w:name w:val="Tri-art"/>
    <w:basedOn w:val="Point0number"/>
    <w:pPr>
      <w:numPr>
        <w:numId w:val="0"/>
      </w:numPr>
      <w:tabs>
        <w:tab w:val="left" w:pos="720"/>
      </w:tabs>
      <w:ind w:left="850" w:right="568"/>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Quotetext">
    <w:name w:val="Quote text"/>
    <w:basedOn w:val="QuotedNumPar"/>
    <w:pPr>
      <w:tabs>
        <w:tab w:val="left" w:pos="1134"/>
      </w:tabs>
      <w:ind w:left="1134" w:right="568"/>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t-E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Sti-art">
    <w:name w:val="Sti-art"/>
    <w:basedOn w:val="Normal"/>
    <w:pPr>
      <w:ind w:left="3730" w:firstLine="590"/>
    </w:pPr>
  </w:style>
  <w:style w:type="paragraph" w:customStyle="1" w:styleId="Tri-art">
    <w:name w:val="Tri-art"/>
    <w:basedOn w:val="Point0number"/>
    <w:pPr>
      <w:numPr>
        <w:numId w:val="0"/>
      </w:numPr>
      <w:tabs>
        <w:tab w:val="left" w:pos="720"/>
      </w:tabs>
      <w:ind w:left="850" w:right="568"/>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Quotetext">
    <w:name w:val="Quote text"/>
    <w:basedOn w:val="QuotedNumPar"/>
    <w:pPr>
      <w:tabs>
        <w:tab w:val="left" w:pos="1134"/>
      </w:tabs>
      <w:ind w:left="1134" w:right="568"/>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iles/200610-cmu-high-level-forum-final-report_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17</Pages>
  <Words>4767</Words>
  <Characters>35995</Characters>
  <Application>Microsoft Office Word</Application>
  <DocSecurity>0</DocSecurity>
  <Lines>571</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dcterms:created xsi:type="dcterms:W3CDTF">2020-08-05T08:21:00Z</dcterms:created>
  <dcterms:modified xsi:type="dcterms:W3CDTF">2020-08-10T09:15:00Z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