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729C045F-82D0-4869-9DFC-519591FE05A1" style="width:450.4pt;height:397.6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PŘÍLOHA</w:t>
      </w:r>
    </w:p>
    <w:p>
      <w:pPr>
        <w:pStyle w:val="NormalCentered"/>
        <w:rPr>
          <w:noProof/>
        </w:rPr>
      </w:pPr>
      <w:r>
        <w:rPr>
          <w:noProof/>
        </w:rPr>
        <w:t>„PŘÍLOHA Va</w:t>
      </w:r>
    </w:p>
    <w:p>
      <w:pPr>
        <w:pStyle w:val="NormalCentered"/>
        <w:rPr>
          <w:b/>
          <w:noProof/>
        </w:rPr>
      </w:pPr>
      <w:r>
        <w:rPr>
          <w:b/>
          <w:noProof/>
        </w:rPr>
        <w:t>MINIMÁLNÍ INFORMACE, KTERÉ MAJÍ BÝT UVEDENY V PROSPEKTU EU PRO OŽIVENÍ</w:t>
      </w:r>
    </w:p>
    <w:p>
      <w:pPr>
        <w:pStyle w:val="QuotedNumPar"/>
        <w:rPr>
          <w:b/>
          <w:noProof/>
        </w:rPr>
      </w:pPr>
      <w:r>
        <w:rPr>
          <w:b/>
          <w:noProof/>
        </w:rPr>
        <w:t>I.</w:t>
      </w:r>
      <w:r>
        <w:rPr>
          <w:noProof/>
        </w:rPr>
        <w:tab/>
      </w:r>
      <w:r>
        <w:rPr>
          <w:b/>
          <w:noProof/>
        </w:rPr>
        <w:t>Název emitenta, členský stát registrace, odkaz na internetovou stránku emitenta</w:t>
      </w:r>
    </w:p>
    <w:p>
      <w:pPr>
        <w:pStyle w:val="Text2"/>
        <w:rPr>
          <w:noProof/>
        </w:rPr>
      </w:pPr>
      <w:r>
        <w:rPr>
          <w:noProof/>
        </w:rPr>
        <w:t>Účelem je identifikovat společnost vydávající akcie, včetně jejího identifikačního označení právnické osoby (LEI), jejího členského státu registrace a internetových stránek, kde mohou investoři najít informace o podnikání společnosti, o produktech, které produkuje, nebo o službách, které poskytuje, o hlavních trzích, na nichž soutěží, o její organizační struktuře a případně informace začleněné formou odkazu.</w:t>
      </w:r>
    </w:p>
    <w:p>
      <w:pPr>
        <w:pStyle w:val="QuotedNumPar"/>
        <w:rPr>
          <w:b/>
          <w:noProof/>
        </w:rPr>
      </w:pPr>
      <w:r>
        <w:rPr>
          <w:b/>
          <w:noProof/>
        </w:rPr>
        <w:t>II.</w:t>
      </w:r>
      <w:r>
        <w:rPr>
          <w:noProof/>
        </w:rPr>
        <w:tab/>
      </w:r>
      <w:r>
        <w:rPr>
          <w:b/>
          <w:noProof/>
        </w:rPr>
        <w:t>Prohlášení o odpovědnosti</w:t>
      </w:r>
    </w:p>
    <w:p>
      <w:pPr>
        <w:pStyle w:val="Text2"/>
        <w:rPr>
          <w:noProof/>
        </w:rPr>
      </w:pPr>
      <w:r>
        <w:rPr>
          <w:noProof/>
        </w:rPr>
        <w:t xml:space="preserve">Účelem je identifikovat osoby odpovědné za vypracování prospektu EU pro oživení a zahrnout do něj jejich prohlášení, že podle jejich nejlepšího vědomí jsou informace obsažené v prospektu EU pro oživení správné a že v tomto prospektu EU nebyly zamlčeny žádné skutečnosti, které by mohly změnit význam prospektu. </w:t>
      </w:r>
    </w:p>
    <w:p>
      <w:pPr>
        <w:pStyle w:val="Text2"/>
        <w:rPr>
          <w:noProof/>
        </w:rPr>
      </w:pPr>
      <w:r>
        <w:rPr>
          <w:noProof/>
        </w:rPr>
        <w:t xml:space="preserve">Prohlášení případně obsahuje informace pocházející od třetích stran, včetně zdroje (zdrojů) těchto informací, a prohlášení nebo zprávy připsané určité osobě jako znalci a následující údaje o této osobě: </w:t>
      </w:r>
    </w:p>
    <w:p>
      <w:pPr>
        <w:pStyle w:val="Text2"/>
        <w:rPr>
          <w:noProof/>
        </w:rPr>
      </w:pPr>
      <w:r>
        <w:rPr>
          <w:noProof/>
        </w:rPr>
        <w:t>a) jméno;</w:t>
      </w:r>
    </w:p>
    <w:p>
      <w:pPr>
        <w:pStyle w:val="Text2"/>
        <w:rPr>
          <w:noProof/>
        </w:rPr>
      </w:pPr>
      <w:r>
        <w:rPr>
          <w:noProof/>
        </w:rPr>
        <w:t xml:space="preserve">b) bydliště/sídlo; </w:t>
      </w:r>
    </w:p>
    <w:p>
      <w:pPr>
        <w:pStyle w:val="Text2"/>
        <w:rPr>
          <w:noProof/>
        </w:rPr>
      </w:pPr>
      <w:r>
        <w:rPr>
          <w:noProof/>
        </w:rPr>
        <w:t xml:space="preserve">c) kvalifikace a </w:t>
      </w:r>
    </w:p>
    <w:p>
      <w:pPr>
        <w:pStyle w:val="Text2"/>
        <w:rPr>
          <w:noProof/>
        </w:rPr>
      </w:pPr>
      <w:r>
        <w:rPr>
          <w:noProof/>
        </w:rPr>
        <w:t>d) (případný) podstatný zájem v emitentovi.</w:t>
      </w:r>
    </w:p>
    <w:p>
      <w:pPr>
        <w:pStyle w:val="Text2"/>
        <w:rPr>
          <w:noProof/>
        </w:rPr>
      </w:pPr>
      <w:r>
        <w:rPr>
          <w:noProof/>
        </w:rPr>
        <w:t>V tomto prohlášení musí být uveden příslušný orgán, který prospekt EU pro oživení schválil, a musí v něm být uvedeno, že toto schválení není potvrzením emitenta a že byl prospekt EU pro oživení vypracován v souladu s článkem 14a.</w:t>
      </w:r>
    </w:p>
    <w:p>
      <w:pPr>
        <w:pStyle w:val="QuotedNumPar"/>
        <w:rPr>
          <w:b/>
          <w:noProof/>
        </w:rPr>
      </w:pPr>
      <w:r>
        <w:rPr>
          <w:b/>
          <w:noProof/>
        </w:rPr>
        <w:t>III.</w:t>
      </w:r>
      <w:r>
        <w:rPr>
          <w:noProof/>
        </w:rPr>
        <w:tab/>
      </w:r>
      <w:r>
        <w:rPr>
          <w:b/>
          <w:noProof/>
        </w:rPr>
        <w:t>Rizikové faktory</w:t>
      </w:r>
    </w:p>
    <w:p>
      <w:pPr>
        <w:pStyle w:val="Text2"/>
        <w:rPr>
          <w:noProof/>
        </w:rPr>
      </w:pPr>
      <w:r>
        <w:rPr>
          <w:noProof/>
        </w:rPr>
        <w:t>Účelem je popsat nejvýznamnější rizika, která jsou pro emitenta a akcie specifická.</w:t>
      </w:r>
    </w:p>
    <w:p>
      <w:pPr>
        <w:pStyle w:val="QuotedNumPar"/>
        <w:rPr>
          <w:b/>
          <w:noProof/>
        </w:rPr>
      </w:pPr>
      <w:r>
        <w:rPr>
          <w:b/>
          <w:noProof/>
        </w:rPr>
        <w:t>IV.</w:t>
      </w:r>
      <w:r>
        <w:rPr>
          <w:noProof/>
        </w:rPr>
        <w:tab/>
      </w:r>
      <w:r>
        <w:rPr>
          <w:b/>
          <w:noProof/>
        </w:rPr>
        <w:t>Účetní závěrka</w:t>
      </w:r>
    </w:p>
    <w:p>
      <w:pPr>
        <w:pStyle w:val="Text2"/>
        <w:rPr>
          <w:noProof/>
        </w:rPr>
      </w:pPr>
      <w:r>
        <w:rPr>
          <w:noProof/>
        </w:rPr>
        <w:t xml:space="preserve">Účetní závěrka (roční a pololetní) musí být zveřejněna za dobu dvanácti měsíců před schválením prospektu EU pro oživení. Pokud byla zveřejněna roční i pololetní účetní závěrka, je vyžadována pouze roční závěrka v případě, že je pozdějšího data než pololetní účetní závěrka. </w:t>
      </w:r>
    </w:p>
    <w:p>
      <w:pPr>
        <w:pStyle w:val="Text2"/>
        <w:rPr>
          <w:noProof/>
        </w:rPr>
      </w:pPr>
      <w:r>
        <w:rPr>
          <w:noProof/>
        </w:rPr>
        <w:lastRenderedPageBreak/>
        <w:t>Roční účetní závěrka musí být nezávisle auditována. Zpráva auditora musí být vypracována v souladu se směrnicí Evropského parlamentu a Rady 2006/43/ES</w:t>
      </w:r>
      <w:r>
        <w:rPr>
          <w:rStyle w:val="FootnoteReference"/>
          <w:noProof/>
          <w:lang w:eastAsia="en-GB"/>
        </w:rPr>
        <w:footnoteReference w:id="2"/>
      </w:r>
      <w:r>
        <w:rPr>
          <w:noProof/>
        </w:rPr>
        <w:t xml:space="preserve"> a nařízením Evropského parlamentu a Rady (EU) č. 537/2014</w:t>
      </w:r>
      <w:r>
        <w:rPr>
          <w:rStyle w:val="FootnoteReference"/>
          <w:noProof/>
          <w:lang w:eastAsia="en-GB"/>
        </w:rPr>
        <w:footnoteReference w:id="3"/>
      </w:r>
      <w:r>
        <w:rPr>
          <w:noProof/>
        </w:rPr>
        <w:t>.</w:t>
      </w:r>
    </w:p>
    <w:p>
      <w:pPr>
        <w:pStyle w:val="Text2"/>
        <w:rPr>
          <w:noProof/>
        </w:rPr>
      </w:pPr>
      <w:r>
        <w:rPr>
          <w:noProof/>
        </w:rPr>
        <w:t>Pakliže se směrnice 2006/43/ES a nařízení (EU) č. 537/2014 nepoužijí, roční finanční závěrka musí být auditována nebo musí být podána zpráva o tom, zda pro účely prospektu EU pro oživení podává věrný a pravdivý obraz v souladu se standardy pro audit platnými v členském státě nebo s rovnocenným standardem. V opačném případě musí být do prospektu EU pro oživení zařazeny tyto údaje:</w:t>
      </w:r>
    </w:p>
    <w:p>
      <w:pPr>
        <w:pStyle w:val="Point2"/>
        <w:rPr>
          <w:noProof/>
        </w:rPr>
      </w:pPr>
      <w:r>
        <w:rPr>
          <w:noProof/>
        </w:rPr>
        <w:t>a)</w:t>
      </w:r>
      <w:r>
        <w:rPr>
          <w:noProof/>
        </w:rPr>
        <w:tab/>
        <w:t>jasné prohlášení o tom, jaké auditorské standardy byly použity;</w:t>
      </w:r>
    </w:p>
    <w:p>
      <w:pPr>
        <w:pStyle w:val="Point2"/>
        <w:rPr>
          <w:noProof/>
        </w:rPr>
      </w:pPr>
      <w:r>
        <w:rPr>
          <w:noProof/>
        </w:rPr>
        <w:t>b)</w:t>
      </w:r>
      <w:r>
        <w:rPr>
          <w:noProof/>
        </w:rPr>
        <w:tab/>
        <w:t>vysvětlení všech významných odchylek od mezinárodních auditorských standardů;</w:t>
      </w:r>
    </w:p>
    <w:p>
      <w:pPr>
        <w:pStyle w:val="Text2"/>
        <w:rPr>
          <w:noProof/>
        </w:rPr>
      </w:pPr>
      <w:r>
        <w:rPr>
          <w:noProof/>
        </w:rPr>
        <w:t>Pokud statutární auditoři odmítli zprávy auditora o roční účetní závěrce nebo pokud zprávy obsahují výhrady, úpravy výroku, odmítnutí výroku nebo zdůraznění skutečnosti, musí být uvedeno odůvodnění a tyto výhrady, úpravy výroku, odmítnutí výroku nebo zdůraznění skutečnosti musí být reprodukovány v plném rozsahu.</w:t>
      </w:r>
    </w:p>
    <w:p>
      <w:pPr>
        <w:pStyle w:val="Text2"/>
        <w:rPr>
          <w:noProof/>
        </w:rPr>
      </w:pPr>
      <w:r>
        <w:rPr>
          <w:noProof/>
        </w:rPr>
        <w:t xml:space="preserve">Musí být také zařazen popis každé významné změny finanční situace skupiny, ke které došlo od konce posledního účetního období, za které byla zveřejněna auditovaná účetní závěrka nebo mezitímní finanční údaje, nebo musí být zařazeno prohlášení, že k takové změně nedošlo. </w:t>
      </w:r>
    </w:p>
    <w:p>
      <w:pPr>
        <w:pStyle w:val="Text2"/>
        <w:rPr>
          <w:noProof/>
        </w:rPr>
      </w:pPr>
      <w:r>
        <w:rPr>
          <w:noProof/>
        </w:rPr>
        <w:t>V příslušných případech se zařadí pro forma informace.</w:t>
      </w:r>
    </w:p>
    <w:p>
      <w:pPr>
        <w:pStyle w:val="QuotedNumPar"/>
        <w:rPr>
          <w:b/>
          <w:noProof/>
        </w:rPr>
      </w:pPr>
      <w:r>
        <w:rPr>
          <w:b/>
          <w:noProof/>
        </w:rPr>
        <w:t>V.</w:t>
      </w:r>
      <w:r>
        <w:rPr>
          <w:noProof/>
        </w:rPr>
        <w:tab/>
      </w:r>
      <w:r>
        <w:rPr>
          <w:b/>
          <w:noProof/>
        </w:rPr>
        <w:t>Údaje o trendech</w:t>
      </w:r>
    </w:p>
    <w:p>
      <w:pPr>
        <w:pStyle w:val="Text2"/>
        <w:rPr>
          <w:noProof/>
        </w:rPr>
      </w:pPr>
      <w:r>
        <w:rPr>
          <w:noProof/>
        </w:rPr>
        <w:t xml:space="preserve">Účelem je zařadit: </w:t>
      </w:r>
    </w:p>
    <w:p>
      <w:pPr>
        <w:pStyle w:val="Point2"/>
        <w:rPr>
          <w:noProof/>
        </w:rPr>
      </w:pPr>
      <w:r>
        <w:rPr>
          <w:noProof/>
        </w:rPr>
        <w:t>a)</w:t>
      </w:r>
      <w:r>
        <w:rPr>
          <w:noProof/>
        </w:rPr>
        <w:tab/>
        <w:t xml:space="preserve">popis nejvýznamnějších posledních trendů ve výrobě, prodeji a zásobách a nákladech a prodejních cenách od konce posledního účetního roku do data prospektu EU pro oživení; </w:t>
      </w:r>
    </w:p>
    <w:p>
      <w:pPr>
        <w:pStyle w:val="Point2"/>
        <w:rPr>
          <w:noProof/>
        </w:rPr>
      </w:pPr>
      <w:r>
        <w:rPr>
          <w:noProof/>
        </w:rPr>
        <w:t>b)</w:t>
      </w:r>
      <w:r>
        <w:rPr>
          <w:noProof/>
        </w:rPr>
        <w:tab/>
        <w:t>údaje o všech známých trendech, nejistotách, poptávkách, závazcích nebo událostech, které by s přiměřenou pravděpodobností mohly mít významný vliv na vyhlídky emitenta nejméně na běžný účetní rok.</w:t>
      </w:r>
    </w:p>
    <w:p>
      <w:pPr>
        <w:pStyle w:val="QuotedNumPar"/>
        <w:rPr>
          <w:b/>
          <w:noProof/>
        </w:rPr>
      </w:pPr>
      <w:r>
        <w:rPr>
          <w:b/>
          <w:noProof/>
        </w:rPr>
        <w:t>VI.</w:t>
      </w:r>
      <w:r>
        <w:rPr>
          <w:noProof/>
        </w:rPr>
        <w:tab/>
      </w:r>
      <w:r>
        <w:rPr>
          <w:b/>
          <w:noProof/>
        </w:rPr>
        <w:t>Konečná nabídková cena a objem akcií, včetně pevného závazku akcionářů nad 5 % a jmen upisovatelů</w:t>
      </w:r>
    </w:p>
    <w:p>
      <w:pPr>
        <w:pStyle w:val="Text2"/>
        <w:rPr>
          <w:noProof/>
        </w:rPr>
      </w:pPr>
      <w:r>
        <w:rPr>
          <w:noProof/>
        </w:rPr>
        <w:t>Účelem je uvést konkrétní informace o protiplnění za nabízené akcie a předložit informace o pevných závazcích hlavních akcionářů k upsání více než 5 % nabídky a o dohodě o upisování.</w:t>
      </w:r>
    </w:p>
    <w:p>
      <w:pPr>
        <w:pStyle w:val="QuotedNumPar"/>
        <w:rPr>
          <w:b/>
          <w:noProof/>
        </w:rPr>
      </w:pPr>
      <w:r>
        <w:rPr>
          <w:b/>
          <w:noProof/>
        </w:rPr>
        <w:t>VII.</w:t>
      </w:r>
      <w:r>
        <w:rPr>
          <w:noProof/>
        </w:rPr>
        <w:tab/>
      </w:r>
      <w:r>
        <w:rPr>
          <w:b/>
          <w:noProof/>
        </w:rPr>
        <w:t>Kdy a kde upsat akcie</w:t>
      </w:r>
    </w:p>
    <w:p>
      <w:pPr>
        <w:pStyle w:val="Text2"/>
        <w:rPr>
          <w:noProof/>
        </w:rPr>
      </w:pPr>
      <w:r>
        <w:rPr>
          <w:noProof/>
        </w:rPr>
        <w:tab/>
        <w:t>Účelem je poskytnout mezinárodní identifikační číslo cenného papíru („ISIN“) a další podstatné informace o veřejně nabízených akciích a poskytnout informace o tom, kde mohou být akcie upsány, jakož i o období, včetně případných změn, během něhož bude nabídka otevřena, a popis postupu podávání žádostí spolu s datem emise nových akcií.</w:t>
      </w:r>
    </w:p>
    <w:p>
      <w:pPr>
        <w:pStyle w:val="QuotedNumPar"/>
        <w:rPr>
          <w:b/>
          <w:noProof/>
        </w:rPr>
      </w:pPr>
      <w:r>
        <w:rPr>
          <w:b/>
          <w:noProof/>
        </w:rPr>
        <w:t>VIII. Důvody nabídky a použití výnosů</w:t>
      </w:r>
    </w:p>
    <w:p>
      <w:pPr>
        <w:pStyle w:val="Text2"/>
        <w:rPr>
          <w:noProof/>
        </w:rPr>
      </w:pPr>
      <w:r>
        <w:rPr>
          <w:noProof/>
        </w:rPr>
        <w:t>Účelem je poskytnout informace o důvodech nabídky a případně odhad čisté částky výnosů členěné podle každého hlavního zamýšleného způsobu využití a v řazení podle priority takových využití.</w:t>
      </w:r>
    </w:p>
    <w:p>
      <w:pPr>
        <w:pStyle w:val="Text2"/>
        <w:rPr>
          <w:noProof/>
        </w:rPr>
      </w:pPr>
      <w:r>
        <w:rPr>
          <w:noProof/>
        </w:rPr>
        <w:t>Pokud si je emitent vědom, že očekávané výnosy nebudou dostatečné pro financování veškerých navrhovaných využití, uvede částku a zdroje dalších nutných finančních prostředků. Musí být uvedeny také podrobnosti, pokud se výnosy využívají k nabývání aktiv mimo rámec běžného podnikání, k financování ohlášených akvizic jiných podniků nebo k vyrovnání, snížení nebo splacení dluhů.</w:t>
      </w:r>
    </w:p>
    <w:p>
      <w:pPr>
        <w:pStyle w:val="QuotedNumPar"/>
        <w:rPr>
          <w:b/>
          <w:noProof/>
        </w:rPr>
      </w:pPr>
      <w:r>
        <w:rPr>
          <w:b/>
          <w:noProof/>
        </w:rPr>
        <w:t>X.</w:t>
      </w:r>
      <w:r>
        <w:rPr>
          <w:noProof/>
        </w:rPr>
        <w:tab/>
      </w:r>
      <w:r>
        <w:rPr>
          <w:b/>
          <w:noProof/>
        </w:rPr>
        <w:t>Prohlášení o provozním kapitálu</w:t>
      </w:r>
    </w:p>
    <w:p>
      <w:pPr>
        <w:pStyle w:val="Text2"/>
        <w:rPr>
          <w:noProof/>
        </w:rPr>
      </w:pPr>
      <w:r>
        <w:rPr>
          <w:noProof/>
        </w:rPr>
        <w:t>Účelem je poskytnout informace o tom, zda je provozní kapitál dostatečný pro současné požadavky emitenta, nebo pokud dostatečný není, o tom, jak emitent navrhuje dodatečný potřebný provozní kapitál zajistit.</w:t>
      </w:r>
    </w:p>
    <w:p>
      <w:pPr>
        <w:pStyle w:val="QuotedNumPar"/>
        <w:rPr>
          <w:b/>
          <w:noProof/>
        </w:rPr>
      </w:pPr>
      <w:r>
        <w:rPr>
          <w:b/>
          <w:noProof/>
        </w:rPr>
        <w:t>XI.</w:t>
      </w:r>
      <w:r>
        <w:rPr>
          <w:noProof/>
        </w:rPr>
        <w:tab/>
      </w:r>
      <w:r>
        <w:rPr>
          <w:b/>
          <w:noProof/>
        </w:rPr>
        <w:t>Střety zájmů</w:t>
      </w:r>
    </w:p>
    <w:p>
      <w:pPr>
        <w:pStyle w:val="Text2"/>
        <w:rPr>
          <w:noProof/>
        </w:rPr>
      </w:pPr>
      <w:r>
        <w:rPr>
          <w:noProof/>
        </w:rPr>
        <w:t>Účelem je poskytnout informace o jakémkoli střetu zájmů v souvislosti s emisí.</w:t>
      </w:r>
    </w:p>
    <w:p>
      <w:pPr>
        <w:pStyle w:val="QuotedNumPar"/>
        <w:rPr>
          <w:b/>
          <w:noProof/>
        </w:rPr>
      </w:pPr>
      <w:r>
        <w:rPr>
          <w:b/>
          <w:noProof/>
        </w:rPr>
        <w:t>XII.</w:t>
      </w:r>
      <w:r>
        <w:rPr>
          <w:noProof/>
        </w:rPr>
        <w:tab/>
      </w:r>
      <w:r>
        <w:rPr>
          <w:b/>
          <w:noProof/>
        </w:rPr>
        <w:t>Držba akcií po emisi</w:t>
      </w:r>
    </w:p>
    <w:p>
      <w:pPr>
        <w:pStyle w:val="Text2"/>
        <w:rPr>
          <w:noProof/>
        </w:rPr>
      </w:pPr>
      <w:r>
        <w:rPr>
          <w:noProof/>
        </w:rPr>
        <w:t xml:space="preserve">Účelem je poskytnout informace o účasti na základním kapitálu a hlasovacích právech po navýšení kapitálu v důsledku veřejné nabídky.“. </w:t>
      </w:r>
    </w:p>
    <w:sectPr>
      <w:footerReference w:type="default" r:id="rId19"/>
      <w:footerReference w:type="first" r:id="rId20"/>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Směrnice Evropského parlamentu a Rady 2006/43/ES ze dne 17. května 2006 o povinném auditu ročních a konsolidovaných účetních závěrek, o změně směrnic Rady 78/660/EHS a 83/349/EHS a o zrušení směrnice Rady 84/253/EHS (Úř. věst. L 157, 9.6.2006, s. 87).</w:t>
      </w:r>
    </w:p>
  </w:footnote>
  <w:footnote w:id="3">
    <w:p>
      <w:pPr>
        <w:pStyle w:val="FootnoteText"/>
      </w:pPr>
      <w:r>
        <w:rPr>
          <w:rStyle w:val="FootnoteReference"/>
        </w:rPr>
        <w:footnoteRef/>
      </w:r>
      <w:r>
        <w:tab/>
        <w:t>Nařízení Evropského parlamentu a Rady (EU) č. 537/2014 ze dne 16. dubna 2014 o specifických požadavcích na povinný audit subjektů veřejného zájmu a o zrušení rozhodnutí Komise 2005/909/ES (Úř. věst. L 158, 27.5.2014, s. 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50EEF16"/>
    <w:lvl w:ilvl="0">
      <w:start w:val="1"/>
      <w:numFmt w:val="decimal"/>
      <w:pStyle w:val="ListNumber3"/>
      <w:lvlText w:val="%1."/>
      <w:lvlJc w:val="left"/>
      <w:pPr>
        <w:tabs>
          <w:tab w:val="num" w:pos="926"/>
        </w:tabs>
        <w:ind w:left="926" w:hanging="360"/>
      </w:pPr>
    </w:lvl>
  </w:abstractNum>
  <w:abstractNum w:abstractNumId="1">
    <w:nsid w:val="FFFFFF7F"/>
    <w:multiLevelType w:val="singleLevel"/>
    <w:tmpl w:val="EE606640"/>
    <w:lvl w:ilvl="0">
      <w:start w:val="1"/>
      <w:numFmt w:val="decimal"/>
      <w:pStyle w:val="ListNumber2"/>
      <w:lvlText w:val="%1."/>
      <w:lvlJc w:val="left"/>
      <w:pPr>
        <w:tabs>
          <w:tab w:val="num" w:pos="643"/>
        </w:tabs>
        <w:ind w:left="643" w:hanging="360"/>
      </w:pPr>
    </w:lvl>
  </w:abstractNum>
  <w:abstractNum w:abstractNumId="2">
    <w:nsid w:val="FFFFFF81"/>
    <w:multiLevelType w:val="singleLevel"/>
    <w:tmpl w:val="8326C3BC"/>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F1640C38"/>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AD0072BA"/>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BAA61E52"/>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4"/>
  </w:num>
  <w:num w:numId="3">
    <w:abstractNumId w:val="3"/>
  </w:num>
  <w:num w:numId="4">
    <w:abstractNumId w:val="2"/>
  </w:num>
  <w:num w:numId="5">
    <w:abstractNumId w:val="21"/>
  </w:num>
  <w:num w:numId="6">
    <w:abstractNumId w:val="1"/>
  </w:num>
  <w:num w:numId="7">
    <w:abstractNumId w:val="0"/>
  </w:num>
  <w:num w:numId="8">
    <w:abstractNumId w:val="6"/>
  </w:num>
  <w:num w:numId="9">
    <w:abstractNumId w:val="14"/>
  </w:num>
  <w:num w:numId="10">
    <w:abstractNumId w:val="18"/>
  </w:num>
  <w:num w:numId="11">
    <w:abstractNumId w:val="11"/>
  </w:num>
  <w:num w:numId="12">
    <w:abstractNumId w:val="20"/>
  </w:num>
  <w:num w:numId="13">
    <w:abstractNumId w:val="10"/>
  </w:num>
  <w:num w:numId="14">
    <w:abstractNumId w:val="12"/>
  </w:num>
  <w:num w:numId="15">
    <w:abstractNumId w:val="8"/>
  </w:num>
  <w:num w:numId="16">
    <w:abstractNumId w:val="19"/>
  </w:num>
  <w:num w:numId="17">
    <w:abstractNumId w:val="7"/>
  </w:num>
  <w:num w:numId="18">
    <w:abstractNumId w:val="13"/>
  </w:num>
  <w:num w:numId="19">
    <w:abstractNumId w:val="16"/>
  </w:num>
  <w:num w:numId="20">
    <w:abstractNumId w:val="17"/>
  </w:num>
  <w:num w:numId="21">
    <w:abstractNumId w:val="9"/>
  </w:num>
  <w:num w:numId="22">
    <w:abstractNumId w:val="15"/>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8-10 11:16:4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 "/>
    <w:docVar w:name="LW_ACCOMPAGNANT.CP" w:val=" "/>
    <w:docVar w:name="LW_ANNEX_NBR_FIRST" w:val="1"/>
    <w:docVar w:name="LW_ANNEX_NBR_LAST" w:val="1"/>
    <w:docVar w:name="LW_ANNEX_UNIQUE" w:val="1"/>
    <w:docVar w:name="LW_CORRIGENDUM" w:val="&lt;UNUSED&gt;"/>
    <w:docVar w:name="LW_COVERPAGE_EXISTS" w:val="True"/>
    <w:docVar w:name="LW_COVERPAGE_GUID" w:val="729C045F-82D0-4869-9DFC-519591FE05A1"/>
    <w:docVar w:name="LW_COVERPAGE_TYPE" w:val="1"/>
    <w:docVar w:name="LW_CROSSREFERENCE" w:val="{SWD(2020) 120 final}"/>
    <w:docVar w:name="LW_DocType" w:val="ANNEX"/>
    <w:docVar w:name="LW_EMISSION" w:val="24.7.2020"/>
    <w:docVar w:name="LW_EMISSION_ISODATE" w:val="2020-07-24"/>
    <w:docVar w:name="LW_EMISSION_LOCATION" w:val="BRX"/>
    <w:docVar w:name="LW_EMISSION_PREFIX" w:val="V Bruselu dne "/>
    <w:docVar w:name="LW_EMISSION_SUFFIX" w:val=" "/>
    <w:docVar w:name="LW_ID_DOCSTRUCTURE" w:val="COM/ANNEX"/>
    <w:docVar w:name="LW_ID_DOCTYPE" w:val="SG-017"/>
    <w:docVar w:name="LW_LANGUE" w:val="CS"/>
    <w:docVar w:name="LW_LEVEL_OF_SENSITIVITY" w:val="Standard treatment"/>
    <w:docVar w:name="LW_NOM.INST" w:val="EVROPSKÁ KOMISE"/>
    <w:docVar w:name="LW_NOM.INST_JOINTDOC" w:val="&lt;EMPTY&gt;"/>
    <w:docVar w:name="LW_OBJETACTEPRINCIPAL" w:val="kterým se m\u283?ní na\u345?ízení (EU) 2017/1129, pokud jde o prospekt EU pro o\u382?ivení a cílené zm\u283?ny pro finan\u269?ní zprost\u345?edkovatele, s cílem napomoci o\u382?ivení po pandemii COVID-19"/>
    <w:docVar w:name="LW_OBJETACTEPRINCIPAL.CP" w:val="kterým se m\u283?ní na\u345?ízení (EU) 2017/1129, pokud jde o prospekt EU pro o\u382?ivení a cílené zm\u283?ny pro finan\u269?ní zprost\u345?edkovatele, s cílem napomoci o\u382?ivení po pandemii COVID-19"/>
    <w:docVar w:name="LW_PART_NBR" w:val="1"/>
    <w:docVar w:name="LW_PART_NBR_TOTAL" w:val="1"/>
    <w:docVar w:name="LW_REF.INST.NEW" w:val="COM"/>
    <w:docVar w:name="LW_REF.INST.NEW_ADOPTED" w:val="final"/>
    <w:docVar w:name="LW_REF.INST.NEW_TEXT" w:val="(2020) 28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u344?ÍLOHA"/>
    <w:docVar w:name="LW_TYPE.DOC.CP" w:val="P\u344?ÍLOHA"/>
    <w:docVar w:name="LW_TYPEACTEPRINCIPAL" w:val="NA\u344?ÍZENÍ EVROPSKÉHO PARLAMENTU A RADY,"/>
    <w:docVar w:name="LW_TYPEACTEPRINCIPAL.CP" w:val="NA\u344?ÍZENÍ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cs-CZ" w:eastAsia="en-GB"/>
    </w:rPr>
  </w:style>
  <w:style w:type="paragraph" w:customStyle="1" w:styleId="Sti-art">
    <w:name w:val="Sti-art"/>
    <w:basedOn w:val="Normal"/>
    <w:pPr>
      <w:ind w:left="3730" w:firstLine="590"/>
    </w:pPr>
  </w:style>
  <w:style w:type="paragraph" w:customStyle="1" w:styleId="Tri-art">
    <w:name w:val="Tri-art"/>
    <w:basedOn w:val="Point0number"/>
    <w:pPr>
      <w:numPr>
        <w:numId w:val="0"/>
      </w:numPr>
      <w:tabs>
        <w:tab w:val="left" w:pos="720"/>
      </w:tabs>
      <w:ind w:left="850" w:right="568"/>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styleId="CommentSubject">
    <w:name w:val="annotation subject"/>
    <w:basedOn w:val="CommentText"/>
    <w:next w:val="CommentText"/>
    <w:link w:val="CommentSubjectChar"/>
    <w:uiPriority w:val="99"/>
    <w:semiHidden/>
    <w:unhideWhenUsed/>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cs-CZ" w:eastAsia="en-GB"/>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pPr>
      <w:numPr>
        <w:numId w:val="5"/>
      </w:numPr>
    </w:pPr>
    <w:rPr>
      <w:rFonts w:eastAsia="Times New Roman"/>
      <w:lang w:eastAsia="de-DE"/>
    </w:rPr>
  </w:style>
  <w:style w:type="paragraph" w:customStyle="1" w:styleId="ListNumberLevel2">
    <w:name w:val="List Number (Level 2)"/>
    <w:basedOn w:val="Normal"/>
    <w:pPr>
      <w:numPr>
        <w:ilvl w:val="1"/>
        <w:numId w:val="5"/>
      </w:numPr>
    </w:pPr>
    <w:rPr>
      <w:rFonts w:eastAsia="Times New Roman"/>
      <w:lang w:eastAsia="de-DE"/>
    </w:rPr>
  </w:style>
  <w:style w:type="paragraph" w:customStyle="1" w:styleId="ListNumberLevel3">
    <w:name w:val="List Number (Level 3)"/>
    <w:basedOn w:val="Normal"/>
    <w:pPr>
      <w:numPr>
        <w:ilvl w:val="2"/>
        <w:numId w:val="5"/>
      </w:numPr>
    </w:pPr>
    <w:rPr>
      <w:rFonts w:eastAsia="Times New Roman"/>
      <w:lang w:eastAsia="de-DE"/>
    </w:rPr>
  </w:style>
  <w:style w:type="paragraph" w:customStyle="1" w:styleId="ListNumberLevel4">
    <w:name w:val="List Number (Level 4)"/>
    <w:basedOn w:val="Normal"/>
    <w:pPr>
      <w:numPr>
        <w:ilvl w:val="3"/>
        <w:numId w:val="5"/>
      </w:numPr>
    </w:pPr>
    <w:rPr>
      <w:rFonts w:eastAsia="Times New Roman"/>
      <w:lang w:eastAsia="de-DE"/>
    </w:rPr>
  </w:style>
  <w:style w:type="paragraph" w:styleId="ListNumber4">
    <w:name w:val="List Number 4"/>
    <w:basedOn w:val="Normal"/>
    <w:pPr>
      <w:numPr>
        <w:numId w:val="9"/>
      </w:numPr>
    </w:pPr>
    <w:rPr>
      <w:rFonts w:eastAsia="Times New Roman"/>
      <w:lang w:eastAsia="en-GB"/>
    </w:rPr>
  </w:style>
  <w:style w:type="paragraph" w:customStyle="1" w:styleId="ListDash3">
    <w:name w:val="List Dash 3"/>
    <w:basedOn w:val="Normal"/>
    <w:pPr>
      <w:numPr>
        <w:numId w:val="8"/>
      </w:numPr>
    </w:pPr>
    <w:rPr>
      <w:rFonts w:eastAsia="Times New Roman"/>
      <w:lang w:eastAsia="en-GB"/>
    </w:rPr>
  </w:style>
  <w:style w:type="paragraph" w:customStyle="1" w:styleId="ListNumber4Level2">
    <w:name w:val="List Number 4 (Level 2)"/>
    <w:basedOn w:val="Text4"/>
    <w:pPr>
      <w:numPr>
        <w:ilvl w:val="1"/>
        <w:numId w:val="9"/>
      </w:numPr>
    </w:pPr>
    <w:rPr>
      <w:rFonts w:eastAsia="Times New Roman"/>
      <w:lang w:eastAsia="en-GB"/>
    </w:rPr>
  </w:style>
  <w:style w:type="paragraph" w:customStyle="1" w:styleId="ListNumber4Level3">
    <w:name w:val="List Number 4 (Level 3)"/>
    <w:basedOn w:val="Text4"/>
    <w:pPr>
      <w:numPr>
        <w:ilvl w:val="2"/>
        <w:numId w:val="9"/>
      </w:numPr>
    </w:pPr>
    <w:rPr>
      <w:rFonts w:eastAsia="Times New Roman"/>
      <w:lang w:eastAsia="en-GB"/>
    </w:rPr>
  </w:style>
  <w:style w:type="paragraph" w:customStyle="1" w:styleId="ListNumber4Level4">
    <w:name w:val="List Number 4 (Level 4)"/>
    <w:basedOn w:val="Text4"/>
    <w:pPr>
      <w:numPr>
        <w:ilvl w:val="3"/>
        <w:numId w:val="9"/>
      </w:numPr>
    </w:pPr>
    <w:rPr>
      <w:rFonts w:eastAsia="Times New Roman"/>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cs-CZ" w:eastAsia="en-GB"/>
    </w:rPr>
  </w:style>
  <w:style w:type="paragraph" w:customStyle="1" w:styleId="Sti-art">
    <w:name w:val="Sti-art"/>
    <w:basedOn w:val="Normal"/>
    <w:pPr>
      <w:ind w:left="3730" w:firstLine="590"/>
    </w:pPr>
  </w:style>
  <w:style w:type="paragraph" w:customStyle="1" w:styleId="Tri-art">
    <w:name w:val="Tri-art"/>
    <w:basedOn w:val="Point0number"/>
    <w:pPr>
      <w:numPr>
        <w:numId w:val="0"/>
      </w:numPr>
      <w:tabs>
        <w:tab w:val="left" w:pos="720"/>
      </w:tabs>
      <w:ind w:left="850" w:right="568"/>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styleId="CommentSubject">
    <w:name w:val="annotation subject"/>
    <w:basedOn w:val="CommentText"/>
    <w:next w:val="CommentText"/>
    <w:link w:val="CommentSubjectChar"/>
    <w:uiPriority w:val="99"/>
    <w:semiHidden/>
    <w:unhideWhenUsed/>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cs-CZ" w:eastAsia="en-GB"/>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pPr>
      <w:numPr>
        <w:numId w:val="5"/>
      </w:numPr>
    </w:pPr>
    <w:rPr>
      <w:rFonts w:eastAsia="Times New Roman"/>
      <w:lang w:eastAsia="de-DE"/>
    </w:rPr>
  </w:style>
  <w:style w:type="paragraph" w:customStyle="1" w:styleId="ListNumberLevel2">
    <w:name w:val="List Number (Level 2)"/>
    <w:basedOn w:val="Normal"/>
    <w:pPr>
      <w:numPr>
        <w:ilvl w:val="1"/>
        <w:numId w:val="5"/>
      </w:numPr>
    </w:pPr>
    <w:rPr>
      <w:rFonts w:eastAsia="Times New Roman"/>
      <w:lang w:eastAsia="de-DE"/>
    </w:rPr>
  </w:style>
  <w:style w:type="paragraph" w:customStyle="1" w:styleId="ListNumberLevel3">
    <w:name w:val="List Number (Level 3)"/>
    <w:basedOn w:val="Normal"/>
    <w:pPr>
      <w:numPr>
        <w:ilvl w:val="2"/>
        <w:numId w:val="5"/>
      </w:numPr>
    </w:pPr>
    <w:rPr>
      <w:rFonts w:eastAsia="Times New Roman"/>
      <w:lang w:eastAsia="de-DE"/>
    </w:rPr>
  </w:style>
  <w:style w:type="paragraph" w:customStyle="1" w:styleId="ListNumberLevel4">
    <w:name w:val="List Number (Level 4)"/>
    <w:basedOn w:val="Normal"/>
    <w:pPr>
      <w:numPr>
        <w:ilvl w:val="3"/>
        <w:numId w:val="5"/>
      </w:numPr>
    </w:pPr>
    <w:rPr>
      <w:rFonts w:eastAsia="Times New Roman"/>
      <w:lang w:eastAsia="de-DE"/>
    </w:rPr>
  </w:style>
  <w:style w:type="paragraph" w:styleId="ListNumber4">
    <w:name w:val="List Number 4"/>
    <w:basedOn w:val="Normal"/>
    <w:pPr>
      <w:numPr>
        <w:numId w:val="9"/>
      </w:numPr>
    </w:pPr>
    <w:rPr>
      <w:rFonts w:eastAsia="Times New Roman"/>
      <w:lang w:eastAsia="en-GB"/>
    </w:rPr>
  </w:style>
  <w:style w:type="paragraph" w:customStyle="1" w:styleId="ListDash3">
    <w:name w:val="List Dash 3"/>
    <w:basedOn w:val="Normal"/>
    <w:pPr>
      <w:numPr>
        <w:numId w:val="8"/>
      </w:numPr>
    </w:pPr>
    <w:rPr>
      <w:rFonts w:eastAsia="Times New Roman"/>
      <w:lang w:eastAsia="en-GB"/>
    </w:rPr>
  </w:style>
  <w:style w:type="paragraph" w:customStyle="1" w:styleId="ListNumber4Level2">
    <w:name w:val="List Number 4 (Level 2)"/>
    <w:basedOn w:val="Text4"/>
    <w:pPr>
      <w:numPr>
        <w:ilvl w:val="1"/>
        <w:numId w:val="9"/>
      </w:numPr>
    </w:pPr>
    <w:rPr>
      <w:rFonts w:eastAsia="Times New Roman"/>
      <w:lang w:eastAsia="en-GB"/>
    </w:rPr>
  </w:style>
  <w:style w:type="paragraph" w:customStyle="1" w:styleId="ListNumber4Level3">
    <w:name w:val="List Number 4 (Level 3)"/>
    <w:basedOn w:val="Text4"/>
    <w:pPr>
      <w:numPr>
        <w:ilvl w:val="2"/>
        <w:numId w:val="9"/>
      </w:numPr>
    </w:pPr>
    <w:rPr>
      <w:rFonts w:eastAsia="Times New Roman"/>
      <w:lang w:eastAsia="en-GB"/>
    </w:rPr>
  </w:style>
  <w:style w:type="paragraph" w:customStyle="1" w:styleId="ListNumber4Level4">
    <w:name w:val="List Number 4 (Level 4)"/>
    <w:basedOn w:val="Text4"/>
    <w:pPr>
      <w:numPr>
        <w:ilvl w:val="3"/>
        <w:numId w:val="9"/>
      </w:numPr>
    </w:pPr>
    <w:rPr>
      <w:rFonts w:eastAsia="Times New Roman"/>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ARES_TRANSFERRED_BY xmlns="c429c46a-7e15-44c9-a838-73f00aaab325" xsi:nil="true"/>
    <cv7q xmlns="c429c46a-7e15-44c9-a838-73f00aaab325" xsi:nil="true"/>
    <EC_ARES_NUMBER xmlns="c429c46a-7e15-44c9-a838-73f00aaab325">
      <Url xsi:nil="true"/>
      <Description xsi:nil="true"/>
    </EC_ARES_NUMBER>
    <EC_ARES_DATE_TRANSFERRED xmlns="c429c46a-7e15-44c9-a838-73f00aaab325" xsi:nil="true"/>
    <qbpv xmlns="c429c46a-7e15-44c9-a838-73f00aaab325" xsi:nil="true"/>
    <EC_Collab_Reference xmlns="c429c46a-7e15-44c9-a838-73f00aaab325" xsi:nil="true"/>
    <EC_Collab_DocumentLanguage xmlns="c429c46a-7e15-44c9-a838-73f00aaab325">EN</EC_Collab_DocumentLanguage>
    <EC_Collab_Status xmlns="c429c46a-7e15-44c9-a838-73f00aaab325">Not Started</EC_Collab_Status>
    <ndsv xmlns="c429c46a-7e15-44c9-a838-73f00aaab325" xsi:nil="true"/>
    <mipz xmlns="c429c46a-7e15-44c9-a838-73f00aaab32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8" ma:contentTypeDescription="Create a new document in this library." ma:contentTypeScope="" ma:versionID="8e9c6a5b7e191c6ee07e5ebd4e84d501">
  <xsd:schema xmlns:xsd="http://www.w3.org/2001/XMLSchema" xmlns:xs="http://www.w3.org/2001/XMLSchema" xmlns:p="http://schemas.microsoft.com/office/2006/metadata/properties" xmlns:ns3="c429c46a-7e15-44c9-a838-73f00aaab325" targetNamespace="http://schemas.microsoft.com/office/2006/metadata/properties" ma:root="true" ma:fieldsID="153b9c4ac5556338c6ed9e777d696c21" ns3:_="">
    <xsd:import namespace="c429c46a-7e15-44c9-a838-73f00aaab325"/>
    <xsd:element name="properties">
      <xsd:complexType>
        <xsd:sequence>
          <xsd:element name="documentManagement">
            <xsd:complexType>
              <xsd:all>
                <xsd:element ref="ns3:EC_Collab_Reference" minOccurs="0"/>
                <xsd:element ref="ns3:EC_Collab_DocumentLanguage"/>
                <xsd:element ref="ns3:EC_Collab_Status" minOccurs="0"/>
                <xsd:element ref="ns3:EC_ARES_NUMBER" minOccurs="0"/>
                <xsd:element ref="ns3:EC_ARES_DATE_TRANSFERRED" minOccurs="0"/>
                <xsd:element ref="ns3:EC_ARES_TRANSFERRED_BY" minOccurs="0"/>
                <xsd:element ref="ns3:ndsv" minOccurs="0"/>
                <xsd:element ref="ns3:mipz" minOccurs="0"/>
                <xsd:element ref="ns3:qbpv" minOccurs="0"/>
                <xsd:element ref="ns3:cv7q"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nillable="true" ma:displayName="EC Status" ma:default="Not Started" ma:internalName="EC_Collab_Status" ma:readOnly="false">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EC_ARES_NUMBER" ma:index="15" nillable="true" ma:displayName="Ares Number" ma:format="Hyperlink" ma:hidden="true"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6" nillable="true" ma:displayName="Transferred to Ares" ma:format="DateTime" ma:hidden="true" ma:internalName="EC_ARES_DATE_TRANSFERRED">
      <xsd:simpleType>
        <xsd:restriction base="dms:DateTime"/>
      </xsd:simpleType>
    </xsd:element>
    <xsd:element name="EC_ARES_TRANSFERRED_BY" ma:index="17" nillable="true" ma:displayName="Transferred By" ma:hidden="true" ma:internalName="EC_ARES_TRANSFERRED_BY">
      <xsd:simpleType>
        <xsd:restriction base="dms:Text"/>
      </xsd:simpleType>
    </xsd:element>
    <xsd:element name="ndsv" ma:index="18" nillable="true" ma:displayName="Date" ma:internalName="ndsv">
      <xsd:simpleType>
        <xsd:restriction base="dms:DateTime"/>
      </xsd:simpleType>
    </xsd:element>
    <xsd:element name="mipz" ma:index="19" nillable="true" ma:displayName="Area" ma:internalName="mipz">
      <xsd:simpleType>
        <xsd:restriction base="dms:Text"/>
      </xsd:simpleType>
    </xsd:element>
    <xsd:element name="qbpv" ma:index="20" nillable="true" ma:displayName="Event" ma:internalName="qbpv">
      <xsd:simpleType>
        <xsd:restriction base="dms:Text"/>
      </xsd:simpleType>
    </xsd:element>
    <xsd:element name="cv7q" ma:index="21" nillable="true" ma:displayName="Number" ma:internalName="cv7q">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324DCACF-B676-438A-BF17-72816498309D}">
  <ds:schemaRefs>
    <ds:schemaRef ds:uri="http://schemas.microsoft.com/sharepoint/v3/contenttype/forms"/>
  </ds:schemaRefs>
</ds:datastoreItem>
</file>

<file path=customXml/itemProps2.xml><?xml version="1.0" encoding="utf-8"?>
<ds:datastoreItem xmlns:ds="http://schemas.openxmlformats.org/officeDocument/2006/customXml" ds:itemID="{925BE296-1ADB-4983-BC7C-790ED89422FF}">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c429c46a-7e15-44c9-a838-73f00aaab325"/>
    <ds:schemaRef ds:uri="http://www.w3.org/XML/1998/namespace"/>
    <ds:schemaRef ds:uri="http://purl.org/dc/dcmitype/"/>
  </ds:schemaRefs>
</ds:datastoreItem>
</file>

<file path=customXml/itemProps3.xml><?xml version="1.0" encoding="utf-8"?>
<ds:datastoreItem xmlns:ds="http://schemas.openxmlformats.org/officeDocument/2006/customXml" ds:itemID="{13C88EBE-EF53-42A3-B2C1-1852760C8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37332B-6A9B-4E46-8F54-D4D01C432126}">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4</Pages>
  <Words>794</Words>
  <Characters>4618</Characters>
  <Application>Microsoft Office Word</Application>
  <DocSecurity>0</DocSecurity>
  <Lines>100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POSTI Cesare (FISMA)</dc:creator>
  <cp:keywords/>
  <dc:description/>
  <cp:lastModifiedBy>WES PDFC Administrator</cp:lastModifiedBy>
  <cp:revision>12</cp:revision>
  <dcterms:created xsi:type="dcterms:W3CDTF">2020-07-30T09:31:00Z</dcterms:created>
  <dcterms:modified xsi:type="dcterms:W3CDTF">2020-08-10T09:16:00Z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ContentTypeId">
    <vt:lpwstr>0x010100258AA79CEB83498886A3A0868112325000F370F79735E2304FB3EE3550DB93E366</vt:lpwstr>
  </property>
  <property fmtid="{D5CDD505-2E9C-101B-9397-08002B2CF9AE}" pid="14" name="DQCStatus">
    <vt:lpwstr>Green (DQC version 03)</vt:lpwstr>
  </property>
</Properties>
</file>