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8F4FB94-174F-4364-84D8-D1205C05DB4F" style="width:450.7pt;height:379.6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UZASADNIENIE</w:t>
      </w:r>
    </w:p>
    <w:p>
      <w:pPr>
        <w:pStyle w:val="ManualHeading1"/>
        <w:rPr>
          <w:rFonts w:eastAsia="Arial Unicode MS"/>
          <w:noProof/>
        </w:rPr>
      </w:pPr>
      <w:r>
        <w:t>1.</w:t>
      </w:r>
      <w:r>
        <w:tab/>
      </w:r>
      <w:r>
        <w:rPr>
          <w:noProof/>
        </w:rPr>
        <w:t>Przedmiot wniosku</w:t>
      </w:r>
    </w:p>
    <w:p>
      <w:pPr>
        <w:rPr>
          <w:rFonts w:eastAsia="Arial Unicode MS"/>
          <w:noProof/>
          <w:color w:val="000000" w:themeColor="text1"/>
        </w:rPr>
      </w:pPr>
      <w:r>
        <w:rPr>
          <w:noProof/>
        </w:rPr>
        <w:t>Niniejszy wniosek dotyczy decyzji określającej stanowisko, jakie ma zostać zajęte w imieniu Unii w ramach Komitetu Administracyjnego ustanowionego przez Konwencję celną dotyczącą międzynarodowego przewozu towarów z zastosowaniem karnetów TIR</w:t>
      </w:r>
      <w:r>
        <w:rPr>
          <w:rStyle w:val="FootnoteReference"/>
          <w:rFonts w:eastAsia="Arial Unicode MS"/>
          <w:noProof/>
        </w:rPr>
        <w:footnoteReference w:id="1"/>
      </w:r>
      <w:r>
        <w:rPr>
          <w:noProof/>
        </w:rPr>
        <w:t xml:space="preserve"> („konwencja TIR”) w związku z przewidywanym przyjęciem kilku poprawek do konwencji TIR.</w:t>
      </w:r>
    </w:p>
    <w:p>
      <w:pPr>
        <w:pStyle w:val="ManualHeading1"/>
        <w:rPr>
          <w:noProof/>
        </w:rPr>
      </w:pPr>
      <w:r>
        <w:t>2.</w:t>
      </w:r>
      <w:r>
        <w:tab/>
      </w:r>
      <w:r>
        <w:rPr>
          <w:noProof/>
        </w:rPr>
        <w:t>Kontekst wniosku</w:t>
      </w:r>
    </w:p>
    <w:p>
      <w:pPr>
        <w:pStyle w:val="ManualHeading2"/>
        <w:rPr>
          <w:noProof/>
          <w:color w:val="000000" w:themeColor="text1"/>
        </w:rPr>
      </w:pPr>
      <w:r>
        <w:t>2.1.</w:t>
      </w:r>
      <w:r>
        <w:tab/>
      </w:r>
      <w:r>
        <w:rPr>
          <w:noProof/>
        </w:rPr>
        <w:t>Konwencja celna dotycząca międzynarodowego przewozu towarów z zastosowaniem karnetów TIR</w:t>
      </w:r>
    </w:p>
    <w:p>
      <w:pPr>
        <w:rPr>
          <w:rFonts w:eastAsia="Arial Unicode MS"/>
          <w:noProof/>
          <w:color w:val="000000" w:themeColor="text1"/>
        </w:rPr>
      </w:pPr>
      <w:r>
        <w:rPr>
          <w:noProof/>
        </w:rPr>
        <w:t>Konwencja celna dotycząca międzynarodowego przewozu towarów z zastosowaniem karnetów TIR z dnia 14 listopada 1975 r. („konwencja TIR”) ma na celu ułatwianie międzynarodowego przewozu towarów z urzędów celnych wyjściowych do docelowych oraz poprzez konieczną liczbę państw.</w:t>
      </w:r>
      <w:r>
        <w:rPr>
          <w:noProof/>
          <w:color w:val="000000" w:themeColor="text1"/>
        </w:rPr>
        <w:t xml:space="preserve"> </w:t>
      </w:r>
      <w:r>
        <w:rPr>
          <w:noProof/>
        </w:rPr>
        <w:t>Konwencja weszła w życie w 1978 r. Do listopada 2019 r. do konwencji przystąpiło 76 stron: 75 państw i Unia Europejska. Unia Europejska jest umawiającą się stroną konwencji TIR</w:t>
      </w:r>
      <w:r>
        <w:rPr>
          <w:rStyle w:val="FootnoteReference"/>
          <w:rFonts w:eastAsia="Arial Unicode MS"/>
          <w:noProof/>
        </w:rPr>
        <w:footnoteReference w:id="2"/>
      </w:r>
      <w:r>
        <w:rPr>
          <w:noProof/>
        </w:rPr>
        <w:t xml:space="preserve"> od dnia 20 czerwca 1983 r. Umawiającymi się stronami konwencji TIR są też wszystkie państwa członkowskie.</w:t>
      </w:r>
    </w:p>
    <w:p>
      <w:pPr>
        <w:pStyle w:val="ManualHeading2"/>
        <w:rPr>
          <w:noProof/>
          <w:color w:val="000000" w:themeColor="text1"/>
        </w:rPr>
      </w:pPr>
      <w:r>
        <w:t>2.2.</w:t>
      </w:r>
      <w:r>
        <w:tab/>
      </w:r>
      <w:r>
        <w:rPr>
          <w:noProof/>
        </w:rPr>
        <w:t>Komitet Administracyjny</w:t>
      </w:r>
    </w:p>
    <w:p>
      <w:pPr>
        <w:rPr>
          <w:noProof/>
        </w:rPr>
      </w:pPr>
      <w:r>
        <w:rPr>
          <w:noProof/>
        </w:rPr>
        <w:t>Komitet Administracyjny działa w ramach Konwencji celnej dotyczącej międzynarodowego przewozu towarów z zastosowaniem karnetów TIR. Zadaniem Komitetu Administracyjnego jest rozpatrywanie i przyjmowanie poprawek do konwencji TIR. Wnioski poddaje się pod głosowanie, a każde państwo, które jest stroną i jest reprezentowane na sesji Komitetu Administracyjnego, ma jeden głos. Unia posiada wyłączne kompetencje w dziedzinie ceł, o której mowa w konwencji TIR. Zgodnie z art. 52 ust. 3 konwencji Unia, jako unia celna i gospodarcza, nie ma jednak prawa głosu – przysługuje ono jedynie jej państwom członkowskim. Wszystkie państwa członkowskie są stronami tej konwencji posiadającymi prawo głosu.</w:t>
      </w:r>
    </w:p>
    <w:p>
      <w:pPr>
        <w:rPr>
          <w:rFonts w:eastAsia="Arial Unicode MS"/>
          <w:noProof/>
          <w:color w:val="000000" w:themeColor="text1"/>
        </w:rPr>
      </w:pPr>
      <w:r>
        <w:rPr>
          <w:noProof/>
        </w:rPr>
        <w:t>Poprawki do konwencji TIR przyjmowane są większością dwóch trzecich głosów stron obecnych i głosujących. Podjęcie decyzji wymaga kworum składającego się z nie mniej niż jednej trzeciej państw będących stronami.</w:t>
      </w:r>
    </w:p>
    <w:p>
      <w:pPr>
        <w:pStyle w:val="ManualHeading2"/>
        <w:rPr>
          <w:noProof/>
          <w:color w:val="000000" w:themeColor="text1"/>
        </w:rPr>
      </w:pPr>
      <w:r>
        <w:t>2.3.</w:t>
      </w:r>
      <w:r>
        <w:tab/>
      </w:r>
      <w:r>
        <w:rPr>
          <w:noProof/>
        </w:rPr>
        <w:t>Planowany akt Komitetu Administracyjnego</w:t>
      </w:r>
    </w:p>
    <w:p>
      <w:pPr>
        <w:rPr>
          <w:rFonts w:eastAsia="Arial Unicode MS"/>
          <w:noProof/>
          <w:color w:val="000000" w:themeColor="text1"/>
        </w:rPr>
      </w:pPr>
      <w:r>
        <w:rPr>
          <w:noProof/>
        </w:rPr>
        <w:t>W październiku 2020 r. podczas swojej 73. sesji Komitet Administracyjny ma podjąć decyzję w sprawie przyjęcia proponowanych poprawek do Konwencji celnej dotyczącej międzynarodowego przewozu towarów z zastosowaniem karnetów TIR („planowany akt”).</w:t>
      </w:r>
    </w:p>
    <w:p>
      <w:pPr>
        <w:rPr>
          <w:noProof/>
        </w:rPr>
      </w:pPr>
      <w:r>
        <w:rPr>
          <w:noProof/>
        </w:rPr>
        <w:t>Cele planowanego aktu są następujące:</w:t>
      </w:r>
    </w:p>
    <w:p>
      <w:pPr>
        <w:rPr>
          <w:rFonts w:eastAsia="Arial Unicode MS"/>
          <w:noProof/>
          <w:color w:val="000000" w:themeColor="text1"/>
        </w:rPr>
      </w:pPr>
      <w:r>
        <w:rPr>
          <w:noProof/>
          <w:color w:val="000000" w:themeColor="text1"/>
        </w:rPr>
        <w:t xml:space="preserve">doprowadzenie do obowiązkowego korzystania przez właściwe organy z elektronicznej międzynarodowej bazy danych TIR International TIR Data Bank (ITDB) zamiast z papierowego wzoru wykazu pozwoleń do przekazywania Radzie Wykonawczej TIR </w:t>
      </w:r>
      <w:r>
        <w:rPr>
          <w:noProof/>
          <w:color w:val="000000" w:themeColor="text1"/>
        </w:rPr>
        <w:lastRenderedPageBreak/>
        <w:t>(TIRExB) pozwolenia lub cofnięcia pozwolenia na korzystanie przez posiadacza z karnetów TIR;</w:t>
      </w:r>
    </w:p>
    <w:p>
      <w:pPr>
        <w:rPr>
          <w:noProof/>
        </w:rPr>
      </w:pPr>
      <w:r>
        <w:rPr>
          <w:noProof/>
        </w:rPr>
        <w:t xml:space="preserve">doprowadzenie do obowiązkowej publikacji wykazu urzędów celnych zatwierdzonych do celów wykonywania operacji TIR w ITDB; </w:t>
      </w:r>
    </w:p>
    <w:p>
      <w:pPr>
        <w:rPr>
          <w:noProof/>
        </w:rPr>
      </w:pPr>
      <w:r>
        <w:rPr>
          <w:noProof/>
        </w:rPr>
        <w:t>zezwolenie umawiającym się stronom na przyznawanie, zgodnie z ustawodawstwem krajowym, odpowiednio upoważnionym osobom większych udogodnień w stosowaniu postanowień konwencji;</w:t>
      </w:r>
    </w:p>
    <w:p>
      <w:pPr>
        <w:rPr>
          <w:noProof/>
        </w:rPr>
      </w:pPr>
      <w:r>
        <w:rPr>
          <w:noProof/>
        </w:rPr>
        <w:t>doprecyzowanie tekstu konwencji TIR w zakresie stosowania wiążącej trasy przewozu w obrębie unii celnej oraz aktualizacja maksymalnej kwoty gwarancji na karnet TIR wydawany w przypadku przewozu papierosów i alkoholu.</w:t>
      </w:r>
    </w:p>
    <w:p>
      <w:pPr>
        <w:rPr>
          <w:noProof/>
        </w:rPr>
      </w:pPr>
    </w:p>
    <w:p>
      <w:pPr>
        <w:rPr>
          <w:noProof/>
          <w:color w:val="000000" w:themeColor="text1"/>
        </w:rPr>
      </w:pPr>
      <w:r>
        <w:rPr>
          <w:noProof/>
          <w:color w:val="000000" w:themeColor="text1"/>
        </w:rPr>
        <w:t xml:space="preserve">Planowany akt będzie wiążący dla stron zgodnie z art. 59 i 60 konwencji TIR. </w:t>
      </w:r>
    </w:p>
    <w:p>
      <w:pPr>
        <w:rPr>
          <w:noProof/>
          <w:color w:val="000000" w:themeColor="text1"/>
        </w:rPr>
      </w:pPr>
      <w:r>
        <w:rPr>
          <w:noProof/>
          <w:color w:val="000000" w:themeColor="text1"/>
        </w:rPr>
        <w:t>Art. 59 odnosi się do poprawek do części artykułowej konwencji TIR i stanowi: „Z zastrzeżeniem postanowień art. 60 każda zaproponowana zmiana podana do wiadomości zgodnie z postanowieniami poprzedniego ustępu wchodzi w życie w stosunku do wszystkich Umawiających się Stron w trzy miesiące po upływie terminu dwunastu miesięcy od daty tego zawiadomienia, jeżeli w tym terminie żadne państwo będące Umawiającą się Stroną nie zgłosiło Sekretarzowi Generalnemu Organizacji Narodów Zjednoczonych sprzeciwu co do zaproponowanej zmiany.</w:t>
      </w:r>
      <w:r>
        <w:rPr>
          <w:i/>
          <w:noProof/>
          <w:color w:val="000000" w:themeColor="text1"/>
        </w:rPr>
        <w:t xml:space="preserve"> </w:t>
      </w:r>
      <w:r>
        <w:rPr>
          <w:noProof/>
          <w:color w:val="000000" w:themeColor="text1"/>
        </w:rPr>
        <w:t xml:space="preserve">Jeżeli sprzeciw wobec proponowanej zmiany został zgłoszony zgodnie z ust. 3 niniejszego artykułu, zmiana ta jest uważana za nieprzyjętą i nie wywołuje żadnego skutku”. </w:t>
      </w:r>
    </w:p>
    <w:p>
      <w:pPr>
        <w:rPr>
          <w:noProof/>
          <w:color w:val="000000" w:themeColor="text1"/>
        </w:rPr>
      </w:pPr>
      <w:r>
        <w:rPr>
          <w:noProof/>
          <w:color w:val="000000" w:themeColor="text1"/>
        </w:rPr>
        <w:t>Art. 60 odnosi się do zmian w załącznikach do konwencji TIR i stanowi: „Każda zmiana zaproponowana do załączników 1, 2, 3, 4, 5, 6, 7, 8, 9 i 10, rozpatrzona zgodnie z postanowieniami art. 59 ust. 1 i 2, wchodzi w życie w dniu ustalonym przez Komitet Administracyjny w chwili jej przyjęcia, chyba że w terminie wcześniejszym, ustalonym w tym samym czasie przez Komitet Administracyjny, jedna piąta państw będących Umawiającymi się Stronami lub pięć państw będących Umawiającymi się Stronami, w zależności od tego która liczba jest mniejsza, notyfikuje Sekretarzowi Generalnemu Organizacji Narodów Zjednoczonych, że wnosi sprzeciw wobec tej zmiany.</w:t>
      </w:r>
      <w:r>
        <w:rPr>
          <w:i/>
          <w:noProof/>
          <w:color w:val="000000" w:themeColor="text1"/>
        </w:rPr>
        <w:t xml:space="preserve"> </w:t>
      </w:r>
      <w:r>
        <w:rPr>
          <w:noProof/>
          <w:color w:val="000000" w:themeColor="text1"/>
        </w:rPr>
        <w:t>Terminy, o których mowa w niniejszym ustępie są ustalane przez Komitet Administracyjny większością dwóch trzecich obecnych i głosujących jego członków”.</w:t>
      </w:r>
    </w:p>
    <w:p>
      <w:pPr>
        <w:pStyle w:val="ManualHeading1"/>
        <w:rPr>
          <w:rFonts w:eastAsia="Arial Unicode MS"/>
          <w:noProof/>
        </w:rPr>
      </w:pPr>
      <w:r>
        <w:t>3.</w:t>
      </w:r>
      <w:r>
        <w:tab/>
      </w:r>
      <w:r>
        <w:rPr>
          <w:noProof/>
        </w:rPr>
        <w:t>Stanowisko, jakie należy zająć w imieniu Unii</w:t>
      </w:r>
    </w:p>
    <w:p>
      <w:pPr>
        <w:rPr>
          <w:noProof/>
        </w:rPr>
      </w:pPr>
    </w:p>
    <w:p>
      <w:pPr>
        <w:rPr>
          <w:noProof/>
        </w:rPr>
      </w:pPr>
      <w:r>
        <w:rPr>
          <w:noProof/>
        </w:rPr>
        <w:t>Pakiet zmian przyczyni się do modernizacji konwencji TIR, rozpoczętej historycznym przyjęciem ram prawnych przyszłego międzynarodowego systemu eTIR podczas 72. sesji Komitetu Administracyjnego w lutym 2020 r. Doprecyzuje również aspekty techniczne w tekście konwencji TIR.</w:t>
      </w:r>
    </w:p>
    <w:p>
      <w:pPr>
        <w:rPr>
          <w:noProof/>
        </w:rPr>
      </w:pPr>
      <w:r>
        <w:rPr>
          <w:noProof/>
        </w:rPr>
        <w:t>Po pierwsze, poprzez wprowadzenie obowiązku stosowania bazy danych ITDB do przekazywania danych upoważnionych posiadaczy karnetu TIR do TIRExB, a także poprzez stworzenie wiarygodnej międzynarodowej bazy danych urzędów celnych otwartych dla TIR, umawiające się strony konwencji TIR złagodzą warunki przyszłej cyfryzacji karnetu TIR i zwiększą wiarygodność danych TIR.</w:t>
      </w:r>
    </w:p>
    <w:p>
      <w:pPr>
        <w:rPr>
          <w:noProof/>
        </w:rPr>
      </w:pPr>
      <w:r>
        <w:rPr>
          <w:noProof/>
        </w:rPr>
        <w:t xml:space="preserve">Aby osiągnąć ten cel, art. 38, powiązane noty wyjaśniające i załącznik 9 zostaną zmienione w celu zobowiązania stowarzyszeń poręczających do natychmiastowego przekazywania do </w:t>
      </w:r>
      <w:r>
        <w:rPr>
          <w:noProof/>
        </w:rPr>
        <w:lastRenderedPageBreak/>
        <w:t>TIRExB wszystkich danych osób upoważnionych do stosowania procedury TIR. W nowej nocie wyjaśniającej do art. 45 zostanie ponadto wskazane, że publikacja wykazu urzędów celnych wyjściowych, przejściowych i docelowych, zatwierdzonych do wykonywania operacji TIR, musi zostać przeprowadzona w elektronicznej aplikacji nadzorowanej przez TIRExB (ITDB).</w:t>
      </w:r>
    </w:p>
    <w:p>
      <w:pPr>
        <w:rPr>
          <w:noProof/>
        </w:rPr>
      </w:pPr>
      <w:r>
        <w:rPr>
          <w:noProof/>
        </w:rPr>
        <w:t>Unia stosuje już ITDB i popiera obowiązkowe stosowanie tej bazy danych przez wszystkie umawiające się strony konwencji TIR, przyczyni się bowiem ono do osiągnięcia ogólnego celu, zgodnie z unijną polityką celną, dotyczącego szerszej cyfryzacji procedury TIR poprzez dalsze ułatwianie wymiany danych w czasie rzeczywistym między umawiającymi się stronami, stowarzyszeniami i organizacjami międzynarodowymi.</w:t>
      </w:r>
    </w:p>
    <w:p>
      <w:pPr>
        <w:rPr>
          <w:noProof/>
        </w:rPr>
      </w:pPr>
      <w:r>
        <w:rPr>
          <w:noProof/>
        </w:rPr>
        <w:t>Po drugie, dzięki dodaniu nowej noty wyjaśniającej do art. 49 w załączniku 6 umawiające się strony będą mogły dobrowolnie wprowadzić większą liczbę udogodnień w stosowaniu postanowień konwencji.</w:t>
      </w:r>
    </w:p>
    <w:p>
      <w:pPr>
        <w:rPr>
          <w:noProof/>
        </w:rPr>
      </w:pPr>
      <w:r>
        <w:rPr>
          <w:noProof/>
        </w:rPr>
        <w:t>Udogodnienia te będą przyznawane wyłącznie, jeżeli obejmują stosowanie technologii w celu zapewnienia prawidłowego przebiegu procedury TIR, jasne instrukcje dla upoważnionych osób w zakresie wykonywania konkretnych obowiązków, które na mocy konwencji TIR są zwykle powierzane organom celnym, oraz stosowanie systemu rejestrowania umożliwiającego organom celnym przeprowadzanie kontroli celnej i nadzorowanie procedury.</w:t>
      </w:r>
    </w:p>
    <w:p>
      <w:pPr>
        <w:rPr>
          <w:noProof/>
        </w:rPr>
      </w:pPr>
      <w:r>
        <w:rPr>
          <w:noProof/>
        </w:rPr>
        <w:t>Unia wspiera nową możliwość proponowania przez umawiające się strony większej liczby udogodnień posiadaczowi karnetu TIR w celu zachowania atrakcyjności procedury dla podmiotów gospodarczych.</w:t>
      </w:r>
    </w:p>
    <w:p>
      <w:pPr>
        <w:rPr>
          <w:noProof/>
        </w:rPr>
      </w:pPr>
      <w:r>
        <w:rPr>
          <w:noProof/>
        </w:rPr>
        <w:t>Zmiany art. 20 i noty wyjaśniającej do art. 8 można uznać za techniczne, ponieważ wyjaśniają one odpowiednio zastosowanie wyznaczonej trasy w ramach unii celnej i aktualizują maksymalną kwotę na karnet TIR wydawany w przypadku przewozu papierosów i alkoholu, której można dochodzić od stowarzyszenia poręczającego.</w:t>
      </w:r>
    </w:p>
    <w:p>
      <w:pPr>
        <w:rPr>
          <w:noProof/>
        </w:rPr>
      </w:pPr>
      <w:r>
        <w:rPr>
          <w:noProof/>
        </w:rPr>
        <w:t>Konsultacje w sprawie proponowanych zmian przeprowadzono z państwami członkowskimi w ramach grupy ekspertów celnych ds. procedury TIR (Koordynacja Genewa). Dalsze konsultacje odbyły się podczas sesji Grupy Roboczej ds. Zagadnień Celnych dotyczących Transportu Europejskiej Komisji Gospodarczej Organizacji Narodów Zjednoczonych (EKG ONZ).</w:t>
      </w:r>
    </w:p>
    <w:p>
      <w:pPr>
        <w:rPr>
          <w:noProof/>
        </w:rPr>
      </w:pPr>
      <w:r>
        <w:rPr>
          <w:noProof/>
        </w:rPr>
        <w:t>Koordynacja wewnętrzna, jak również wspólne dyskusje z państwami członkowskimi w ramach grupy ekspertów celnych ds. procedury TIR, jasno wykazały duże poparcie dla proponowanych zmian. Pismem z dnia 23 marca 2020 r. skonsultowano się z Europejskim Inspektorem Ochrony Danych, który do dnia 11 czerwca 2020 r. nie udzielił odpowiedzi, pomimo przypomnienia.</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color w:val="000000" w:themeColor="text1"/>
        </w:rPr>
      </w:pPr>
      <w:r>
        <w:t>4.1.1.</w:t>
      </w:r>
      <w:r>
        <w:tab/>
      </w:r>
      <w:r>
        <w:rPr>
          <w:noProof/>
          <w:color w:val="000000" w:themeColor="text1"/>
        </w:rPr>
        <w:t>Zasady</w:t>
      </w:r>
    </w:p>
    <w:p>
      <w:pPr>
        <w:rPr>
          <w:noProof/>
          <w:color w:val="000000" w:themeColor="text1"/>
        </w:rPr>
      </w:pPr>
      <w:r>
        <w:rPr>
          <w:noProof/>
          <w:color w:val="000000" w:themeColor="text1"/>
        </w:rPr>
        <w:t>W art. 218 ust. 9 Traktatu o funkcjonowaniu Unii Europejskiej (TFUE) określono tryb przyjmowania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color w:val="000000" w:themeColor="text1"/>
        </w:rPr>
      </w:pPr>
      <w:r>
        <w:rPr>
          <w:noProof/>
          <w:color w:val="000000" w:themeColor="text1"/>
        </w:rPr>
        <w:lastRenderedPageBreak/>
        <w:t>Pojęcie „aktów mających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color w:val="000000" w:themeColor="text1"/>
        </w:rPr>
        <w:footnoteReference w:id="3"/>
      </w:r>
      <w:r>
        <w:rPr>
          <w:noProof/>
          <w:color w:val="000000" w:themeColor="text1"/>
        </w:rPr>
        <w:t>.</w:t>
      </w:r>
    </w:p>
    <w:p>
      <w:pPr>
        <w:pStyle w:val="ManualHeading3"/>
        <w:rPr>
          <w:noProof/>
        </w:rPr>
      </w:pPr>
      <w:r>
        <w:t>4.1.2.</w:t>
      </w:r>
      <w:r>
        <w:tab/>
      </w:r>
      <w:r>
        <w:rPr>
          <w:noProof/>
        </w:rPr>
        <w:t>Zastosowanie w niniejszej sprawie</w:t>
      </w:r>
    </w:p>
    <w:p>
      <w:pPr>
        <w:rPr>
          <w:noProof/>
          <w:color w:val="000000" w:themeColor="text1"/>
        </w:rPr>
      </w:pPr>
      <w:r>
        <w:rPr>
          <w:noProof/>
        </w:rPr>
        <w:t>Komitet Administracyjny jest organem ustanowionym w ramach umowy, a mianowicie Konwencji celnej dotyczącej międzynarodowego przewozu towarów z zastosowaniem karnetów TIR.</w:t>
      </w:r>
    </w:p>
    <w:p>
      <w:pPr>
        <w:rPr>
          <w:noProof/>
        </w:rPr>
      </w:pPr>
      <w:r>
        <w:rPr>
          <w:noProof/>
        </w:rPr>
        <w:t>Akt, do którego przyjęcia wzywa się Komitet Administracyjny, stanowi akt mający skutki prawne.</w:t>
      </w:r>
      <w:r>
        <w:rPr>
          <w:noProof/>
          <w:color w:val="000000" w:themeColor="text1"/>
        </w:rPr>
        <w:t xml:space="preserve"> </w:t>
      </w:r>
      <w:r>
        <w:rPr>
          <w:noProof/>
        </w:rPr>
        <w:t>Planowany akt będzie wiążący na mocy prawa międzynarodowego zgodnie z art. 59 i 60 Konwencji celnej dotyczącej międzynarodowego przewozu towarów z zastosowaniem karnetów TIR.</w:t>
      </w:r>
      <w:r>
        <w:rPr>
          <w:noProof/>
          <w:color w:val="000000" w:themeColor="text1"/>
        </w:rPr>
        <w:t xml:space="preserve"> </w:t>
      </w:r>
    </w:p>
    <w:p>
      <w:pPr>
        <w:rPr>
          <w:noProof/>
          <w:color w:val="000000" w:themeColor="text1"/>
        </w:rPr>
      </w:pPr>
      <w:r>
        <w:rPr>
          <w:noProof/>
          <w:color w:val="000000" w:themeColor="text1"/>
        </w:rPr>
        <w:t>Planowany akt nie uzupełnia ani nie zmienia ram instytucjonalnych umowy.</w:t>
      </w:r>
    </w:p>
    <w:p>
      <w:pPr>
        <w:rPr>
          <w:noProof/>
          <w:color w:val="000000" w:themeColor="text1"/>
        </w:rPr>
      </w:pPr>
      <w:r>
        <w:rPr>
          <w:noProof/>
          <w:color w:val="000000" w:themeColor="text1"/>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color w:val="000000" w:themeColor="text1"/>
        </w:rPr>
      </w:pPr>
      <w:r>
        <w:t>4.2.1.</w:t>
      </w:r>
      <w:r>
        <w:tab/>
      </w:r>
      <w:r>
        <w:rPr>
          <w:noProof/>
          <w:color w:val="000000" w:themeColor="text1"/>
        </w:rPr>
        <w:t>Zasady</w:t>
      </w:r>
    </w:p>
    <w:p>
      <w:pPr>
        <w:rPr>
          <w:noProof/>
          <w:color w:val="000000" w:themeColor="text1"/>
        </w:rPr>
      </w:pPr>
      <w:r>
        <w:rPr>
          <w:noProof/>
          <w:color w:val="000000" w:themeColor="text1"/>
        </w:rPr>
        <w:t>Materialna podstawa prawna decyzji na podstawie art. 218 ust. 9 TFUE zależy przede wszystkim od celu i treści planowanego aktu, w którego kwestii ma być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rPr>
          <w:noProof/>
          <w:color w:val="000000" w:themeColor="text1"/>
        </w:rPr>
      </w:pPr>
    </w:p>
    <w:p>
      <w:pPr>
        <w:pStyle w:val="ManualHeading3"/>
        <w:rPr>
          <w:noProof/>
        </w:rPr>
      </w:pPr>
      <w:r>
        <w:t>4.2.2.</w:t>
      </w:r>
      <w:r>
        <w:tab/>
      </w:r>
      <w:r>
        <w:rPr>
          <w:noProof/>
        </w:rPr>
        <w:t>Zastosowanie w niniejszej sprawie</w:t>
      </w:r>
    </w:p>
    <w:p>
      <w:pPr>
        <w:rPr>
          <w:noProof/>
        </w:rPr>
      </w:pPr>
      <w:r>
        <w:rPr>
          <w:noProof/>
        </w:rPr>
        <w:t xml:space="preserve">Główny cel i treść planowanego aktu odnoszą się do wspólnej polityki handlowej. </w:t>
      </w:r>
    </w:p>
    <w:p>
      <w:pPr>
        <w:rPr>
          <w:i/>
          <w:noProof/>
        </w:rPr>
      </w:pPr>
      <w:r>
        <w:rPr>
          <w:noProof/>
        </w:rPr>
        <w:t>Materialną podstawą prawną proponowanej decyzji jest zatem art. 207 ust. 4 akapit pierwszy TFUE.</w:t>
      </w:r>
    </w:p>
    <w:p>
      <w:pPr>
        <w:pStyle w:val="ManualHeading2"/>
        <w:rPr>
          <w:noProof/>
        </w:rPr>
      </w:pPr>
      <w:r>
        <w:t>4.3.</w:t>
      </w:r>
      <w:r>
        <w:tab/>
      </w:r>
      <w:r>
        <w:rPr>
          <w:noProof/>
        </w:rPr>
        <w:t>Podsumowanie</w:t>
      </w:r>
    </w:p>
    <w:p>
      <w:pPr>
        <w:rPr>
          <w:noProof/>
          <w:color w:val="000000" w:themeColor="text1"/>
        </w:rPr>
      </w:pPr>
      <w:r>
        <w:rPr>
          <w:noProof/>
        </w:rPr>
        <w:t>Podstawą prawną proponowanej decyzji powinien być art. 207 ust. 4 akapit pierwszy TFUE w związku z art. 218 ust. 9 TFUE.</w:t>
      </w:r>
    </w:p>
    <w:p>
      <w:pPr>
        <w:pStyle w:val="ManualHeading1"/>
        <w:rPr>
          <w:noProof/>
        </w:rPr>
      </w:pPr>
      <w:r>
        <w:t>5.</w:t>
      </w:r>
      <w:r>
        <w:tab/>
      </w:r>
      <w:r>
        <w:rPr>
          <w:noProof/>
        </w:rPr>
        <w:t>Publikacja planowanego aktu</w:t>
      </w:r>
    </w:p>
    <w:p>
      <w:pPr>
        <w:rPr>
          <w:noProof/>
          <w:color w:val="000000" w:themeColor="text1"/>
        </w:rPr>
      </w:pPr>
      <w:r>
        <w:rPr>
          <w:noProof/>
        </w:rPr>
        <w:t>Ponieważ przedmiotowy akt Komitetu Administracyjnego zmieni Konwencję celną dotyczącą międzynarodowego przewozu towarów z zastosowaniem karnetów TIR i załączniki do niej, po jego przyjęciu należy opublikować go w </w:t>
      </w:r>
      <w:r>
        <w:rPr>
          <w:i/>
          <w:noProof/>
        </w:rPr>
        <w:t>Dzienniku Urzędowym Unii Europejskiej</w:t>
      </w:r>
      <w:r>
        <w:rPr>
          <w:noProof/>
        </w:rPr>
        <w:t>.</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2020/0166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zająć w imieniu Unii Europejskiej w ramach Komitetu Administracyjnego Konwencji celnej dotyczącej międzynarodowego przewozu towarów z zastosowaniem karnetów TIR w odniesieniu do wniosku w sprawie zmiany konwencji</w:t>
      </w:r>
    </w:p>
    <w:p>
      <w:pPr>
        <w:pStyle w:val="Institutionquiagit"/>
        <w:rPr>
          <w:b/>
          <w:noProof/>
          <w:color w:val="000000" w:themeColor="text1"/>
        </w:rPr>
      </w:pPr>
      <w:r>
        <w:rPr>
          <w:b/>
          <w:noProof/>
          <w:color w:val="000000" w:themeColor="text1"/>
        </w:rPr>
        <w:t>RADA UNII EUROPEJSKIEJ,</w:t>
      </w:r>
    </w:p>
    <w:p>
      <w:pPr>
        <w:rPr>
          <w:noProof/>
          <w:color w:val="000000" w:themeColor="text1"/>
        </w:rPr>
      </w:pPr>
      <w:r>
        <w:rPr>
          <w:noProof/>
        </w:rPr>
        <w:t>uwzględniając Traktat o funkcjonowaniu Unii Europejskiej, w szczególności jego art. 207 ust. 4 akapit pierwszy w związku z art. 218 ust. 9,</w:t>
      </w:r>
    </w:p>
    <w:p>
      <w:pPr>
        <w:rPr>
          <w:noProof/>
          <w:color w:val="000000" w:themeColor="text1"/>
        </w:rPr>
      </w:pPr>
      <w:r>
        <w:rPr>
          <w:noProof/>
          <w:color w:val="000000" w:themeColor="text1"/>
        </w:rPr>
        <w:t>uwzględniając wniosek Komisji Europejskiej,</w:t>
      </w:r>
    </w:p>
    <w:p>
      <w:pPr>
        <w:rPr>
          <w:noProof/>
          <w:color w:val="000000" w:themeColor="text1"/>
        </w:rPr>
      </w:pPr>
      <w:r>
        <w:rPr>
          <w:noProof/>
          <w:color w:val="000000" w:themeColor="text1"/>
        </w:rPr>
        <w:t>a także mając na uwadze, co następuje:</w:t>
      </w:r>
    </w:p>
    <w:p>
      <w:pPr>
        <w:pStyle w:val="ManualConsidrant"/>
        <w:rPr>
          <w:noProof/>
          <w:color w:val="000000" w:themeColor="text1"/>
        </w:rPr>
      </w:pPr>
      <w:r>
        <w:t>(1)</w:t>
      </w:r>
      <w:r>
        <w:tab/>
      </w:r>
      <w:r>
        <w:rPr>
          <w:noProof/>
        </w:rPr>
        <w:t>Konwencja celna dotycząca międzynarodowego przewozu towarów z zastosowaniem karnetów TIR z dnia 14 listopada 1975 r. („konwencja TIR”) została zatwierdzona w imieniu Europejskiej Wspólnoty Gospodarczej rozporządzeniem Rady (EWG) nr 2112/78</w:t>
      </w:r>
      <w:r>
        <w:rPr>
          <w:rStyle w:val="FootnoteReference"/>
          <w:noProof/>
        </w:rPr>
        <w:footnoteReference w:id="4"/>
      </w:r>
      <w:r>
        <w:rPr>
          <w:noProof/>
        </w:rPr>
        <w:t xml:space="preserve"> i weszła w życie we Wspólnocie w dniu 20 czerwca 1983 r.</w:t>
      </w:r>
      <w:r>
        <w:rPr>
          <w:rStyle w:val="FootnoteReference"/>
          <w:noProof/>
        </w:rPr>
        <w:footnoteReference w:id="5"/>
      </w:r>
    </w:p>
    <w:p>
      <w:pPr>
        <w:pStyle w:val="ManualConsidrant"/>
        <w:rPr>
          <w:noProof/>
        </w:rPr>
      </w:pPr>
      <w:r>
        <w:t>(2)</w:t>
      </w:r>
      <w:r>
        <w:tab/>
      </w:r>
      <w:r>
        <w:rPr>
          <w:noProof/>
        </w:rPr>
        <w:t>Skonsolidowaną wersję konwencji TIR opublikowano jako załącznik do decyzji Rady 2009/477/WE, zgodnie z którą Komisja ma opublikować przyszłe zmiany do konwencji TIR w </w:t>
      </w:r>
      <w:r>
        <w:rPr>
          <w:i/>
          <w:noProof/>
        </w:rPr>
        <w:t>Dzienniku Urzędowym Unii Europejskiej</w:t>
      </w:r>
      <w:r>
        <w:rPr>
          <w:noProof/>
        </w:rPr>
        <w:t xml:space="preserve"> ze wskazaniem ich daty wejścia w życie.</w:t>
      </w:r>
    </w:p>
    <w:p>
      <w:pPr>
        <w:pStyle w:val="ManualConsidrant"/>
        <w:rPr>
          <w:noProof/>
          <w:color w:val="000000" w:themeColor="text1"/>
        </w:rPr>
      </w:pPr>
      <w:r>
        <w:t>(3)</w:t>
      </w:r>
      <w:r>
        <w:tab/>
      </w:r>
      <w:r>
        <w:rPr>
          <w:noProof/>
        </w:rPr>
        <w:t>Zgodnie z art. 59 i 60 konwencji TIR Komitet Administracyjny konwencji TIR („Komitet Administracyjny”) może przyjmować zmiany do konwencji TIR i jej załączników większością dwóch trzecich obecnych i głosujących umawiających się stron.</w:t>
      </w:r>
    </w:p>
    <w:p>
      <w:pPr>
        <w:pStyle w:val="ManualConsidrant"/>
        <w:rPr>
          <w:noProof/>
          <w:color w:val="000000" w:themeColor="text1"/>
        </w:rPr>
      </w:pPr>
      <w:r>
        <w:t>(4)</w:t>
      </w:r>
      <w:r>
        <w:tab/>
      </w:r>
      <w:r>
        <w:rPr>
          <w:noProof/>
        </w:rPr>
        <w:t>Na swojej 73. sesji w dniu 15 października 2020 r., lub na jednej z kolejnych sesji, Komitet Administracyjny ma przyjąć kilka zmian do konwencji TIR i jej załączników.</w:t>
      </w:r>
    </w:p>
    <w:p>
      <w:pPr>
        <w:pStyle w:val="ManualConsidrant"/>
        <w:rPr>
          <w:noProof/>
          <w:color w:val="000000" w:themeColor="text1"/>
        </w:rPr>
      </w:pPr>
      <w:r>
        <w:t>(5)</w:t>
      </w:r>
      <w:r>
        <w:tab/>
      </w:r>
      <w:r>
        <w:rPr>
          <w:noProof/>
        </w:rPr>
        <w:t>Należy ustalić stanowisko, jakie ma zostać zajęte w imieniu Unii w ramach Komitetu Administracyjnego, gdyż przyjęte zmiany będą wiążące dla Unii.</w:t>
      </w:r>
    </w:p>
    <w:p>
      <w:pPr>
        <w:pStyle w:val="ManualConsidrant"/>
        <w:rPr>
          <w:noProof/>
        </w:rPr>
      </w:pPr>
      <w:r>
        <w:t>(6)</w:t>
      </w:r>
      <w:r>
        <w:tab/>
      </w:r>
      <w:r>
        <w:rPr>
          <w:noProof/>
        </w:rPr>
        <w:t>W celu przyspieszenia modernizacji systemu TIR konieczne jest wprowadzenie obowiązkowego elektronicznego przesyłania danych przez właściwe organy do Rady Wykonawczej TIR w odniesieniu do pozwoleń i cofnięcia pozwoleń posiadaczy karnetów TIR oraz stworzenie wiarygodnej internetowej międzynarodowej bazy danych obejmującej urzędy celne, które przyjmują operacje TIR, poprzez zmianę art. 38 konwencji TIR i załącznika 9 do konwencji TIR oraz dodanie nowej noty wyjaśniającej do art. 45 konwencji TIR.</w:t>
      </w:r>
    </w:p>
    <w:p>
      <w:pPr>
        <w:pStyle w:val="ManualConsidrant"/>
        <w:rPr>
          <w:noProof/>
        </w:rPr>
      </w:pPr>
      <w:r>
        <w:lastRenderedPageBreak/>
        <w:t>(7)</w:t>
      </w:r>
      <w:r>
        <w:tab/>
      </w:r>
      <w:r>
        <w:rPr>
          <w:noProof/>
        </w:rPr>
        <w:t>Aby zwiększyć atrakcyjność konwencji TIR zarówno dla podmiotów gospodarczych, jak i organów celnych, konieczne jest wprowadzenie możliwości przyznawania przez umawiające się strony należycie upoważnionym osobom większych udogodnień w stosowaniu postanowień konwencji TIR poprzez dodanie nowej noty wyjaśniającej do art. 49 konwencji TIR.</w:t>
      </w:r>
    </w:p>
    <w:p>
      <w:pPr>
        <w:pStyle w:val="ManualConsidrant"/>
        <w:rPr>
          <w:noProof/>
          <w:color w:val="000000" w:themeColor="text1"/>
        </w:rPr>
      </w:pPr>
      <w:r>
        <w:t>(8)</w:t>
      </w:r>
      <w:r>
        <w:tab/>
      </w:r>
      <w:r>
        <w:rPr>
          <w:noProof/>
        </w:rPr>
        <w:t>W celu doprecyzowania postanowień konwencji TIR konieczne jest określenie zastosowania wyznaczonej trasy w ramach unii celnej poprzez zmianę art. 20 konwencji TIR i zwiększenie zalecanej maksymalnej kwoty, której można dochodzić od stowarzyszeń poręczających w odniesieniu do karnetów TIR wydawanych w przypadku przewozu papierosów i alkoholu, poprzez zmianę noty wyjaśniającej do art. 8 konwencji TIR.</w:t>
      </w:r>
    </w:p>
    <w:p>
      <w:pPr>
        <w:pStyle w:val="ManualConsidrant"/>
        <w:rPr>
          <w:noProof/>
        </w:rPr>
      </w:pPr>
      <w:r>
        <w:t>(9)</w:t>
      </w:r>
      <w:r>
        <w:tab/>
      </w:r>
      <w:r>
        <w:rPr>
          <w:noProof/>
        </w:rPr>
        <w:t xml:space="preserve">Stanowisko, jakie ma zająć Unia w ramach Komitetu Administracyjnego, powinno być zatem oparte na projekcie zmian załączonym do niniejszej decyzji. Pozostaje to bez uszczerbku dla możliwości wprowadzenia bez kolejnej decyzji Rady nieznacznych zmian w projekcie, które mają zostać uzgodnione przez przedstawicieli Unii w Komitecie Administracyjnym konwencji TIR. </w:t>
      </w:r>
    </w:p>
    <w:p>
      <w:pPr>
        <w:pStyle w:val="ManualConsidrant"/>
        <w:rPr>
          <w:noProof/>
          <w:color w:val="000000" w:themeColor="text1"/>
        </w:rPr>
      </w:pPr>
      <w:r>
        <w:t>(10)</w:t>
      </w:r>
      <w:r>
        <w:tab/>
      </w:r>
      <w:r>
        <w:rPr>
          <w:noProof/>
        </w:rPr>
        <w:t>Stanowisko Unii powinno zostać wyrażone przez Komisję. Państwa członkowskie Unii powinny wyrazić stanowisko Unii w przypadku formalnego głosowania w Komitecie Administracyjnym, działając wspólnie w interesie Unii,</w:t>
      </w:r>
    </w:p>
    <w:p>
      <w:pPr>
        <w:pStyle w:val="Formuledadoption"/>
        <w:rPr>
          <w:noProof/>
          <w:color w:val="000000" w:themeColor="text1"/>
        </w:rPr>
      </w:pPr>
      <w:r>
        <w:rPr>
          <w:noProof/>
          <w:color w:val="000000" w:themeColor="text1"/>
        </w:rPr>
        <w:t>PRZYJMUJE NINIEJSZĄ DECYZJĘ:</w:t>
      </w:r>
    </w:p>
    <w:p>
      <w:pPr>
        <w:pStyle w:val="Titrearticle"/>
        <w:rPr>
          <w:noProof/>
          <w:color w:val="000000" w:themeColor="text1"/>
        </w:rPr>
      </w:pPr>
      <w:r>
        <w:rPr>
          <w:noProof/>
          <w:color w:val="000000" w:themeColor="text1"/>
        </w:rPr>
        <w:t>Artykuł 1</w:t>
      </w:r>
    </w:p>
    <w:p>
      <w:pPr>
        <w:rPr>
          <w:noProof/>
          <w:color w:val="000000" w:themeColor="text1"/>
        </w:rPr>
      </w:pPr>
      <w:r>
        <w:rPr>
          <w:noProof/>
        </w:rPr>
        <w:t>Stanowisko, jakie ma zostać zajęte w imieniu Unii podczas 73. lub jednej z kolejnych sesji Komitetu Administracyjnego Konwencji celnej dotyczącej międzynarodowego przewozu towarów z zastosowaniem karnetów TIR („konwencja TIR”), oparte jest na projekcie zmian załączonym do niniejszej decyzji.</w:t>
      </w:r>
    </w:p>
    <w:p>
      <w:pPr>
        <w:pStyle w:val="Titrearticle"/>
        <w:rPr>
          <w:noProof/>
          <w:color w:val="000000" w:themeColor="text1"/>
        </w:rPr>
      </w:pPr>
      <w:r>
        <w:rPr>
          <w:noProof/>
          <w:color w:val="000000" w:themeColor="text1"/>
        </w:rPr>
        <w:t>Artykuł 2</w:t>
      </w:r>
    </w:p>
    <w:p>
      <w:pPr>
        <w:rPr>
          <w:noProof/>
        </w:rPr>
      </w:pPr>
      <w:r>
        <w:rPr>
          <w:noProof/>
        </w:rPr>
        <w:t xml:space="preserve">Stanowisko, o którym mowa w art. 1, jest wyrażane przez Komisję. Państwa członkowskie Unii wyrażają stanowisko Unii w przypadku formalnego głosowania w Komitecie Administracyjnym konwencji TIR, działając wspólnie w interesie Unii. </w:t>
      </w:r>
    </w:p>
    <w:p>
      <w:pPr>
        <w:pStyle w:val="Titrearticle"/>
        <w:rPr>
          <w:noProof/>
          <w:color w:val="000000" w:themeColor="text1"/>
        </w:rPr>
      </w:pPr>
      <w:r>
        <w:rPr>
          <w:noProof/>
        </w:rPr>
        <w:t>Artykuł 3</w:t>
      </w:r>
    </w:p>
    <w:p>
      <w:pPr>
        <w:rPr>
          <w:noProof/>
          <w:color w:val="000000" w:themeColor="text1"/>
        </w:rPr>
      </w:pPr>
      <w:r>
        <w:rPr>
          <w:noProof/>
          <w:color w:val="000000" w:themeColor="text1"/>
        </w:rPr>
        <w:t xml:space="preserve">Niniejsza decyzja skierowana jest do państw członkowskich i Komisji. </w:t>
      </w:r>
    </w:p>
    <w:p>
      <w:pPr>
        <w:pStyle w:val="Fait"/>
        <w:rPr>
          <w:noProof/>
        </w:rPr>
      </w:pPr>
      <w:r>
        <w:t xml:space="preserve">Sporządzono w Brukseli dnia </w:t>
      </w:r>
      <w:r>
        <w:rPr>
          <w:rStyle w:val="Marker"/>
        </w:rPr>
        <w:t>[…]</w:t>
      </w:r>
      <w:r>
        <w:t xml:space="preserve"> r.</w:t>
      </w:r>
    </w:p>
    <w:p>
      <w:pPr>
        <w:pStyle w:val="Institutionquisigne"/>
        <w:rPr>
          <w:noProof/>
          <w:color w:val="000000" w:themeColor="text1"/>
        </w:rPr>
      </w:pPr>
      <w:r>
        <w:rPr>
          <w:noProof/>
        </w:rPr>
        <w:tab/>
      </w:r>
      <w:r>
        <w:rPr>
          <w:noProof/>
          <w:color w:val="000000" w:themeColor="text1"/>
        </w:rPr>
        <w:t>W imieniu Rady</w:t>
      </w:r>
    </w:p>
    <w:p>
      <w:pPr>
        <w:pStyle w:val="Personnequisigne"/>
        <w:rPr>
          <w:noProof/>
          <w:color w:val="000000" w:themeColor="text1"/>
        </w:rPr>
      </w:pPr>
      <w:r>
        <w:rPr>
          <w:noProof/>
        </w:rPr>
        <w:tab/>
      </w:r>
      <w:r>
        <w:rPr>
          <w:noProof/>
          <w:color w:val="000000" w:themeColor="text1"/>
        </w:rPr>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Skrót TIR oznacza „Transports Internationaux Routiers” (międzynarodowy transport drogowy).</w:t>
      </w:r>
    </w:p>
  </w:footnote>
  <w:footnote w:id="2">
    <w:p>
      <w:pPr>
        <w:pStyle w:val="FootnoteText"/>
      </w:pPr>
      <w:r>
        <w:rPr>
          <w:rStyle w:val="FootnoteReference"/>
        </w:rPr>
        <w:footnoteRef/>
      </w:r>
      <w:r>
        <w:tab/>
        <w:t>Rozporządzenie Rady (EWG) nr 2112/78 z dnia 25 lipca 1978 r. dotyczące zawarcia Konwencji Celnej dotyczącej międzynarodowego przewozu towarów z zastosowaniem karnetów TIR (Konwencja TIR) zawartej w Genewie dnia 14 listopada 1975 r. (Dz.U. L 252, s. 1).</w:t>
      </w:r>
    </w:p>
  </w:footnote>
  <w:footnote w:id="3">
    <w:p>
      <w:pPr>
        <w:pStyle w:val="FootnoteText"/>
      </w:pPr>
      <w:r>
        <w:rPr>
          <w:rStyle w:val="FootnoteReference"/>
        </w:rPr>
        <w:footnoteRef/>
      </w:r>
      <w:r>
        <w:tab/>
        <w:t xml:space="preserve">Wyrok Trybunału Sprawiedliwości z dnia 7 października 2014 r., Niemcy przeciwko Radzie, sprawa C-399/12, ECLI:EU:C:2014:2258, pkt 61–64. </w:t>
      </w:r>
    </w:p>
  </w:footnote>
  <w:footnote w:id="4">
    <w:p>
      <w:pPr>
        <w:pStyle w:val="FootnoteText"/>
      </w:pPr>
      <w:r>
        <w:rPr>
          <w:rStyle w:val="FootnoteReference"/>
        </w:rPr>
        <w:footnoteRef/>
      </w:r>
      <w:r>
        <w:tab/>
        <w:t>Rozporządzenie Rady (EWG) nr 2112/78 z dnia 25 lipca 1978 r. dotyczące zawarcia Konwencji Celnej dotyczącej międzynarodowego przewozu towarów z zastosowaniem karnetów TIR (Konwencja TIR) zawartej w Genewie dnia 14 listopada 1975 r. (Dz.U. L 252 z 14.9.1978, s. 1).</w:t>
      </w:r>
    </w:p>
  </w:footnote>
  <w:footnote w:id="5">
    <w:p>
      <w:pPr>
        <w:pStyle w:val="FootnoteText"/>
      </w:pPr>
      <w:r>
        <w:rPr>
          <w:rStyle w:val="FootnoteReference"/>
        </w:rPr>
        <w:footnoteRef/>
      </w:r>
      <w:r>
        <w:tab/>
        <w:t>Dz.U. L 31 z 2.2.1983,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7C1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EE2F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4CA6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AA6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D697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2A43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442C00A"/>
    <w:lvl w:ilvl="0">
      <w:start w:val="1"/>
      <w:numFmt w:val="decimal"/>
      <w:pStyle w:val="ListNumber"/>
      <w:lvlText w:val="%1."/>
      <w:lvlJc w:val="left"/>
      <w:pPr>
        <w:tabs>
          <w:tab w:val="num" w:pos="360"/>
        </w:tabs>
        <w:ind w:left="360" w:hanging="360"/>
      </w:pPr>
    </w:lvl>
  </w:abstractNum>
  <w:abstractNum w:abstractNumId="7">
    <w:nsid w:val="FFFFFF89"/>
    <w:multiLevelType w:val="singleLevel"/>
    <w:tmpl w:val="6456D0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6:18: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8F4FB94-174F-4364-84D8-D1205C05DB4F"/>
    <w:docVar w:name="LW_COVERPAGE_TYPE" w:val="1"/>
    <w:docVar w:name="LW_CROSSREFERENCE" w:val="&lt;UNUSED&gt;"/>
    <w:docVar w:name="LW_DocType" w:val="COM"/>
    <w:docVar w:name="LW_EMISSION" w:val="7.8.2020"/>
    <w:docVar w:name="LW_EMISSION_ISODATE" w:val="2020-08-07"/>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166"/>
    <w:docVar w:name="LW_REF.II.NEW.CP_YEAR" w:val="2020"/>
    <w:docVar w:name="LW_REF.INST.NEW" w:val="COM"/>
    <w:docVar w:name="LW_REF.INST.NEW_ADOPTED" w:val="final"/>
    <w:docVar w:name="LW_REF.INST.NEW_TEXT" w:val="(2020)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nale\u380?y zaj\u261?\u263? w imieniu Unii Europejskiej w ramach Komitetu Administracyjnego Konwencji celnej dotycz\u261?cej mi\u281?dzynarodowego przewozu towarów z zastosowaniem karnetów TIR w odniesieniu do wniosku w sprawie zmiany konwencji"/>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BCE8-861C-4AC2-8185-16F8096F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2024</Words>
  <Characters>12938</Characters>
  <Application>Microsoft Office Word</Application>
  <DocSecurity>0</DocSecurity>
  <Lines>235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2020-08-04T08:48:00Z</dcterms:created>
  <dcterms:modified xsi:type="dcterms:W3CDTF">2020-08-11T14:18:00Z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