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171B34D-8712-4EBA-BE16-E65E4250951D" style="width:450.5pt;height:379.45pt">
            <v:imagedata r:id="rId9" o:title=""/>
          </v:shape>
        </w:pict>
      </w:r>
    </w:p>
    <w:p>
      <w:pPr>
        <w:rPr>
          <w:noProof/>
          <w:color w:val="000000" w:themeColor="text1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lastRenderedPageBreak/>
        <w:t>EXPOSIÇÃO DE MOTIVOS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Objeto da proposta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>A presente proposta diz respeito à decisão que estabelece a posição a adotar em nome da União no Comité de Gestão instituído pela Convenção Aduaneira relativa ao Transporte Internacional de Mercadorias efetuado ao abrigo das Cadernetas TIR</w:t>
      </w:r>
      <w:r>
        <w:rPr>
          <w:rStyle w:val="FootnoteReference"/>
          <w:rFonts w:eastAsia="Arial Unicode MS"/>
          <w:noProof/>
          <w:color w:val="000000" w:themeColor="text1"/>
        </w:rPr>
        <w:footnoteReference w:id="1"/>
      </w:r>
      <w:r>
        <w:rPr>
          <w:noProof/>
          <w:color w:val="000000" w:themeColor="text1"/>
        </w:rPr>
        <w:t xml:space="preserve"> («a Convenção TIR»), no âmbito da adoção prevista de </w:t>
      </w:r>
      <w:r>
        <w:rPr>
          <w:noProof/>
        </w:rPr>
        <w:t>várias alterações à Convenção TIR.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Contexto da proposta</w:t>
      </w:r>
    </w:p>
    <w:p>
      <w:pPr>
        <w:pStyle w:val="ManualHeading2"/>
        <w:rPr>
          <w:noProof/>
          <w:color w:val="000000" w:themeColor="text1"/>
        </w:rPr>
      </w:pPr>
      <w:r>
        <w:t>2.1.</w:t>
      </w:r>
      <w:r>
        <w:tab/>
      </w:r>
      <w:r>
        <w:rPr>
          <w:noProof/>
          <w:color w:val="000000" w:themeColor="text1"/>
        </w:rPr>
        <w:t xml:space="preserve">A </w:t>
      </w:r>
      <w:r>
        <w:rPr>
          <w:noProof/>
        </w:rPr>
        <w:t>Convenção Aduaneira relativa ao Transporte Internacional de Mercadorias efetuado ao abrigo das Cadernetas TIR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 xml:space="preserve">A </w:t>
      </w:r>
      <w:r>
        <w:rPr>
          <w:noProof/>
        </w:rPr>
        <w:t xml:space="preserve">Convenção Aduaneira relativa ao Transporte Internacional de Mercadorias efetuado ao abrigo das Cadernetas TIR, de 14 de novembro de 1975 </w:t>
      </w:r>
      <w:r>
        <w:rPr>
          <w:noProof/>
          <w:color w:val="000000" w:themeColor="text1"/>
        </w:rPr>
        <w:t xml:space="preserve">(«Convenção TIR»), visa facilitar o transporte internacional de mercadorias a partir das estâncias aduaneiras de partida até às estâncias aduaneiras de destino, passando por tantos países quanto forem necessários. </w:t>
      </w:r>
      <w:r>
        <w:rPr>
          <w:noProof/>
        </w:rPr>
        <w:t>O Acordo entrou em vigor em 1978. Desde novembro de 2019, há 76 partes na Convenção, incluindo 75 Estados e a União Europeia. A União Europeia é parte contratante na Convenção TIR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 xml:space="preserve"> desde 20 de junho de 1983, e todos os Estados-Membros são partes contratantes na Convenção TIR.</w:t>
      </w:r>
    </w:p>
    <w:p>
      <w:pPr>
        <w:pStyle w:val="ManualHeading2"/>
        <w:rPr>
          <w:noProof/>
          <w:color w:val="000000" w:themeColor="text1"/>
        </w:rPr>
      </w:pPr>
      <w:r>
        <w:t>2.2.</w:t>
      </w:r>
      <w:r>
        <w:tab/>
      </w:r>
      <w:r>
        <w:rPr>
          <w:noProof/>
        </w:rPr>
        <w:t>Comité de Gestão</w:t>
      </w:r>
    </w:p>
    <w:p>
      <w:pPr>
        <w:rPr>
          <w:noProof/>
        </w:rPr>
      </w:pPr>
      <w:r>
        <w:rPr>
          <w:noProof/>
          <w:color w:val="000000" w:themeColor="text1"/>
        </w:rPr>
        <w:t>O</w:t>
      </w:r>
      <w:r>
        <w:rPr>
          <w:noProof/>
        </w:rPr>
        <w:t xml:space="preserve"> Comité de Gestão atua no quadro da Convenção Aduaneira relativa ao Transporte Internacional de Mercadorias efetuado ao abrigo das Cadernetas TIR. O papel do Comité de Gestão consiste em considerar e adotar alterações à Convenção TIR. As propostas são submetidas a votação e cada Estado, que é parte e está representado numa sessão do Comité de Gestão, dispõe de um voto. A União tem competência exclusiva no domínio aduaneiro regido pela Convenção TIR. No entanto, a União, enquanto união económica e aduaneira, não dispõe de direitos de voto para além dos que pertencem aos seus Estados-Membros, em conformidade com o artigo 52.º, n.º 3, da Convenção. Todos os Estados-Membros são partes com direito de voto.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</w:rPr>
        <w:t>As alterações à Convenção TIR são adotadas por uma maioria de dois terços dos membros presentes e votantes. Para tomar uma decisão, é necessário um quórum de, pelo menos, um terço dos Estados que são partes contratantes.</w:t>
      </w:r>
    </w:p>
    <w:p>
      <w:pPr>
        <w:pStyle w:val="ManualHeading2"/>
        <w:rPr>
          <w:noProof/>
          <w:color w:val="000000" w:themeColor="text1"/>
        </w:rPr>
      </w:pPr>
      <w:r>
        <w:t>2.3.</w:t>
      </w:r>
      <w:r>
        <w:tab/>
      </w:r>
      <w:r>
        <w:rPr>
          <w:noProof/>
          <w:color w:val="000000" w:themeColor="text1"/>
        </w:rPr>
        <w:t>Ato previsto do</w:t>
      </w:r>
      <w:r>
        <w:rPr>
          <w:noProof/>
        </w:rPr>
        <w:t xml:space="preserve"> Comité de Gestão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</w:rPr>
        <w:t>Em outubro de 2020, durante a sua 73.ª sessão, o Comité de Gestão deverá adotar uma decisão sobre a adoção das alterações propostas à Convenção Aduaneira relativa ao Transporte Internacional de Mercadorias efetuado ao abrigo das Cadernetas TIR («o ato previsto»).</w:t>
      </w:r>
    </w:p>
    <w:p>
      <w:pPr>
        <w:rPr>
          <w:noProof/>
        </w:rPr>
      </w:pPr>
      <w:r>
        <w:rPr>
          <w:noProof/>
        </w:rPr>
        <w:t>Os objetivos do ato previsto são os seguintes: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 xml:space="preserve">Estabelecer a utilização obrigatória, pelas autoridades competentes, do banco de dados TIR internacional (ITDB) eletrónico, em vez do modelo de habilitação (MAF) em papel, para </w:t>
      </w:r>
      <w:r>
        <w:rPr>
          <w:noProof/>
          <w:color w:val="000000" w:themeColor="text1"/>
        </w:rPr>
        <w:lastRenderedPageBreak/>
        <w:t>transmitir à Comissão de Controlo TIR (TIRExB) a autorização do titular ou a revogação da autorização para utilizar cadernetas TIR.</w:t>
      </w:r>
    </w:p>
    <w:p>
      <w:pPr>
        <w:rPr>
          <w:noProof/>
        </w:rPr>
      </w:pPr>
      <w:r>
        <w:rPr>
          <w:noProof/>
        </w:rPr>
        <w:t xml:space="preserve">Obter a publicação obrigatória da lista de estâncias aduaneiras aprovadas para a realização das operações TIR no ITDB. </w:t>
      </w:r>
    </w:p>
    <w:p>
      <w:pPr>
        <w:rPr>
          <w:noProof/>
        </w:rPr>
      </w:pPr>
      <w:r>
        <w:rPr>
          <w:noProof/>
        </w:rPr>
        <w:t>Permitir que as partes contratantes concedam a pessoas devidamente autorizadas, em conformidade com a legislação nacional, mais facilidades na aplicação das disposições da Convenção.</w:t>
      </w:r>
    </w:p>
    <w:p>
      <w:pPr>
        <w:rPr>
          <w:noProof/>
        </w:rPr>
      </w:pPr>
      <w:r>
        <w:rPr>
          <w:noProof/>
        </w:rPr>
        <w:t>Clarificar o texto da Convenção TIR sobre a utilização do itinerário vinculativo numa união aduaneira e atualizar o montante máximo de garantia para a caderneta TIR relativa a álcool e tabaco.</w:t>
      </w:r>
    </w:p>
    <w:p>
      <w:pPr>
        <w:rPr>
          <w:noProof/>
        </w:rPr>
      </w:pP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O ato previsto tornar-se-á vinculativo para as partes nos termos dos artigos 59.º e 60.º da Convenção TIR.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O artigo 59.º diz respeito a alterações do corpo principal da Convenção TIR e prevê: «</w:t>
      </w:r>
      <w:r>
        <w:rPr>
          <w:i/>
          <w:noProof/>
          <w:color w:val="000000" w:themeColor="text1"/>
        </w:rPr>
        <w:t xml:space="preserve">Sob reserva das disposições do artigo 60º, qualquer proposta de alteração comunicada ao abrigo das disposições do parágrafo anterior entrará em vigor relativamente a todas as partes contratantes três meses após o termo de um período de doze meses contado a partir da data em que a comunicação tenha sido feita, se durante esse período nenhuma objeção à alteração proposta tiver sido notificada por um Estado que seja parte contratante ao Secretário-Geral da Organização das Nações Unidas. </w:t>
      </w:r>
      <w:r>
        <w:rPr>
          <w:noProof/>
          <w:color w:val="000000" w:themeColor="text1"/>
        </w:rPr>
        <w:t xml:space="preserve">Se, em conformidade com o n.º 3 do presente artigo, tiver sido notificada uma objeção à alteração proposta, a alteração será considerada como não tendo sido aceite e não produzirá nenhum efeito.»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O artigo 60.º diz respeito a alterações dos anexos da Convenção TIR e prevê: «</w:t>
      </w:r>
      <w:r>
        <w:rPr>
          <w:i/>
          <w:noProof/>
          <w:color w:val="000000" w:themeColor="text1"/>
        </w:rPr>
        <w:t>Qualquer proposta de alteração dos anexos 1, 2, 3, 4, 5, 6, 7, 8, 9 e 10 examinada em conformidade com os n.</w:t>
      </w:r>
      <w:r>
        <w:rPr>
          <w:i/>
          <w:noProof/>
          <w:color w:val="000000" w:themeColor="text1"/>
          <w:vertAlign w:val="superscript"/>
        </w:rPr>
        <w:t>os</w:t>
      </w:r>
      <w:r>
        <w:rPr>
          <w:i/>
          <w:noProof/>
          <w:color w:val="000000" w:themeColor="text1"/>
        </w:rPr>
        <w:t xml:space="preserve"> 1 e 2 do artigo 59.º entrará em vigor numa data a fixar pelo Comité de Gestão no momento da sua aprovação, a menos que até uma data anterior, fixada pelo Comité de Gestão no mesmo momento, um quinto ou cinco dos Estados que são partes contratantes, se esse número for inferior, notificarem o Secretário-Geral das Nações Unidas de que formulam objeções contra a alteração. As datas referidas neste parágrafo serão fixadas pelo Comité de Gestão por uma maioria de dois terços dos membros presentes e votantes</w:t>
      </w:r>
      <w:r>
        <w:rPr>
          <w:noProof/>
          <w:color w:val="000000" w:themeColor="text1"/>
        </w:rPr>
        <w:t>».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Posição a adotar em nome da União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Este pacote de alterações irá reforçar a modernização da Convenção TIR, que já vai no bom caminho com a adoção histórica do quadro jurídico do futuro sistema internacional eTIR na 72.ª sessão do Comité de Gestão, em fevereiro de 2020. O pacote irá também clarificar os aspetos técnicos no texto da Convenção TIR.</w:t>
      </w:r>
    </w:p>
    <w:p>
      <w:pPr>
        <w:rPr>
          <w:noProof/>
        </w:rPr>
      </w:pPr>
      <w:r>
        <w:rPr>
          <w:noProof/>
        </w:rPr>
        <w:t>Em primeiro lugar, ao introduzir a utilização obrigatória de uma aplicação ITDB para a transmissão de dados de titulares de cadernetas TIR autorizados à Comissão de Controlo TIR, bem como ao criar uma base de dados internacional fiável das estâncias aduaneiras abertas à Convenção TIR, as partes contratantes na Convenção TIR facilitam as condições da futura digitalização da caderneta TIR e reforçam a fiabilidade dos dados TIR.</w:t>
      </w:r>
    </w:p>
    <w:p>
      <w:pPr>
        <w:rPr>
          <w:noProof/>
        </w:rPr>
      </w:pPr>
      <w:r>
        <w:rPr>
          <w:noProof/>
        </w:rPr>
        <w:t xml:space="preserve">Para alcançar este objetivo, o artigo 38.º, as respetivas notas explicativas e o anexo 9 serão alterados, a fim de obrigar as associações garantes a transmitir imediatamente à Comissão de Controlo TIR todas as informações relativas às pessoas autorizadas a utilizar o regime TIR. </w:t>
      </w:r>
      <w:r>
        <w:rPr>
          <w:noProof/>
        </w:rPr>
        <w:lastRenderedPageBreak/>
        <w:t>Além disso, uma nova nota explicativa do artigo 45.º especificará que a publicação da lista das estâncias aduaneiras de partida, das estâncias aduaneiras de passagem e das estâncias aduaneiras de destino aprovadas para a realização de operações TIR tem de ser efetuada numa aplicação eletrónica supervisionada pela Comissão de Controlo TIR (o ITDB).</w:t>
      </w:r>
    </w:p>
    <w:p>
      <w:pPr>
        <w:rPr>
          <w:noProof/>
        </w:rPr>
      </w:pPr>
      <w:r>
        <w:rPr>
          <w:noProof/>
        </w:rPr>
        <w:t>A União já utiliza o ITDB e apoia utilização obrigatória do ITDB por todas as partes contratantes na Convenção TIR, pois isso contribuirá para o objetivo geral, em consonância com a política aduaneira da União, de uma digitalização mais ampla do regime TIR, facilitando ainda mais o intercâmbio eletrónico de dados em tempo real entre as partes contratantes, as associações e as organizações internacionais.</w:t>
      </w:r>
    </w:p>
    <w:p>
      <w:pPr>
        <w:rPr>
          <w:noProof/>
        </w:rPr>
      </w:pPr>
      <w:r>
        <w:rPr>
          <w:noProof/>
        </w:rPr>
        <w:t>Em segundo lugar, através da criação de uma nova nota explicativa do anexo 6, artigo 49.º, as partes contratantes poderão, a título voluntário, introduzir mais facilidades na aplicação das disposições da Convenção.</w:t>
      </w:r>
    </w:p>
    <w:p>
      <w:pPr>
        <w:rPr>
          <w:noProof/>
        </w:rPr>
      </w:pPr>
      <w:r>
        <w:rPr>
          <w:noProof/>
        </w:rPr>
        <w:t>Essas facilidades só serão concedidas se incluírem a aplicação de tecnologias destinadas a assegurar a boa condução do regime TIR, instruções claras para que as pessoas autorizadas possam desempenhar funções específicas que são normalmente confiadas, por força da Convenção TIR, às autoridades aduaneiras, e a utilização de um sistema de manutenção de registos que permita às autoridades aduaneiras efetuar o controlo aduaneiro e supervisionar o procedimento.</w:t>
      </w:r>
    </w:p>
    <w:p>
      <w:pPr>
        <w:rPr>
          <w:noProof/>
        </w:rPr>
      </w:pPr>
      <w:r>
        <w:rPr>
          <w:noProof/>
        </w:rPr>
        <w:t>A União apoia a nova possibilidade de as partes contratantes proporem mais facilidades ao titular autorizado da caderneta TIR, a fim de manter o seu interesse para os operadores económicos.</w:t>
      </w:r>
    </w:p>
    <w:p>
      <w:pPr>
        <w:rPr>
          <w:noProof/>
        </w:rPr>
      </w:pPr>
      <w:r>
        <w:rPr>
          <w:noProof/>
        </w:rPr>
        <w:t>Por último, as alterações do artigo 20.º e da nota explicativa do artigo 8.º podem ser consideradas técnicas, na medida em que clarificam, respetivamente, a utilização do itinerário vinculativo no interior de uma união aduaneira e atualizam o montante máximo por cada caderneta TIR relativa a álcool e tabaco que pode ser exigida à associação garante.</w:t>
      </w:r>
    </w:p>
    <w:p>
      <w:pPr>
        <w:rPr>
          <w:noProof/>
        </w:rPr>
      </w:pPr>
      <w:r>
        <w:rPr>
          <w:noProof/>
        </w:rPr>
        <w:t>As consultas sobre as alterações propostas foram realizadas com os Estados-Membros no âmbito do Grupo de Peritos Aduaneiros para o regime TIR (coordenação Genebra). Foram efetuadas novas consultas durante as sessões do Grupo de Trabalho da Comissão Económica para a Europa das Nações Unidas (UNECE) sobre as questões aduaneiras em matéria de transportes.</w:t>
      </w:r>
    </w:p>
    <w:p>
      <w:pPr>
        <w:rPr>
          <w:noProof/>
        </w:rPr>
      </w:pPr>
      <w:r>
        <w:rPr>
          <w:noProof/>
        </w:rPr>
        <w:t>A coordenação interna, bem como as discussões conjuntas com os Estados-Membros no âmbito do Grupo de Peritos Aduaneiros para o regime TIR, mostraram claramente um grande apoio às alterações propostas. A Autoridade Europeia para a Proteção de Dados foi consultada por ofício de 23 de março de 2020 e não respondeu até 11 de junho de 2020, apesar de um ofício de insistência.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Base jurídica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Base jurídica processual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Princípios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O artigo 218.º, n.º 9, do Tratado sobre o Funcionamento da União Europeia (TFUE) prevê decisões que definem «</w:t>
      </w:r>
      <w:r>
        <w:rPr>
          <w:i/>
          <w:noProof/>
          <w:color w:val="000000" w:themeColor="text1"/>
        </w:rPr>
        <w:t>as posições a tomar em nome da União numa instância criada por um acordo, quando essa instância for chamada a adotar atos que produzam efeitos jurídicos, com exceção dos atos que completem ou alterem o quadro institucional do acordo</w:t>
      </w:r>
      <w:r>
        <w:rPr>
          <w:noProof/>
          <w:color w:val="000000" w:themeColor="text1"/>
        </w:rPr>
        <w:t>».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noção de «</w:t>
      </w:r>
      <w:r>
        <w:rPr>
          <w:i/>
          <w:noProof/>
          <w:color w:val="000000" w:themeColor="text1"/>
        </w:rPr>
        <w:t>atos que produzem efeitos jurídicos</w:t>
      </w:r>
      <w:r>
        <w:rPr>
          <w:noProof/>
          <w:color w:val="000000" w:themeColor="text1"/>
        </w:rPr>
        <w:t xml:space="preserve">» inclui os atos que produzem efeitos jurídicos por força das normas de direito internacional que regulam o organismo em questão. </w:t>
      </w:r>
      <w:r>
        <w:rPr>
          <w:noProof/>
          <w:color w:val="000000" w:themeColor="text1"/>
        </w:rPr>
        <w:lastRenderedPageBreak/>
        <w:t>Esta noção inclui ainda os instrumentos que não têm um efeito vinculativo por força do direito internacional, mas que «</w:t>
      </w:r>
      <w:r>
        <w:rPr>
          <w:i/>
          <w:noProof/>
          <w:color w:val="000000" w:themeColor="text1"/>
        </w:rPr>
        <w:t>tendem a influenciar de forma determinante o conteúdo da regulamentação adotada pelo legislador da União</w:t>
      </w:r>
      <w:r>
        <w:rPr>
          <w:noProof/>
          <w:color w:val="000000" w:themeColor="text1"/>
        </w:rPr>
        <w:t>»</w:t>
      </w:r>
      <w:r>
        <w:rPr>
          <w:rStyle w:val="FootnoteReference"/>
          <w:noProof/>
          <w:color w:val="000000" w:themeColor="text1"/>
        </w:rPr>
        <w:footnoteReference w:id="3"/>
      </w:r>
      <w:r>
        <w:rPr>
          <w:noProof/>
          <w:color w:val="000000" w:themeColor="text1"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Aplicação ao caso em apreço</w:t>
      </w:r>
    </w:p>
    <w:p>
      <w:pPr>
        <w:rPr>
          <w:noProof/>
          <w:color w:val="000000" w:themeColor="text1"/>
        </w:rPr>
      </w:pPr>
      <w:r>
        <w:rPr>
          <w:noProof/>
        </w:rPr>
        <w:t>O Comité de Gestão é um organismo criado por um acordo, a saber, a Convenção Aduaneira relativa ao Transporte Internacional de Mercadorias efetuado ao abrigo das Cadernetas TIR.</w:t>
      </w:r>
    </w:p>
    <w:p>
      <w:pPr>
        <w:rPr>
          <w:noProof/>
        </w:rPr>
      </w:pPr>
      <w:r>
        <w:rPr>
          <w:noProof/>
          <w:color w:val="000000" w:themeColor="text1"/>
        </w:rPr>
        <w:t>O ato que o</w:t>
      </w:r>
      <w:r>
        <w:rPr>
          <w:noProof/>
        </w:rPr>
        <w:t xml:space="preserve"> Comité de Gestão</w:t>
      </w:r>
      <w:r>
        <w:rPr>
          <w:noProof/>
          <w:color w:val="000000" w:themeColor="text1"/>
        </w:rPr>
        <w:t xml:space="preserve"> deve adotar é um ato que produz efeitos jurídicos. </w:t>
      </w:r>
      <w:r>
        <w:rPr>
          <w:noProof/>
        </w:rPr>
        <w:t>O ato previsto será vinculativo por força do direito internacional, em conformidade com os artigos 59.º e 60.º da Convenção Aduaneira relativa ao Transporte Internacional de Mercadorias efetuado ao abrigo das Cadernetas TIR.</w:t>
      </w:r>
      <w:r>
        <w:rPr>
          <w:noProof/>
          <w:color w:val="000000" w:themeColor="text1"/>
        </w:rPr>
        <w:t xml:space="preserve">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O ato previsto não completa nem altera o quadro institucional do Acordo.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base jurídica processual da decisão proposta é, por conseguinte, o artigo 218.º, n.º 9, do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Base jurídica material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Princípios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base jurídica material para a adoção de uma decisão ao abrigo do artigo 218.º, n.º 9, do TFUE depende essencialmente do objetivo e do conteúdo do ato previsto em relação ao qual é adotada uma posição em nome da União. Se o ato previsto prosseguir duas finalidades ou tiver duas componentes, e se uma dessas finalidades ou componentes for identificável como sendo principal e a outra apenas acessória, a decisão a adotar ao abrigo do artigo 218.º, n.º 9, do TFUE deve assentar numa única base jurídica material, nomeadamente a exigida pela finalidade ou pela componente principal ou preponderante</w:t>
      </w:r>
    </w:p>
    <w:p>
      <w:pPr>
        <w:rPr>
          <w:noProof/>
          <w:color w:val="000000" w:themeColor="text1"/>
        </w:rPr>
      </w:pP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Aplicação ao caso em apreço</w:t>
      </w:r>
    </w:p>
    <w:p>
      <w:pPr>
        <w:rPr>
          <w:noProof/>
        </w:rPr>
      </w:pPr>
      <w:r>
        <w:rPr>
          <w:noProof/>
          <w:color w:val="000000" w:themeColor="text1"/>
        </w:rPr>
        <w:t>O principal objetivo e o conteúdo do ato previsto dizem respeito à</w:t>
      </w:r>
      <w:r>
        <w:rPr>
          <w:noProof/>
        </w:rPr>
        <w:t xml:space="preserve"> política comercial comum. </w:t>
      </w:r>
    </w:p>
    <w:p>
      <w:pPr>
        <w:rPr>
          <w:i/>
          <w:noProof/>
        </w:rPr>
      </w:pPr>
      <w:r>
        <w:rPr>
          <w:noProof/>
        </w:rPr>
        <w:t>A base jurídica material da decisão proposta é, por conseguinte, o artigo 207.º, n.º 4, primeiro parágrafo, do 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Conclusão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base jurídica da decisão proposta deve ser</w:t>
      </w:r>
      <w:r>
        <w:rPr>
          <w:noProof/>
        </w:rPr>
        <w:t xml:space="preserve"> o artigo 207.º, n.º 4, primeiro parágrafo, do TFUE, </w:t>
      </w:r>
      <w:r>
        <w:rPr>
          <w:noProof/>
          <w:color w:val="000000" w:themeColor="text1"/>
        </w:rPr>
        <w:t>em conjugação com o artigo 218.º, n.º 9, do 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Publicação do ato previsto</w:t>
      </w:r>
    </w:p>
    <w:p>
      <w:pPr>
        <w:rPr>
          <w:noProof/>
          <w:color w:val="000000" w:themeColor="text1"/>
        </w:rPr>
      </w:pPr>
      <w:r>
        <w:rPr>
          <w:noProof/>
        </w:rPr>
        <w:t xml:space="preserve">Dado que o ato do Comité de Gestão irá alterar a Convenção Aduaneira relativa ao Transporte Internacional de Mercadorias efetuado ao abrigo das cadernetas TIR e os seus anexos, é adequado publicá-lo no </w:t>
      </w:r>
      <w:r>
        <w:rPr>
          <w:i/>
          <w:noProof/>
        </w:rPr>
        <w:t>Jornal Oficial da União Europeia</w:t>
      </w:r>
      <w:r>
        <w:rPr>
          <w:noProof/>
        </w:rPr>
        <w:t xml:space="preserve"> após a sua adoção.</w:t>
      </w:r>
    </w:p>
    <w:p>
      <w:pPr>
        <w:rPr>
          <w:noProof/>
          <w:color w:val="000000" w:themeColor="text1"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2020/0166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tomar, em nome da União Europeia, no âmbito do Comité de Gestão da Convenção Aduaneira relativa ao Transporte Internacional de Mercadorias a coberto abrigo das Cadernetas TIR no que respeita às propostas de alterações à Convenção TIR</w:t>
      </w:r>
    </w:p>
    <w:p>
      <w:pPr>
        <w:pStyle w:val="Institutionquiagit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O CONSELHO DA UNIÃO EUROPEIA,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Tendo em conta o Tratado sobre o Funcionamento da União Europeia, nomeadamente</w:t>
      </w:r>
      <w:r>
        <w:rPr>
          <w:noProof/>
        </w:rPr>
        <w:t xml:space="preserve"> o artigo 207.º, n.º 4, primeiro parágrafo do TFUE, em conjugação com o artigo 218.º, n.º 9,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Tendo em conta a proposta da Comissão Europeia,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Considerando o seguinte:</w:t>
      </w:r>
    </w:p>
    <w:p>
      <w:pPr>
        <w:pStyle w:val="ManualConsidrant"/>
        <w:rPr>
          <w:noProof/>
          <w:color w:val="000000" w:themeColor="text1"/>
        </w:rPr>
      </w:pPr>
      <w:r>
        <w:t>(1)</w:t>
      </w:r>
      <w:r>
        <w:tab/>
      </w:r>
      <w:r>
        <w:rPr>
          <w:noProof/>
        </w:rPr>
        <w:t xml:space="preserve">A Convenção Aduaneira relativa ao Transporte Internacional de Mercadorias efetuado a coberto das Cadernetas TIR, de 14 de novembro de 1975 </w:t>
      </w:r>
      <w:r>
        <w:rPr>
          <w:noProof/>
          <w:color w:val="000000" w:themeColor="text1"/>
        </w:rPr>
        <w:t>(«Convenção TIR»), foi aprovada, em nome da Comunidade Económica Europeia, pela Decisão</w:t>
      </w:r>
      <w:r>
        <w:rPr>
          <w:noProof/>
        </w:rPr>
        <w:t xml:space="preserve"> </w:t>
      </w:r>
      <w:r>
        <w:rPr>
          <w:noProof/>
          <w:color w:val="000000" w:themeColor="text1"/>
        </w:rPr>
        <w:t>(CEE) n.º 2112/78</w:t>
      </w:r>
      <w:r>
        <w:rPr>
          <w:rStyle w:val="FootnoteReference"/>
          <w:noProof/>
          <w:color w:val="000000" w:themeColor="text1"/>
        </w:rPr>
        <w:footnoteReference w:id="4"/>
      </w:r>
      <w:r>
        <w:rPr>
          <w:noProof/>
          <w:color w:val="000000" w:themeColor="text1"/>
        </w:rPr>
        <w:t xml:space="preserve"> do Conselho e entrou em vigor na Comunidade em 20 de junho de 1983</w:t>
      </w:r>
      <w:r>
        <w:rPr>
          <w:rStyle w:val="FootnoteReference"/>
          <w:noProof/>
          <w:color w:val="000000" w:themeColor="text1"/>
        </w:rPr>
        <w:footnoteReference w:id="5"/>
      </w:r>
      <w:r>
        <w:rPr>
          <w:noProof/>
          <w:color w:val="000000" w:themeColor="text1"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Uma versão consolidada da Convenção TIR foi publicada como anexo à Decisão 2009/477/CE do Conselho, segundo a qual a Comissão deve publicar as alterações futuras à Convenção TIR no </w:t>
      </w:r>
      <w:r>
        <w:rPr>
          <w:i/>
          <w:noProof/>
        </w:rPr>
        <w:t>Jornal Oficial da União Europeia</w:t>
      </w:r>
      <w:r>
        <w:rPr>
          <w:noProof/>
        </w:rPr>
        <w:t>, indicando a respetiva data de entrada em vigor.</w:t>
      </w:r>
    </w:p>
    <w:p>
      <w:pPr>
        <w:pStyle w:val="ManualConsidrant"/>
        <w:rPr>
          <w:noProof/>
          <w:color w:val="000000" w:themeColor="text1"/>
        </w:rPr>
      </w:pPr>
      <w:r>
        <w:t>(3)</w:t>
      </w:r>
      <w:r>
        <w:tab/>
      </w:r>
      <w:r>
        <w:rPr>
          <w:noProof/>
          <w:color w:val="000000" w:themeColor="text1"/>
        </w:rPr>
        <w:t>Nos termos dos artigos</w:t>
      </w:r>
      <w:r>
        <w:rPr>
          <w:noProof/>
        </w:rPr>
        <w:t xml:space="preserve"> 59.º e 60.º </w:t>
      </w:r>
      <w:r>
        <w:rPr>
          <w:noProof/>
          <w:color w:val="000000" w:themeColor="text1"/>
        </w:rPr>
        <w:t>da Convenção TIR, o</w:t>
      </w:r>
      <w:r>
        <w:rPr>
          <w:noProof/>
        </w:rPr>
        <w:t xml:space="preserve"> Comité de Gestão </w:t>
      </w:r>
      <w:r>
        <w:rPr>
          <w:noProof/>
          <w:color w:val="000000" w:themeColor="text1"/>
        </w:rPr>
        <w:t>da Convenção TIR (o «Comité de Gestão») pode adotar</w:t>
      </w:r>
      <w:r>
        <w:rPr>
          <w:noProof/>
        </w:rPr>
        <w:t xml:space="preserve"> alterações à Convenção TIR e aos seus anexos por uma maioria de dois terços das partes contratantes presentes e votantes.</w:t>
      </w:r>
    </w:p>
    <w:p>
      <w:pPr>
        <w:pStyle w:val="ManualConsidrant"/>
        <w:rPr>
          <w:noProof/>
          <w:color w:val="000000" w:themeColor="text1"/>
        </w:rPr>
      </w:pPr>
      <w:r>
        <w:t>(4)</w:t>
      </w:r>
      <w:r>
        <w:tab/>
      </w:r>
      <w:r>
        <w:rPr>
          <w:noProof/>
        </w:rPr>
        <w:t xml:space="preserve">Na sua 73.ª sessão, a realizar em 15 de outubro de 2020, ou numa sessão posterior, </w:t>
      </w:r>
      <w:r>
        <w:rPr>
          <w:noProof/>
          <w:color w:val="000000" w:themeColor="text1"/>
        </w:rPr>
        <w:t>o</w:t>
      </w:r>
      <w:r>
        <w:rPr>
          <w:noProof/>
        </w:rPr>
        <w:t xml:space="preserve"> Comité de Gestão deve adotar várias alterações à Convenção TIR e aos seus anexos</w:t>
      </w:r>
      <w:r>
        <w:rPr>
          <w:noProof/>
          <w:color w:val="000000" w:themeColor="text1"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É conveniente definir a posição a adotar em nome da União no Comité de Gestão, dado que as alterações serão vinculativas para a União.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fim de acelerar a modernização do regime TIR, é necessário introduzir a obrigatoriedade de transmissão eletrónica dos dados pelas autoridades competentes para a Comissão de Controlo TIR, no que diz respeito às autorizações de titulares de cadernetas TIR e às retiradas dessas autorizações, e criar uma base de dados internacional fiável das estâncias aduaneiras que aceitam os movimentos TIR, alterando o artigo 38.º da Convenção TIR e o anexo 9 da Convenção TIR e criando uma nova nota explicativa do artigo 45.º da Convenção TIR.</w:t>
      </w:r>
    </w:p>
    <w:p>
      <w:pPr>
        <w:pStyle w:val="ManualConsidrant"/>
        <w:rPr>
          <w:noProof/>
        </w:rPr>
      </w:pPr>
      <w:r>
        <w:lastRenderedPageBreak/>
        <w:t>(7)</w:t>
      </w:r>
      <w:r>
        <w:tab/>
      </w:r>
      <w:r>
        <w:rPr>
          <w:noProof/>
        </w:rPr>
        <w:t>A fim de tornar a Convenção TIR mais atrativa tanto para os operadores económicos como para as autoridades aduaneiras, é necessário prever a possibilidade de as partes contratantes concederem a pessoas devidamente autorizadas mais facilidades na aplicação das disposições da Convenção TIR, através da criação de uma nova nota explicativa do artigo 49.º da Convenção TIR.</w:t>
      </w:r>
    </w:p>
    <w:p>
      <w:pPr>
        <w:pStyle w:val="ManualConsidrant"/>
        <w:rPr>
          <w:noProof/>
          <w:color w:val="000000" w:themeColor="text1"/>
        </w:rPr>
      </w:pPr>
      <w:r>
        <w:t>(8)</w:t>
      </w:r>
      <w:r>
        <w:tab/>
      </w:r>
      <w:r>
        <w:rPr>
          <w:noProof/>
        </w:rPr>
        <w:t>A fim de clarificar as disposições da Convenção TIR, é necessário especificar a utilização de um itinerário vinculativo nas uniões aduaneiras através da alteração do artigo 20.º da Convenção TIR, e aumentar o montante máximo recomendado que pode ser exigido às associações garantes para as cadernetas TIR relativas a álcool e tabaco através da alteração da nota explicativa do artigo 8.º da Convenção TIR.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A posição a adotar em nome da União no âmbito do Comité de Gestão deve, por conseguinte, basear-se no projeto de alterações que acompanha a presente decisão. Tal não prejudica a possibilidade de alterações menores não substanciais do projeto de alterações, a acordar pelos representantes da União no Comité de Gestão da Convenção TIR, sem que seja necessária uma nova decisão do Conselho. </w:t>
      </w:r>
    </w:p>
    <w:p>
      <w:pPr>
        <w:pStyle w:val="ManualConsidrant"/>
        <w:rPr>
          <w:noProof/>
          <w:color w:val="000000" w:themeColor="text1"/>
        </w:rPr>
      </w:pPr>
      <w:r>
        <w:t>(10)</w:t>
      </w:r>
      <w:r>
        <w:tab/>
      </w:r>
      <w:r>
        <w:rPr>
          <w:noProof/>
        </w:rPr>
        <w:t>A posição da União deve ser expressa pela Comissão. Os Estados-Membros da União devem expressar a posição da União no momento em que seja feita uma votação formal no âmbito do Comité de Gestão, agindo conjuntamente no interesse da União,</w:t>
      </w:r>
    </w:p>
    <w:p>
      <w:pPr>
        <w:pStyle w:val="Formuledadoption"/>
        <w:rPr>
          <w:noProof/>
          <w:color w:val="000000" w:themeColor="text1"/>
        </w:rPr>
      </w:pPr>
      <w:r>
        <w:rPr>
          <w:noProof/>
          <w:color w:val="000000" w:themeColor="text1"/>
        </w:rPr>
        <w:t>ADOTOU A PRESENTE DECISÃO: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t>Artigo 1.º</w:t>
      </w:r>
    </w:p>
    <w:p>
      <w:pPr>
        <w:rPr>
          <w:noProof/>
          <w:color w:val="000000" w:themeColor="text1"/>
        </w:rPr>
      </w:pPr>
      <w:r>
        <w:rPr>
          <w:noProof/>
        </w:rPr>
        <w:t>A posição a adotar, em nome da União, na 73.ª sessão ou numa das sessões subsequentes do Comité de Gestão da Convenção Aduaneira relativa ao Transporte Internacional de Mercadorias efetuado a coberto das Cadernetas TIR («Convenção TIR») deve basear-se no projeto de alterações que acompanha a presente decisão.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t>Artigo 2.º</w:t>
      </w:r>
    </w:p>
    <w:p>
      <w:pPr>
        <w:rPr>
          <w:noProof/>
        </w:rPr>
      </w:pPr>
      <w:r>
        <w:rPr>
          <w:noProof/>
        </w:rPr>
        <w:t xml:space="preserve">A posição referida no artigo 1.º deve ser expressa pela Comissão. Os Estados-Membros da União devem expressar a posição da União no momento em que seja feita uma votação formal no âmbito do Comité de Gestão para a Convenção TIR, agindo conjuntamente no interesse da União. 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t>Artigo</w:t>
      </w:r>
      <w:r>
        <w:rPr>
          <w:noProof/>
        </w:rPr>
        <w:t xml:space="preserve"> 3.º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Os destinatários da presente decisão são os Estados-Membros e a Comissão. 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Pelo Conselho</w:t>
      </w:r>
    </w:p>
    <w:p>
      <w:pPr>
        <w:pStyle w:val="Personnequisigne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TIR significa «</w:t>
      </w:r>
      <w:r>
        <w:rPr>
          <w:i/>
        </w:rPr>
        <w:t>Transports Internationaux Routiers</w:t>
      </w:r>
      <w:r>
        <w:t>», ou seja, «Transportes Internacionais Rodoviários».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Regulamento (CEE) n.º 2112/78 do Conselho, de 25 de julho de 1978, relativo à conclusão da Convenção Aduaneira relativa ao Transporte Internacional de Mercadorias efetuado a coberto das Cadernetas TIR (Convenção TIR), feita em Genebra em 14 de novembro de 1975 (JO L 252 de 14.9.1978,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Acórdão do Tribunal de Justiça de 7 de outubro de 2014, Alemanha/Conselho, C-399/12, ECLI:EU:C:2014:2258, n.</w:t>
      </w:r>
      <w:r>
        <w:rPr>
          <w:vertAlign w:val="superscript"/>
        </w:rPr>
        <w:t>os</w:t>
      </w:r>
      <w:r>
        <w:t xml:space="preserve"> 61 a 64.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Regulamento (CEE) n.º 2112/78 do Conselho, de 25 de julho de 1978, relativo à conclusão da Convenção Aduaneira relativa ao Transporte Internacional de Mercadorias a coberto das Cadernetas TIR (Convenção TIR), feita em Genebra em 14 de novembro de 1975 (JO L 252 de 14.9.1978, p. 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JO L 31 de 2.2.1983, p. 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57C1F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3EE2F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4CA6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AA60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6D697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2A43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442C0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456D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6:19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171B34D-8712-4EBA-BE16-E65E4250951D"/>
    <w:docVar w:name="LW_COVERPAGE_TYPE" w:val="1"/>
    <w:docVar w:name="LW_CROSSREFERENCE" w:val="&lt;UNUSED&gt;"/>
    <w:docVar w:name="LW_DocType" w:val="COM"/>
    <w:docVar w:name="LW_EMISSION" w:val="7.8.2020"/>
    <w:docVar w:name="LW_EMISSION_ISODATE" w:val="2020-08-07"/>
    <w:docVar w:name="LW_EMISSION_LOCATION" w:val="BRX"/>
    <w:docVar w:name="LW_EMISSION_PREFIX" w:val="Bruxelas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66"/>
    <w:docVar w:name="LW_REF.II.NEW.CP_YEAR" w:val="2020"/>
    <w:docVar w:name="LW_REF.INST.NEW" w:val="COM"/>
    <w:docVar w:name="LW_REF.INST.NEW_ADOPTED" w:val="final"/>
    <w:docVar w:name="LW_REF.INST.NEW_TEXT" w:val="(2020) 36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tomar, em nome da União Europeia, no âmbito do Comité de Gestão da Convenção Aduaneira relativa ao Transporte Internacional de Mercadorias a coberto abrigo das Cadernetas TIR no que respeita às propostas de alterações à Convenção TIR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46A-A0A9-4390-A169-732BA07E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2555</Words>
  <Characters>13340</Characters>
  <Application>Microsoft Office Word</Application>
  <DocSecurity>0</DocSecurity>
  <Lines>234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2020-07-31T12:26:00Z</dcterms:created>
  <dcterms:modified xsi:type="dcterms:W3CDTF">2020-08-11T14:19:00Z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