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7561ED2-1163-459A-B2C7-B690D0A05556" style="width:450.75pt;height:366pt">
            <v:imagedata r:id="rId9" o:title=""/>
          </v:shape>
        </w:pict>
      </w:r>
    </w:p>
    <w:p>
      <w:pPr>
        <w:rPr>
          <w:noProof/>
          <w:color w:val="000000" w:themeColor="text1"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t>INDOKOLÁS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E javaslat tárgya az Unió által az áruk TIR</w:t>
      </w:r>
      <w:r>
        <w:rPr>
          <w:rStyle w:val="FootnoteReference"/>
          <w:rFonts w:eastAsia="Arial Unicode MS"/>
          <w:noProof/>
          <w:color w:val="000000" w:themeColor="text1"/>
        </w:rPr>
        <w:footnoteReference w:id="1"/>
      </w:r>
      <w:r>
        <w:rPr>
          <w:noProof/>
          <w:color w:val="000000" w:themeColor="text1"/>
        </w:rPr>
        <w:t>-igazolvánnyal történő nemzetközi fuvarozásáról szóló vámegyezmény (a továbbiakban: TIR-egyezmény) alapján létrehozott Intéző Bizottságban a TIR-egyezmény több módosításának tervezett elfogadásával kapcsolatban képviselendő álláspont meghatározásáról szóló határozat</w:t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  <w:color w:val="000000" w:themeColor="text1"/>
        </w:rPr>
      </w:pPr>
      <w:r>
        <w:t>2.1.</w:t>
      </w:r>
      <w:r>
        <w:tab/>
      </w:r>
      <w:r>
        <w:rPr>
          <w:noProof/>
          <w:color w:val="000000" w:themeColor="text1"/>
        </w:rPr>
        <w:t>Vámegyezmény</w:t>
      </w:r>
      <w:r>
        <w:rPr>
          <w:noProof/>
        </w:rPr>
        <w:t xml:space="preserve"> az áruk TIR-igazolvánnyal történő nemzetközi fuvarozásáról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Az</w:t>
      </w:r>
      <w:r>
        <w:rPr>
          <w:noProof/>
        </w:rPr>
        <w:t xml:space="preserve"> áruk TIR-igazolvánnyal történő nemzetközi fuvarozásáról szóló, 1975. november 14-i vámegyezmény </w:t>
      </w:r>
      <w:r>
        <w:rPr>
          <w:noProof/>
          <w:color w:val="000000" w:themeColor="text1"/>
        </w:rPr>
        <w:t>(a továbbiakban: TIR-egyezmény) célja, hogy megkönnyítse az indító vámhivataltól a rendeltetési vámhivatalig, a szükséges számú országon keresztül történő nemzetközi áruszállítást. A megállapodás 1978-ban lépett hatályba</w:t>
      </w:r>
      <w:r>
        <w:rPr>
          <w:noProof/>
        </w:rPr>
        <w:t>. 2019 novembere óta 76 részes fele van az egyezménynek: 75 állam és az Európai Unió. Az Európai Unió 1983. június 20-a óta szerződő fele a TIR-egyezménynek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>, amelynek az Európai Unió valamennyi tagállama is szerződő fele.</w:t>
      </w:r>
    </w:p>
    <w:p>
      <w:pPr>
        <w:pStyle w:val="ManualHeading2"/>
        <w:rPr>
          <w:noProof/>
          <w:color w:val="000000" w:themeColor="text1"/>
        </w:rPr>
      </w:pPr>
      <w:r>
        <w:t>2.2.</w:t>
      </w:r>
      <w:r>
        <w:tab/>
      </w:r>
      <w:r>
        <w:rPr>
          <w:noProof/>
          <w:color w:val="000000" w:themeColor="text1"/>
        </w:rPr>
        <w:t>Az</w:t>
      </w:r>
      <w:r>
        <w:rPr>
          <w:noProof/>
        </w:rPr>
        <w:t xml:space="preserve"> Intéző Bizottság</w:t>
      </w:r>
    </w:p>
    <w:p>
      <w:pPr>
        <w:rPr>
          <w:noProof/>
        </w:rPr>
      </w:pPr>
      <w:r>
        <w:rPr>
          <w:noProof/>
          <w:color w:val="000000" w:themeColor="text1"/>
        </w:rPr>
        <w:t>Az</w:t>
      </w:r>
      <w:r>
        <w:rPr>
          <w:noProof/>
        </w:rPr>
        <w:t xml:space="preserve"> Intéző Bizottság az áruk TIR-igazolvánnyal történő nemzetközi fuvarozásáról szóló vámegyezmény keretében jár el. Az Intéző Bizottság feladata a TIR-egyezmény módosításainak megvizsgálása és elfogadása. A javaslatokat szavazásra bocsátják, és az Intéző Bizottság ülésén képviselt valamennyi részes fél egy szavazattal rendelkezik. Az Unió kizárólagos hatáskörrel rendelkezik a TIR-egyezmény által szabályozott vámügyi területeken. Az Unió ugyanakkor vám- és gazdasági unióként – az egyezmény 52. cikkének (3) bekezdésével összhangban – tagállamainak szavazati jogán kívül nem rendelkezik külön szavazati joggal. Valamennyi tagállam a megállapodás szavazati joggal rendelkező részes fele.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</w:rPr>
        <w:t>A TIR-egyezmény módosításait a jelenlévő és szavazó felek kétharmados többségével fogadják el. A határozatképesség feltétele, hogy az egyezményben részes államok legalább egyharmada szavazzon.</w:t>
      </w:r>
    </w:p>
    <w:p>
      <w:pPr>
        <w:pStyle w:val="ManualHeading2"/>
        <w:rPr>
          <w:noProof/>
          <w:color w:val="000000" w:themeColor="text1"/>
        </w:rPr>
      </w:pPr>
      <w:r>
        <w:t>2.3.</w:t>
      </w:r>
      <w:r>
        <w:tab/>
      </w:r>
      <w:r>
        <w:rPr>
          <w:noProof/>
        </w:rPr>
        <w:t xml:space="preserve">Az Intéző Bizottság </w:t>
      </w:r>
      <w:r>
        <w:rPr>
          <w:noProof/>
          <w:color w:val="000000" w:themeColor="text1"/>
        </w:rPr>
        <w:t>tervezett jogi aktusa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2020</w:t>
      </w:r>
      <w:r>
        <w:rPr>
          <w:noProof/>
        </w:rPr>
        <w:t xml:space="preserve"> októberében tartandó hetvenharmadik ülésén az Intéző Bizottság </w:t>
      </w:r>
      <w:r>
        <w:rPr>
          <w:noProof/>
          <w:color w:val="000000" w:themeColor="text1"/>
        </w:rPr>
        <w:t>határozatot tervez hozni</w:t>
      </w:r>
      <w:r>
        <w:rPr>
          <w:noProof/>
        </w:rPr>
        <w:t xml:space="preserve"> az áruk TIR-igazolvánnyal történő nemzetközi fuvarozásáról szóló vámegyezmény javasolt módosításainak </w:t>
      </w:r>
      <w:r>
        <w:rPr>
          <w:noProof/>
          <w:color w:val="000000" w:themeColor="text1"/>
        </w:rPr>
        <w:t>elfogadásáról</w:t>
      </w:r>
      <w:r>
        <w:rPr>
          <w:noProof/>
        </w:rPr>
        <w:t xml:space="preserve"> (a továbbiakban: tervezett jogi aktus).</w:t>
      </w:r>
    </w:p>
    <w:p>
      <w:pPr>
        <w:rPr>
          <w:noProof/>
        </w:rPr>
      </w:pPr>
      <w:r>
        <w:rPr>
          <w:noProof/>
          <w:color w:val="000000" w:themeColor="text1"/>
        </w:rPr>
        <w:t>A tervezett jogi aktus célja</w:t>
      </w:r>
      <w:r>
        <w:rPr>
          <w:noProof/>
        </w:rPr>
        <w:t>: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az elektronikus nemzetközi TIR-adatbank (ITDB) – papíralapú engedélyminta (MAF) helyett történő – használatának kötelezővé tétele az illetékes hatóságok számára a TIR-igazolvány használatára vonatkozó engedély, illetve az annak visszavonására vonatkozó információk TIR Végrehajtó Testülethez (TIRExB) való eljuttatása során;</w:t>
      </w:r>
    </w:p>
    <w:p>
      <w:pPr>
        <w:rPr>
          <w:noProof/>
        </w:rPr>
      </w:pPr>
      <w:r>
        <w:rPr>
          <w:noProof/>
        </w:rPr>
        <w:lastRenderedPageBreak/>
        <w:t xml:space="preserve">a TIR-műveletek végrehajtására engedéllyel rendelkező vámhivatalok jegyzékének az ITDB-ben való kötelező közzététele; </w:t>
      </w:r>
    </w:p>
    <w:p>
      <w:pPr>
        <w:rPr>
          <w:noProof/>
        </w:rPr>
      </w:pPr>
      <w:r>
        <w:rPr>
          <w:noProof/>
        </w:rPr>
        <w:t>annak lehetővé tétele a Szerződő Felek számára, hogy a nemzeti jogszabályokkal összhangban nagyobb mértékű könnyítéseket biztosítsanak a megfelelően felhatalmazott személyek számára az egyezmény rendelkezéseinek alkalmazásához;</w:t>
      </w:r>
    </w:p>
    <w:p>
      <w:pPr>
        <w:rPr>
          <w:noProof/>
        </w:rPr>
      </w:pPr>
      <w:r>
        <w:rPr>
          <w:noProof/>
        </w:rPr>
        <w:t>a TIR-egyezmény szövegének pontosítása az előírt szállítási útvonal vámunión belüli használata tekintetében, továbbá a „TOBACCO/ALCOHOL” (Dohány/Alkohol) TIR-igazolványokra vonatkozó maximális garancia összegének naprakésszé tétele.</w:t>
      </w:r>
    </w:p>
    <w:p>
      <w:pPr>
        <w:rPr>
          <w:noProof/>
        </w:rPr>
      </w:pP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A tervezett jogi aktus a TIR-egyezmény 59. és 60. cikkének megfelelően a felekre nézve kötelező erejű lesz.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Az 59. cikk a TIR-egyezmény fő szövegének módosítására vonatkozik, és a következőkről rendelkezik: „</w:t>
      </w:r>
      <w:r>
        <w:rPr>
          <w:i/>
          <w:noProof/>
          <w:color w:val="000000" w:themeColor="text1"/>
        </w:rPr>
        <w:t>A 60. cikk rendelkezéseinek fenntartásával, valamennyi javasolt és az előző bekezdés rendelkezéseivel összhangban megküldött módosítás minden Szerződő Félre nézve a megküldéstől számított 12 hónapos időszakot követő 3 hónap elteltével hatályba lép, ha ezen időszak alatt valamely Állam, amely egyúttal Szerződő Fél is, az Egyesült Nemzetek Szervezetének főtitkáránál nem emel kifogást a javasolt módosítással szemben. Ha a javasolt módosítással kapcsolatosan a jelen cikk 3. bekezdése rendelkezésének megfelelően kifogást emeltek, a módosítást elutasítottnak kell tekinteni, és az semmilyen hatállyal nem bír.</w:t>
      </w:r>
      <w:r>
        <w:rPr>
          <w:noProof/>
          <w:color w:val="000000" w:themeColor="text1"/>
        </w:rPr>
        <w:t xml:space="preserve">”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60. cikk a TIR-egyezmény mellékleteinek módosítására vonatkozik, és a következőkről rendelkezik: „</w:t>
      </w:r>
      <w:r>
        <w:rPr>
          <w:i/>
          <w:noProof/>
          <w:color w:val="000000" w:themeColor="text1"/>
        </w:rPr>
        <w:t>Minden, az 1., 2., 3., 4., 5., 6., 7., 8., 9. és 10. mellékletre vonatkozóan javasolt és az 59. cikk (1) és (2) bekezdése rendelkezéseinek megfelelően megvizsgált módosítás az Intéző Bizottság által a módosítás elfogadásakor meghatározott időpontban hatályba lép, kivéve, ha egy korábbi, az Intéző Bizottság által ugyanakkor meghatározott időpontig azon államok ötödrésze vagy 5 olyan állam, aki Szerződő Fél – ha ez a szám a kevesebb – értesíti az Egyesült Nemzetek Szervezetének főtitkárát a módosítással szemben emelt kifogásairól. Az e bekezdésben említett időpontokat az Intéző Bizottság a jelen levő és szavazó tagjainak kétharmados szavazattöbbségével határozza meg.</w:t>
      </w:r>
      <w:r>
        <w:rPr>
          <w:noProof/>
          <w:color w:val="000000" w:themeColor="text1"/>
        </w:rPr>
        <w:t>”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Ez a módosításcsomag előmozdítja a TIR-egyezmény korszerűsítését, amelynek jelentős mérföldköve volt a jövőbeli eTIR nemzetközi rendszer jogi keretének az elfogadása az Intéző Bizottság 2020. februári hetvenkettedik ülésén. A csomag emellett a TIR-egyezmény szövegének egyes technikai vonatkozásait is pontosítani fogja.</w:t>
      </w:r>
    </w:p>
    <w:p>
      <w:pPr>
        <w:rPr>
          <w:noProof/>
        </w:rPr>
      </w:pPr>
      <w:r>
        <w:rPr>
          <w:noProof/>
        </w:rPr>
        <w:t>A TIR-egyezmény Szerződő Felei egyrészt enyhítenek a TIR-igazolvány jövőbeli digitalizálásának feltételein, és javítják a TIR-adatok megbízhatóságát azáltal, hogy kötelezővé teszik az ITDB-alkalmazás használatát a TIR-igazolvánnyal rendelkező jogosultak adatainak a TIR Végrehajtó Testület (TIRExB) felé történő továbbítása során, valamint létrehozzák a TIR-rendszerhez hozzáféréssel rendelkező vámhivatalok megbízható online adatbázisát.</w:t>
      </w:r>
    </w:p>
    <w:p>
      <w:pPr>
        <w:rPr>
          <w:noProof/>
        </w:rPr>
      </w:pPr>
      <w:r>
        <w:rPr>
          <w:noProof/>
        </w:rPr>
        <w:t xml:space="preserve">Ezzel összefüggésben módosítani kell a 38. cikket, a hozzá tartozó magyarázó megjegyzéseket és a 9. mellékletet annak érdekében, hogy a garanciavállaló egyesületek kötelesek legyenek haladéktalanul továbbítani a TIRExB felé a TIR-eljárás alkalmazására engedéllyel rendelkező személyek valamennyi adatát. Ezenkívül a 45. cikkhez fűzendő új magyarázó megjegyzés pontosítani fogja, hogy a TIR-műveletek végrehajtására jóváhagyással </w:t>
      </w:r>
      <w:r>
        <w:rPr>
          <w:noProof/>
        </w:rPr>
        <w:lastRenderedPageBreak/>
        <w:t>rendelkező indító vámhivatalok, átmenő vámhivatalok és rendeltetési vámhivatalok jegyzékének közzétételére a TIRExB által felügyelt elektronikus alkalmazás (ITDB) segítségével kell sort keríteni.</w:t>
      </w:r>
    </w:p>
    <w:p>
      <w:pPr>
        <w:rPr>
          <w:noProof/>
        </w:rPr>
      </w:pPr>
      <w:r>
        <w:rPr>
          <w:noProof/>
        </w:rPr>
        <w:t>Az Unió már alkalmazza az ITDB-t, és támogatja annak a TIR-egyezmény valamennyi Szerződő Fele általi kötelező használatát, mivel ez hozzá fog járulni az uniós vámpolitikának megfelelően a TIR-eljárás szélesebb körű digitalizációjához azáltal, hogy megkönnyíti a Szerződő Felek, az egyesületek és a nemzetközi szervezetek között az elektronikus adatok valós idejű megosztását.</w:t>
      </w:r>
    </w:p>
    <w:p>
      <w:pPr>
        <w:rPr>
          <w:noProof/>
        </w:rPr>
      </w:pPr>
      <w:r>
        <w:rPr>
          <w:noProof/>
        </w:rPr>
        <w:t>Másrészt a 6. melléklet 49. cikkéhez tartozó új magyarázó megjegyzés beillesztésével a Szerződő Felek önkéntes alapon nagyobb mértékű könnyítéseket vezethetnek be az egyezmény rendelkezéseinek alkalmazását illetően.</w:t>
      </w:r>
    </w:p>
    <w:p>
      <w:pPr>
        <w:rPr>
          <w:noProof/>
        </w:rPr>
      </w:pPr>
      <w:r>
        <w:rPr>
          <w:noProof/>
        </w:rPr>
        <w:t>E könnyítéseket kizárólag a TIR-eljárás megfelelő lefolytatását biztosító technológiák alkalmazása mellett, a TIR-egyezmény alapján a vámhatóságokra általában bízott különleges feladatok ellátására jogosult személyeknek szóló egyértelmű utasítások megléte, valamint egy olyan nyilvántartási rendszer használata esetén lehetne engedélyezni, amely lehetővé teszi a vámhatóságok számára a vámellenőrzés elvégzését és az eljárás felügyeletét.</w:t>
      </w:r>
    </w:p>
    <w:p>
      <w:pPr>
        <w:rPr>
          <w:noProof/>
        </w:rPr>
      </w:pPr>
      <w:r>
        <w:rPr>
          <w:noProof/>
        </w:rPr>
        <w:t>Az Unió támogatja annak a lehetőségét, hogy a Szerződő Felek ezentúl nagyobb mértékű könnyítéseket nyújthassanak a TIR-igazolvánnyal rendelkező jogosultak számára annak érdekében, hogy megtartsák a rendszer vonzerejét a gazdasági szereplők számára.</w:t>
      </w:r>
    </w:p>
    <w:p>
      <w:pPr>
        <w:rPr>
          <w:noProof/>
        </w:rPr>
      </w:pPr>
      <w:r>
        <w:rPr>
          <w:noProof/>
        </w:rPr>
        <w:t>Végül a 20. cikk és a 8. cikkhez fűzött magyarázó megjegyzés módosításai technikai jellegűnek tekinthetők, mivel egyértelműsítik a vámunión belül előírt útvonal használatát, illetve naprakésszé teszik a „Dohány/Alkohol” TIR-igazolványonkénti maximális garancia összegét, amely a garanciavállaló egyesülettől követelhető.</w:t>
      </w:r>
    </w:p>
    <w:p>
      <w:pPr>
        <w:rPr>
          <w:noProof/>
        </w:rPr>
      </w:pPr>
      <w:r>
        <w:rPr>
          <w:noProof/>
        </w:rPr>
        <w:t>A tagállamokkal a TIR vámügyi szakértői csoport (genfi koordináció) keretében konzultáltak a javasolt módosításokról. További konzultációkra került sor az ENSZ Európai Gazdasági Bizottsága (ENSZ EGB) fuvarozást érintő vámkérdésekkel foglalkozó munkacsoportjának ülésein.</w:t>
      </w:r>
    </w:p>
    <w:p>
      <w:pPr>
        <w:rPr>
          <w:noProof/>
        </w:rPr>
      </w:pPr>
      <w:r>
        <w:rPr>
          <w:noProof/>
        </w:rPr>
        <w:t>A belső egyeztetések, valamint a tagállamokkal a TIR vámügyi szakértői csoport keretében folytatott közös egyeztetések során egyértelműen kiderült, hogy a javasolt módosításokat széles körben támogatják. A Bizottság 2020. március 23-án kelt levelében konzultált az európai adatvédelmi biztossal, aki az emlékeztető ellenére sem válaszolt egészen 2020. június 11-ig.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Jogalap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Alapelvek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Az Európai Unió működéséről szóló szerződés (a továbbiakban: EUMSZ) 218. cikkének (9) bekezdése határozatok elfogadásáról rendelkezik „</w:t>
      </w:r>
      <w:r>
        <w:rPr>
          <w:i/>
          <w:noProof/>
          <w:color w:val="000000" w:themeColor="text1"/>
        </w:rPr>
        <w:t>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aktusokat”</w:t>
      </w:r>
      <w:r>
        <w:rPr>
          <w:noProof/>
          <w:color w:val="000000" w:themeColor="text1"/>
        </w:rPr>
        <w:t>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„</w:t>
      </w:r>
      <w:r>
        <w:rPr>
          <w:i/>
          <w:noProof/>
          <w:color w:val="000000" w:themeColor="text1"/>
        </w:rPr>
        <w:t>joghatással bíró jogi aktus</w:t>
      </w:r>
      <w:r>
        <w:rPr>
          <w:noProof/>
          <w:color w:val="000000" w:themeColor="text1"/>
        </w:rPr>
        <w:t xml:space="preserve">” fogalmába beletartoznak a nemzetközi jognak a kérdéses szervet szabályozó szabályai szerint joghatással bíró jogi aktusok. Ezenfelül a fogalom magában foglalja azokat az eszközöket is, amelyek a nemzetközi jog szerint nem bírnak </w:t>
      </w:r>
      <w:r>
        <w:rPr>
          <w:noProof/>
          <w:color w:val="000000" w:themeColor="text1"/>
        </w:rPr>
        <w:lastRenderedPageBreak/>
        <w:t>kötelező erővel, de „</w:t>
      </w:r>
      <w:r>
        <w:rPr>
          <w:i/>
          <w:noProof/>
          <w:color w:val="000000" w:themeColor="text1"/>
        </w:rPr>
        <w:t>meghatározó módon befolyásolják az uniós jogalkotó által [...] elfogadott szabályozás tartalmát</w:t>
      </w:r>
      <w:r>
        <w:rPr>
          <w:noProof/>
          <w:color w:val="000000" w:themeColor="text1"/>
        </w:rPr>
        <w:t>”</w:t>
      </w:r>
      <w:r>
        <w:rPr>
          <w:rStyle w:val="FootnoteReference"/>
          <w:noProof/>
          <w:color w:val="000000" w:themeColor="text1"/>
        </w:rPr>
        <w:footnoteReference w:id="3"/>
      </w:r>
      <w:r>
        <w:rPr>
          <w:noProof/>
          <w:color w:val="000000" w:themeColor="text1"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Az</w:t>
      </w:r>
      <w:r>
        <w:rPr>
          <w:noProof/>
        </w:rPr>
        <w:t xml:space="preserve"> Intéző Bizottságot </w:t>
      </w:r>
      <w:r>
        <w:rPr>
          <w:noProof/>
          <w:color w:val="000000" w:themeColor="text1"/>
        </w:rPr>
        <w:t>megállapodás, nevezetesen az áruk TIR-igazolvánnyal történő nemzetközi fuvarozásáról szóló vámegyezmény hozta létre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  <w:color w:val="000000" w:themeColor="text1"/>
        </w:rPr>
        <w:t>Az</w:t>
      </w:r>
      <w:r>
        <w:rPr>
          <w:noProof/>
        </w:rPr>
        <w:t xml:space="preserve"> Intéző Bizottság </w:t>
      </w:r>
      <w:r>
        <w:rPr>
          <w:noProof/>
          <w:color w:val="000000" w:themeColor="text1"/>
        </w:rPr>
        <w:t>által elfogadandó jogi aktus joghatással bíró jogi aktus. A tervezett jogi aktus a nemzetközi jog szerint kötelező érvényű lesz</w:t>
      </w:r>
      <w:r>
        <w:rPr>
          <w:noProof/>
        </w:rPr>
        <w:t xml:space="preserve"> az áruk TIR-igazolvánnyal történő nemzetközi fuvarozásáról szóló vámegyezmény 59. és 60. cikkének megfelelően.</w:t>
      </w:r>
      <w:r>
        <w:rPr>
          <w:noProof/>
          <w:color w:val="000000" w:themeColor="text1"/>
        </w:rPr>
        <w:t xml:space="preserve">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tervezett jogi aktus nem egészíti ki és nem is módosítja a megállapodás intézményi keretét.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Ezért a javasolt határozat eljárási jogalapja az EUMSZ 218. cikkének (9) bekezdése.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Alapelvek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Az EUMSZ 218. cikkének (9) 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 cikkének (9) bekezdése szerinti határozatot egyetlen jogalapra, azaz az elsődleges, illetve döntő jellegű célkitűzés vagy összetevő által megkövetelt jogalapra kell alapítani.</w:t>
      </w:r>
    </w:p>
    <w:p>
      <w:pPr>
        <w:rPr>
          <w:noProof/>
          <w:color w:val="000000" w:themeColor="text1"/>
        </w:rPr>
      </w:pP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  <w:color w:val="000000" w:themeColor="text1"/>
        </w:rPr>
        <w:t>A tervezett jogi aktus elsődleges célkitűzése és tartalma</w:t>
      </w:r>
      <w:r>
        <w:rPr>
          <w:noProof/>
        </w:rPr>
        <w:t xml:space="preserve"> a közös kereskedelempolitikával kapcsolatos. </w:t>
      </w:r>
    </w:p>
    <w:p>
      <w:pPr>
        <w:rPr>
          <w:i/>
          <w:noProof/>
        </w:rPr>
      </w:pPr>
      <w:r>
        <w:rPr>
          <w:noProof/>
        </w:rPr>
        <w:t>Ezért a javasolt határozat anyagi jogalapja az EUMSZ 207. cikke (4) bekezdésének első albekezdése.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Következtetés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javasolt határozat jogalapja</w:t>
      </w:r>
      <w:r>
        <w:rPr>
          <w:noProof/>
        </w:rPr>
        <w:t xml:space="preserve"> az EUMSZ 207. cikke (4) bekezdésének első albekezdése, </w:t>
      </w:r>
      <w:r>
        <w:rPr>
          <w:noProof/>
          <w:color w:val="000000" w:themeColor="text1"/>
        </w:rPr>
        <w:t>összefüggésben 218. cikkének (9) bekezdésével.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A tervezett jogi aktus kihirdetése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Mivel az</w:t>
      </w:r>
      <w:r>
        <w:rPr>
          <w:noProof/>
        </w:rPr>
        <w:t xml:space="preserve"> Intéző Bizottság </w:t>
      </w:r>
      <w:r>
        <w:rPr>
          <w:noProof/>
          <w:color w:val="000000" w:themeColor="text1"/>
        </w:rPr>
        <w:t>jogi aktusa módosítani fogja</w:t>
      </w:r>
      <w:r>
        <w:rPr>
          <w:noProof/>
        </w:rPr>
        <w:t xml:space="preserve"> az áruk TIR-igazolvánnyal történő nemzetközi fuvarozásáról szóló vámegyezményt és annak mellékleteit, elfogadását követően </w:t>
      </w:r>
      <w:r>
        <w:rPr>
          <w:noProof/>
          <w:color w:val="000000" w:themeColor="text1"/>
        </w:rPr>
        <w:t xml:space="preserve">helyénvaló kihirdetni az </w:t>
      </w:r>
      <w:r>
        <w:rPr>
          <w:i/>
          <w:noProof/>
          <w:color w:val="000000" w:themeColor="text1"/>
        </w:rPr>
        <w:t>Európai Unió Hivatalos Lapjában</w:t>
      </w:r>
      <w:r>
        <w:rPr>
          <w:noProof/>
          <w:color w:val="000000" w:themeColor="text1"/>
        </w:rPr>
        <w:t>.</w:t>
      </w:r>
    </w:p>
    <w:p>
      <w:pPr>
        <w:rPr>
          <w:noProof/>
          <w:color w:val="000000" w:themeColor="text1"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2020/0166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az áruk TIR-igazolvánnyal történő nemzetközi fuvarozásáról szóló vámegyezmény Intéző Bizottságában az egyezmény módosítására irányuló javaslat tekintetében képviselendő álláspontról</w:t>
      </w:r>
    </w:p>
    <w:p>
      <w:pPr>
        <w:pStyle w:val="Institutionquiagit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AZ EURÓPAI UNIÓ TANÁCSA,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tekintettel az Európai Unió működéséről szóló szerződésre és különösen</w:t>
      </w:r>
      <w:r>
        <w:rPr>
          <w:noProof/>
        </w:rPr>
        <w:t xml:space="preserve"> annak 207. cikke (4) bekezdésének első albekezdésére, </w:t>
      </w:r>
      <w:r>
        <w:rPr>
          <w:noProof/>
          <w:color w:val="000000" w:themeColor="text1"/>
        </w:rPr>
        <w:t>összefüggésben annak 218. cikke (9) bekezdésével,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tekintettel az Európai Bizottság javaslatára,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mivel:</w:t>
      </w:r>
    </w:p>
    <w:p>
      <w:pPr>
        <w:pStyle w:val="ManualConsidrant"/>
        <w:rPr>
          <w:noProof/>
          <w:color w:val="000000" w:themeColor="text1"/>
        </w:rPr>
      </w:pPr>
      <w:r>
        <w:t>(1)</w:t>
      </w:r>
      <w:r>
        <w:tab/>
      </w:r>
      <w:r>
        <w:rPr>
          <w:noProof/>
        </w:rPr>
        <w:t xml:space="preserve">Az áruk TIR-igazolvánnyal történő nemzetközi fuvarozásáról szóló 1975. november 14-i vámegyezményt </w:t>
      </w:r>
      <w:r>
        <w:rPr>
          <w:noProof/>
          <w:color w:val="000000" w:themeColor="text1"/>
        </w:rPr>
        <w:t>(a továbbiakban: TIR-egyezmény) az Európai Gazdasági Közösség a 2112/78/EGK tanácsi rendelettel</w:t>
      </w:r>
      <w:r>
        <w:rPr>
          <w:rStyle w:val="FootnoteReference"/>
          <w:noProof/>
          <w:color w:val="000000" w:themeColor="text1"/>
        </w:rPr>
        <w:footnoteReference w:id="4"/>
      </w:r>
      <w:r>
        <w:rPr>
          <w:noProof/>
        </w:rPr>
        <w:t xml:space="preserve"> jóváhagyta, és az egyezmény a Közösségben 1983. június 20-án hatályba lépett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A TIR-egyezmény konszolidált változatát a 2009/477/EK tanácsi határozat mellékleteként tették közzé; a határozat szerint a TIR-egyezmény jövőbeli módosításait – hatálybalépésük napját megjelölve – a Bizottság az </w:t>
      </w:r>
      <w:r>
        <w:rPr>
          <w:i/>
          <w:noProof/>
        </w:rPr>
        <w:t>Európai Unió Hivatalos Lapjában</w:t>
      </w:r>
      <w:r>
        <w:rPr>
          <w:noProof/>
        </w:rPr>
        <w:t xml:space="preserve"> közzéteszi.</w:t>
      </w:r>
    </w:p>
    <w:p>
      <w:pPr>
        <w:pStyle w:val="ManualConsidrant"/>
        <w:rPr>
          <w:noProof/>
          <w:color w:val="000000" w:themeColor="text1"/>
        </w:rPr>
      </w:pPr>
      <w:r>
        <w:t>(3)</w:t>
      </w:r>
      <w:r>
        <w:tab/>
      </w:r>
      <w:r>
        <w:rPr>
          <w:noProof/>
        </w:rPr>
        <w:t xml:space="preserve">A </w:t>
      </w:r>
      <w:r>
        <w:rPr>
          <w:noProof/>
          <w:color w:val="000000" w:themeColor="text1"/>
        </w:rPr>
        <w:t>TIR-egyezmény</w:t>
      </w:r>
      <w:r>
        <w:rPr>
          <w:noProof/>
        </w:rPr>
        <w:t xml:space="preserve"> 59. és 60. </w:t>
      </w:r>
      <w:r>
        <w:rPr>
          <w:noProof/>
          <w:color w:val="000000" w:themeColor="text1"/>
        </w:rPr>
        <w:t>cikke értelmében</w:t>
      </w:r>
      <w:r>
        <w:rPr>
          <w:noProof/>
        </w:rPr>
        <w:t xml:space="preserve"> a TIR-egyezmény Intéző Bizottsága (a továbbiakban: Intéző Bizottság) a jelenlévő és szavazó felek kétharmados többségével </w:t>
      </w:r>
      <w:r>
        <w:rPr>
          <w:noProof/>
          <w:color w:val="000000" w:themeColor="text1"/>
        </w:rPr>
        <w:t>módosításokat fogadhat el a TIR-egyezményre</w:t>
      </w:r>
      <w:r>
        <w:rPr>
          <w:noProof/>
        </w:rPr>
        <w:t xml:space="preserve"> és annak mellékleteire vonatkozóan.</w:t>
      </w:r>
    </w:p>
    <w:p>
      <w:pPr>
        <w:pStyle w:val="ManualConsidrant"/>
        <w:rPr>
          <w:noProof/>
          <w:color w:val="000000" w:themeColor="text1"/>
        </w:rPr>
      </w:pPr>
      <w:r>
        <w:t>(4)</w:t>
      </w:r>
      <w:r>
        <w:tab/>
      </w:r>
      <w:r>
        <w:rPr>
          <w:noProof/>
          <w:color w:val="000000" w:themeColor="text1"/>
        </w:rPr>
        <w:t>Az</w:t>
      </w:r>
      <w:r>
        <w:rPr>
          <w:noProof/>
        </w:rPr>
        <w:t xml:space="preserve"> Intéző Bizottság </w:t>
      </w:r>
      <w:r>
        <w:rPr>
          <w:noProof/>
          <w:color w:val="000000" w:themeColor="text1"/>
        </w:rPr>
        <w:t>2020. október 15-i hetvenharmadik</w:t>
      </w:r>
      <w:r>
        <w:rPr>
          <w:noProof/>
        </w:rPr>
        <w:t xml:space="preserve"> vagy egy későbbi ülésén a TIR-egyezmény és mellékleteinek több módosítását tervezi </w:t>
      </w:r>
      <w:r>
        <w:rPr>
          <w:noProof/>
          <w:color w:val="000000" w:themeColor="text1"/>
        </w:rPr>
        <w:t>elfogadni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Helyénvaló meghatározni az Unió által az Intéző Bizottságban képviselendő álláspontot, mivel a módosítások kötelező érvényűek lesznek az Unióra nézve.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TIR-rendszer korszerűsítését előmozdítandó, a TIR-egyezmény 38. cikkének és 9. mellékletének módosításával, valamint a TIR-egyezmény 45. cikkére vonatkozó új magyarázó megjegyzés beillesztésével kötelezővé kell tenni az illetékes hatóságok számára a TIR-igazolványok használatára vonatkozó engedélyek, illetve az ezen engedélyek visszavonására vonatkozó adatok elektronikus továbbítását a TIR Végrehajtó Testület felé, továbbá létre kell hozni a TIR-árumozgások tekintetében eljáró vámhivatalok megbízható online nemzetközi adatbázisát.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Annak érdekében, hogy a TIR-egyezmény vonzerejét növelni lehessen mind a gazdasági szereplők, mind a vámhatóságok számára, lehetővé kell tenni, hogy a Szerződő Felek a TIR-egyezmény 49. cikkéhez fűzött új magyarázó megjegyzés révén </w:t>
      </w:r>
      <w:r>
        <w:rPr>
          <w:noProof/>
        </w:rPr>
        <w:lastRenderedPageBreak/>
        <w:t>a megfelelően felhatalmazott személyek számára nagyobb mértékű könnyítéseket biztosítsanak a TIR-egyezmény rendelkezéseinek alkalmazásához.</w:t>
      </w:r>
    </w:p>
    <w:p>
      <w:pPr>
        <w:pStyle w:val="ManualConsidrant"/>
        <w:rPr>
          <w:noProof/>
          <w:color w:val="000000" w:themeColor="text1"/>
        </w:rPr>
      </w:pPr>
      <w:r>
        <w:t>(8)</w:t>
      </w:r>
      <w:r>
        <w:tab/>
      </w:r>
      <w:r>
        <w:rPr>
          <w:noProof/>
        </w:rPr>
        <w:t>A TIR-egyezmény rendelkezéseinek egyértelművé tétele érdekében a TIR-egyezmény 20. cikkének módosításával pontosítani kell az előírt útvonal használatát a vámuniókon belül, a TIR-egyezmény 8. cikkéhez fűzött magyarázó megjegyzés módosításával pedig növelni kell a „Dohány/Alkohol” TIR-igazolványok tekintetében a garanciavállaló egyesületektől követelhető ajánlott maximális összeget.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Az Intéző Bizottságban az Unió által képviselendő álláspontnak az e határozathoz mellékelt módosítástervezeteken kell alapulnia. Ez nem érinti azt a lehetőséget, hogy a módosítástervezetek nem lényeges kisebb módosításait a TIR-egyezmény Intéző Bizottságában részt vevő uniós képviselőknek a Tanács újabb határozata nélkül is módjában áll elfogadniuk. </w:t>
      </w:r>
    </w:p>
    <w:p>
      <w:pPr>
        <w:pStyle w:val="ManualConsidrant"/>
        <w:rPr>
          <w:noProof/>
          <w:color w:val="000000" w:themeColor="text1"/>
        </w:rPr>
      </w:pPr>
      <w:r>
        <w:t>(10)</w:t>
      </w:r>
      <w:r>
        <w:tab/>
      </w:r>
      <w:r>
        <w:rPr>
          <w:noProof/>
        </w:rPr>
        <w:t>Az Unió álláspontját a Bizottságnak kell képviselnie. Az Unió tagállamainak – az Unió érdekében együttesen eljárva – az Intéző Bizottságban tartott hivatalos szavazás alkalmával kell képviselniük az Unió álláspontját,</w:t>
      </w:r>
    </w:p>
    <w:p>
      <w:pPr>
        <w:pStyle w:val="Formuledadoption"/>
        <w:rPr>
          <w:noProof/>
          <w:color w:val="000000" w:themeColor="text1"/>
        </w:rPr>
      </w:pPr>
      <w:r>
        <w:rPr>
          <w:noProof/>
          <w:color w:val="000000" w:themeColor="text1"/>
        </w:rPr>
        <w:t>ELFOGADTA EZT A HATÁROZATOT: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1. cikk</w:t>
      </w:r>
    </w:p>
    <w:p>
      <w:pPr>
        <w:rPr>
          <w:noProof/>
          <w:color w:val="000000" w:themeColor="text1"/>
        </w:rPr>
      </w:pPr>
      <w:r>
        <w:rPr>
          <w:noProof/>
        </w:rPr>
        <w:t xml:space="preserve">Az áruk TIR-igazolvánnyal történő nemzetközi fuvarozásáról szóló vámegyezmény (a továbbiakban: TIR-egyezmény) Intéző Bizottságának hetvenharmadik </w:t>
      </w:r>
      <w:r>
        <w:rPr>
          <w:noProof/>
          <w:color w:val="000000" w:themeColor="text1"/>
        </w:rPr>
        <w:t>vagy azt követő üléseinek egyikén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az Unió által képviselendő álláspont</w:t>
      </w:r>
      <w:r>
        <w:rPr>
          <w:noProof/>
        </w:rPr>
        <w:t xml:space="preserve"> a módosításoknak az e határozathoz csatolt tervezetén alapul.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2. cikk</w:t>
      </w:r>
    </w:p>
    <w:p>
      <w:pPr>
        <w:rPr>
          <w:noProof/>
        </w:rPr>
      </w:pPr>
      <w:r>
        <w:rPr>
          <w:noProof/>
        </w:rPr>
        <w:t xml:space="preserve">Az 1. cikkben említett álláspontot a Bizottság képviseli. Az Unió tagállamai – az Unió érdekében együttesen eljárva – a TIR-egyezmény Intéző Bizottságában tartott hivatalos szavazás alkalmával képviselik az Unió álláspontját. 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</w:rPr>
        <w:t>3. cikk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Ennek a határozatnak a tagállamok és a Bizottság a címzettjei. 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a Tanács részéről</w:t>
      </w:r>
    </w:p>
    <w:p>
      <w:pPr>
        <w:pStyle w:val="Personnequisigne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 TIR a „Transports Internationaux Routiers” vagy „International Road Transports” (nemzetközi közúti fuvarozás) rövidítése.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Tanács 2112/78/EGK rendelete (1978. július 25.) az áruk TIR-igazolvánnyal történő nemzetközi fuvarozására vonatkozó, Genfben, 1975. november 14-én aláírt vámegyezmény (TIR-egyezmény) megkötéséről (HL L 252., 1. o.).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A Bíróság 2014. október 7-i ítélete, Németország kontra Tanács, C-399/12, ECLI:EU:C:2014:2258, 61–64. pont.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Tanács 2112/78/EGK rendelete (1978. július 25.) az áruk TIR-igazolvánnyal történő nemzetközi fuvarozására vonatkozó, Genfben, 1975. november 14-én aláírt vámegyezmény (TIR-egyezmény) megkötéséről (HL L 252., 1978.9.14., 1. o.).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HL L 31., 1983.2.2., 13. 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57C1F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3EE2F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4CA6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AA60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6D697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2A43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442C0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456D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6:21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7561ED2-1163-459A-B2C7-B690D0A05556"/>
    <w:docVar w:name="LW_COVERPAGE_TYPE" w:val="1"/>
    <w:docVar w:name="LW_CROSSREFERENCE" w:val="&lt;UNUSED&gt;"/>
    <w:docVar w:name="LW_DocType" w:val="COM"/>
    <w:docVar w:name="LW_EMISSION" w:val="2020.8.7."/>
    <w:docVar w:name="LW_EMISSION_ISODATE" w:val="2020-08-07"/>
    <w:docVar w:name="LW_EMISSION_LOCATION" w:val="BRX"/>
    <w:docVar w:name="LW_EMISSION_PREFIX" w:val="Brüssze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66"/>
    <w:docVar w:name="LW_REF.II.NEW.CP_YEAR" w:val="2020"/>
    <w:docVar w:name="LW_REF.INST.NEW" w:val="COM"/>
    <w:docVar w:name="LW_REF.INST.NEW_ADOPTED" w:val="final"/>
    <w:docVar w:name="LW_REF.INST.NEW_TEXT" w:val="(2020) 3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z áruk TIR-igazolvánnyal történ\u337? nemzetközi fuvarozásáról szóló vámegyezmény Intéz\u337? Bizottságában az egyezmény módosítására irányuló javaslat tekintetében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8415-E3EB-4BF5-B96B-37250C5A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1889</Words>
  <Characters>13434</Characters>
  <Application>Microsoft Office Word</Application>
  <DocSecurity>0</DocSecurity>
  <Lines>227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2020-08-04T12:59:00Z</dcterms:created>
  <dcterms:modified xsi:type="dcterms:W3CDTF">2020-08-11T14:21:00Z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