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AC0BED90-EF26-4288-B87B-90E518F2636D" style="width:450.8pt;height:450.25pt">
            <v:imagedata r:id="rId8" o:title=""/>
          </v:shape>
        </w:pict>
      </w:r>
    </w:p>
    <w:p>
      <w:pPr>
        <w:rPr>
          <w:noProof/>
        </w:rPr>
        <w:sectPr>
          <w:footerReference w:type="default" r:id="rId9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PERUSTELUT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EHDOTUKSEN TAUSTA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Ehdotuksen perustelut ja tavoitteet</w:t>
      </w:r>
    </w:p>
    <w:p>
      <w:pPr>
        <w:rPr>
          <w:noProof/>
        </w:rPr>
      </w:pPr>
      <w:r>
        <w:rPr>
          <w:noProof/>
        </w:rPr>
        <w:t>Sisämarkkinoiden edellyttämän oikeusvarmuuden ja yhdenmukaisuuden varmistamiseksi ETA:n sekakomitean on otettava kaikki asiaankuuluva unionin lainsäädäntö osaksi ETA-sopimusta mahdollisimman pian sen antamisen jälkeen ja lisäksi mahdollistettava ETA:n EFTA-valtioiden osallistuminen ETA:n kannalta merkityksellisiin EU:n toimiin ja ohjelmiin.</w:t>
      </w:r>
    </w:p>
    <w:p>
      <w:pPr>
        <w:rPr>
          <w:noProof/>
        </w:rPr>
      </w:pPr>
      <w:r>
        <w:rPr>
          <w:noProof/>
        </w:rPr>
        <w:t>Neuvoston päätösehdotuksen liitteenä olevalla ETA:n sekakomitean päätösluonnoksella muutetaan ETA-sopimuksen pöytäkirjaa 31, joka koskee yhteistyötä muilla kuin neljän vapauden alaan kuuluvilla erityisalueilla. Tämä on tarpeen, jotta ETA:n EFTA-valtiot voivat osallistua Euroopan unionin yleisen talousarvion budjettikohdista rahoitettaviin unionin ohjelmiin ja toimiin. Tässä tapauksessa muuttamisen tarkoituksena on antaa ETA:n EFTA-valtioille (Norja, Islanti ja Liechtenstein) mahdollisuus osallistua unionin toimiin, jotka liittyvät varainhoitovuodeksi 2020 laadittuun Euroopan unionin yleiseen talousarvioon sisältyviin budjettikohtiin 02 03 01 ”Sisämarkkinat” ja 02 03 04 ”Sisämarkkinoiden hallintovälineet”.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Yhdenmukaisuus muiden alaa koskevien politiikkojen säännösten kanssa</w:t>
      </w:r>
    </w:p>
    <w:p>
      <w:pPr>
        <w:rPr>
          <w:noProof/>
        </w:rPr>
      </w:pPr>
      <w:r>
        <w:rPr>
          <w:noProof/>
        </w:rPr>
        <w:t>Liitteenä oleva sekakomitean päätösluonnos noudattaa täysin ETA-sopimuksen tavoitetta edistää sopimuspuolten välisten kaupallisten ja taloudellisten suhteiden jatkuvaa ja tasapainoista vahvistumista yhdenvertaisten kilpailun edellytysten pohjalta sekä samojen sääntöjen noudattamista yhdenmukaisen Euroopan talousalueen luomiseksi.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Yhdenmukaisuus unionin muiden politiikkojen kanssa</w:t>
      </w:r>
    </w:p>
    <w:p>
      <w:pPr>
        <w:rPr>
          <w:noProof/>
        </w:rPr>
      </w:pPr>
      <w:r>
        <w:rPr>
          <w:noProof/>
        </w:rPr>
        <w:t>Sekakomitean päätös on myös yhdenmukainen unionin muiden politiikkojen kanssa, erityisesti koska sen tavoitteena on suojata EU:n sisämarkkinoiden yhtenäisyyttä.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OIKEUSPERUSTA, TOISSIJAISUUSPERIAATE JA SUHTEELLISUUSPERIAATE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Oikeusperusta</w:t>
      </w:r>
    </w:p>
    <w:p>
      <w:pPr>
        <w:rPr>
          <w:noProof/>
        </w:rPr>
      </w:pPr>
      <w:r>
        <w:rPr>
          <w:noProof/>
        </w:rPr>
        <w:t>Ehdotus perustuu SEUT-sopimuksen 114 artiklaan ja 218 artiklan 9 kohtaan. Euroopan talousalueesta tehdyn sopimuksen soveltamista koskevista yksityiskohtaisista säännöistä annetun neuvoston asetuksen (EY) N:o 2894/94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1 artiklan 3 kohdan mukaan neuvosto hyväksyy komission ehdotuksesta unionin puolesta esitettävän kannan tällaisiin päätöksiin.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 xml:space="preserve">Toissijaisuusperiaate (jaetun toimivallan osalta) </w:t>
      </w:r>
    </w:p>
    <w:p>
      <w:pPr>
        <w:rPr>
          <w:rFonts w:cs="EUAlbertina"/>
          <w:noProof/>
          <w:color w:val="000000"/>
        </w:rPr>
      </w:pPr>
      <w:r>
        <w:rPr>
          <w:noProof/>
        </w:rPr>
        <w:t>Ehdotus on toissijaisuusperiaatteen mukainen seuraavasta syystä:</w:t>
      </w:r>
    </w:p>
    <w:p>
      <w:pPr>
        <w:rPr>
          <w:rFonts w:cs="EUAlbertina"/>
          <w:noProof/>
          <w:color w:val="000000"/>
          <w:szCs w:val="24"/>
        </w:rPr>
      </w:pPr>
      <w:r>
        <w:rPr>
          <w:noProof/>
          <w:color w:val="000000"/>
          <w:szCs w:val="24"/>
        </w:rPr>
        <w:t xml:space="preserve">Jäsenvaltiot eivät voi riittävällä tavalla saavuttaa tämän ehdotuksen tavoitetta, joka on varmistaa sisämarkkinoiden yhtenäisyys, vaan se voidaan vaikutusten vuoksi saavuttaa paremmin unionin tasolla.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Suhteellisuusperiaate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  <w:color w:val="000000"/>
          <w:szCs w:val="24"/>
        </w:rPr>
        <w:t>Suhteellisuusperiaatteen mukaisesti ehdotuksessa ei ylitetä sitä, mikä on tarpeen sen tavoitteen saavuttamiseksi eli sisämarkkinoiden yhtenäisyyden varmistamiseksi.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lastRenderedPageBreak/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Toimintatavan valinta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bCs/>
          <w:noProof/>
          <w:szCs w:val="24"/>
        </w:rPr>
      </w:pPr>
      <w:r>
        <w:rPr>
          <w:noProof/>
        </w:rPr>
        <w:t>ETA-sopimuksen 98 artiklan mukaisesti valittu säädöstyyppi on ETA:n sekakomitean päätös. ETA:n sekakomitea varmistaa ETA-sopimuksen tehokkaan täytäntöönpanon ja toiminnan. Tätä varten se tekee päätöksiä sopimuksessa määrätyissä tapauksissa.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JÄLKIARVIOINTIEN, SIDOSRYHMIEN KUULEMISTEN JA VAIKUTUSTENARVIOINTIEN TULOKSET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Ei sovelleta.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TALOUSARVIOVAIKUTUKSET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ETA:n EFTA-valtiot osallistuvat budjettikohtien 02 03 01 ”Sisämarkkinat” ja 02 03 04 ”Sisämarkkinoiden hallintovälineet” rahoittamiseen. Tarkka määrä määritetään ETA-sopimuksen määräysten mukaisesti, kun tämä luonnos neuvoston päätökseksi on hyväksytty.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LISÄTIEDOT</w:t>
      </w:r>
    </w:p>
    <w:p>
      <w:pPr>
        <w:spacing w:before="0" w:after="240"/>
        <w:rPr>
          <w:noProof/>
        </w:rPr>
      </w:pPr>
      <w:r>
        <w:rPr>
          <w:noProof/>
        </w:rPr>
        <w:t>EU:n talousarviopolitiikan mukaisesti osallistuminen EU:n toimintaan on mahdollista vasta, kun vastaava rahoitusosuus on maksettu. ETA-sopimuksen pöytäkirjan 32 mukaisesti ETA:n EFTA-valtiot maksavat rahoitusosuutensa vuosittain viimeistään 31. elokuuta sen jälkeen, kun Euroopan komissio on vahvistanut rahoituspyynnön ja toimittanut sen ETA:n EFTA-valtioille viimeistään 15. elokuuta.</w:t>
      </w:r>
    </w:p>
    <w:p>
      <w:pPr>
        <w:spacing w:before="0" w:after="240"/>
        <w:rPr>
          <w:noProof/>
        </w:rPr>
      </w:pPr>
      <w:r>
        <w:rPr>
          <w:noProof/>
        </w:rPr>
        <w:t>Sen vuoksi sekakomitean päätösluonnosta sovelletaan takautuvasti tammikuusta lähtien, jotta voitaisiin kattaa tammikuun ja elokuun välinen ajanjakso. ETA-sopimuksessa määrätty yhteistyön jatkuvuus varmistetaan tällä tavoin koko kalenterivuoden ajaksi.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Takautuva soveltaminen ei vaikuta asianomaisten henkilöiden oikeuksiin ja velvollisuuksiin, ja se noudattaa luottamuksensuojan periaatetta.</w:t>
      </w:r>
    </w:p>
    <w:p>
      <w:pPr>
        <w:rPr>
          <w:noProof/>
        </w:rPr>
        <w:sectPr>
          <w:footerReference w:type="default" r:id="rId10"/>
          <w:footerReference w:type="first" r:id="rId11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2020/0171 (NLE)</w:t>
      </w:r>
    </w:p>
    <w:p>
      <w:pPr>
        <w:pStyle w:val="Statut"/>
        <w:rPr>
          <w:noProof/>
        </w:rPr>
      </w:pPr>
      <w:r>
        <w:rPr>
          <w:noProof/>
        </w:rPr>
        <w:t>Ehdotus</w:t>
      </w:r>
    </w:p>
    <w:p>
      <w:pPr>
        <w:pStyle w:val="Typedudocument"/>
        <w:rPr>
          <w:noProof/>
        </w:rPr>
      </w:pPr>
      <w:r>
        <w:rPr>
          <w:noProof/>
        </w:rPr>
        <w:t>NEUVOSTON PÄÄTÖS</w:t>
      </w:r>
    </w:p>
    <w:p>
      <w:pPr>
        <w:pStyle w:val="Titreobjet"/>
        <w:rPr>
          <w:noProof/>
        </w:rPr>
      </w:pPr>
      <w:r>
        <w:rPr>
          <w:noProof/>
        </w:rPr>
        <w:t xml:space="preserve">ETA:n sekakomiteassa Euroopan unionin puolesta esitettävästä kannasta yhteistyöstä muilla kuin neljän vapauden alaan kuuluvilla erityisalueilla tehdyn ETA-sopimuksen pöytäkirjan 31 muuttamiseen </w:t>
      </w:r>
      <w:r>
        <w:rPr>
          <w:noProof/>
        </w:rPr>
        <w:br/>
        <w:t xml:space="preserve"> </w:t>
      </w:r>
      <w:r>
        <w:rPr>
          <w:noProof/>
        </w:rPr>
        <w:br/>
        <w:t>(Budjettikohta 02 03 01 – Sisämarkkinat ja budjettikohta 02 03 04 – Sisämarkkinoiden hallintovälineet)</w:t>
      </w:r>
    </w:p>
    <w:p>
      <w:pPr>
        <w:pStyle w:val="IntrtEEE"/>
        <w:rPr>
          <w:noProof/>
        </w:rPr>
      </w:pPr>
      <w:r>
        <w:rPr>
          <w:noProof/>
        </w:rPr>
        <w:t>(ETA:n kannalta merkityksellinen teksti)</w:t>
      </w:r>
    </w:p>
    <w:p>
      <w:pPr>
        <w:pStyle w:val="Institutionquiagit"/>
        <w:rPr>
          <w:noProof/>
        </w:rPr>
      </w:pPr>
      <w:r>
        <w:rPr>
          <w:noProof/>
        </w:rPr>
        <w:t>EUROOPAN UNIONIN NEUVOSTO, joka</w:t>
      </w:r>
    </w:p>
    <w:p>
      <w:pPr>
        <w:rPr>
          <w:noProof/>
        </w:rPr>
      </w:pPr>
      <w:r>
        <w:rPr>
          <w:noProof/>
        </w:rPr>
        <w:t>ottaa huomioon Euroopan unionin toiminnasta tehdyn sopimuksen ja erityisesti sen 114 artiklan yhdessä sen 218 artiklan 9 kohdan kanssa,</w:t>
      </w:r>
    </w:p>
    <w:p>
      <w:pPr>
        <w:rPr>
          <w:noProof/>
        </w:rPr>
      </w:pPr>
      <w:r>
        <w:rPr>
          <w:noProof/>
        </w:rPr>
        <w:t>ottaa huomioon Euroopan talousalueesta tehdyn sopimuksen soveltamista koskevista yksityiskohtaisista säännöistä 28 päivänä marraskuuta 1994 annetun neuvoston asetuksen (EY) N:o 2894/94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ja erityisesti sen 1 artiklan 3 kohdan,</w:t>
      </w:r>
    </w:p>
    <w:p>
      <w:pPr>
        <w:rPr>
          <w:noProof/>
        </w:rPr>
      </w:pPr>
      <w:r>
        <w:rPr>
          <w:noProof/>
        </w:rPr>
        <w:t>ottaa huomioon Euroopan komission ehdotuksen,</w:t>
      </w:r>
    </w:p>
    <w:p>
      <w:pPr>
        <w:rPr>
          <w:noProof/>
        </w:rPr>
      </w:pPr>
      <w:r>
        <w:rPr>
          <w:noProof/>
        </w:rPr>
        <w:t>sekä katsoo seuraavaa: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Sopimus Euroopan talousalueesta</w:t>
      </w:r>
      <w:r>
        <w:rPr>
          <w:rStyle w:val="FootnoteReference"/>
          <w:noProof/>
        </w:rPr>
        <w:footnoteReference w:id="3"/>
      </w:r>
      <w:r>
        <w:rPr>
          <w:noProof/>
        </w:rPr>
        <w:t>, jäljempänä ’ETA-sopimus’, tuli voimaan 1 päivänä tammikuuta 1994.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ETA-sopimuksen 98 artiklan mukaan ETA:n sekakomitea voi päättää muuttaa muun muassa ETA-sopimuksen pöytäkirjaa 31, jäljempänä ’pöytäkirja 31’.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ETA-sopimuksen pöytäkirjaan 31 sisältyy määräyksiä, jotka koskevat yhteistyötä muilla kuin neljän vapauden alaan kuuluvilla erityisalueilla.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On aiheellista jatkaa ETA-sopimuksen sopimuspuolten välistä yhteistyötä, jota ne tekevät Euroopan unionin yleisestä talousarviosta rahoitettavissa unionin toimissa, jotka koskevat tavaroiden ja palvelujen sisämarkkinoiden toimintaa ja kehittämistä.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Sen vuoksi ETA-sopimuksen pöytäkirjaa 31 olisi muutettava, jotta tätä laajennettua yhteistyötä voitaisiin tehdä 1 päivästä tammikuuta 2020.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ETA:n sekakomiteassa esitettävän unionin kannan olisi perustuttava tähän päätökseen liitettyyn päätösluonnokseen,</w:t>
      </w:r>
    </w:p>
    <w:p>
      <w:pPr>
        <w:pStyle w:val="Formuledadoption"/>
        <w:rPr>
          <w:noProof/>
        </w:rPr>
      </w:pPr>
      <w:r>
        <w:rPr>
          <w:noProof/>
        </w:rPr>
        <w:lastRenderedPageBreak/>
        <w:t xml:space="preserve">ON HYVÄKSYNYT TÄMÄN PÄÄTÖKSEN: </w:t>
      </w:r>
    </w:p>
    <w:p>
      <w:pPr>
        <w:pStyle w:val="Titrearticle"/>
        <w:rPr>
          <w:noProof/>
        </w:rPr>
      </w:pPr>
      <w:r>
        <w:rPr>
          <w:noProof/>
        </w:rPr>
        <w:t>1 artikla</w:t>
      </w:r>
    </w:p>
    <w:p>
      <w:pPr>
        <w:rPr>
          <w:noProof/>
        </w:rPr>
      </w:pPr>
      <w:r>
        <w:rPr>
          <w:noProof/>
        </w:rPr>
        <w:t>ETA:n sekakomiteassa unionin puolesta esitettävä kanta yhteistyöstä muilla kuin neljän vapauden alaan kuuluvilla erityisalueilla tehdyn ETA-sopimuksen pöytäkirjan 31 ehdotettuun muuttamiseen perustuu tähän päätökseen liitettyyn ETA:n sekakomitean päätösluonnokseen.</w:t>
      </w:r>
    </w:p>
    <w:p>
      <w:pPr>
        <w:pStyle w:val="Titrearticle"/>
        <w:rPr>
          <w:noProof/>
        </w:rPr>
      </w:pPr>
      <w:r>
        <w:rPr>
          <w:noProof/>
        </w:rPr>
        <w:t>2 artikla</w:t>
      </w:r>
    </w:p>
    <w:p>
      <w:pPr>
        <w:keepLines/>
        <w:rPr>
          <w:noProof/>
        </w:rPr>
      </w:pPr>
      <w:r>
        <w:rPr>
          <w:noProof/>
        </w:rPr>
        <w:t>Tämä päätös tulee voimaan päivänä, jona se hyväksytään.</w:t>
      </w:r>
    </w:p>
    <w:p>
      <w:pPr>
        <w:pStyle w:val="Fait"/>
        <w:rPr>
          <w:noProof/>
        </w:rPr>
      </w:pPr>
      <w:r>
        <w:t>Tehty Brysselissä</w:t>
      </w:r>
    </w:p>
    <w:p>
      <w:pPr>
        <w:pStyle w:val="Institutionquisigne"/>
        <w:rPr>
          <w:noProof/>
        </w:rPr>
      </w:pPr>
      <w:r>
        <w:rPr>
          <w:noProof/>
        </w:rPr>
        <w:tab/>
        <w:t>Neuvoston puolesta</w:t>
      </w:r>
    </w:p>
    <w:p>
      <w:pPr>
        <w:pStyle w:val="Personnequisigne"/>
        <w:rPr>
          <w:noProof/>
        </w:rPr>
      </w:pPr>
      <w:r>
        <w:rPr>
          <w:noProof/>
        </w:rPr>
        <w:tab/>
        <w:t>Puheenjohtaja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FI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FI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FI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FI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ab/>
        <w:t>EYVL L 305, 30.11.1994, s. 6–8.</w:t>
      </w:r>
    </w:p>
  </w:footnote>
  <w:footnote w:id="2">
    <w:p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ab/>
        <w:t>EYVL L 305, 30.11.1994, s. 6–8.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 xml:space="preserve">EYVL L 1, 3.1.1994, s. 3.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6FE0D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65E2AD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7562E2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E0B4EC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B00BDF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1F46CE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A2CD5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EF82F7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21"/>
    <w:lvlOverride w:ilvl="0">
      <w:startOverride w:val="1"/>
    </w:lvlOverride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8-12 13:07:2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AC0BED90-EF26-4288-B87B-90E518F2636D"/>
    <w:docVar w:name="LW_COVERPAGE_TYPE" w:val="1"/>
    <w:docVar w:name="LW_CROSSREFERENCE" w:val="&lt;UNUSED&gt;"/>
    <w:docVar w:name="LW_DocType" w:val="COM"/>
    <w:docVar w:name="LW_EMISSION" w:val="13.8.2020"/>
    <w:docVar w:name="LW_EMISSION_ISODATE" w:val="2020-08-13"/>
    <w:docVar w:name="LW_EMISSION_LOCATION" w:val="BRX"/>
    <w:docVar w:name="LW_EMISSION_PREFIX" w:val="Bryssel "/>
    <w:docVar w:name="LW_EMISSION_SUFFIX" w:val=" 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(ETA:n kannalta merkityksellinen teksti)"/>
    <w:docVar w:name="LW_LANGUE" w:val="FI"/>
    <w:docVar w:name="LW_LEVEL_OF_SENSITIVITY" w:val="Standard treatment"/>
    <w:docVar w:name="LW_NOM.INST" w:val="EUROOPAN KOMISSIO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171"/>
    <w:docVar w:name="LW_REF.II.NEW.CP_YEAR" w:val="2020"/>
    <w:docVar w:name="LW_REF.INST.NEW" w:val="COM"/>
    <w:docVar w:name="LW_REF.INST.NEW_ADOPTED" w:val="final"/>
    <w:docVar w:name="LW_REF.INST.NEW_TEXT" w:val="(2020) 36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Ehdotus"/>
    <w:docVar w:name="LW_SUPERTITRE" w:val="&lt;UNUSED&gt;"/>
    <w:docVar w:name="LW_TITRE.OBJ.CP" w:val="ETA:n sekakomiteassa Euroopan unionin puolesta esitettävästä kannasta yhteistyöstä muilla kuin neljän vapauden alaan kuuluvilla erityisalueilla tehdyn ETA-sopimuksen pöytäkirjan 31 muuttamiseen _x000b_ _x000b_(Budjettikohta 02 03 01 \u8211? Sisämarkkinat ja budjettikohta 02 03 04 \u8211? Sisämarkkinoiden hallintovälineet)"/>
    <w:docVar w:name="LW_TYPE.DOC.CP" w:val="NEUVOSTON PÄÄTÖS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fi-FI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3">
    <w:name w:val="List Number 3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fi-F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fi-FI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fi-FI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3">
    <w:name w:val="List Number 3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fi-F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fi-FI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5</Pages>
  <Words>679</Words>
  <Characters>5621</Characters>
  <Application>Microsoft Office Word</Application>
  <DocSecurity>0</DocSecurity>
  <Lines>108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DIGIT/C6</cp:lastModifiedBy>
  <cp:revision>19</cp:revision>
  <dcterms:created xsi:type="dcterms:W3CDTF">2020-08-10T09:58:00Z</dcterms:created>
  <dcterms:modified xsi:type="dcterms:W3CDTF">2020-08-12T11:07:00Z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7.0.8.0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7.0, Build 20190717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