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975D345-2CFB-456E-8C13-16E9414F1DBD" style="width:450.75pt;height:450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Siekdamas užtikrinti reikiamą vidaus rinkos teisinį saugumą ir vientisumą, EEE jungtinis komitetas turi įtraukti visus susijusius ES teisės aktus į EEE susitarimą kuo greičiau po jų priėmimo ir sudaryti sąlygas EEE narėmis esančioms ELPA valstybėms dalyvauti su EEE susijusiuose ES veiksmuose arba programose.</w:t>
      </w:r>
    </w:p>
    <w:p>
      <w:pPr>
        <w:rPr>
          <w:noProof/>
        </w:rPr>
      </w:pPr>
      <w:r>
        <w:rPr>
          <w:noProof/>
        </w:rPr>
        <w:t>EEE jungtinio komiteto sprendimo projektu (pridedamu prie siūlomo Tarybos sprendimo) siekiama iš dalies pakeisti EEE susitarimo 31 protokolą dėl bendradarbiavimo konkrečiose srityse, nesusijusiose su keturiomis laisvėmis. Tai yra būtina, siekiant sudaryti sąlygas EEE narėmis esančioms ELPA valstybėms dalyvauti vykdant Sąjungos programas ir veiksmus, finansuojamus pagal Europos Sąjungos bendrojo biudžeto eilutes. Šiuo atveju šiuo pakeitimu siekiama sudaryti sąlygas EEE narėmis esančioms ELPA valstybėms (Norvegijai, Islandijai ir Lichtenšteinui) dalyvauti vykdant Sąjungos veiksmus, kurie finansuojami pagal 2020 finansinių metų Europos Sąjungos bendrojo biudžeto eilutę 02 03 01 „Vidaus rinka“ ir biudžeto eilutę 02 03 04 „Vidaus rinkos valdymo priemonės“.</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rPr>
          <w:noProof/>
        </w:rPr>
      </w:pPr>
      <w:r>
        <w:rPr>
          <w:noProof/>
        </w:rPr>
        <w:t>Pridedamas Jungtinio komiteto sprendimo projektas visiškai atitinka EEE susitarimo tikslą stiprinti tvarius ir subalansuotus susitariančiųjų šalių prekybos ir ekonominius ryšius, taikant vienodas konkurencijos sąlygas ir laikantis tokių pačių taisyklių tam, kad būtų sukurta vientisa Europos ekonominė erdvė.</w:t>
      </w:r>
    </w:p>
    <w:p>
      <w:pPr>
        <w:pStyle w:val="ManualHeading2"/>
        <w:rPr>
          <w:rFonts w:eastAsia="Arial Unicode MS"/>
          <w:noProof/>
        </w:rPr>
      </w:pPr>
      <w:r>
        <w:rPr>
          <w:noProof/>
          <w:color w:val="000000"/>
          <w:u w:color="000000"/>
          <w:bdr w:val="nil"/>
        </w:rPr>
        <w:t>•</w:t>
      </w:r>
      <w:r>
        <w:rPr>
          <w:noProof/>
        </w:rPr>
        <w:tab/>
        <w:t>Suderinamumas su kitomis Sąjungos politikos sritimis</w:t>
      </w:r>
    </w:p>
    <w:p>
      <w:pPr>
        <w:rPr>
          <w:noProof/>
        </w:rPr>
      </w:pPr>
      <w:r>
        <w:rPr>
          <w:noProof/>
        </w:rPr>
        <w:t>Jungtinio komiteto sprendimas taip pat dera su kitų sričių Sąjungos politika, visų pirma siekiant apsaugoti ES vidaus rinkos vientisumą.</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rPr>
          <w:noProof/>
        </w:rPr>
      </w:pPr>
      <w:r>
        <w:rPr>
          <w:noProof/>
        </w:rPr>
        <w:t>Pasiūlymas grindžiamas SESV 114 straipsniu kartu su 218 straipsnio 9 dalimi. Tarybos reglamento (EB) Nr. 2894/94</w:t>
      </w:r>
      <w:r>
        <w:rPr>
          <w:rStyle w:val="FootnoteReference"/>
          <w:noProof/>
        </w:rPr>
        <w:footnoteReference w:id="1"/>
      </w:r>
      <w:r>
        <w:rPr>
          <w:noProof/>
        </w:rPr>
        <w:t xml:space="preserve"> dėl EEE susitarimo įgyvendinimo tvarkos 1 straipsnio 3 dalyje nustatyta, kad Taryba, remdamasi Komisijos pasiūlymu, nustato poziciją, kurios Sąjungos vardu turi būti laikomasi dėl tokių sprendimų.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(neišimtinės kompetencijos atveju) </w:t>
      </w:r>
    </w:p>
    <w:p>
      <w:pPr>
        <w:rPr>
          <w:rFonts w:cs="EUAlbertina"/>
          <w:noProof/>
          <w:color w:val="000000"/>
        </w:rPr>
      </w:pPr>
      <w:r>
        <w:rPr>
          <w:noProof/>
        </w:rPr>
        <w:t>Pasiūlymas atitinka subsidiarumo principą dėl toliau nurodytos priežasties.</w:t>
      </w:r>
    </w:p>
    <w:p>
      <w:pPr>
        <w:rPr>
          <w:rFonts w:cs="EUAlbertina"/>
          <w:noProof/>
          <w:color w:val="000000"/>
          <w:szCs w:val="24"/>
        </w:rPr>
      </w:pPr>
      <w:r>
        <w:rPr>
          <w:noProof/>
          <w:color w:val="000000"/>
          <w:szCs w:val="24"/>
        </w:rPr>
        <w:t xml:space="preserve">Šio pasiūlymo tikslo, t. y. užtikrinti vidaus rinkos vientisumą, valstybės narės negali deramai pasiekti, todėl dėl siūlomo veiksmo poveikio to tikslo būtų geriau siekti Sąjungos lygiu.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Proporcingumo principas</w:t>
      </w:r>
    </w:p>
    <w:p>
      <w:pPr>
        <w:pBdr>
          <w:top w:val="nil"/>
          <w:left w:val="nil"/>
          <w:bottom w:val="nil"/>
          <w:right w:val="nil"/>
          <w:between w:val="nil"/>
          <w:bar w:val="nil"/>
        </w:pBdr>
        <w:spacing w:before="0" w:after="240"/>
        <w:rPr>
          <w:rFonts w:eastAsia="Arial Unicode MS"/>
          <w:noProof/>
        </w:rPr>
      </w:pPr>
      <w:r>
        <w:rPr>
          <w:noProof/>
          <w:color w:val="000000"/>
          <w:szCs w:val="24"/>
        </w:rPr>
        <w:t>Pagal proporcingumo principą šiuo pasiūlymu neviršijama to, kas būtina, kad būtų pasiektas jo tikslas – užtikrinti vidaus rinkos vientisumą.</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Priemonės pasirinkimas</w:t>
      </w:r>
    </w:p>
    <w:p>
      <w:pPr>
        <w:pBdr>
          <w:top w:val="nil"/>
          <w:left w:val="nil"/>
          <w:bottom w:val="nil"/>
          <w:right w:val="nil"/>
          <w:between w:val="nil"/>
          <w:bar w:val="nil"/>
        </w:pBdr>
        <w:spacing w:before="0" w:after="240"/>
        <w:rPr>
          <w:bCs/>
          <w:noProof/>
          <w:szCs w:val="24"/>
        </w:rPr>
      </w:pPr>
      <w:r>
        <w:rPr>
          <w:noProof/>
        </w:rPr>
        <w:t>Pagal EEE susitarimo 98 straipsnį pasirinkta priemonė yra EEE jungtinio komiteto sprendimas. EEE jungtinis komitetas užtikrina veiksmingą EEE susitarimo įgyvendinimą ir veikimą. Todėl šiame susitarime numatytais atvejais jis priima sprendimus.</w:t>
      </w:r>
    </w:p>
    <w:p>
      <w:pPr>
        <w:pStyle w:val="ManualHeading1"/>
        <w:rPr>
          <w:noProof/>
        </w:rPr>
      </w:pPr>
      <w:r>
        <w:rPr>
          <w:noProof/>
        </w:rPr>
        <w:t>3.</w:t>
      </w:r>
      <w:r>
        <w:rPr>
          <w:noProof/>
        </w:rPr>
        <w:tab/>
      </w:r>
      <w:r>
        <w:rPr>
          <w:i/>
          <w:iCs/>
          <w:noProof/>
        </w:rPr>
        <w:t>EX POST</w:t>
      </w:r>
      <w:r>
        <w:rPr>
          <w:noProof/>
        </w:rPr>
        <w:t xml:space="preserve"> VERTINIMO, KONSULTACIJŲ SU SUINTERESUOTOSIOMIS ŠALIMIS IR POVEIKIO VERTINIMO REZULTATAI</w:t>
      </w:r>
    </w:p>
    <w:p>
      <w:pPr>
        <w:pBdr>
          <w:top w:val="nil"/>
          <w:left w:val="nil"/>
          <w:bottom w:val="nil"/>
          <w:right w:val="nil"/>
          <w:between w:val="nil"/>
          <w:bar w:val="nil"/>
        </w:pBdr>
        <w:spacing w:before="0" w:after="240"/>
        <w:rPr>
          <w:rFonts w:eastAsia="Arial Unicode MS"/>
          <w:noProof/>
        </w:rPr>
      </w:pPr>
      <w:r>
        <w:rPr>
          <w:noProof/>
        </w:rPr>
        <w:t>Netaikoma.</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EEE narėmis esančios ELPA valstybės prisideda prie biudžeto eilutės 02 03 01 „Vidaus rinka“ ir biudžeto eilutės 02 03 04 „Vidaus rinkos valdymo priemonės“ finansavimo. Tiksli suma bus nustatyta vadovaujantis EEE susitarimo nuostatomis, kai bus priimtas šis Tarybos sprendimo projektas.</w:t>
      </w:r>
    </w:p>
    <w:p>
      <w:pPr>
        <w:pStyle w:val="ManualHeading1"/>
        <w:rPr>
          <w:noProof/>
        </w:rPr>
      </w:pPr>
      <w:r>
        <w:rPr>
          <w:noProof/>
        </w:rPr>
        <w:t>5.</w:t>
      </w:r>
      <w:r>
        <w:rPr>
          <w:noProof/>
        </w:rPr>
        <w:tab/>
        <w:t>KITI ELEMENTAI</w:t>
      </w:r>
    </w:p>
    <w:p>
      <w:pPr>
        <w:spacing w:before="0" w:after="240"/>
        <w:rPr>
          <w:noProof/>
        </w:rPr>
      </w:pPr>
      <w:r>
        <w:rPr>
          <w:noProof/>
        </w:rPr>
        <w:t>Vadovaujantis ES biudžeto politika, dalyvauti ES veikloje leidžiama tik tada, kai sumokamas atitinkamas finansinis įnašas. Tačiau pagal EEE susitarimo 32 protokolą EEE narėmis esančių ELPA valstybių metinis finansinis įnašas kasmet sumokamas iki rugpjūčio mėn. 31 d. po to, kai EEE narėmis esančioms ELPA valstybėms iki rugpjūčio mėn. 15 d. pateikiamas Europos Komisijos parengtas ES lėšų reikalavimas.</w:t>
      </w:r>
    </w:p>
    <w:p>
      <w:pPr>
        <w:spacing w:before="0" w:after="240"/>
        <w:rPr>
          <w:noProof/>
        </w:rPr>
      </w:pPr>
      <w:r>
        <w:rPr>
          <w:noProof/>
        </w:rPr>
        <w:t>Todėl, siekiant užpildyti spragą nuo sausio iki rugpjūčio mėn., Jungtinio komiteto sprendimo projektas turi būti taikomas atgaline data nuo sausio mėn. Taip užtikrinama, kad EEE susitarime numatytas bendradarbiavimas nenutrūktų ištisus kalendorinius metus.</w:t>
      </w:r>
    </w:p>
    <w:p>
      <w:pPr>
        <w:pBdr>
          <w:top w:val="nil"/>
          <w:left w:val="nil"/>
          <w:bottom w:val="nil"/>
          <w:right w:val="nil"/>
          <w:between w:val="nil"/>
          <w:bar w:val="nil"/>
        </w:pBdr>
        <w:spacing w:before="0" w:after="240"/>
        <w:rPr>
          <w:noProof/>
        </w:rPr>
      </w:pPr>
      <w:r>
        <w:rPr>
          <w:noProof/>
        </w:rPr>
        <w:t>Taikymas atgaline data nedaro poveikio suinteresuotųjų asmenų teisėms bei pareigoms ir nepažeidžia teisėtų lūkesčių principo.</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2020/0171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 xml:space="preserve">dėl pozicijos, kurios Europos Sąjungos vardu turi būti laikomasi EEE jungtiniame komitete dėl EEE susitarimo 31 protokolo dėl bendradarbiavimo konkrečiose srityse, nesusijusiose su keturiomis laisvėmis, dalinio pakeitimo </w:t>
      </w:r>
      <w:r>
        <w:rPr>
          <w:noProof/>
        </w:rPr>
        <w:br/>
        <w:t xml:space="preserve"> </w:t>
      </w:r>
      <w:r>
        <w:rPr>
          <w:noProof/>
        </w:rPr>
        <w:br/>
        <w:t>(Biudžeto eilutė 02 03 01 „Vidaus rinka“ ir biudžeto eilutė 02 03 04 „Vidaus rinkos valdymo priemonės“)</w:t>
      </w:r>
    </w:p>
    <w:p>
      <w:pPr>
        <w:pStyle w:val="IntrtEEE"/>
        <w:rPr>
          <w:noProof/>
        </w:rPr>
      </w:pPr>
      <w:r>
        <w:rPr>
          <w:noProof/>
        </w:rPr>
        <w:t>(Tekstas svarbus EEE)</w:t>
      </w:r>
    </w:p>
    <w:p>
      <w:pPr>
        <w:pStyle w:val="Institutionquiagit"/>
        <w:rPr>
          <w:noProof/>
        </w:rPr>
      </w:pPr>
      <w:r>
        <w:rPr>
          <w:noProof/>
        </w:rPr>
        <w:t>EUROPOS SĄJUNGOS TARYBA,</w:t>
      </w:r>
    </w:p>
    <w:p>
      <w:pPr>
        <w:rPr>
          <w:noProof/>
        </w:rPr>
      </w:pPr>
      <w:r>
        <w:rPr>
          <w:noProof/>
        </w:rPr>
        <w:t>atsižvelgdama į Sutartį dėl Europos Sąjungos veikimo, ypač į jos 114 straipsnį kartu su 218 straipsnio 9 dalimi,</w:t>
      </w:r>
    </w:p>
    <w:p>
      <w:pPr>
        <w:rPr>
          <w:noProof/>
        </w:rPr>
      </w:pPr>
      <w:r>
        <w:rPr>
          <w:noProof/>
        </w:rPr>
        <w:t>atsižvelgdama į 1994 m. lapkričio 28 d. Tarybos reglamentą (EB) Nr. 2894/94 dėl Europos ekonominės erdvės susitarimo įgyvendinimo tvarkos</w:t>
      </w:r>
      <w:r>
        <w:rPr>
          <w:rStyle w:val="FootnoteReference"/>
          <w:noProof/>
        </w:rPr>
        <w:footnoteReference w:id="2"/>
      </w:r>
      <w:r>
        <w:rPr>
          <w:noProof/>
        </w:rPr>
        <w:t>, ypač į jo 1 straipsnio 3 dalį,</w:t>
      </w:r>
    </w:p>
    <w:p>
      <w:pPr>
        <w:rPr>
          <w:noProof/>
        </w:rPr>
      </w:pPr>
      <w:r>
        <w:rPr>
          <w:noProof/>
        </w:rPr>
        <w:t>atsižvelgdami į Europos Komisijos pasiūlymą,</w:t>
      </w:r>
    </w:p>
    <w:p>
      <w:pPr>
        <w:rPr>
          <w:noProof/>
        </w:rPr>
      </w:pPr>
      <w:r>
        <w:rPr>
          <w:noProof/>
        </w:rPr>
        <w:t>kadangi:</w:t>
      </w:r>
    </w:p>
    <w:p>
      <w:pPr>
        <w:pStyle w:val="ManualConsidrant"/>
        <w:rPr>
          <w:noProof/>
        </w:rPr>
      </w:pPr>
      <w:r>
        <w:t>(1)</w:t>
      </w:r>
      <w:r>
        <w:tab/>
      </w:r>
      <w:r>
        <w:rPr>
          <w:noProof/>
        </w:rPr>
        <w:t>Europos ekonominės erdvės susitarimas</w:t>
      </w:r>
      <w:r>
        <w:rPr>
          <w:rStyle w:val="FootnoteReference"/>
          <w:noProof/>
        </w:rPr>
        <w:footnoteReference w:id="3"/>
      </w:r>
      <w:r>
        <w:rPr>
          <w:noProof/>
        </w:rPr>
        <w:t xml:space="preserve"> (toliau – EEE susitarimas) įsigaliojo 1994 m. sausio 1 d.;</w:t>
      </w:r>
    </w:p>
    <w:p>
      <w:pPr>
        <w:pStyle w:val="ManualConsidrant"/>
        <w:rPr>
          <w:noProof/>
        </w:rPr>
      </w:pPr>
      <w:r>
        <w:t>(2)</w:t>
      </w:r>
      <w:r>
        <w:tab/>
      </w:r>
      <w:r>
        <w:rPr>
          <w:noProof/>
        </w:rPr>
        <w:t>pagal EEE susitarimo 98 straipsnį EEE jungtinis komitetas gali nuspręsti, be kita ko, iš dalies pakeisti EEE susitarimo 31 protokolą (toliau – 31 protokolas);</w:t>
      </w:r>
    </w:p>
    <w:p>
      <w:pPr>
        <w:pStyle w:val="ManualConsidrant"/>
        <w:rPr>
          <w:noProof/>
        </w:rPr>
      </w:pPr>
      <w:r>
        <w:t>(3)</w:t>
      </w:r>
      <w:r>
        <w:tab/>
      </w:r>
      <w:r>
        <w:rPr>
          <w:noProof/>
        </w:rPr>
        <w:t>EEE susitarimo 31 protokole išdėstytos bendradarbiavimo konkrečiose srityse, nesusijusiose su keturiomis laisvėmis, nuostatos;</w:t>
      </w:r>
    </w:p>
    <w:p>
      <w:pPr>
        <w:pStyle w:val="ManualConsidrant"/>
        <w:rPr>
          <w:noProof/>
        </w:rPr>
      </w:pPr>
      <w:r>
        <w:t>(4)</w:t>
      </w:r>
      <w:r>
        <w:tab/>
      </w:r>
      <w:r>
        <w:rPr>
          <w:noProof/>
        </w:rPr>
        <w:t>tikslinga išplėsti EEE susitarimo susitariančiųjų šalių bendradarbiavimą vykdant iš Europos Sąjungos bendrojo biudžeto finansuojamus Sąjungos veiksmus, susijusius su prekių ir paslaugų vidaus rinkos veikimu ir vystymu;</w:t>
      </w:r>
    </w:p>
    <w:p>
      <w:pPr>
        <w:pStyle w:val="ManualConsidrant"/>
        <w:rPr>
          <w:noProof/>
        </w:rPr>
      </w:pPr>
      <w:r>
        <w:t>(5)</w:t>
      </w:r>
      <w:r>
        <w:tab/>
      </w:r>
      <w:r>
        <w:rPr>
          <w:noProof/>
        </w:rPr>
        <w:t>todėl EEE susitarimo 31 protokolas turėtų būti iš dalies pakeistas, kad toks išplėstas bendradarbiavimas galėtų būti vykdomas nuo 2020 m. sausio 1 d.;</w:t>
      </w:r>
    </w:p>
    <w:p>
      <w:pPr>
        <w:pStyle w:val="ManualConsidrant"/>
        <w:rPr>
          <w:noProof/>
        </w:rPr>
      </w:pPr>
      <w:r>
        <w:t>(6)</w:t>
      </w:r>
      <w:r>
        <w:tab/>
      </w:r>
      <w:r>
        <w:rPr>
          <w:noProof/>
        </w:rPr>
        <w:t>Sąjungos pozicija EEE jungtiniame komitete turėtų būti grindžiama pridedamu sprendimo projektu,</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 xml:space="preserve">Pozicija, kurios Sąjungos vardu turi būti laikomasi EEE jungtiniame komitete dėl siūlomo EEE susitarimo 31 protokolo dėl bendradarbiavimo konkrečiose srityse, nesusijusiose su </w:t>
      </w:r>
      <w:r>
        <w:rPr>
          <w:noProof/>
        </w:rPr>
        <w:lastRenderedPageBreak/>
        <w:t>keturiomis laisvėmis, dalinio pakeitimo, grindžiama prie šio sprendimo pridedamu EEE jungtinio komiteto sprendimo projektu.</w:t>
      </w:r>
    </w:p>
    <w:p>
      <w:pPr>
        <w:pStyle w:val="Titrearticle"/>
        <w:rPr>
          <w:noProof/>
        </w:rPr>
      </w:pPr>
      <w:r>
        <w:rPr>
          <w:noProof/>
        </w:rPr>
        <w:t>2 straipsnis</w:t>
      </w:r>
    </w:p>
    <w:p>
      <w:pPr>
        <w:keepLines/>
        <w:rPr>
          <w:noProof/>
        </w:rPr>
      </w:pPr>
      <w:r>
        <w:rPr>
          <w:noProof/>
        </w:rPr>
        <w:t>Šis sprendimas įsigalioja jo priėmimo dieną.</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305, 1994 11 30, p. 6–8.</w:t>
      </w:r>
    </w:p>
  </w:footnote>
  <w:footnote w:id="2">
    <w:p>
      <w:pPr>
        <w:pStyle w:val="FootnoteText"/>
      </w:pPr>
      <w:r>
        <w:rPr>
          <w:rStyle w:val="FootnoteReference"/>
        </w:rPr>
        <w:footnoteRef/>
      </w:r>
      <w:r>
        <w:tab/>
        <w:t>OL L 305, 1994 11 30, p. 6.</w:t>
      </w:r>
    </w:p>
  </w:footnote>
  <w:footnote w:id="3">
    <w:p>
      <w:pPr>
        <w:pStyle w:val="FootnoteText"/>
      </w:pPr>
      <w:r>
        <w:rPr>
          <w:rStyle w:val="FootnoteReference"/>
        </w:rPr>
        <w:footnoteRef/>
      </w:r>
      <w:r>
        <w:tab/>
        <w:t xml:space="preserve">OL L 1, 1994 1 3, p.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6FE0D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5E2A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7562E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0B4EC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00BD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F46C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A2CD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EF82F7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21"/>
    <w:lvlOverride w:ilvl="0">
      <w:startOverride w:val="1"/>
    </w:lvlOverride>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2 13:07: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975D345-2CFB-456E-8C13-16E9414F1DBD"/>
    <w:docVar w:name="LW_COVERPAGE_TYPE" w:val="1"/>
    <w:docVar w:name="LW_CROSSREFERENCE" w:val="&lt;UNUSED&gt;"/>
    <w:docVar w:name="LW_DocType" w:val="COM"/>
    <w:docVar w:name="LW_EMISSION" w:val="2020 08 13"/>
    <w:docVar w:name="LW_EMISSION_ISODATE" w:val="2020-08-13"/>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171"/>
    <w:docVar w:name="LW_REF.II.NEW.CP_YEAR" w:val="2020"/>
    <w:docVar w:name="LW_REF.INST.NEW" w:val="COM"/>
    <w:docVar w:name="LW_REF.INST.NEW_ADOPTED" w:val="final"/>
    <w:docVar w:name="LW_REF.INST.NEW_TEXT" w:val="(2020)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EEE jungtiniame komitete d\u279?l EEE susitarimo 31 protokolo d\u279?l bendradarbiavimo konkre\u269?iose srityse, nesusijusiose su keturiomis laisv\u279?mis, dalinio pakeitimo _x000b_ _x000b_(Biud\u382?eto eilut\u279? 02 03 01 \u8222?Vidaus rinka\u8220? ir biud\u382?eto eilut\u279? 02 03 04 \u8222?Vidaus rinkos valdymo priemon\u279?s\u8220?)"/>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5</Pages>
  <Words>800</Words>
  <Characters>5390</Characters>
  <Application>Microsoft Office Word</Application>
  <DocSecurity>0</DocSecurity>
  <Lines>105</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2020-08-11T09:07:00Z</dcterms:created>
  <dcterms:modified xsi:type="dcterms:W3CDTF">2020-08-12T11:07:00Z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