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58B0F1D3-1B65-47A5-9B22-F59A98DA63FD" style="width:450.7pt;height:436.7pt">
            <v:imagedata r:id="rId8" o:title=""/>
          </v:shape>
        </w:pict>
      </w:r>
    </w:p>
    <w:p>
      <w:pPr>
        <w:rPr>
          <w:noProof/>
        </w:rPr>
        <w:sectPr>
          <w:footerReference w:type="default" r:id="rId9"/>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PASKAIDROJUMA RAKSTS</w:t>
      </w:r>
    </w:p>
    <w:p>
      <w:pPr>
        <w:pStyle w:val="ManualHeading1"/>
        <w:rPr>
          <w:noProof/>
        </w:rPr>
      </w:pPr>
      <w:r>
        <w:rPr>
          <w:noProof/>
        </w:rPr>
        <w:t>1.</w:t>
      </w:r>
      <w:r>
        <w:rPr>
          <w:noProof/>
        </w:rPr>
        <w:tab/>
        <w:t>PRIEKŠLIKUMA KONTEKSTS</w:t>
      </w:r>
    </w:p>
    <w:p>
      <w:pPr>
        <w:pStyle w:val="ManualHeading2"/>
        <w:rPr>
          <w:rFonts w:eastAsia="Arial Unicode MS"/>
          <w:noProof/>
        </w:rPr>
      </w:pPr>
      <w:r>
        <w:rPr>
          <w:noProof/>
          <w:color w:val="000000"/>
          <w:u w:color="000000"/>
          <w:bdr w:val="nil"/>
        </w:rPr>
        <w:t>•</w:t>
      </w:r>
      <w:r>
        <w:rPr>
          <w:noProof/>
        </w:rPr>
        <w:tab/>
        <w:t>Priekšlikuma pamatojums un mērķi</w:t>
      </w:r>
    </w:p>
    <w:p>
      <w:pPr>
        <w:rPr>
          <w:noProof/>
        </w:rPr>
      </w:pPr>
      <w:r>
        <w:rPr>
          <w:noProof/>
        </w:rPr>
        <w:t xml:space="preserve">Eiropas Ekonomikas zonas (EEZ) Apvienotās komitejas (Padomes lēmuma priekšlikumam pievienotā) lēmuma projekta mērķis ir grozīt EEZ līguma 31. protokolu par “sadarbību īpašās jomās, kas nav četras pamatbrīvības”. Tas ir nepieciešams, lai ļautu EEZ EBTA valstīm 2020. finanšu gadā turpināt piedalīties Savienības sagatavošanas darbībā aizsardzības pētniecībai (turpmāk “sagatavošanas darbība”). </w:t>
      </w:r>
    </w:p>
    <w:p>
      <w:pPr>
        <w:pBdr>
          <w:top w:val="nil"/>
          <w:left w:val="nil"/>
          <w:bottom w:val="nil"/>
          <w:right w:val="nil"/>
          <w:between w:val="nil"/>
          <w:bar w:val="nil"/>
        </w:pBdr>
        <w:spacing w:before="0" w:after="240"/>
        <w:rPr>
          <w:rFonts w:eastAsia="Arial Unicode MS"/>
          <w:noProof/>
        </w:rPr>
      </w:pPr>
      <w:r>
        <w:rPr>
          <w:noProof/>
        </w:rPr>
        <w:t>Tā kā Lihtenšteina un Islande nav paudušas interesi par dalību šajā sagatavošanas darbībā, EEZ Apvienotās komitejas lēmuma projekts attiecas tikai uz Norvēģiju.</w:t>
      </w:r>
    </w:p>
    <w:p>
      <w:pPr>
        <w:pStyle w:val="ManualHeading2"/>
        <w:rPr>
          <w:rFonts w:eastAsia="Arial Unicode MS"/>
          <w:noProof/>
          <w:color w:val="000000"/>
          <w:u w:color="000000"/>
          <w:bdr w:val="nil"/>
        </w:rPr>
      </w:pPr>
      <w:r>
        <w:rPr>
          <w:noProof/>
          <w:color w:val="000000"/>
          <w:u w:color="000000"/>
          <w:bdr w:val="nil"/>
        </w:rPr>
        <w:t>•</w:t>
      </w:r>
      <w:r>
        <w:rPr>
          <w:noProof/>
        </w:rPr>
        <w:tab/>
        <w:t>Atbilstība spēkā esošajiem noteikumiem konkrētajā politikas jomā</w:t>
      </w:r>
    </w:p>
    <w:p>
      <w:pPr>
        <w:rPr>
          <w:noProof/>
        </w:rPr>
      </w:pPr>
      <w:r>
        <w:rPr>
          <w:noProof/>
        </w:rPr>
        <w:t>EEZ līguma 78. pantā paredzēts, ka Līgumslēdzējas Puses stiprina un paplašina sadarbību atbilstīgi ES rīcībai pētniecības un tehnoloģiju attīstības jomā. Komisija, kas pašlaik ar savu programmu “Apvārsnis 2020” finansē vienīgi civilo vai divējāda lietojuma pētniecību un izstrādi, uzskata, ka sagatavošanas darbība ir viens no galvenajiem instrumentiem, ar ko iespējams izvērtēt, kāda pievienotā vērtība ir ar aizsardzību saistītas pētniecības finansēšanai no ES budžeta. </w:t>
      </w:r>
    </w:p>
    <w:p>
      <w:pPr>
        <w:pBdr>
          <w:top w:val="nil"/>
          <w:left w:val="nil"/>
          <w:bottom w:val="nil"/>
          <w:right w:val="nil"/>
          <w:between w:val="nil"/>
          <w:bar w:val="nil"/>
        </w:pBdr>
        <w:spacing w:before="0" w:after="240"/>
        <w:rPr>
          <w:noProof/>
        </w:rPr>
      </w:pPr>
      <w:r>
        <w:rPr>
          <w:noProof/>
        </w:rPr>
        <w:t>Norvēģija sagatavošanas darbībā piedalījās jau iepriekšējā gadā (2019. gadā). Turklāt Norvēģija jau 2014. gadā ir i) noslēgusi sadarbības nolīgumu ar Eiropas Aizsardzības aģentūru, un ii) saistītā Aizsardzības un drošības jomas iepirkuma direktīva (2009/81/EK) tika iekļauta EEZ līgumā.</w:t>
      </w:r>
    </w:p>
    <w:p>
      <w:pPr>
        <w:pStyle w:val="ManualHeading2"/>
        <w:rPr>
          <w:rFonts w:eastAsia="Arial Unicode MS"/>
          <w:noProof/>
        </w:rPr>
      </w:pPr>
      <w:r>
        <w:rPr>
          <w:noProof/>
          <w:color w:val="000000"/>
          <w:u w:color="000000"/>
          <w:bdr w:val="nil"/>
        </w:rPr>
        <w:t>•</w:t>
      </w:r>
      <w:r>
        <w:rPr>
          <w:noProof/>
        </w:rPr>
        <w:tab/>
        <w:t>Atbilstība pārējiem Savienības politikas virzieniem</w:t>
      </w:r>
    </w:p>
    <w:p>
      <w:pPr>
        <w:rPr>
          <w:noProof/>
        </w:rPr>
      </w:pPr>
      <w:r>
        <w:rPr>
          <w:noProof/>
        </w:rPr>
        <w:t xml:space="preserve">Sadarbība aizsardzības pētniecībā inovatīvo tehnoloģiju, produktu un pakalpojumu jomā ir svarīga, lai nodrošinātu aizsardzības sektora ilgtermiņa konkurētspēju un līdz ar to arī Eiropas stratēģisko autonomiju. Tāpēc sadarbība ar Norvēģiju pozitīvi ietekmē ES centienus šajā jomā. </w:t>
      </w:r>
    </w:p>
    <w:p>
      <w:pPr>
        <w:pBdr>
          <w:top w:val="nil"/>
          <w:left w:val="nil"/>
          <w:bottom w:val="nil"/>
          <w:right w:val="nil"/>
          <w:between w:val="nil"/>
          <w:bar w:val="nil"/>
        </w:pBdr>
        <w:spacing w:before="0" w:after="240"/>
        <w:rPr>
          <w:rFonts w:eastAsia="Arial Unicode MS"/>
          <w:noProof/>
        </w:rPr>
      </w:pPr>
      <w:r>
        <w:rPr>
          <w:noProof/>
        </w:rPr>
        <w:t>Komisija atzīst, ka šī sagatavošanas darbība ir daļa no tās politikas saistībā ar iekšējo tirgu, rūpniecību un pētniecību. Tāpēc sadarbības padziļināšana šajā jomā atbilst EEZ līguma mērķiem.</w:t>
      </w:r>
    </w:p>
    <w:p>
      <w:pPr>
        <w:pStyle w:val="ManualHeading1"/>
        <w:rPr>
          <w:noProof/>
        </w:rPr>
      </w:pPr>
      <w:r>
        <w:rPr>
          <w:noProof/>
        </w:rPr>
        <w:t>2.</w:t>
      </w:r>
      <w:r>
        <w:rPr>
          <w:noProof/>
        </w:rPr>
        <w:tab/>
        <w:t>JURIDISKAIS PAMATS, SUBSIDIARITĀTE UN PROPORCIONALITĀTE</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Juridiskais pamats</w:t>
      </w:r>
    </w:p>
    <w:p>
      <w:pPr>
        <w:rPr>
          <w:noProof/>
          <w:color w:val="000000"/>
        </w:rPr>
      </w:pPr>
      <w:r>
        <w:rPr>
          <w:noProof/>
        </w:rPr>
        <w:t>Juridiskais pamats ir 58. panta 2. punkta b) apakšpunkts, 110. panta 1. punkts un 181. pants Eiropas Parlamenta un Padomes Regulā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Style w:val="FootnoteReference"/>
          <w:noProof/>
        </w:rPr>
        <w:footnoteReference w:id="1"/>
      </w:r>
      <w:r>
        <w:rPr>
          <w:noProof/>
        </w:rPr>
        <w:t xml:space="preserve">, saistībā ar 218. panta 9. punktu Līgumā par Eiropas Savienības darbību un 1. panta 3. punktu Padomes Regulā (EK) </w:t>
      </w:r>
      <w:r>
        <w:rPr>
          <w:noProof/>
        </w:rPr>
        <w:lastRenderedPageBreak/>
        <w:t>Nr. 2894/94</w:t>
      </w:r>
      <w:r>
        <w:rPr>
          <w:rStyle w:val="FootnoteReference"/>
          <w:noProof/>
        </w:rPr>
        <w:footnoteReference w:id="2"/>
      </w:r>
      <w:r>
        <w:rPr>
          <w:noProof/>
        </w:rPr>
        <w:t xml:space="preserve"> par EEZ līguma īstenošanas kārtību, kurā noteikts, ka Padome pēc Komisijas priekšlikuma izstrādā nostāju, kas Savienības vārdā jāieņem attiecībā uz šādiem lēmumiem.</w:t>
      </w:r>
    </w:p>
    <w:p>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Subsidiaritāte (neekskluzīvas kompetences gadījumā) </w:t>
      </w:r>
    </w:p>
    <w:p>
      <w:pPr>
        <w:rPr>
          <w:rFonts w:cs="EUAlbertina"/>
          <w:noProof/>
          <w:color w:val="000000"/>
        </w:rPr>
      </w:pPr>
      <w:r>
        <w:rPr>
          <w:noProof/>
        </w:rPr>
        <w:t xml:space="preserve">Priekšlikums ir saskaņā ar subsidiaritātes principu šāda iemesla dēļ. </w:t>
      </w:r>
    </w:p>
    <w:p>
      <w:pPr>
        <w:pBdr>
          <w:top w:val="nil"/>
          <w:left w:val="nil"/>
          <w:bottom w:val="nil"/>
          <w:right w:val="nil"/>
          <w:between w:val="nil"/>
          <w:bar w:val="nil"/>
        </w:pBdr>
        <w:spacing w:before="0" w:after="240"/>
        <w:rPr>
          <w:rFonts w:eastAsia="Arial Unicode MS"/>
          <w:noProof/>
        </w:rPr>
      </w:pPr>
      <w:r>
        <w:rPr>
          <w:noProof/>
          <w:color w:val="000000"/>
          <w:szCs w:val="24"/>
        </w:rPr>
        <w:t>Šā priekšlikuma mērķi, proti, turpināt sadarbību ar EEZ EBTA valstīm aizsardzības pētniecības jomā, balstoties uz to dalību no ES budžeta finansētā sagatavošanas darbībā, nevar pietiekami labi sasniegt atsevišķās dalībvalstīs, un tāpēc tā ietekmes dēļ to var labāk sasniegt Savienības līmenī.</w:t>
      </w:r>
    </w:p>
    <w:p>
      <w:pPr>
        <w:pStyle w:val="ManualHeading2"/>
        <w:rPr>
          <w:rFonts w:eastAsia="Arial Unicode MS"/>
          <w:noProof/>
          <w:u w:color="000000"/>
          <w:bdr w:val="nil"/>
        </w:rPr>
      </w:pPr>
      <w:r>
        <w:rPr>
          <w:noProof/>
          <w:u w:color="000000"/>
          <w:bdr w:val="nil"/>
        </w:rPr>
        <w:t>•</w:t>
      </w:r>
      <w:r>
        <w:rPr>
          <w:noProof/>
        </w:rPr>
        <w:tab/>
      </w:r>
      <w:r>
        <w:rPr>
          <w:noProof/>
          <w:u w:color="000000"/>
          <w:bdr w:val="nil"/>
        </w:rPr>
        <w:t>Proporcionalitāte</w:t>
      </w:r>
    </w:p>
    <w:p>
      <w:pPr>
        <w:pBdr>
          <w:top w:val="nil"/>
          <w:left w:val="nil"/>
          <w:bottom w:val="nil"/>
          <w:right w:val="nil"/>
          <w:between w:val="nil"/>
          <w:bar w:val="nil"/>
        </w:pBdr>
        <w:spacing w:before="0" w:after="240"/>
        <w:rPr>
          <w:rFonts w:eastAsia="Arial Unicode MS"/>
          <w:noProof/>
        </w:rPr>
      </w:pPr>
      <w:r>
        <w:rPr>
          <w:noProof/>
          <w:color w:val="000000"/>
          <w:szCs w:val="24"/>
        </w:rPr>
        <w:t>Saskaņā ar proporcionalitātes principu šajā priekšlikumā paredz vienīgi tos pasākumus, kas ir vajadzīgi, lai sasniegtu tā mērķi – stiprināt un paplašināt sadarbību ES darbībās pētniecības un tehnoloģiju attīstības jomā.</w:t>
      </w:r>
    </w:p>
    <w:p>
      <w:pPr>
        <w:pStyle w:val="ManualHeading2"/>
        <w:rPr>
          <w:rFonts w:eastAsia="Arial Unicode MS"/>
          <w:noProof/>
          <w:u w:color="000000"/>
          <w:bdr w:val="nil"/>
        </w:rPr>
      </w:pPr>
      <w:r>
        <w:rPr>
          <w:noProof/>
          <w:u w:color="000000"/>
          <w:bdr w:val="nil"/>
        </w:rPr>
        <w:t>•</w:t>
      </w:r>
      <w:r>
        <w:rPr>
          <w:noProof/>
        </w:rPr>
        <w:tab/>
      </w:r>
      <w:r>
        <w:rPr>
          <w:noProof/>
          <w:u w:color="000000"/>
          <w:bdr w:val="nil"/>
        </w:rPr>
        <w:t>Juridiskā instrumenta izvēle</w:t>
      </w:r>
    </w:p>
    <w:p>
      <w:pPr>
        <w:pBdr>
          <w:top w:val="nil"/>
          <w:left w:val="nil"/>
          <w:bottom w:val="nil"/>
          <w:right w:val="nil"/>
          <w:between w:val="nil"/>
          <w:bar w:val="nil"/>
        </w:pBdr>
        <w:spacing w:before="0" w:after="240"/>
        <w:rPr>
          <w:rFonts w:eastAsia="Arial Unicode MS"/>
          <w:noProof/>
        </w:rPr>
      </w:pPr>
      <w:r>
        <w:rPr>
          <w:noProof/>
        </w:rPr>
        <w:t>Saskaņā ar EEZ līguma 98. pantu izvēlētais juridiskais instruments ir EEZ Apvienotās komitejas lēmums. EEZ Apvienotā komiteja nodrošina EEZ līguma faktisko īstenošanu un darbību. Lai sasniegtu šo mērķi, tā pieņem lēmumus EEZ līgumā paredzētajos gadījumos.</w:t>
      </w:r>
    </w:p>
    <w:p>
      <w:pPr>
        <w:pStyle w:val="ManualHeading1"/>
        <w:rPr>
          <w:noProof/>
        </w:rPr>
      </w:pPr>
      <w:r>
        <w:rPr>
          <w:noProof/>
        </w:rPr>
        <w:t>3.</w:t>
      </w:r>
      <w:r>
        <w:rPr>
          <w:noProof/>
        </w:rPr>
        <w:tab/>
      </w:r>
      <w:r>
        <w:rPr>
          <w:i/>
          <w:iCs/>
          <w:noProof/>
        </w:rPr>
        <w:t>EX POST</w:t>
      </w:r>
      <w:r>
        <w:rPr>
          <w:noProof/>
        </w:rPr>
        <w:t xml:space="preserve"> IZVĒRTĒJUMU, APSPRIEŠANĀS AR IEINTERESĒTAJĀM PERSONĀM UN IETEKMES NOVĒRTĒJUMU REZULTĀTI</w:t>
      </w:r>
    </w:p>
    <w:p>
      <w:pPr>
        <w:pStyle w:val="ManualHeading2"/>
        <w:rPr>
          <w:rFonts w:eastAsia="Arial Unicode MS"/>
          <w:noProof/>
        </w:rPr>
      </w:pPr>
      <w:r>
        <w:rPr>
          <w:b w:val="0"/>
          <w:noProof/>
        </w:rPr>
        <w:t>Neattiecas.</w:t>
      </w:r>
    </w:p>
    <w:p>
      <w:pPr>
        <w:pStyle w:val="ManualHeading1"/>
        <w:rPr>
          <w:noProof/>
        </w:rPr>
      </w:pPr>
      <w:r>
        <w:rPr>
          <w:noProof/>
        </w:rPr>
        <w:t>4.</w:t>
      </w:r>
      <w:r>
        <w:rPr>
          <w:noProof/>
        </w:rPr>
        <w:tab/>
        <w:t>IETEKME UZ BUDŽETU</w:t>
      </w:r>
    </w:p>
    <w:p>
      <w:pPr>
        <w:pBdr>
          <w:top w:val="nil"/>
          <w:left w:val="nil"/>
          <w:bottom w:val="nil"/>
          <w:right w:val="nil"/>
          <w:between w:val="nil"/>
          <w:bar w:val="nil"/>
        </w:pBdr>
        <w:spacing w:before="0" w:after="240"/>
        <w:rPr>
          <w:rFonts w:eastAsia="Arial Unicode MS"/>
          <w:noProof/>
        </w:rPr>
      </w:pPr>
      <w:r>
        <w:rPr>
          <w:noProof/>
        </w:rPr>
        <w:t>Norvēģija veic finanšu iemaksas budžeta pozīcijā 02 04 77 03 “Sagatavošanas darbība aizsardzības pētniecībai”. Precīzu summu nosaka, līdzko ir pieņemts šis Padomes lēmums.</w:t>
      </w:r>
    </w:p>
    <w:p>
      <w:pPr>
        <w:pStyle w:val="ManualHeading1"/>
        <w:rPr>
          <w:noProof/>
        </w:rPr>
      </w:pPr>
      <w:r>
        <w:rPr>
          <w:noProof/>
        </w:rPr>
        <w:t>5.</w:t>
      </w:r>
      <w:r>
        <w:rPr>
          <w:noProof/>
        </w:rPr>
        <w:tab/>
        <w:t>CITI ELEMENTI</w:t>
      </w:r>
    </w:p>
    <w:p>
      <w:pPr>
        <w:pStyle w:val="ManualHeading2"/>
        <w:rPr>
          <w:rFonts w:eastAsia="Arial Unicode MS"/>
          <w:noProof/>
          <w:u w:color="000000"/>
          <w:bdr w:val="nil"/>
        </w:rPr>
      </w:pPr>
      <w:r>
        <w:rPr>
          <w:noProof/>
          <w:u w:color="000000"/>
          <w:bdr w:val="nil"/>
        </w:rPr>
        <w:t>•</w:t>
      </w:r>
      <w:r>
        <w:rPr>
          <w:noProof/>
        </w:rPr>
        <w:tab/>
      </w:r>
      <w:r>
        <w:rPr>
          <w:noProof/>
          <w:u w:color="000000"/>
          <w:bdr w:val="nil"/>
        </w:rPr>
        <w:t>Īstenošanas plāni un uzraudzīšanas, izvērtēšanas un ziņošanas kārtība</w:t>
      </w:r>
    </w:p>
    <w:p>
      <w:pPr>
        <w:spacing w:before="0" w:after="240"/>
        <w:rPr>
          <w:noProof/>
        </w:rPr>
      </w:pPr>
      <w:r>
        <w:rPr>
          <w:noProof/>
        </w:rPr>
        <w:t>Saskaņā ar ES budžeta politiku līdzdalība ES darbībās var notikt tikai tad, ja ir veikta attiecīga finanšu iemaksa. Tomēr maksājumu var veikt tad, kad ir pieņemts šis Padomes lēmuma projekts un EEZ EBTA valstīm ir iesniegts tam sekojošais Eiropas Komisijas sagatavotais ES aicinājums veikt iemaksas.</w:t>
      </w:r>
    </w:p>
    <w:p>
      <w:pPr>
        <w:spacing w:before="0" w:after="240"/>
        <w:rPr>
          <w:noProof/>
        </w:rPr>
      </w:pPr>
      <w:r>
        <w:rPr>
          <w:noProof/>
        </w:rPr>
        <w:t xml:space="preserve">Tādēļ, lai aptvertu laikposmu no 2020. gada janvāra līdz attiecīgā maksājuma saņemšanai, Apvienotās komitejas lēmuma projektu ar atpakaļejošu spēku piemēro no 2020. gada janvāra. </w:t>
      </w:r>
    </w:p>
    <w:p>
      <w:pPr>
        <w:pBdr>
          <w:top w:val="nil"/>
          <w:left w:val="nil"/>
          <w:bottom w:val="nil"/>
          <w:right w:val="nil"/>
          <w:between w:val="nil"/>
          <w:bar w:val="nil"/>
        </w:pBdr>
        <w:spacing w:before="0" w:after="240"/>
        <w:rPr>
          <w:rFonts w:eastAsia="Arial Unicode MS"/>
          <w:noProof/>
        </w:rPr>
      </w:pPr>
      <w:r>
        <w:rPr>
          <w:noProof/>
        </w:rPr>
        <w:t>Lēmuma piemērošana ar atpakaļejošu spēku neietekmē attiecīgo personu tiesības un pienākumus, un tiek ievērots tiesiskās paļāvības princips.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2020/0173 (NLE)</w:t>
      </w:r>
    </w:p>
    <w:p>
      <w:pPr>
        <w:pStyle w:val="Statut"/>
        <w:rPr>
          <w:noProof/>
        </w:rPr>
      </w:pPr>
      <w:r>
        <w:rPr>
          <w:noProof/>
        </w:rPr>
        <w:t>Priekšlikums</w:t>
      </w:r>
    </w:p>
    <w:p>
      <w:pPr>
        <w:pStyle w:val="Typedudocument"/>
        <w:rPr>
          <w:noProof/>
        </w:rPr>
      </w:pPr>
      <w:r>
        <w:rPr>
          <w:noProof/>
        </w:rPr>
        <w:t>PADOMES LĒMUMS</w:t>
      </w:r>
    </w:p>
    <w:p>
      <w:pPr>
        <w:pStyle w:val="Titreobjet"/>
        <w:rPr>
          <w:noProof/>
        </w:rPr>
      </w:pPr>
      <w:r>
        <w:rPr>
          <w:noProof/>
        </w:rPr>
        <w:t xml:space="preserve">par nostāju, kura Eiropas Savienības vārdā jāieņem EEZ Apvienotajā komitejā attiecībā uz grozījumu EEZ līguma 31. protokolā par sadarbību īpašās jomās, kas nav četras pamatbrīvības </w:t>
      </w:r>
      <w:r>
        <w:rPr>
          <w:noProof/>
        </w:rPr>
        <w:br/>
        <w:t xml:space="preserve"> </w:t>
      </w:r>
      <w:r>
        <w:rPr>
          <w:noProof/>
        </w:rPr>
        <w:br/>
        <w:t>(Budžeta pozīcija 02 04 77 03 – Sagatavošanas darbība aizsardzības pētniecībai)</w:t>
      </w:r>
    </w:p>
    <w:p>
      <w:pPr>
        <w:pStyle w:val="IntrtEEE"/>
        <w:rPr>
          <w:noProof/>
        </w:rPr>
      </w:pPr>
      <w:r>
        <w:rPr>
          <w:noProof/>
        </w:rPr>
        <w:t>(Dokuments attiecas uz EEZ)</w:t>
      </w:r>
    </w:p>
    <w:p>
      <w:pPr>
        <w:pStyle w:val="Institutionquiagit"/>
        <w:rPr>
          <w:noProof/>
        </w:rPr>
      </w:pPr>
      <w:r>
        <w:rPr>
          <w:noProof/>
        </w:rPr>
        <w:t>EIROPAS SAVIENĪBAS PADOME,</w:t>
      </w:r>
    </w:p>
    <w:p>
      <w:pPr>
        <w:rPr>
          <w:noProof/>
        </w:rPr>
      </w:pPr>
      <w:r>
        <w:rPr>
          <w:noProof/>
        </w:rPr>
        <w:t>ņemot vērā Līgumu par Eiropas Savienības darbību un jo īpaši tā 218. panta 9. punktu,</w:t>
      </w:r>
    </w:p>
    <w:p>
      <w:pPr>
        <w:rPr>
          <w:noProof/>
        </w:rPr>
      </w:pPr>
      <w:r>
        <w:rPr>
          <w:noProof/>
        </w:rPr>
        <w:t>ņemot vērā Padomes Regulu (EK) Nr. 2894/94 (1994. gada 28. novembris) par Eiropas Ekonomikas zonas līguma īstenošanas kārtību</w:t>
      </w:r>
      <w:r>
        <w:rPr>
          <w:rStyle w:val="FootnoteReference"/>
          <w:noProof/>
        </w:rPr>
        <w:footnoteReference w:id="3"/>
      </w:r>
      <w:r>
        <w:rPr>
          <w:noProof/>
        </w:rPr>
        <w:t xml:space="preserve"> un jo īpaši tās 1. panta 3. punktu,</w:t>
      </w:r>
    </w:p>
    <w:p>
      <w:pPr>
        <w:rPr>
          <w:noProof/>
        </w:rPr>
      </w:pPr>
      <w:r>
        <w:rPr>
          <w:noProof/>
        </w:rPr>
        <w:t>Ņemot vērā Eiropas Parlamenta un Padomes Regulu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rStyle w:val="FootnoteReference"/>
          <w:noProof/>
        </w:rPr>
        <w:footnoteReference w:id="4"/>
      </w:r>
      <w:r>
        <w:rPr>
          <w:noProof/>
        </w:rPr>
        <w:t xml:space="preserve"> un jo īpaši tās 58. panta 2. punkta b) apakšpunktu, 110. panta 1. punktu un 181. pantu, </w:t>
      </w:r>
    </w:p>
    <w:p>
      <w:pPr>
        <w:rPr>
          <w:noProof/>
        </w:rPr>
      </w:pPr>
      <w:r>
        <w:rPr>
          <w:noProof/>
        </w:rPr>
        <w:t>ņemot vērā Eiropas Komisijas priekšlikumu,</w:t>
      </w:r>
    </w:p>
    <w:p>
      <w:pPr>
        <w:rPr>
          <w:noProof/>
        </w:rPr>
      </w:pPr>
      <w:r>
        <w:rPr>
          <w:noProof/>
        </w:rPr>
        <w:t>tā kā:</w:t>
      </w:r>
    </w:p>
    <w:p>
      <w:pPr>
        <w:pStyle w:val="ManualConsidrant"/>
        <w:rPr>
          <w:noProof/>
        </w:rPr>
      </w:pPr>
      <w:r>
        <w:t>(1)</w:t>
      </w:r>
      <w:r>
        <w:tab/>
      </w:r>
      <w:r>
        <w:rPr>
          <w:noProof/>
        </w:rPr>
        <w:t>Līgums par Eiropas Ekonomikas zonu</w:t>
      </w:r>
      <w:r>
        <w:rPr>
          <w:rStyle w:val="FootnoteReference"/>
          <w:noProof/>
        </w:rPr>
        <w:footnoteReference w:id="5"/>
      </w:r>
      <w:r>
        <w:rPr>
          <w:noProof/>
        </w:rPr>
        <w:t xml:space="preserve"> (“EEZ līgums”) stājās spēkā 1994. gada 1. janvārī.</w:t>
      </w:r>
    </w:p>
    <w:p>
      <w:pPr>
        <w:pStyle w:val="ManualConsidrant"/>
        <w:rPr>
          <w:noProof/>
        </w:rPr>
      </w:pPr>
      <w:r>
        <w:t>(2)</w:t>
      </w:r>
      <w:r>
        <w:tab/>
      </w:r>
      <w:r>
        <w:rPr>
          <w:noProof/>
        </w:rPr>
        <w:t xml:space="preserve">Ievērojot EEZ līguma 98. pantu, EEZ Apvienotā komiteja cita starpā var lemt par EEZ līguma 31. protokola grozīšanu. </w:t>
      </w:r>
    </w:p>
    <w:p>
      <w:pPr>
        <w:pStyle w:val="ManualConsidrant"/>
        <w:rPr>
          <w:noProof/>
        </w:rPr>
      </w:pPr>
      <w:r>
        <w:t>(3)</w:t>
      </w:r>
      <w:r>
        <w:tab/>
      </w:r>
      <w:r>
        <w:rPr>
          <w:noProof/>
        </w:rPr>
        <w:t>EEZ līguma 31. protokolā ir ietverti noteikumi par sadarbību īpašās jomās, kas nav četras pamatbrīvības.</w:t>
      </w:r>
    </w:p>
    <w:p>
      <w:pPr>
        <w:pStyle w:val="ManualConsidrant"/>
        <w:rPr>
          <w:noProof/>
        </w:rPr>
      </w:pPr>
      <w:r>
        <w:t>(4)</w:t>
      </w:r>
      <w:r>
        <w:tab/>
      </w:r>
      <w:r>
        <w:rPr>
          <w:noProof/>
        </w:rPr>
        <w:t>EBTA valstis turpina piedalīties Savienības darbībās, kas saistītas ar budžeta pozīciju 02 04 77 03 (Sagatavošanas darbība aizsardzības pētniecībai), kura iekļauta Eiropas Savienības 2020. finanšu gada vispārējā budžetā.</w:t>
      </w:r>
    </w:p>
    <w:p>
      <w:pPr>
        <w:pStyle w:val="ManualConsidrant"/>
        <w:rPr>
          <w:noProof/>
        </w:rPr>
      </w:pPr>
      <w:r>
        <w:t>(5)</w:t>
      </w:r>
      <w:r>
        <w:tab/>
      </w:r>
      <w:r>
        <w:rPr>
          <w:noProof/>
        </w:rPr>
        <w:t>Tādēļ, lai šī paplašinātā sadarbība varētu turpināties no 2020. gada 1. janvāra, būtu jāgroza EEZ līguma 31. protokols.</w:t>
      </w:r>
    </w:p>
    <w:p>
      <w:pPr>
        <w:pStyle w:val="ManualConsidrant"/>
        <w:rPr>
          <w:noProof/>
        </w:rPr>
      </w:pPr>
      <w:r>
        <w:t>(6)</w:t>
      </w:r>
      <w:r>
        <w:tab/>
      </w:r>
      <w:r>
        <w:rPr>
          <w:noProof/>
        </w:rPr>
        <w:t>Savienības nostājai EEZ Apvienotajā komitejā vajadzētu pamatoties uz pievienoto lēmuma projektu,</w:t>
      </w:r>
    </w:p>
    <w:p>
      <w:pPr>
        <w:pStyle w:val="Formuledadoption"/>
        <w:rPr>
          <w:noProof/>
        </w:rPr>
      </w:pPr>
      <w:r>
        <w:rPr>
          <w:noProof/>
        </w:rPr>
        <w:lastRenderedPageBreak/>
        <w:t xml:space="preserve">IR PIEŅĒMUSI ŠO LĒMUMU. </w:t>
      </w:r>
    </w:p>
    <w:p>
      <w:pPr>
        <w:pStyle w:val="Titrearticle"/>
        <w:rPr>
          <w:noProof/>
        </w:rPr>
      </w:pPr>
      <w:r>
        <w:rPr>
          <w:noProof/>
        </w:rPr>
        <w:t>1. pants</w:t>
      </w:r>
    </w:p>
    <w:p>
      <w:pPr>
        <w:rPr>
          <w:noProof/>
        </w:rPr>
      </w:pPr>
      <w:r>
        <w:rPr>
          <w:noProof/>
        </w:rPr>
        <w:t>Nostāja, kura Savienības vārdā jāieņem EEZ Apvienotajā komitejā attiecībā uz ierosināto grozījumu EEZ līguma 31. protokolā par sadarbību īpašās jomās, kas nav četras pamatbrīvības, pamatojas uz šim lēmumam pievienoto EEZ Apvienotās komitejas lēmuma projektu.</w:t>
      </w:r>
    </w:p>
    <w:p>
      <w:pPr>
        <w:pStyle w:val="Titrearticle"/>
        <w:rPr>
          <w:noProof/>
        </w:rPr>
      </w:pPr>
      <w:r>
        <w:rPr>
          <w:noProof/>
        </w:rPr>
        <w:t>2. pants</w:t>
      </w:r>
    </w:p>
    <w:p>
      <w:pPr>
        <w:keepLines/>
        <w:rPr>
          <w:noProof/>
        </w:rPr>
      </w:pPr>
      <w:r>
        <w:rPr>
          <w:noProof/>
        </w:rPr>
        <w:t>Šis lēmums stājas spēkā tā pieņemšanas dienā.</w:t>
      </w:r>
    </w:p>
    <w:p>
      <w:pPr>
        <w:pStyle w:val="Fait"/>
        <w:rPr>
          <w:noProof/>
        </w:rPr>
      </w:pPr>
      <w:r>
        <w:t>Briselē,</w:t>
      </w:r>
    </w:p>
    <w:p>
      <w:pPr>
        <w:pStyle w:val="Institutionquisigne"/>
        <w:rPr>
          <w:noProof/>
        </w:rPr>
      </w:pPr>
      <w:r>
        <w:rPr>
          <w:noProof/>
        </w:rPr>
        <w:tab/>
        <w:t>Padomes vārdā —</w:t>
      </w:r>
    </w:p>
    <w:p>
      <w:pPr>
        <w:pStyle w:val="Personnequisigne"/>
        <w:rPr>
          <w:noProof/>
        </w:rPr>
      </w:pP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nn-NO"/>
        </w:rPr>
      </w:pPr>
      <w:r>
        <w:rPr>
          <w:rStyle w:val="FootnoteReference"/>
        </w:rPr>
        <w:footnoteRef/>
      </w:r>
      <w:r>
        <w:rPr>
          <w:lang w:val="nn-NO"/>
        </w:rPr>
        <w:tab/>
        <w:t>OV L 193, 30.7.2018., 1. lpp.</w:t>
      </w:r>
    </w:p>
  </w:footnote>
  <w:footnote w:id="2">
    <w:p>
      <w:pPr>
        <w:pStyle w:val="FootnoteText"/>
        <w:rPr>
          <w:lang w:val="nn-NO"/>
        </w:rPr>
      </w:pPr>
      <w:r>
        <w:rPr>
          <w:rStyle w:val="FootnoteReference"/>
        </w:rPr>
        <w:footnoteRef/>
      </w:r>
      <w:r>
        <w:rPr>
          <w:lang w:val="nn-NO"/>
        </w:rPr>
        <w:tab/>
        <w:t>OV L 305, 30.11.1994., 6.–8. lpp.</w:t>
      </w:r>
    </w:p>
  </w:footnote>
  <w:footnote w:id="3">
    <w:p>
      <w:pPr>
        <w:pStyle w:val="FootnoteText"/>
        <w:rPr>
          <w:lang w:val="nn-NO"/>
        </w:rPr>
      </w:pPr>
      <w:r>
        <w:rPr>
          <w:rStyle w:val="FootnoteReference"/>
        </w:rPr>
        <w:footnoteRef/>
      </w:r>
      <w:r>
        <w:rPr>
          <w:lang w:val="nn-NO"/>
        </w:rPr>
        <w:tab/>
        <w:t>OV L 305, 30.11.1994., 6.–8. lpp.</w:t>
      </w:r>
    </w:p>
  </w:footnote>
  <w:footnote w:id="4">
    <w:p>
      <w:pPr>
        <w:pStyle w:val="FootnoteText"/>
        <w:rPr>
          <w:lang w:val="nn-NO"/>
        </w:rPr>
      </w:pPr>
      <w:r>
        <w:rPr>
          <w:rStyle w:val="FootnoteReference"/>
        </w:rPr>
        <w:footnoteRef/>
      </w:r>
      <w:r>
        <w:rPr>
          <w:lang w:val="nn-NO"/>
        </w:rPr>
        <w:tab/>
        <w:t>OV L 193, 30.7.2018., 1. lpp.</w:t>
      </w:r>
    </w:p>
  </w:footnote>
  <w:footnote w:id="5">
    <w:p>
      <w:pPr>
        <w:pStyle w:val="FootnoteText"/>
      </w:pPr>
      <w:r>
        <w:rPr>
          <w:rStyle w:val="FootnoteReference"/>
        </w:rPr>
        <w:footnoteRef/>
      </w:r>
      <w:r>
        <w:tab/>
        <w:t xml:space="preserve">OV L 1, 3.1.1994., 3. lpp.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A4875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8D58DB30"/>
    <w:lvl w:ilvl="0">
      <w:start w:val="1"/>
      <w:numFmt w:val="decimal"/>
      <w:pStyle w:val="ListNumber3"/>
      <w:lvlText w:val="%1."/>
      <w:lvlJc w:val="left"/>
      <w:pPr>
        <w:tabs>
          <w:tab w:val="num" w:pos="926"/>
        </w:tabs>
        <w:ind w:left="926" w:hanging="360"/>
      </w:pPr>
    </w:lvl>
  </w:abstractNum>
  <w:abstractNum w:abstractNumId="2">
    <w:nsid w:val="FFFFFF7F"/>
    <w:multiLevelType w:val="singleLevel"/>
    <w:tmpl w:val="F0A4712E"/>
    <w:lvl w:ilvl="0">
      <w:start w:val="1"/>
      <w:numFmt w:val="decimal"/>
      <w:pStyle w:val="ListNumber2"/>
      <w:lvlText w:val="%1."/>
      <w:lvlJc w:val="left"/>
      <w:pPr>
        <w:tabs>
          <w:tab w:val="num" w:pos="643"/>
        </w:tabs>
        <w:ind w:left="643" w:hanging="360"/>
      </w:pPr>
    </w:lvl>
  </w:abstractNum>
  <w:abstractNum w:abstractNumId="3">
    <w:nsid w:val="FFFFFF81"/>
    <w:multiLevelType w:val="singleLevel"/>
    <w:tmpl w:val="24B8174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1FB4811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E242BB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CB0E522"/>
    <w:lvl w:ilvl="0">
      <w:start w:val="1"/>
      <w:numFmt w:val="decimal"/>
      <w:pStyle w:val="ListNumber"/>
      <w:lvlText w:val="%1."/>
      <w:lvlJc w:val="left"/>
      <w:pPr>
        <w:tabs>
          <w:tab w:val="num" w:pos="360"/>
        </w:tabs>
        <w:ind w:left="360" w:hanging="360"/>
      </w:pPr>
    </w:lvl>
  </w:abstractNum>
  <w:abstractNum w:abstractNumId="7">
    <w:nsid w:val="FFFFFF89"/>
    <w:multiLevelType w:val="singleLevel"/>
    <w:tmpl w:val="2DE2905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2"/>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8-12 13:16:5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8B0F1D3-1B65-47A5-9B22-F59A98DA63FD"/>
    <w:docVar w:name="LW_COVERPAGE_TYPE" w:val="1"/>
    <w:docVar w:name="LW_CROSSREFERENCE" w:val="&lt;UNUSED&gt;"/>
    <w:docVar w:name="LW_DocType" w:val="COM"/>
    <w:docVar w:name="LW_EMISSION" w:val="13.8.2020"/>
    <w:docVar w:name="LW_EMISSION_ISODATE" w:val="2020-08-13"/>
    <w:docVar w:name="LW_EMISSION_LOCATION" w:val="BRX"/>
    <w:docVar w:name="LW_EMISSION_PREFIX" w:val="Briselē, "/>
    <w:docVar w:name="LW_EMISSION_SUFFIX" w:val="."/>
    <w:docVar w:name="LW_ID_DOCMODEL" w:val="SJ-019"/>
    <w:docVar w:name="LW_ID_DOCSIGNATURE" w:val="SJ-019"/>
    <w:docVar w:name="LW_ID_DOCSTRUCTURE" w:val="COM/PL/ORG"/>
    <w:docVar w:name="LW_ID_DOCTYPE" w:val="SJ-019"/>
    <w:docVar w:name="LW_ID_EXP.MOTIFS.NEW" w:val="EM_PL_"/>
    <w:docVar w:name="LW_ID_STATUT" w:val="SJ-019"/>
    <w:docVar w:name="LW_INTERETEEE.CP" w:val="(Dokuments attiecas uz EEZ)"/>
    <w:docVar w:name="LW_LANGUE" w:val="LV"/>
    <w:docVar w:name="LW_LEVEL_OF_SENSITIVITY" w:val="Standard treatment"/>
    <w:docVar w:name="LW_NOM.INST" w:val="EIROPAS KOMISIJA"/>
    <w:docVar w:name="LW_NOM.INST_JOINTDOC" w:val="&lt;EMPTY&gt;"/>
    <w:docVar w:name="LW_PART_NBR" w:val="1"/>
    <w:docVar w:name="LW_PART_NBR_TOTAL" w:val="1"/>
    <w:docVar w:name="LW_REF.II.NEW.CP" w:val="NLE"/>
    <w:docVar w:name="LW_REF.II.NEW.CP_NUMBER" w:val="0173"/>
    <w:docVar w:name="LW_REF.II.NEW.CP_YEAR" w:val="2020"/>
    <w:docVar w:name="LW_REF.INST.NEW" w:val="COM"/>
    <w:docVar w:name="LW_REF.INST.NEW_ADOPTED" w:val="final"/>
    <w:docVar w:name="LW_REF.INST.NEW_TEXT" w:val="(2020) 3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iek\u353?likums"/>
    <w:docVar w:name="LW_SUPERTITRE" w:val="&lt;UNUSED&gt;"/>
    <w:docVar w:name="LW_TITRE.OBJ.CP" w:val="par nost\u257?ju, kura Eiropas Savien\u299?bas v\u257?rd\u257? j\u257?ie\u326?em EEZ Apvienotaj\u257? komitej\u257? attiec\u299?b\u257? uz groz\u299?jumu EEZ l\u299?guma 31. protokol\u257? par sadarb\u299?bu \u299?pa\u353?\u257?s jom\u257?s, kas nav \u269?etras pamatbr\u299?v\u299?bas _x000b_ _x000b_(Bud\u382?eta poz\u299?cija 02 04 77 03 \u8211? Sagatavo\u353?anas darb\u299?ba aizsardz\u299?bas p\u275?tniec\u299?bai)"/>
    <w:docVar w:name="LW_TYPE.DOC.CP" w:val="PADOMES L\u274?MUMS"/>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lv-LV"/>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uiPriority w:val="99"/>
    <w:semiHidden/>
    <w:unhideWhenUsed/>
    <w:pPr>
      <w:numPr>
        <w:numId w:val="1"/>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lv-LV"/>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lv-LV"/>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3</TotalTime>
  <Pages>5</Pages>
  <Words>975</Words>
  <Characters>6172</Characters>
  <Application>Microsoft Office Word</Application>
  <DocSecurity>0</DocSecurity>
  <Lines>118</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19</cp:revision>
  <dcterms:created xsi:type="dcterms:W3CDTF">2020-08-10T06:20:00Z</dcterms:created>
  <dcterms:modified xsi:type="dcterms:W3CDTF">2020-08-12T11:16:00Z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