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2D745FD7-12EE-4A2B-8A6E-D4D1D797E0F4" style="width:450.45pt;height:450.4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INDOKOLÁS</w:t>
      </w:r>
    </w:p>
    <w:p>
      <w:pPr>
        <w:pStyle w:val="ManualHeading1"/>
        <w:rPr>
          <w:noProof/>
        </w:rPr>
      </w:pPr>
      <w:r>
        <w:rPr>
          <w:noProof/>
        </w:rPr>
        <w:t>1.</w:t>
      </w:r>
      <w:r>
        <w:rPr>
          <w:noProof/>
        </w:rPr>
        <w:tab/>
        <w:t>A JAVASLAT HÁTTERE</w:t>
      </w:r>
    </w:p>
    <w:p>
      <w:pPr>
        <w:pStyle w:val="ManualHeading2"/>
        <w:rPr>
          <w:rFonts w:eastAsia="Arial Unicode MS"/>
          <w:noProof/>
        </w:rPr>
      </w:pPr>
      <w:r>
        <w:rPr>
          <w:noProof/>
          <w:color w:val="000000"/>
          <w:u w:color="000000"/>
          <w:bdr w:val="nil"/>
        </w:rPr>
        <w:t>•</w:t>
      </w:r>
      <w:r>
        <w:rPr>
          <w:noProof/>
        </w:rPr>
        <w:tab/>
        <w:t>A javaslat indokai és céljai</w:t>
      </w:r>
    </w:p>
    <w:p>
      <w:pPr>
        <w:rPr>
          <w:noProof/>
        </w:rPr>
      </w:pPr>
      <w:r>
        <w:rPr>
          <w:noProof/>
        </w:rPr>
        <w:t xml:space="preserve">Az Európai Gazdasági Térség (EGT) Vegyes Bizottságának határozattervezete (mely megtalálható a tanácsi határozatra irányuló javaslat mellékletében) az EGT-megállapodásnak a négy alapszabadságon kívül eső területeken folytatott együttműködésről szóló 31. jegyzőkönyve módosítását célozza. Ez azért szükséges, hogy az EGT-tag EFTA-államok folytatni tudják részvételüket az Unió védelmi célú kutatásra vonatkozó előkészítő intézkedésében (a továbbiakban: az előkészítő intézkedés) a 2020-as pénzügyi évben. </w:t>
      </w:r>
    </w:p>
    <w:p>
      <w:pPr>
        <w:pBdr>
          <w:top w:val="nil"/>
          <w:left w:val="nil"/>
          <w:bottom w:val="nil"/>
          <w:right w:val="nil"/>
          <w:between w:val="nil"/>
          <w:bar w:val="nil"/>
        </w:pBdr>
        <w:spacing w:before="0" w:after="240"/>
        <w:rPr>
          <w:rFonts w:eastAsia="Arial Unicode MS"/>
          <w:noProof/>
        </w:rPr>
      </w:pPr>
      <w:r>
        <w:rPr>
          <w:noProof/>
        </w:rPr>
        <w:t>Mivel Liechtenstein és Izland nem fejezte ki érdeklődését az említett előkészítő intézkedésben való részvétel iránt, az EGT Vegyes Bizottság határozattervezete ezért csak Norvégiára vonatkozik.</w:t>
      </w:r>
    </w:p>
    <w:p>
      <w:pPr>
        <w:pStyle w:val="ManualHeading2"/>
        <w:rPr>
          <w:rFonts w:eastAsia="Arial Unicode MS"/>
          <w:noProof/>
          <w:color w:val="000000"/>
          <w:u w:color="000000"/>
          <w:bdr w:val="nil"/>
        </w:rPr>
      </w:pPr>
      <w:r>
        <w:rPr>
          <w:noProof/>
          <w:color w:val="000000"/>
          <w:u w:color="000000"/>
          <w:bdr w:val="nil"/>
        </w:rPr>
        <w:t>•</w:t>
      </w:r>
      <w:r>
        <w:rPr>
          <w:noProof/>
        </w:rPr>
        <w:tab/>
        <w:t>Összhang a szabályozási terület jelenlegi rendelkezéseivel</w:t>
      </w:r>
    </w:p>
    <w:p>
      <w:pPr>
        <w:rPr>
          <w:noProof/>
        </w:rPr>
      </w:pPr>
      <w:r>
        <w:rPr>
          <w:noProof/>
        </w:rPr>
        <w:t>Az EGT-megállapodás 78. cikke előírja, hogy a Szerződő Felek megteszik a szükséges lépéseket annak érdekében, hogy erősítsék és szélesítsék az együttműködést a kutatás és a technológiai fejlesztés területén végzett uniós tevékenységek keretében. A Bizottság – mely jelenleg kizárólag polgári jellegű vagy „kettős célú” kutatási-fejlesztési tevékenységeket finanszíroz a „Horizont 2020” keretprogramján keresztül – úgy véli, hogy az előkészítő intézkedés fontos eszköz a védelemmel kapcsolatos, uniós költségvetésből finanszírozott kutatás hozzáadott értékének teszteléséhez. </w:t>
      </w:r>
    </w:p>
    <w:p>
      <w:pPr>
        <w:pBdr>
          <w:top w:val="nil"/>
          <w:left w:val="nil"/>
          <w:bottom w:val="nil"/>
          <w:right w:val="nil"/>
          <w:between w:val="nil"/>
          <w:bar w:val="nil"/>
        </w:pBdr>
        <w:spacing w:before="0" w:after="240"/>
        <w:rPr>
          <w:noProof/>
        </w:rPr>
      </w:pPr>
      <w:r>
        <w:rPr>
          <w:noProof/>
        </w:rPr>
        <w:t>Norvégia 2019-ben már részt vett az előkészítő intézkedésben. Ezenfelül Norvégia még 2014-ben i. együttműködési megállapodást kötött az Európai Védelmi Ügynökséggel, és ii. a kapcsolódó, honvédelmi és biztonsági célú közbeszerzésről szóló 2009/81/EK irányelvet belefoglalták az EGT-megállapodásba.</w:t>
      </w:r>
    </w:p>
    <w:p>
      <w:pPr>
        <w:pStyle w:val="ManualHeading2"/>
        <w:rPr>
          <w:rFonts w:eastAsia="Arial Unicode MS"/>
          <w:noProof/>
        </w:rPr>
      </w:pPr>
      <w:r>
        <w:rPr>
          <w:noProof/>
          <w:color w:val="000000"/>
          <w:u w:color="000000"/>
          <w:bdr w:val="nil"/>
        </w:rPr>
        <w:t>•</w:t>
      </w:r>
      <w:r>
        <w:rPr>
          <w:noProof/>
        </w:rPr>
        <w:tab/>
        <w:t>Összhang az Unió egyéb szakpolitikáival</w:t>
      </w:r>
    </w:p>
    <w:p>
      <w:pPr>
        <w:rPr>
          <w:noProof/>
        </w:rPr>
      </w:pPr>
      <w:r>
        <w:rPr>
          <w:noProof/>
        </w:rPr>
        <w:t xml:space="preserve">Az innovatív technológiák, termékek és szolgáltatások területén folytatott, együttműködésen alapuló védelmi célú kutatás kulcsfontosságú a védelmi ágazat hosszú távú versenyképességének, és végső soron Európa stratégiai autonómiájának biztosítása szempontjából. A Norvégiával való együttműködés ezért pozitívan járul hozzá az EU erre a területre irányuló erőfeszítéseihez. </w:t>
      </w:r>
    </w:p>
    <w:p>
      <w:pPr>
        <w:pBdr>
          <w:top w:val="nil"/>
          <w:left w:val="nil"/>
          <w:bottom w:val="nil"/>
          <w:right w:val="nil"/>
          <w:between w:val="nil"/>
          <w:bar w:val="nil"/>
        </w:pBdr>
        <w:spacing w:before="0" w:after="240"/>
        <w:rPr>
          <w:rFonts w:eastAsia="Arial Unicode MS"/>
          <w:noProof/>
        </w:rPr>
      </w:pPr>
      <w:r>
        <w:rPr>
          <w:noProof/>
        </w:rPr>
        <w:t>A Bizottság elismeri, hogy az előkészítő intézkedés részét képezi a belső piaccal, az iparral és a kutatással kapcsolatos szakpolitikáinak. Az együttműködés további elmélyítése ezen a területen ezért összhangban van az EGT-megállapodás célkitűzéseivel.</w:t>
      </w:r>
    </w:p>
    <w:p>
      <w:pPr>
        <w:pStyle w:val="ManualHeading1"/>
        <w:rPr>
          <w:noProof/>
        </w:rPr>
      </w:pPr>
      <w:r>
        <w:rPr>
          <w:noProof/>
        </w:rPr>
        <w:t>2.</w:t>
      </w:r>
      <w:r>
        <w:rPr>
          <w:noProof/>
        </w:rPr>
        <w:tab/>
        <w:t>JOGALAP, SZUBSZIDIARITÁS ÉS ARÁNYOSSÁG</w:t>
      </w:r>
    </w:p>
    <w:p>
      <w:pPr>
        <w:pStyle w:val="ManualHeading2"/>
        <w:rPr>
          <w:rFonts w:eastAsia="Arial Unicode MS"/>
          <w:noProof/>
          <w:u w:color="000000"/>
          <w:bdr w:val="nil"/>
        </w:rPr>
      </w:pPr>
      <w:r>
        <w:rPr>
          <w:noProof/>
          <w:u w:color="000000"/>
          <w:bdr w:val="nil"/>
        </w:rPr>
        <w:t>•</w:t>
      </w:r>
      <w:r>
        <w:rPr>
          <w:noProof/>
        </w:rPr>
        <w:tab/>
      </w:r>
      <w:r>
        <w:rPr>
          <w:noProof/>
          <w:u w:color="000000"/>
          <w:bdr w:val="nil"/>
        </w:rPr>
        <w:t>Jogalap</w:t>
      </w:r>
    </w:p>
    <w:p>
      <w:pPr>
        <w:rPr>
          <w:noProof/>
          <w:color w:val="000000"/>
        </w:rPr>
      </w:pPr>
      <w:r>
        <w:rPr>
          <w:noProof/>
        </w:rPr>
        <w:t>A jogalap az Unió általános költségvetésére alkalmazandó pénzügyi szabályokról, az 1296/2013/EU, az 1301/2013/EU, az 1303/2013/EU, az 1304/2013/EU, az 1309/2013/EU, az 1316/2013/EU, a 223/2014/EU és a 283/2014/EU rendelet és az 541/2014/EU határozat módosításáról, valamint a 966/2012/EU, Euratom rendelet hatályon kívül helyezéséről szóló, 2018. július 18-i (EU, Euratom) 2018/1046 európai parlamenti és tanácsi rendelet</w:t>
      </w:r>
      <w:r>
        <w:rPr>
          <w:rStyle w:val="FootnoteReference"/>
          <w:noProof/>
        </w:rPr>
        <w:footnoteReference w:id="1"/>
      </w:r>
      <w:r>
        <w:rPr>
          <w:noProof/>
        </w:rPr>
        <w:t xml:space="preserve"> 58. cikke </w:t>
      </w:r>
      <w:r>
        <w:rPr>
          <w:noProof/>
        </w:rPr>
        <w:lastRenderedPageBreak/>
        <w:t>(2) bekezdésének b) pontja, 110. cikkének (1) bekezdése és 181. cikke, összefüggésben az Európai Unió működéséről szóló szerződés 218. cikkének (9) bekezdésével, valamint az Európai Gazdasági Térségről szóló megállapodás végrehajtására vonatkozó rendelkezésekről szóló 2894/94/EK tanácsi rendelet</w:t>
      </w:r>
      <w:r>
        <w:rPr>
          <w:rStyle w:val="FootnoteReference"/>
          <w:noProof/>
        </w:rPr>
        <w:footnoteReference w:id="2"/>
      </w:r>
      <w:r>
        <w:rPr>
          <w:noProof/>
        </w:rPr>
        <w:t xml:space="preserve"> 1. cikkének (3) bekezdésével, mely úgy rendelkezik, hogy a Tanács a Bizottság javaslata alapján kialakítja az ilyen határozatokról az Unió által képviselendő álláspontot.</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Szubszidiaritás (nem kizárólagos hatáskör esetén) </w:t>
      </w:r>
    </w:p>
    <w:p>
      <w:pPr>
        <w:rPr>
          <w:rFonts w:cs="EUAlbertina"/>
          <w:noProof/>
          <w:color w:val="000000"/>
        </w:rPr>
      </w:pPr>
      <w:r>
        <w:rPr>
          <w:noProof/>
        </w:rPr>
        <w:t xml:space="preserve">A javaslat megfelel a szubszidiaritás elvének a következők miatt. </w:t>
      </w:r>
    </w:p>
    <w:p>
      <w:pPr>
        <w:pBdr>
          <w:top w:val="nil"/>
          <w:left w:val="nil"/>
          <w:bottom w:val="nil"/>
          <w:right w:val="nil"/>
          <w:between w:val="nil"/>
          <w:bar w:val="nil"/>
        </w:pBdr>
        <w:spacing w:before="0" w:after="240"/>
        <w:rPr>
          <w:rFonts w:eastAsia="Arial Unicode MS"/>
          <w:noProof/>
        </w:rPr>
      </w:pPr>
      <w:r>
        <w:rPr>
          <w:noProof/>
          <w:color w:val="000000"/>
          <w:szCs w:val="24"/>
        </w:rPr>
        <w:t>E javaslat célját, nevezetesen az EGT-tag EFTA-államok védelmi célú kutatás terén való együttműködésének folytatását az uniós költségvetésből finanszírozott előkészítő intézkedésben való részvételük révén a tagállamok nem tudják kielégítően megvalósítani, és ezért az intézkedés a hatása miatt uniós szinten jobban megvalósítható.</w:t>
      </w:r>
    </w:p>
    <w:p>
      <w:pPr>
        <w:pStyle w:val="ManualHeading2"/>
        <w:rPr>
          <w:rFonts w:eastAsia="Arial Unicode MS"/>
          <w:noProof/>
          <w:u w:color="000000"/>
          <w:bdr w:val="nil"/>
        </w:rPr>
      </w:pPr>
      <w:r>
        <w:rPr>
          <w:noProof/>
          <w:u w:color="000000"/>
          <w:bdr w:val="nil"/>
        </w:rPr>
        <w:t>•</w:t>
      </w:r>
      <w:r>
        <w:rPr>
          <w:noProof/>
        </w:rPr>
        <w:tab/>
      </w:r>
      <w:r>
        <w:rPr>
          <w:noProof/>
          <w:u w:color="000000"/>
          <w:bdr w:val="nil"/>
        </w:rPr>
        <w:t>Arányosság</w:t>
      </w:r>
    </w:p>
    <w:p>
      <w:pPr>
        <w:pBdr>
          <w:top w:val="nil"/>
          <w:left w:val="nil"/>
          <w:bottom w:val="nil"/>
          <w:right w:val="nil"/>
          <w:between w:val="nil"/>
          <w:bar w:val="nil"/>
        </w:pBdr>
        <w:spacing w:before="0" w:after="240"/>
        <w:rPr>
          <w:rFonts w:eastAsia="Arial Unicode MS"/>
          <w:noProof/>
        </w:rPr>
      </w:pPr>
      <w:r>
        <w:rPr>
          <w:noProof/>
          <w:color w:val="000000"/>
          <w:szCs w:val="24"/>
        </w:rPr>
        <w:t>Az arányosság elvével összhangban a javaslat nem haladja meg a kitűzött cél – az együttműködés erősítése és szélesítése a kutatás és a technológiai fejlesztés területén végzett uniós tevékenységek keretében – eléréséhez szükséges mértéket.</w:t>
      </w:r>
    </w:p>
    <w:p>
      <w:pPr>
        <w:pStyle w:val="ManualHeading2"/>
        <w:rPr>
          <w:rFonts w:eastAsia="Arial Unicode MS"/>
          <w:noProof/>
          <w:u w:color="000000"/>
          <w:bdr w:val="nil"/>
        </w:rPr>
      </w:pPr>
      <w:r>
        <w:rPr>
          <w:noProof/>
          <w:u w:color="000000"/>
          <w:bdr w:val="nil"/>
        </w:rPr>
        <w:t>•</w:t>
      </w:r>
      <w:r>
        <w:rPr>
          <w:noProof/>
        </w:rPr>
        <w:tab/>
      </w:r>
      <w:r>
        <w:rPr>
          <w:noProof/>
          <w:u w:color="000000"/>
          <w:bdr w:val="nil"/>
        </w:rPr>
        <w:t>A jogi aktus típusának megválasztása</w:t>
      </w:r>
    </w:p>
    <w:p>
      <w:pPr>
        <w:pBdr>
          <w:top w:val="nil"/>
          <w:left w:val="nil"/>
          <w:bottom w:val="nil"/>
          <w:right w:val="nil"/>
          <w:between w:val="nil"/>
          <w:bar w:val="nil"/>
        </w:pBdr>
        <w:spacing w:before="0" w:after="240"/>
        <w:rPr>
          <w:rFonts w:eastAsia="Arial Unicode MS"/>
          <w:noProof/>
        </w:rPr>
      </w:pPr>
      <w:r>
        <w:rPr>
          <w:noProof/>
        </w:rPr>
        <w:t>Az EGT-megállapodás 98. cikkének megfelelően a választott jogi aktus EGT vegyes bizottsági határozat. Az EGT Vegyes Bizottság biztosítja az EGT-megállapodás hatékony végrehajtását és érvényesülését. Ennek érdekében határozatokat kell hoznia az EGT-megállapodásban meghatározott esetekben.</w:t>
      </w:r>
    </w:p>
    <w:p>
      <w:pPr>
        <w:pStyle w:val="ManualHeading1"/>
        <w:rPr>
          <w:noProof/>
        </w:rPr>
      </w:pPr>
      <w:r>
        <w:rPr>
          <w:noProof/>
        </w:rPr>
        <w:t>3.</w:t>
      </w:r>
      <w:r>
        <w:rPr>
          <w:noProof/>
        </w:rPr>
        <w:tab/>
        <w:t>AZ UTÓLAGOS ÉRTÉKELÉSEK, AZ ÉRDEKELT FELEKKEL FOLYTATOTT KONZULTÁCIÓK ÉS A HATÁSVIZSGÁLATOK EREDMÉNYEI</w:t>
      </w:r>
    </w:p>
    <w:p>
      <w:pPr>
        <w:pStyle w:val="ManualHeading2"/>
        <w:rPr>
          <w:rFonts w:eastAsia="Arial Unicode MS"/>
          <w:noProof/>
        </w:rPr>
      </w:pPr>
      <w:r>
        <w:rPr>
          <w:b w:val="0"/>
          <w:noProof/>
        </w:rPr>
        <w:t>Tárgytalan.</w:t>
      </w:r>
    </w:p>
    <w:p>
      <w:pPr>
        <w:pStyle w:val="ManualHeading1"/>
        <w:rPr>
          <w:noProof/>
        </w:rPr>
      </w:pPr>
      <w:r>
        <w:rPr>
          <w:noProof/>
        </w:rPr>
        <w:t>4.</w:t>
      </w:r>
      <w:r>
        <w:rPr>
          <w:noProof/>
        </w:rPr>
        <w:tab/>
        <w:t>KÖLTSÉGVETÉSI VONZATOK</w:t>
      </w:r>
    </w:p>
    <w:p>
      <w:pPr>
        <w:pBdr>
          <w:top w:val="nil"/>
          <w:left w:val="nil"/>
          <w:bottom w:val="nil"/>
          <w:right w:val="nil"/>
          <w:between w:val="nil"/>
          <w:bar w:val="nil"/>
        </w:pBdr>
        <w:spacing w:before="0" w:after="240"/>
        <w:rPr>
          <w:rFonts w:eastAsia="Arial Unicode MS"/>
          <w:noProof/>
        </w:rPr>
      </w:pPr>
      <w:r>
        <w:rPr>
          <w:noProof/>
        </w:rPr>
        <w:t>Norvégia pénzügyi hozzájárulást nyújt az „Előkészítő intézkedés – Védelmi kutatás” megnevezésű 02 04 77 03. költségvetési sorhoz. A pontos összeget a tanácsi határozat elfogadását követően határozzák meg.</w:t>
      </w:r>
    </w:p>
    <w:p>
      <w:pPr>
        <w:pStyle w:val="ManualHeading1"/>
        <w:rPr>
          <w:noProof/>
        </w:rPr>
      </w:pPr>
      <w:r>
        <w:rPr>
          <w:noProof/>
        </w:rPr>
        <w:t>5.</w:t>
      </w:r>
      <w:r>
        <w:rPr>
          <w:noProof/>
        </w:rPr>
        <w:tab/>
        <w:t>EGYÉB ELEMEK</w:t>
      </w:r>
    </w:p>
    <w:p>
      <w:pPr>
        <w:pStyle w:val="ManualHeading2"/>
        <w:rPr>
          <w:rFonts w:eastAsia="Arial Unicode MS"/>
          <w:noProof/>
          <w:u w:color="000000"/>
          <w:bdr w:val="nil"/>
        </w:rPr>
      </w:pPr>
      <w:r>
        <w:rPr>
          <w:noProof/>
          <w:u w:color="000000"/>
          <w:bdr w:val="nil"/>
        </w:rPr>
        <w:t>•</w:t>
      </w:r>
      <w:r>
        <w:rPr>
          <w:noProof/>
        </w:rPr>
        <w:tab/>
      </w:r>
      <w:r>
        <w:rPr>
          <w:noProof/>
          <w:u w:color="000000"/>
          <w:bdr w:val="nil"/>
        </w:rPr>
        <w:t>Végrehajtási tervek, valamint a nyomon követés, az értékelés és a jelentéstétel szabályai</w:t>
      </w:r>
    </w:p>
    <w:p>
      <w:pPr>
        <w:spacing w:before="0" w:after="240"/>
        <w:rPr>
          <w:noProof/>
        </w:rPr>
      </w:pPr>
      <w:r>
        <w:rPr>
          <w:noProof/>
        </w:rPr>
        <w:t>Az uniós költségvetési politikával összhangban valamely uniós tevékenységben való részvétel csak akkor valósulhat meg, ha a megfelelő pénzügyi hozzájárulást kifizették. A kifizetésre ezen tanácsihatározat-tervezet elfogadását követően kerülhet sor az Európai Bizottság által megállapított és az EGT-tag EFTA-államoknak benyújtott uniós pénzösszegek lehívását követően.</w:t>
      </w:r>
    </w:p>
    <w:p>
      <w:pPr>
        <w:spacing w:before="0" w:after="240"/>
        <w:rPr>
          <w:noProof/>
        </w:rPr>
      </w:pPr>
      <w:r>
        <w:rPr>
          <w:noProof/>
        </w:rPr>
        <w:lastRenderedPageBreak/>
        <w:t xml:space="preserve">A 2020. január és a vonatkozó befizetés közötti időszak áthidalása érdekében ezért a Vegyes Bizottság határozattervezetét 2020. januártól visszamenőleg kell alkalmazni. </w:t>
      </w:r>
    </w:p>
    <w:p>
      <w:pPr>
        <w:pBdr>
          <w:top w:val="nil"/>
          <w:left w:val="nil"/>
          <w:bottom w:val="nil"/>
          <w:right w:val="nil"/>
          <w:between w:val="nil"/>
          <w:bar w:val="nil"/>
        </w:pBdr>
        <w:spacing w:before="0" w:after="240"/>
        <w:rPr>
          <w:rFonts w:eastAsia="Arial Unicode MS"/>
          <w:noProof/>
        </w:rPr>
      </w:pPr>
      <w:r>
        <w:rPr>
          <w:noProof/>
        </w:rPr>
        <w:t>A visszaható hatály nincs hatással az érintett személyek jogaira és kötelezettségeire, valamint tiszteletben tartja a jogos elvárások elvét.</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2020/0173 (NLE)</w:t>
      </w:r>
    </w:p>
    <w:p>
      <w:pPr>
        <w:pStyle w:val="Statut"/>
        <w:rPr>
          <w:noProof/>
        </w:rPr>
      </w:pPr>
      <w:r>
        <w:rPr>
          <w:noProof/>
        </w:rPr>
        <w:t>Javaslat</w:t>
      </w:r>
    </w:p>
    <w:p>
      <w:pPr>
        <w:pStyle w:val="Typedudocument"/>
        <w:rPr>
          <w:noProof/>
        </w:rPr>
      </w:pPr>
      <w:r>
        <w:rPr>
          <w:noProof/>
        </w:rPr>
        <w:t>A TANÁCS HATÁROZATA</w:t>
      </w:r>
    </w:p>
    <w:p>
      <w:pPr>
        <w:pStyle w:val="Titreobjet"/>
        <w:rPr>
          <w:noProof/>
        </w:rPr>
      </w:pPr>
      <w:r>
        <w:rPr>
          <w:noProof/>
        </w:rPr>
        <w:t xml:space="preserve">az Európai Unió által az EGT Vegyes Bizottságban az Európai Gazdasági Térségről szóló megállapodás egyes, a négy alapszabadságon kívül eső területeken folytatott együttműködésről szóló 31. jegyzőkönyvének módosításával kapcsolatban képviselendő álláspontról </w:t>
      </w:r>
      <w:r>
        <w:rPr>
          <w:noProof/>
        </w:rPr>
        <w:br/>
        <w:t xml:space="preserve"> </w:t>
      </w:r>
      <w:r>
        <w:rPr>
          <w:noProof/>
        </w:rPr>
        <w:br/>
        <w:t>(02 04 77 03. költségvetési sor – Előkészítő intézkedés – Védelmi kutatás)</w:t>
      </w:r>
    </w:p>
    <w:p>
      <w:pPr>
        <w:pStyle w:val="IntrtEEE"/>
        <w:rPr>
          <w:noProof/>
        </w:rPr>
      </w:pPr>
      <w:r>
        <w:rPr>
          <w:noProof/>
        </w:rPr>
        <w:t>(EGT-vonatkozású szöveg)</w:t>
      </w:r>
    </w:p>
    <w:p>
      <w:pPr>
        <w:pStyle w:val="Institutionquiagit"/>
        <w:rPr>
          <w:noProof/>
        </w:rPr>
      </w:pPr>
      <w:r>
        <w:rPr>
          <w:noProof/>
        </w:rPr>
        <w:t>AZ EURÓPAI UNIÓ TANÁCSA,</w:t>
      </w:r>
    </w:p>
    <w:p>
      <w:pPr>
        <w:rPr>
          <w:noProof/>
        </w:rPr>
      </w:pPr>
      <w:r>
        <w:rPr>
          <w:noProof/>
        </w:rPr>
        <w:t>tekintettel az Európai Unió működéséről szóló szerződésre és különösen annak 218. cikke (9) bekezdésére,</w:t>
      </w:r>
    </w:p>
    <w:p>
      <w:pPr>
        <w:rPr>
          <w:noProof/>
        </w:rPr>
      </w:pPr>
      <w:r>
        <w:rPr>
          <w:noProof/>
        </w:rPr>
        <w:t>tekintettel az Európai Gazdasági Térségről szóló megállapodás végrehajtására vonatkozó rendelkezésekről szóló, 1994. november 28-i 2894/94/EK tanácsi rendeletre</w:t>
      </w:r>
      <w:r>
        <w:rPr>
          <w:rStyle w:val="FootnoteReference"/>
          <w:noProof/>
        </w:rPr>
        <w:footnoteReference w:id="3"/>
      </w:r>
      <w:r>
        <w:rPr>
          <w:noProof/>
        </w:rPr>
        <w:t xml:space="preserve"> és különösen annak 1. cikke (3) bekezdésére,</w:t>
      </w:r>
    </w:p>
    <w:p>
      <w:pPr>
        <w:rPr>
          <w:noProof/>
        </w:rPr>
      </w:pPr>
      <w:r>
        <w:rPr>
          <w:noProof/>
        </w:rPr>
        <w:t>tekintettel az Unió általános költségvetésére alkalmazandó pénzügyi szabályokról, az 1296/2013/EU, az 1301/2013/EU, az 1303/2013/EU, az 1304/2013/EU, az 1309/2013/EU, az 1316/2013/EU, a 223/2014/EU és a 283/2014/EU rendelet és az 541/2014/EU határozat módosításáról, valamint a 966/2012/EU, Euratom rendelet hatályon kívül helyezéséről szóló, 2018. július 18-i (EU, Euratom) 2018/1046 európai parlamenti és tanácsi rendeletre</w:t>
      </w:r>
      <w:r>
        <w:rPr>
          <w:rStyle w:val="FootnoteReference"/>
          <w:noProof/>
        </w:rPr>
        <w:footnoteReference w:id="4"/>
      </w:r>
      <w:r>
        <w:rPr>
          <w:noProof/>
        </w:rPr>
        <w:t xml:space="preserve"> és különösen annak 58. cikke (2) bekezdésének b) pontjára, 110. cikke (1) bekezdésére és 181. cikkére, </w:t>
      </w:r>
    </w:p>
    <w:p>
      <w:pPr>
        <w:rPr>
          <w:noProof/>
        </w:rPr>
      </w:pPr>
      <w:r>
        <w:rPr>
          <w:noProof/>
        </w:rPr>
        <w:t>tekintettel az Európai Bizottság javaslatára,</w:t>
      </w:r>
    </w:p>
    <w:p>
      <w:pPr>
        <w:rPr>
          <w:noProof/>
        </w:rPr>
      </w:pPr>
      <w:r>
        <w:rPr>
          <w:noProof/>
        </w:rPr>
        <w:t>mivel:</w:t>
      </w:r>
    </w:p>
    <w:p>
      <w:pPr>
        <w:pStyle w:val="ManualConsidrant"/>
        <w:rPr>
          <w:noProof/>
        </w:rPr>
      </w:pPr>
      <w:r>
        <w:t>(1)</w:t>
      </w:r>
      <w:r>
        <w:tab/>
      </w:r>
      <w:r>
        <w:rPr>
          <w:noProof/>
        </w:rPr>
        <w:t>Az Európai Gazdasági Térségről szóló megállapodás</w:t>
      </w:r>
      <w:r>
        <w:rPr>
          <w:rStyle w:val="FootnoteReference"/>
          <w:noProof/>
        </w:rPr>
        <w:footnoteReference w:id="5"/>
      </w:r>
      <w:r>
        <w:rPr>
          <w:noProof/>
        </w:rPr>
        <w:t xml:space="preserve"> (a továbbiakban: az EGT-megállapodás) 1994. január 1-jén hatályba lépett.</w:t>
      </w:r>
    </w:p>
    <w:p>
      <w:pPr>
        <w:pStyle w:val="ManualConsidrant"/>
        <w:rPr>
          <w:noProof/>
        </w:rPr>
      </w:pPr>
      <w:r>
        <w:t>(2)</w:t>
      </w:r>
      <w:r>
        <w:tab/>
      </w:r>
      <w:r>
        <w:rPr>
          <w:noProof/>
        </w:rPr>
        <w:t xml:space="preserve">Az EGT-megállapodás 98. cikke alapján az EGT Vegyes Bizottság határozhat – többek között – az EGT-megállapodás 31. jegyzőkönyvének módosításáról. </w:t>
      </w:r>
    </w:p>
    <w:p>
      <w:pPr>
        <w:pStyle w:val="ManualConsidrant"/>
        <w:rPr>
          <w:noProof/>
        </w:rPr>
      </w:pPr>
      <w:r>
        <w:t>(3)</w:t>
      </w:r>
      <w:r>
        <w:tab/>
      </w:r>
      <w:r>
        <w:rPr>
          <w:noProof/>
        </w:rPr>
        <w:t>Az EGT-megállapodás 31. jegyzőkönyve a négy alapszabadságon kívül eső különleges területeken folytatott együttműködésre vonatkozó rendelkezéseket tartalmaz.</w:t>
      </w:r>
    </w:p>
    <w:p>
      <w:pPr>
        <w:pStyle w:val="ManualConsidrant"/>
        <w:rPr>
          <w:noProof/>
        </w:rPr>
      </w:pPr>
      <w:r>
        <w:t>(4)</w:t>
      </w:r>
      <w:r>
        <w:tab/>
      </w:r>
      <w:r>
        <w:rPr>
          <w:noProof/>
        </w:rPr>
        <w:t>Az EFTA-államok továbbra is részt vesznek az Európai Unió 2020-as költségvetési évre vonatkozó általános költségvetése 02 04 77 03. (Előkészítő intézkedés – Védelmi kutatás) költségvetési sorával kapcsolatos uniós tevékenységekben.</w:t>
      </w:r>
    </w:p>
    <w:p>
      <w:pPr>
        <w:pStyle w:val="ManualConsidrant"/>
        <w:rPr>
          <w:noProof/>
        </w:rPr>
      </w:pPr>
      <w:r>
        <w:lastRenderedPageBreak/>
        <w:t>(5)</w:t>
      </w:r>
      <w:r>
        <w:tab/>
      </w:r>
      <w:r>
        <w:rPr>
          <w:noProof/>
        </w:rPr>
        <w:t>Az EGT-megállapodás 31. jegyzőkönyvét ezért módosítani kell annak érdekében, hogy e kiterjesztett együttműködés 2020. január 1-jei kezdettel lehetővé váljon.</w:t>
      </w:r>
    </w:p>
    <w:p>
      <w:pPr>
        <w:pStyle w:val="ManualConsidrant"/>
        <w:rPr>
          <w:noProof/>
        </w:rPr>
      </w:pPr>
      <w:r>
        <w:t>(6)</w:t>
      </w:r>
      <w:r>
        <w:tab/>
      </w:r>
      <w:r>
        <w:rPr>
          <w:noProof/>
        </w:rPr>
        <w:t>Ezért az EGT Vegyes Bizottságban az Unió által képviselendő álláspontnak a csatolt határozattervezeten kell alapulnia,</w:t>
      </w:r>
    </w:p>
    <w:p>
      <w:pPr>
        <w:pStyle w:val="Formuledadoption"/>
        <w:rPr>
          <w:noProof/>
        </w:rPr>
      </w:pPr>
      <w:r>
        <w:rPr>
          <w:noProof/>
        </w:rPr>
        <w:t xml:space="preserve">ELFOGADTA EZT A HATÁROZATOT: </w:t>
      </w:r>
    </w:p>
    <w:p>
      <w:pPr>
        <w:pStyle w:val="Titrearticle"/>
        <w:rPr>
          <w:noProof/>
        </w:rPr>
      </w:pPr>
      <w:r>
        <w:rPr>
          <w:noProof/>
        </w:rPr>
        <w:t>1. cikk</w:t>
      </w:r>
    </w:p>
    <w:p>
      <w:pPr>
        <w:rPr>
          <w:noProof/>
        </w:rPr>
      </w:pPr>
      <w:r>
        <w:rPr>
          <w:noProof/>
        </w:rPr>
        <w:t>Az EGT Vegyes Bizottságban az EGT-megállapodás egyes, a négy alapszabadságon kívül eső területeken folytatott együttműködésről szóló 31. jegyzőkönyvének javasolt módosítása tekintetében az Unió nevében elfogadandó álláspontnak az e határozathoz csatolt EGT vegyes bizottsági határozattervezeten kell alapulnia.</w:t>
      </w:r>
    </w:p>
    <w:p>
      <w:pPr>
        <w:pStyle w:val="Titrearticle"/>
        <w:rPr>
          <w:noProof/>
        </w:rPr>
      </w:pPr>
      <w:r>
        <w:rPr>
          <w:noProof/>
        </w:rPr>
        <w:t>2. cikk</w:t>
      </w:r>
    </w:p>
    <w:p>
      <w:pPr>
        <w:keepLines/>
        <w:rPr>
          <w:noProof/>
        </w:rPr>
      </w:pPr>
      <w:r>
        <w:rPr>
          <w:noProof/>
        </w:rPr>
        <w:t>Ez a határozat az elfogadásának napján lép hatályba.</w:t>
      </w:r>
    </w:p>
    <w:p>
      <w:pPr>
        <w:pStyle w:val="Fait"/>
        <w:rPr>
          <w:noProof/>
        </w:rPr>
      </w:pPr>
      <w:r>
        <w:t>Kelt Brüsszelben, -án/-én.</w:t>
      </w:r>
    </w:p>
    <w:p>
      <w:pPr>
        <w:pStyle w:val="Institutionquisigne"/>
        <w:rPr>
          <w:noProof/>
        </w:rPr>
      </w:pPr>
      <w:r>
        <w:rPr>
          <w:noProof/>
        </w:rPr>
        <w:tab/>
        <w:t>a Tanács részéről</w:t>
      </w:r>
    </w:p>
    <w:p>
      <w:pPr>
        <w:pStyle w:val="Personnequisigne"/>
        <w:rPr>
          <w:noProof/>
        </w:rPr>
      </w:pPr>
      <w:r>
        <w:rPr>
          <w:noProof/>
        </w:rPr>
        <w:tab/>
        <w:t>az elnök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rPr>
        <w:rFonts w:ascii="Arial" w:hAnsi="Arial" w:cs="Arial"/>
        <w:b/>
        <w:sz w:val="48"/>
      </w:rPr>
      <w:tab/>
    </w:r>
    <w:r>
      <w:tab/>
    </w:r>
    <w:r>
      <w:rPr>
        <w:rFonts w:ascii="Arial" w:hAnsi="Arial" w:cs="Arial"/>
        <w:b/>
        <w:sz w:val="48"/>
      </w:rPr>
      <w:t>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HU</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HU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HL L 193., 2018.7.30., 1. o.</w:t>
      </w:r>
    </w:p>
  </w:footnote>
  <w:footnote w:id="2">
    <w:p>
      <w:pPr>
        <w:pStyle w:val="FootnoteText"/>
      </w:pPr>
      <w:r>
        <w:rPr>
          <w:rStyle w:val="FootnoteReference"/>
        </w:rPr>
        <w:footnoteRef/>
      </w:r>
      <w:r>
        <w:tab/>
        <w:t>HL L 305., 1994.11.30., 6. o.</w:t>
      </w:r>
    </w:p>
  </w:footnote>
  <w:footnote w:id="3">
    <w:p>
      <w:pPr>
        <w:pStyle w:val="FootnoteText"/>
      </w:pPr>
      <w:r>
        <w:rPr>
          <w:rStyle w:val="FootnoteReference"/>
        </w:rPr>
        <w:footnoteRef/>
      </w:r>
      <w:r>
        <w:tab/>
        <w:t>HL L 305., 1994.11.30., 6. o.</w:t>
      </w:r>
    </w:p>
  </w:footnote>
  <w:footnote w:id="4">
    <w:p>
      <w:pPr>
        <w:pStyle w:val="FootnoteText"/>
      </w:pPr>
      <w:r>
        <w:rPr>
          <w:rStyle w:val="FootnoteReference"/>
        </w:rPr>
        <w:footnoteRef/>
      </w:r>
      <w:r>
        <w:tab/>
        <w:t>HL L 193., 2018.7.30., 1. o.</w:t>
      </w:r>
    </w:p>
  </w:footnote>
  <w:footnote w:id="5">
    <w:p>
      <w:pPr>
        <w:pStyle w:val="FootnoteText"/>
      </w:pPr>
      <w:r>
        <w:rPr>
          <w:rStyle w:val="FootnoteReference"/>
        </w:rPr>
        <w:footnoteRef/>
      </w:r>
      <w:r>
        <w:tab/>
        <w:t xml:space="preserve">HL L 1., 1994.1.3., 3. 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A4875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58DB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A471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B817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B481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242BB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CB0E522"/>
    <w:lvl w:ilvl="0">
      <w:start w:val="1"/>
      <w:numFmt w:val="decimal"/>
      <w:pStyle w:val="ListNumber"/>
      <w:lvlText w:val="%1."/>
      <w:lvlJc w:val="left"/>
      <w:pPr>
        <w:tabs>
          <w:tab w:val="num" w:pos="360"/>
        </w:tabs>
        <w:ind w:left="360" w:hanging="360"/>
      </w:pPr>
    </w:lvl>
  </w:abstractNum>
  <w:abstractNum w:abstractNumId="7">
    <w:nsid w:val="FFFFFF89"/>
    <w:multiLevelType w:val="singleLevel"/>
    <w:tmpl w:val="2DE290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2"/>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2 13:15:0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D745FD7-12EE-4A2B-8A6E-D4D1D797E0F4"/>
    <w:docVar w:name="LW_COVERPAGE_TYPE" w:val="1"/>
    <w:docVar w:name="LW_CROSSREFERENCE" w:val="&lt;UNUSED&gt;"/>
    <w:docVar w:name="LW_DocType" w:val="COM"/>
    <w:docVar w:name="LW_EMISSION" w:val="2020.8.13."/>
    <w:docVar w:name="LW_EMISSION_ISODATE" w:val="2020-08-13"/>
    <w:docVar w:name="LW_EMISSION_LOCATION" w:val="BRX"/>
    <w:docVar w:name="LW_EMISSION_PREFIX" w:val="Brüssz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EGT-vonatkozású szöveg)"/>
    <w:docVar w:name="LW_LANGUE" w:val="HU"/>
    <w:docVar w:name="LW_LEVEL_OF_SENSITIVITY" w:val="Standard treatment"/>
    <w:docVar w:name="LW_NOM.INST" w:val="EURÓPAI BIZOTTSÁG"/>
    <w:docVar w:name="LW_NOM.INST_JOINTDOC" w:val="&lt;EMPTY&gt;"/>
    <w:docVar w:name="LW_PART_NBR" w:val="1"/>
    <w:docVar w:name="LW_PART_NBR_TOTAL" w:val="1"/>
    <w:docVar w:name="LW_REF.II.NEW.CP" w:val="NLE"/>
    <w:docVar w:name="LW_REF.II.NEW.CP_NUMBER" w:val="0173"/>
    <w:docVar w:name="LW_REF.II.NEW.CP_YEAR" w:val="2020"/>
    <w:docVar w:name="LW_REF.INST.NEW" w:val="COM"/>
    <w:docVar w:name="LW_REF.INST.NEW_ADOPTED" w:val="final"/>
    <w:docVar w:name="LW_REF.INST.NEW_TEXT" w:val="(2020) 3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Javaslat"/>
    <w:docVar w:name="LW_SUPERTITRE" w:val="&lt;UNUSED&gt;"/>
    <w:docVar w:name="LW_TITRE.OBJ.CP" w:val="az Európai Unió által az EGT Vegyes Bizottságban az Európai Gazdasági Térségr\u337?l szóló megállapodás egyes, a négy alapszabadságon kívül es\u337? területeken folytatott együttm\u369?ködésr\u337?l szóló 31. jegyz\u337?könyvének módosításával kapcsolatban képviselend\u337? álláspontról _x000b_ _x000b_(02 04 77 03. költségvetési sor \u8211? El\u337?készít\u337? intézkedés \u8211? Védelmi kutatás)"/>
    <w:docVar w:name="LW_TYPE.DOC.CP" w:val="A TANÁCS HATÁROZAT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hu-HU"/>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hu-HU"/>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hu-HU"/>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6</Pages>
  <Words>1007</Words>
  <Characters>7241</Characters>
  <Application>Microsoft Office Word</Application>
  <DocSecurity>0</DocSecurity>
  <Lines>136</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2020-08-11T10:14:00Z</dcterms:created>
  <dcterms:modified xsi:type="dcterms:W3CDTF">2020-08-12T11:15:00Z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