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DA14732-A68D-471E-9B2C-F79C02F1BB75" style="width:450.7pt;height:449.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 xml:space="preserve">Osnutek sklepa Skupnega odbora Evropskega gospodarskega prostora (v nadaljnjem besedilu: EGP) (priložen predlogu sklepa Sveta) je namenjen spremembi Protokola 31 k Sporazumu EGP „o sodelovanju na posebnih področjih, za katera ne veljajo štiri temeljne svoboščine“. To je potrebno, da se državam Efte, ki so del EGP, omogoči sodelovanje v pripravljalnem ukrepu Unije o raziskavah na področju obrambe (v nadaljnjem besedilu: pripravljalni ukrep) v proračunskem letu 2020. </w:t>
      </w:r>
    </w:p>
    <w:p>
      <w:pPr>
        <w:pBdr>
          <w:top w:val="nil"/>
          <w:left w:val="nil"/>
          <w:bottom w:val="nil"/>
          <w:right w:val="nil"/>
          <w:between w:val="nil"/>
          <w:bar w:val="nil"/>
        </w:pBdr>
        <w:spacing w:before="0" w:after="240"/>
        <w:rPr>
          <w:rFonts w:eastAsia="Arial Unicode MS"/>
          <w:noProof/>
        </w:rPr>
      </w:pPr>
      <w:r>
        <w:rPr>
          <w:noProof/>
        </w:rPr>
        <w:t>Lihtenštajn in Islandija nista izrazila zanimanja za sodelovanje pri tem pripravljalnem ukrepu, zato se osnutek sklepa Skupnega odbora EGP nanaša le na Norveško.</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noProof/>
        </w:rPr>
      </w:pPr>
      <w:r>
        <w:rPr>
          <w:noProof/>
        </w:rPr>
        <w:t>Člen 78 Sporazuma EGP določa, da pogodbenice okrepijo in razširijo sodelovanje v okviru dejavnosti EU na področju raziskav in tehnološkega razvoja. Komisija, ki v okviru programa Obzorje 2020 trenutno financira izključno dejavnosti raziskav in razvoja, povezane s civilnimi tehnologijami ali tehnologijami z dvojno rabo, meni, da je pripravljalni ukrep pomemben instrument za preskušanje dodane vrednosti raziskav, povezanih z obrambo in financiranih iz proračuna EU. </w:t>
      </w:r>
    </w:p>
    <w:p>
      <w:pPr>
        <w:pBdr>
          <w:top w:val="nil"/>
          <w:left w:val="nil"/>
          <w:bottom w:val="nil"/>
          <w:right w:val="nil"/>
          <w:between w:val="nil"/>
          <w:bar w:val="nil"/>
        </w:pBdr>
        <w:spacing w:before="0" w:after="240"/>
        <w:rPr>
          <w:noProof/>
        </w:rPr>
      </w:pPr>
      <w:r>
        <w:rPr>
          <w:noProof/>
        </w:rPr>
        <w:t>Norveška je pri pripravljalnem ukrepu že sodelovala v prejšnjem letu 2019. Poleg tega je Norveška že leta 2014 (i) sklenila sporazum o sodelovanju z Evropsko obrambno agencijo in (ii) povezana direktiva o naročilih na področju obrambe in varnosti (2009/81/ES) je bila vključena v Sporazum EGP.</w:t>
      </w:r>
    </w:p>
    <w:p>
      <w:pPr>
        <w:pStyle w:val="ManualHeading2"/>
        <w:rPr>
          <w:rFonts w:eastAsia="Arial Unicode MS"/>
          <w:noProof/>
        </w:rPr>
      </w:pPr>
      <w:r>
        <w:rPr>
          <w:noProof/>
          <w:color w:val="000000"/>
          <w:u w:color="000000"/>
          <w:bdr w:val="nil"/>
        </w:rPr>
        <w:t>•</w:t>
      </w:r>
      <w:r>
        <w:rPr>
          <w:noProof/>
        </w:rPr>
        <w:tab/>
        <w:t>Skladnost z drugimi politikami Unije</w:t>
      </w:r>
    </w:p>
    <w:p>
      <w:pPr>
        <w:rPr>
          <w:noProof/>
        </w:rPr>
      </w:pPr>
      <w:r>
        <w:rPr>
          <w:noProof/>
        </w:rPr>
        <w:t xml:space="preserve">Sodelovanje pri raziskavah na področju obrambe glede inovativnih tehnologij, proizvodov in storitev je ključno za zagotavljanje dolgoročne konkurenčnosti obrambnega sektorja in navsezadnje strateške avtonomije Evrope. Sodelovanje z Norveško zato pozitivno prispeva k prizadevanjem EU na tem področju. </w:t>
      </w:r>
    </w:p>
    <w:p>
      <w:pPr>
        <w:pBdr>
          <w:top w:val="nil"/>
          <w:left w:val="nil"/>
          <w:bottom w:val="nil"/>
          <w:right w:val="nil"/>
          <w:between w:val="nil"/>
          <w:bar w:val="nil"/>
        </w:pBdr>
        <w:spacing w:before="0" w:after="240"/>
        <w:rPr>
          <w:rFonts w:eastAsia="Arial Unicode MS"/>
          <w:noProof/>
        </w:rPr>
      </w:pPr>
      <w:r>
        <w:rPr>
          <w:noProof/>
        </w:rPr>
        <w:t>Komisija priznava, da je pripravljalni ukrep del njenih politik, povezanih z notranjim trgom, industrijo in raziskavami. Nadaljnje poglabljanje sodelovanja na tem področju je zato v skladu s cilji Sporazuma EGP.</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rPr>
          <w:noProof/>
          <w:color w:val="000000"/>
        </w:rPr>
      </w:pPr>
      <w:r>
        <w:rPr>
          <w:noProof/>
        </w:rPr>
        <w:t>Pravna podlaga so člen 58(2)(b), člen 110(1) in člen 181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Pr>
          <w:rStyle w:val="FootnoteReference"/>
          <w:noProof/>
        </w:rPr>
        <w:footnoteReference w:id="1"/>
      </w:r>
      <w:r>
        <w:rPr>
          <w:noProof/>
        </w:rPr>
        <w:t xml:space="preserve">, v povezavi s </w:t>
      </w:r>
      <w:r>
        <w:rPr>
          <w:noProof/>
          <w:color w:val="000000"/>
        </w:rPr>
        <w:t>členom 218(9) Pogodbe o delovanju Evropske unije in členom 1(3) Uredbe Sveta (ES) št. 2894/94</w:t>
      </w:r>
      <w:r>
        <w:rPr>
          <w:rStyle w:val="FootnoteReference"/>
          <w:noProof/>
        </w:rPr>
        <w:footnoteReference w:id="2"/>
      </w:r>
      <w:r>
        <w:rPr>
          <w:noProof/>
        </w:rPr>
        <w:t xml:space="preserve"> </w:t>
      </w:r>
      <w:r>
        <w:rPr>
          <w:noProof/>
          <w:color w:val="000000"/>
        </w:rPr>
        <w:t xml:space="preserve">o pravilih za izvajanje Sporazuma EGP, pod </w:t>
      </w:r>
      <w:r>
        <w:rPr>
          <w:noProof/>
          <w:color w:val="000000"/>
        </w:rPr>
        <w:lastRenderedPageBreak/>
        <w:t>pogojem, da Svet na predlog Komisije določi stališče, ki se sprejme v imenu Unije glede takih sklepov.</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pPr>
        <w:rPr>
          <w:rFonts w:cs="EUAlbertina"/>
          <w:noProof/>
          <w:color w:val="000000"/>
        </w:rPr>
      </w:pPr>
      <w:r>
        <w:rPr>
          <w:noProof/>
        </w:rPr>
        <w:t xml:space="preserve">Predlog je v skladu z načelom subsidiarnosti iz naslednjega razloga. </w:t>
      </w:r>
    </w:p>
    <w:p>
      <w:pPr>
        <w:pBdr>
          <w:top w:val="nil"/>
          <w:left w:val="nil"/>
          <w:bottom w:val="nil"/>
          <w:right w:val="nil"/>
          <w:between w:val="nil"/>
          <w:bar w:val="nil"/>
        </w:pBdr>
        <w:spacing w:before="0" w:after="240"/>
        <w:rPr>
          <w:rFonts w:eastAsia="Arial Unicode MS"/>
          <w:noProof/>
        </w:rPr>
      </w:pPr>
      <w:r>
        <w:rPr>
          <w:noProof/>
          <w:color w:val="000000"/>
          <w:szCs w:val="24"/>
        </w:rPr>
        <w:t>Cilja tega predloga, tj. nadaljevanje sodelovanja na področju raziskav v zvezi z obrambo z državami Efte, ki so del EGP, prek sodelovanja v okviru pripravljalnega ukrepa, ki se financira iz proračuna EU, države članice ne morejo zadovoljivo doseči, zato se ta cilj zaradi učinkov lažje doseže na ravni Unije.</w:t>
      </w:r>
    </w:p>
    <w:p>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pPr>
        <w:pBdr>
          <w:top w:val="nil"/>
          <w:left w:val="nil"/>
          <w:bottom w:val="nil"/>
          <w:right w:val="nil"/>
          <w:between w:val="nil"/>
          <w:bar w:val="nil"/>
        </w:pBdr>
        <w:spacing w:before="0" w:after="240"/>
        <w:rPr>
          <w:rFonts w:eastAsia="Arial Unicode MS"/>
          <w:noProof/>
        </w:rPr>
      </w:pPr>
      <w:r>
        <w:rPr>
          <w:noProof/>
          <w:color w:val="000000"/>
          <w:szCs w:val="24"/>
        </w:rPr>
        <w:t>V skladu z načelom sorazmernosti predlog ne presega tistega, kar je potrebno za doseganje njegovega cilja, ki je okrepiti in razširiti sodelovanje v okviru dejavnosti EU na področju raziskav in tehnološkega razvoja.</w:t>
      </w:r>
    </w:p>
    <w:p>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pPr>
        <w:pBdr>
          <w:top w:val="nil"/>
          <w:left w:val="nil"/>
          <w:bottom w:val="nil"/>
          <w:right w:val="nil"/>
          <w:between w:val="nil"/>
          <w:bar w:val="nil"/>
        </w:pBdr>
        <w:spacing w:before="0" w:after="240"/>
        <w:rPr>
          <w:rFonts w:eastAsia="Arial Unicode MS"/>
          <w:noProof/>
        </w:rPr>
      </w:pPr>
      <w:r>
        <w:rPr>
          <w:noProof/>
        </w:rPr>
        <w:t>V skladu s členom 98 Sporazuma EGP je izbrani instrument sklep Skupnega odbora EGP. Skupni odbor EGP zagotovi učinkovito izvajanje in delovanje Sporazuma EGP. V ta namen sprejema odločitve v primerih, določenih v Sporazumu EGP.</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rPr>
      </w:pPr>
      <w:r>
        <w:rPr>
          <w:b w:val="0"/>
          <w:noProof/>
        </w:rPr>
        <w:t>Ni relevantno.</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Norveška finančno prispeva v proračunsko vrstico 02 04 77 03: „Pripravljalni ukrep o raziskavah na področju obrambe“. Točna vsota se določi, ko bo ta sklep Sveta sprejet.</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Načrti za izvedbo ter ureditev spremljanja, ocenjevanja in poročanja</w:t>
      </w:r>
    </w:p>
    <w:p>
      <w:pPr>
        <w:spacing w:before="0" w:after="240"/>
        <w:rPr>
          <w:noProof/>
        </w:rPr>
      </w:pPr>
      <w:r>
        <w:rPr>
          <w:noProof/>
        </w:rPr>
        <w:t>V skladu s proračunsko politiko EU je sodelovanje v dejavnostih EU mogoče šele po plačilu ustreznega finančnega prispevka. Vendar se plačilo lahko izvede, ko bo ta osnutek sklepa Sveta sprejet in ko bo zahtevek EU za sredstva, ki ga pripravi Evropska komisija, poslan državam Efte, ki so del EGP.</w:t>
      </w:r>
    </w:p>
    <w:p>
      <w:pPr>
        <w:spacing w:before="0" w:after="240"/>
        <w:rPr>
          <w:noProof/>
        </w:rPr>
      </w:pPr>
      <w:r>
        <w:rPr>
          <w:noProof/>
        </w:rPr>
        <w:t xml:space="preserve">Zato se za premostitev obdobja med januarjem 2020 in prejemom zadevnega plačila osnutek sklepa Skupnega odbora uporablja retroaktivno od januarja 2020. </w:t>
      </w:r>
    </w:p>
    <w:p>
      <w:pPr>
        <w:pBdr>
          <w:top w:val="nil"/>
          <w:left w:val="nil"/>
          <w:bottom w:val="nil"/>
          <w:right w:val="nil"/>
          <w:between w:val="nil"/>
          <w:bar w:val="nil"/>
        </w:pBdr>
        <w:spacing w:before="0" w:after="240"/>
        <w:rPr>
          <w:rFonts w:eastAsia="Arial Unicode MS"/>
          <w:noProof/>
        </w:rPr>
      </w:pPr>
      <w:r>
        <w:rPr>
          <w:noProof/>
        </w:rPr>
        <w:t>Retroaktivnost ne vpliva na pravice in obveznosti zadevnih oseb ter upošteva načelo legitimnega pričakovanja.</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2020/0173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 xml:space="preserve">o stališču, ki se v imenu Evropske unije zastopa v Skupnem odboru EGP glede spremembe Protokola 31 k Sporazumu EGP o sodelovanju na posebnih področjih, za katera ne veljajo štiri temeljne svobode </w:t>
      </w:r>
      <w:r>
        <w:rPr>
          <w:noProof/>
        </w:rPr>
        <w:br/>
        <w:t xml:space="preserve"> </w:t>
      </w:r>
      <w:r>
        <w:rPr>
          <w:noProof/>
        </w:rPr>
        <w:br/>
        <w:t>(Proračunska vrstica 02 04 77 03 – Pripravljalni ukrep o raziskavah na področju obrambe)</w:t>
      </w:r>
    </w:p>
    <w:p>
      <w:pPr>
        <w:pStyle w:val="IntrtEEE"/>
        <w:rPr>
          <w:noProof/>
        </w:rPr>
      </w:pPr>
      <w:r>
        <w:rPr>
          <w:noProof/>
        </w:rPr>
        <w:t>(Besedilo velja za EGP)</w:t>
      </w:r>
    </w:p>
    <w:p>
      <w:pPr>
        <w:pStyle w:val="Institutionquiagit"/>
        <w:rPr>
          <w:noProof/>
        </w:rPr>
      </w:pPr>
      <w:r>
        <w:rPr>
          <w:noProof/>
        </w:rPr>
        <w:t>SVET EVROPSKE UNIJE JE –</w:t>
      </w:r>
    </w:p>
    <w:p>
      <w:pPr>
        <w:rPr>
          <w:noProof/>
        </w:rPr>
      </w:pPr>
      <w:r>
        <w:rPr>
          <w:noProof/>
        </w:rPr>
        <w:t>ob upoštevanju Pogodbe o delovanju Evropske unije in zlasti člena 218(9) Pogodbe,</w:t>
      </w:r>
    </w:p>
    <w:p>
      <w:pPr>
        <w:rPr>
          <w:noProof/>
        </w:rPr>
      </w:pPr>
      <w:r>
        <w:rPr>
          <w:noProof/>
        </w:rPr>
        <w:t>ob upoštevanju Uredbe Sveta (ES) št. 2894/94 z dne 28. novembra 1994 o pravilih za izvajanje Sporazuma o Evropskem gospodarskem prostoru</w:t>
      </w:r>
      <w:r>
        <w:rPr>
          <w:rStyle w:val="FootnoteReference"/>
          <w:noProof/>
        </w:rPr>
        <w:footnoteReference w:id="3"/>
      </w:r>
      <w:r>
        <w:rPr>
          <w:noProof/>
        </w:rPr>
        <w:t xml:space="preserve"> ter zlasti člena 1(3) Uredbe,</w:t>
      </w:r>
    </w:p>
    <w:p>
      <w:pPr>
        <w:rPr>
          <w:noProof/>
        </w:rPr>
      </w:pPr>
      <w:r>
        <w:rPr>
          <w:noProof/>
        </w:rPr>
        <w:t>ob upoštevanju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Pr>
          <w:rStyle w:val="FootnoteReference"/>
          <w:noProof/>
        </w:rPr>
        <w:footnoteReference w:id="4"/>
      </w:r>
      <w:r>
        <w:rPr>
          <w:noProof/>
        </w:rPr>
        <w:t xml:space="preserve"> ter zlasti člena 58(2)(b), člena 110(1) in člena 181 Uredbe, </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Sporazum o Evropskem gospodarskem prostoru</w:t>
      </w:r>
      <w:r>
        <w:rPr>
          <w:rStyle w:val="FootnoteReference"/>
          <w:noProof/>
        </w:rPr>
        <w:footnoteReference w:id="5"/>
      </w:r>
      <w:r>
        <w:rPr>
          <w:noProof/>
        </w:rPr>
        <w:t xml:space="preserve"> (v nadaljnjem besedilu: Sporazum EGP) je začel veljati 1. januarja 1994.</w:t>
      </w:r>
    </w:p>
    <w:p>
      <w:pPr>
        <w:pStyle w:val="ManualConsidrant"/>
        <w:rPr>
          <w:noProof/>
        </w:rPr>
      </w:pPr>
      <w:r>
        <w:t>(2)</w:t>
      </w:r>
      <w:r>
        <w:tab/>
      </w:r>
      <w:r>
        <w:rPr>
          <w:noProof/>
        </w:rPr>
        <w:t xml:space="preserve">V skladu s členom 98 Sporazuma EGP se lahko Skupni odbor EGP med drugim odloči spremeniti Protokol 31 k Sporazumu EGP. </w:t>
      </w:r>
    </w:p>
    <w:p>
      <w:pPr>
        <w:pStyle w:val="ManualConsidrant"/>
        <w:rPr>
          <w:noProof/>
        </w:rPr>
      </w:pPr>
      <w:r>
        <w:t>(3)</w:t>
      </w:r>
      <w:r>
        <w:tab/>
      </w:r>
      <w:r>
        <w:rPr>
          <w:noProof/>
        </w:rPr>
        <w:t>Protokol 31 k Sporazumu EGP vsebuje določbe o sodelovanju na posebnih področjih, za katera ne veljajo štiri temeljne svobode.</w:t>
      </w:r>
    </w:p>
    <w:p>
      <w:pPr>
        <w:pStyle w:val="ManualConsidrant"/>
        <w:rPr>
          <w:noProof/>
        </w:rPr>
      </w:pPr>
      <w:r>
        <w:t>(4)</w:t>
      </w:r>
      <w:r>
        <w:tab/>
      </w:r>
      <w:r>
        <w:rPr>
          <w:noProof/>
        </w:rPr>
        <w:t>Države Efte še naprej sodelujejo v dejavnostih Unije, povezanih s proračunsko vrstico 02 04 77 03 (Pripravljalni ukrep o raziskavah na področju obrambe), ki je vključena v splošni proračun Evropske unije za proračunsko leto 2020.</w:t>
      </w:r>
    </w:p>
    <w:p>
      <w:pPr>
        <w:pStyle w:val="ManualConsidrant"/>
        <w:rPr>
          <w:noProof/>
        </w:rPr>
      </w:pPr>
      <w:r>
        <w:t>(5)</w:t>
      </w:r>
      <w:r>
        <w:tab/>
      </w:r>
      <w:r>
        <w:rPr>
          <w:noProof/>
        </w:rPr>
        <w:t>Protokol 31 k Sporazumu EGP bi bilo zato treba spremeniti, da se to razširjeno sodelovanje nadaljuje od 1. januarja 2020.</w:t>
      </w:r>
    </w:p>
    <w:p>
      <w:pPr>
        <w:pStyle w:val="ManualConsidrant"/>
        <w:rPr>
          <w:noProof/>
        </w:rPr>
      </w:pPr>
      <w:r>
        <w:t>(6)</w:t>
      </w:r>
      <w:r>
        <w:tab/>
      </w:r>
      <w:r>
        <w:rPr>
          <w:noProof/>
        </w:rPr>
        <w:t>Stališče Unije v Skupnem odboru EGP bi moralo temeljiti na priloženem osnutku sklepa –</w:t>
      </w:r>
    </w:p>
    <w:p>
      <w:pPr>
        <w:pStyle w:val="Formuledadoption"/>
        <w:rPr>
          <w:noProof/>
        </w:rPr>
      </w:pPr>
      <w:r>
        <w:rPr>
          <w:noProof/>
        </w:rPr>
        <w:lastRenderedPageBreak/>
        <w:t xml:space="preserve">SPREJEL NASLEDNJI SKLEP: </w:t>
      </w:r>
    </w:p>
    <w:p>
      <w:pPr>
        <w:pStyle w:val="Titrearticle"/>
        <w:rPr>
          <w:noProof/>
        </w:rPr>
      </w:pPr>
      <w:r>
        <w:rPr>
          <w:noProof/>
        </w:rPr>
        <w:t>Člen 1</w:t>
      </w:r>
    </w:p>
    <w:p>
      <w:pPr>
        <w:rPr>
          <w:noProof/>
        </w:rPr>
      </w:pPr>
      <w:r>
        <w:rPr>
          <w:noProof/>
        </w:rPr>
        <w:t>Stališče, ki se v imenu Unije zavzame v Skupnem odboru EGP glede predlagane spremembe Protokola 31 k Sporazumu EGP, o sodelovanju na posebnih področjih, za katera ne veljajo štiri temeljne svobode, temelji na osnutku sklepa Skupnega odbora EGP, priloženega temu sklepu.</w:t>
      </w:r>
    </w:p>
    <w:p>
      <w:pPr>
        <w:pStyle w:val="Titrearticle"/>
        <w:rPr>
          <w:noProof/>
        </w:rPr>
      </w:pPr>
      <w:r>
        <w:rPr>
          <w:noProof/>
        </w:rPr>
        <w:t>Člen 2</w:t>
      </w:r>
    </w:p>
    <w:p>
      <w:pPr>
        <w:keepLines/>
        <w:rPr>
          <w:noProof/>
        </w:rPr>
      </w:pPr>
      <w:r>
        <w:rPr>
          <w:noProof/>
        </w:rPr>
        <w:t>Ta sklep začne veljati na dan sprejetja.</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193, 30.7.2018, str. 1.</w:t>
      </w:r>
    </w:p>
  </w:footnote>
  <w:footnote w:id="2">
    <w:p>
      <w:pPr>
        <w:pStyle w:val="FootnoteText"/>
      </w:pPr>
      <w:r>
        <w:rPr>
          <w:rStyle w:val="FootnoteReference"/>
        </w:rPr>
        <w:footnoteRef/>
      </w:r>
      <w:r>
        <w:tab/>
        <w:t>UL L 305, 30.11.1994, str. 6.</w:t>
      </w:r>
    </w:p>
  </w:footnote>
  <w:footnote w:id="3">
    <w:p>
      <w:pPr>
        <w:pStyle w:val="FootnoteText"/>
      </w:pPr>
      <w:r>
        <w:rPr>
          <w:rStyle w:val="FootnoteReference"/>
        </w:rPr>
        <w:footnoteRef/>
      </w:r>
      <w:r>
        <w:tab/>
        <w:t>UL L 305, 30.11.1994, str. 6.</w:t>
      </w:r>
    </w:p>
  </w:footnote>
  <w:footnote w:id="4">
    <w:p>
      <w:pPr>
        <w:pStyle w:val="FootnoteText"/>
      </w:pPr>
      <w:r>
        <w:rPr>
          <w:rStyle w:val="FootnoteReference"/>
        </w:rPr>
        <w:footnoteRef/>
      </w:r>
      <w:r>
        <w:tab/>
        <w:t>UL L 193, 30.7.2018, str. 1.</w:t>
      </w:r>
    </w:p>
  </w:footnote>
  <w:footnote w:id="5">
    <w:p>
      <w:pPr>
        <w:pStyle w:val="FootnoteText"/>
      </w:pPr>
      <w:r>
        <w:rPr>
          <w:rStyle w:val="FootnoteReference"/>
        </w:rPr>
        <w:footnoteRef/>
      </w:r>
      <w:r>
        <w:tab/>
        <w:t xml:space="preserve">UL L 1, 3.1.1994, str.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875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58DB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A471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817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B481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242B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CB0E522"/>
    <w:lvl w:ilvl="0">
      <w:start w:val="1"/>
      <w:numFmt w:val="decimal"/>
      <w:pStyle w:val="ListNumber"/>
      <w:lvlText w:val="%1."/>
      <w:lvlJc w:val="left"/>
      <w:pPr>
        <w:tabs>
          <w:tab w:val="num" w:pos="360"/>
        </w:tabs>
        <w:ind w:left="360" w:hanging="360"/>
      </w:pPr>
    </w:lvl>
  </w:abstractNum>
  <w:abstractNum w:abstractNumId="7">
    <w:nsid w:val="FFFFFF89"/>
    <w:multiLevelType w:val="singleLevel"/>
    <w:tmpl w:val="2DE290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2 13:16: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DA14732-A68D-471E-9B2C-F79C02F1BB75"/>
    <w:docVar w:name="LW_COVERPAGE_TYPE" w:val="1"/>
    <w:docVar w:name="LW_CROSSREFERENCE" w:val="&lt;UNUSED&gt;"/>
    <w:docVar w:name="LW_DocType" w:val="COM"/>
    <w:docVar w:name="LW_EMISSION" w:val="13.8.2020"/>
    <w:docVar w:name="LW_EMISSION_ISODATE" w:val="2020-08-13"/>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73"/>
    <w:docVar w:name="LW_REF.II.NEW.CP_YEAR" w:val="2020"/>
    <w:docVar w:name="LW_REF.INST.NEW" w:val="COM"/>
    <w:docVar w:name="LW_REF.INST.NEW_ADOPTED" w:val="final"/>
    <w:docVar w:name="LW_REF.INST.NEW_TEXT" w:val="(2020)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se v imenu Evropske unije zastopa v Skupnem odboru EGP glede spremembe Protokola 31 k Sporazumu EGP o sodelovanju na posebnih podro\u269?jih, za katera ne veljajo \u353?tiri temeljne svobode _x000b_ _x000b_(Prora\u269?unska vrstica 02 04 77 03 \u8211? Pripravljalni ukrep o raziskavah na podro\u269?ju obrambe)"/>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5</Pages>
  <Words>1053</Words>
  <Characters>6057</Characters>
  <Application>Microsoft Office Word</Application>
  <DocSecurity>0</DocSecurity>
  <Lines>121</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2020-08-10T14:44:00Z</dcterms:created>
  <dcterms:modified xsi:type="dcterms:W3CDTF">2020-08-12T11:16:00Z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