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5CFF2B87-A7B6-4B7C-A7C5-38B338743B84" style="width:450.75pt;height:464.25pt">
            <v:imagedata r:id="rId8" o:title=""/>
          </v:shape>
        </w:pict>
      </w:r>
    </w:p>
    <w:p>
      <w:pPr>
        <w:rPr>
          <w:noProof/>
        </w:rPr>
        <w:sectPr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ОБЯСНИТЕЛЕН МЕМОРАНДУМ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КОНТЕКСТ НА ПРЕДЛОЖЕНИЕТО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Основания и цели на предложението</w:t>
      </w:r>
    </w:p>
    <w:p>
      <w:pPr>
        <w:rPr>
          <w:noProof/>
        </w:rPr>
      </w:pPr>
      <w:r>
        <w:rPr>
          <w:noProof/>
        </w:rPr>
        <w:t xml:space="preserve">С проекта на решение на Съвместния комитет на Европейското икономическо пространство (ЕИП) (приложен към предложението за решение на Съвета) се цели изменение на Протокол 31 към Споразумението за ЕИП относно сътрудничеството в специфични области извън четирите свободи. Това е необходимо, за да могат членуващите в ЕИП държави от ЕАСТ да продължат да участват в подготвителното действие на Съюза за научни изследвания в областта на отбраната (наричано по-нататък „подготвителното действие“) през финансовата 2020 година.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Тъй като Лихтенщайн и Исландия не заявиха интерес за участие в това подготвително действие, проектът на решение на Съвместния комитет на ЕИП се отнася само за Норвегия.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Съгласуваност с действащите разпоредби в тази област на политиката</w:t>
      </w:r>
    </w:p>
    <w:p>
      <w:pPr>
        <w:rPr>
          <w:noProof/>
        </w:rPr>
      </w:pPr>
      <w:r>
        <w:rPr>
          <w:noProof/>
        </w:rPr>
        <w:t>Член 78 от Споразумението за ЕИП предвижда договарящите се страни да укрепват и разширяват сътрудничеството в рамките на дейностите на ЕС в сферата на научните изследвания и технологичното развитие. Комисията, която в момента финансира изключително научноизследователска и развойна дейност за граждански цели или с двойна употреба чрез програмата „Хоризонт 2020“, счита подготвителното действие за важен инструмент, чрез който да се провери каква е добавената стойност от свързаните с отбраната научни изследвания, финансирани от бюджета на ЕС.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Норвегия вече участва в подготвителното действие през предишната 2019 година. Освен това още през 2014 г. Норвегия i) сключи споразумение за сътрудничество с Европейската агенция по отбрана и ii) свързаната Директива за възлагането на обществени поръчки в областта на отбраната и сигурността (2009/81/ЕО) беше включена в Споразумението за ЕИП.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Съгласуваност с други политики на Съюза</w:t>
      </w:r>
    </w:p>
    <w:p>
      <w:pPr>
        <w:rPr>
          <w:noProof/>
        </w:rPr>
      </w:pPr>
      <w:r>
        <w:rPr>
          <w:noProof/>
        </w:rPr>
        <w:t xml:space="preserve">Съвместните научни изследвания в областта на иновационните технологии, продукти и услуги в сферата на отбраната са от решаващо значение за гарантиране в дългосрочен план на конкурентоспособността на сектора на отбраната и, в крайна сметка, на стратегическата автономност на Европа. Следователно сътрудничеството с Норвегия допринася положително за усилията на ЕС в тази област.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Комисията отчита, че подготвителното действие е част от нейните политики, свързани с вътрешния пазар, промишлеността и научните изследвания. Ето защо по-нататъшното задълбочаване на сътрудничеството в тази област е в съответствие с целите на Споразумението за ЕИП.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>
        <w:rPr>
          <w:noProof/>
          <w:spacing w:val="-4"/>
        </w:rPr>
        <w:t>ПРАВНО ОСНОВАНИЕ, СУБИСИДИАРНОСТ И ПРОПОРЦИОНАЛНОСТ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Правно основание</w:t>
      </w:r>
    </w:p>
    <w:p>
      <w:pPr>
        <w:rPr>
          <w:noProof/>
          <w:color w:val="000000"/>
        </w:rPr>
      </w:pPr>
      <w:r>
        <w:rPr>
          <w:noProof/>
        </w:rPr>
        <w:t xml:space="preserve">Правното основание са член 58, параграф 2, буква б) и член 181 от Регламент (ЕС, Евратом) 2018/1046 на Европейския парламент и на Съвета от 18 юли 2018 г. за финансовите правила, приложими за общия бюджет на Съюза, за изменение на регламенти (ЕС) № 1296/2013, (ЕС) № 1301/2013, (ЕС) № 1303/2013, (ЕС) № 1304/2013, </w:t>
      </w:r>
      <w:r>
        <w:rPr>
          <w:noProof/>
        </w:rPr>
        <w:lastRenderedPageBreak/>
        <w:t>(ЕС) № 1309/2013, (ЕС) № 1316/2013, (ЕС) № 223/2014 и (ЕС) № 283/2014 и на Решение № 541/2014/ЕС и за отмяна на Регламент (ЕС, Евратом) № 966/2012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във връзка с член 218, параграф 9 от Договора за функционирането на Европейския съюз и член 1, параграф 3 от Регламент (ЕО) № 2894/94 на Съвета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относно условията за прилагане на Споразумението за ЕИП, в който се предвижда, че Съветът определя въз основа на предложение на Комисията позицията, която трябва да се заеме от името на Съюза по отношение на подобни решения.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Субсидиарност (при неизключителна компетентност) </w:t>
      </w:r>
    </w:p>
    <w:p>
      <w:pPr>
        <w:rPr>
          <w:rFonts w:cs="EUAlbertina"/>
          <w:noProof/>
          <w:color w:val="000000"/>
        </w:rPr>
      </w:pPr>
      <w:r>
        <w:rPr>
          <w:noProof/>
        </w:rPr>
        <w:t xml:space="preserve">Предложението е в съответствие с принципа на субсидиарност по следната причина.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/>
          <w:szCs w:val="24"/>
        </w:rPr>
        <w:t>Целта на настоящото предложение, а именно продължаване на сътрудничеството в сферата на научните изследвания в областта на отбраната с членуващите в ЕИП държави от ЕАСТ чрез участието им в подготвително действие, финансирано от бюджета на ЕС, не може да бъде постигната в достатъчна степен от държавите членки и следователно, с оглед на въздействието, може да бъде постигната по-добре на равнището на Съюза.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Пропорционалност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/>
          <w:szCs w:val="24"/>
        </w:rPr>
        <w:t>В съответствие с принципа на пропорционалност предложението не надхвърля необходимото за постигането на целта му — да се засили и разшири сътрудничеството в рамките на дейностите на ЕС в сферите на научните изследвания и технологичното развитие.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Избор на инструмент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В съответствие с член 98 от Споразумението за ЕИП избраният инструмент е решение на Съвместния комитет на ЕИП. Съвместният комитет на ЕИП осигурява ефективното изпълнение и функциониране на Споразумението за ЕИП. За тази цел той взема решения в случаите, предвидени в това споразумение.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РЕЗУЛТАТИ ОТ ПОСЛЕДВАЩИТЕ ОЦЕНКИ, ОТ КОНСУЛТАЦИИТЕ СЪС ЗАИНТЕРЕСОВАНИТЕ СТРАНИ И ОТ ОЦЕНКИТЕ НА ВЪЗДЕЙСТВИЕТО</w:t>
      </w:r>
    </w:p>
    <w:p>
      <w:pPr>
        <w:pStyle w:val="ManualHeading2"/>
        <w:rPr>
          <w:rFonts w:eastAsia="Arial Unicode MS"/>
          <w:noProof/>
        </w:rPr>
      </w:pPr>
      <w:r>
        <w:rPr>
          <w:b w:val="0"/>
          <w:noProof/>
        </w:rPr>
        <w:t>Не се прилага.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ОТРАЖЕНИЕ ВЪРХУ БЮДЖЕТА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Норвегия следва да допринесе финансово в бюджетен ред 02 04 77 03: „Подготвително действие във връзка с научни изследвания в областта на отбраната“. Точният размер на участието следва да бъде определен, след като настоящото решение на Съвета бъде прието.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ДРУГИ ЕЛЕМЕНТИ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Планове за изпълнение и механизъм за наблюдение, оценка и докладване</w:t>
      </w:r>
    </w:p>
    <w:p>
      <w:pPr>
        <w:spacing w:before="0" w:after="240"/>
        <w:rPr>
          <w:noProof/>
        </w:rPr>
      </w:pPr>
      <w:r>
        <w:rPr>
          <w:noProof/>
        </w:rPr>
        <w:t xml:space="preserve">В съответствие с бюджетната политика на ЕС всяко участие в дейност на ЕС може да бъде осъществено само след като бъде изплатена съответната сума за финансово </w:t>
      </w:r>
      <w:r>
        <w:rPr>
          <w:noProof/>
        </w:rPr>
        <w:lastRenderedPageBreak/>
        <w:t>участие. Плащането обаче може да се извърши, след като настоящият проект на решение на Съвета бъде приет и последващата покана на ЕС за внасяне на средства, отправена от Европейската комисия, бъде представена на членуващите в ЕИП държави от ЕАСТ.</w:t>
      </w:r>
    </w:p>
    <w:p>
      <w:pPr>
        <w:spacing w:before="0" w:after="240"/>
        <w:rPr>
          <w:noProof/>
        </w:rPr>
      </w:pPr>
      <w:r>
        <w:rPr>
          <w:noProof/>
        </w:rPr>
        <w:t xml:space="preserve">Ето защо, за да се покрие периодът между януари 2020 г. и получаването на съответното плащане, проектът на решение на Съвместния комитет следва да се прилага с обратно действие от януари 2020 г.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Обратното действие не засяга правата и задълженията на съответните лица и е в съответствие с принципа на оправданите правни очаквания.</w:t>
      </w:r>
    </w:p>
    <w:p>
      <w:pPr>
        <w:rPr>
          <w:noProof/>
        </w:rPr>
        <w:sectPr>
          <w:footerReference w:type="default" r:id="rId10"/>
          <w:footerReference w:type="first" r:id="rId11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2020/0173 (NLE)</w:t>
      </w:r>
    </w:p>
    <w:p>
      <w:pPr>
        <w:pStyle w:val="Statut"/>
        <w:rPr>
          <w:noProof/>
        </w:rPr>
      </w:pPr>
      <w:r>
        <w:rPr>
          <w:noProof/>
        </w:rPr>
        <w:t>Предложение за</w:t>
      </w:r>
    </w:p>
    <w:p>
      <w:pPr>
        <w:pStyle w:val="Typedudocument"/>
        <w:rPr>
          <w:noProof/>
        </w:rPr>
      </w:pPr>
      <w:r>
        <w:rPr>
          <w:noProof/>
        </w:rPr>
        <w:t>РЕШЕНИЕ НА СЪВЕТА</w:t>
      </w:r>
    </w:p>
    <w:p>
      <w:pPr>
        <w:pStyle w:val="Titreobjet"/>
        <w:rPr>
          <w:noProof/>
        </w:rPr>
      </w:pPr>
      <w:r>
        <w:rPr>
          <w:noProof/>
        </w:rPr>
        <w:t xml:space="preserve">относно позицията, която трябва да се заеме от името на Европейския съюз в рамките на Съвместния комитет на ЕИП във връзка с изменение на Протокол 31 към Споразумението за ЕИП относно сътрудничеството в специфични области извън четирите свободи </w:t>
      </w:r>
      <w:r>
        <w:rPr>
          <w:noProof/>
        </w:rPr>
        <w:br/>
        <w:t xml:space="preserve"> </w:t>
      </w:r>
      <w:r>
        <w:rPr>
          <w:noProof/>
        </w:rPr>
        <w:br/>
        <w:t>(бюджетен ред 02 04 77 03 — Подготвително действие във връзка с научни изследвания в областта на отбраната)</w:t>
      </w:r>
    </w:p>
    <w:p>
      <w:pPr>
        <w:pStyle w:val="IntrtEEE"/>
        <w:rPr>
          <w:noProof/>
        </w:rPr>
      </w:pPr>
      <w:r>
        <w:rPr>
          <w:noProof/>
        </w:rPr>
        <w:t>(текст от значение за ЕИП)</w:t>
      </w:r>
    </w:p>
    <w:p>
      <w:pPr>
        <w:pStyle w:val="Institutionquiagit"/>
        <w:rPr>
          <w:noProof/>
        </w:rPr>
      </w:pPr>
      <w:r>
        <w:rPr>
          <w:noProof/>
        </w:rPr>
        <w:t>СЪВЕТЪТ НА ЕВРОПЕЙСКИЯ СЪЮЗ,</w:t>
      </w:r>
    </w:p>
    <w:p>
      <w:pPr>
        <w:rPr>
          <w:noProof/>
        </w:rPr>
      </w:pPr>
      <w:r>
        <w:rPr>
          <w:noProof/>
        </w:rPr>
        <w:t>като взе предвид Договора за функционирането на Европейския съюз, и по-специално член 218, параграф 9 от него,</w:t>
      </w:r>
    </w:p>
    <w:p>
      <w:pPr>
        <w:rPr>
          <w:noProof/>
        </w:rPr>
      </w:pPr>
      <w:r>
        <w:rPr>
          <w:noProof/>
        </w:rPr>
        <w:t>като взе предвид Регламент (ЕО) 2894/94 на Съвета от 28 ноември 1994 г. относно условията за прилагане на Споразумението за Европейското икономическо пространство</w:t>
      </w:r>
      <w:r>
        <w:rPr>
          <w:rStyle w:val="FootnoteReference"/>
          <w:noProof/>
        </w:rPr>
        <w:footnoteReference w:id="3"/>
      </w:r>
      <w:r>
        <w:rPr>
          <w:noProof/>
        </w:rPr>
        <w:t>, и по-специално член 1, параграф 3 от него,</w:t>
      </w:r>
    </w:p>
    <w:p>
      <w:pPr>
        <w:rPr>
          <w:noProof/>
        </w:rPr>
      </w:pPr>
      <w:r>
        <w:rPr>
          <w:noProof/>
        </w:rPr>
        <w:t>като взе предвид Регламент (ЕС, Евратом) 2018/1046 на Европейския парламент и на Съвета от 18 юли 2018 г. за финансовите правила, приложими за общия бюджет на Съюза, за изменение на регламенти (ЕС) № 1296/2013, (ЕС) № 1301/2013, (ЕС) № 1303/2013, (ЕС) № 1304/2013, (ЕС) № 1309/2013, (ЕС) № 1316/2013, (ЕС) № 223/2014 и (ЕС) № 283/2014 и на Решение № 541/2014/ЕС и за отмяна на Регламент (ЕС, Евратом) № 966/2012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и по-специално член 58, параграф 2, буква б), член 110, параграф 1 и член 181 от него, </w:t>
      </w:r>
    </w:p>
    <w:p>
      <w:pPr>
        <w:rPr>
          <w:noProof/>
        </w:rPr>
      </w:pPr>
      <w:r>
        <w:rPr>
          <w:noProof/>
        </w:rPr>
        <w:t>като взе предвид предложението на Европейската комисия,</w:t>
      </w:r>
    </w:p>
    <w:p>
      <w:pPr>
        <w:rPr>
          <w:noProof/>
        </w:rPr>
      </w:pPr>
      <w:r>
        <w:rPr>
          <w:noProof/>
        </w:rPr>
        <w:t>като има предвид, че: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Споразумението за Европейското икономическо пространство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(„Споразумението за ЕИП“) влезе в сила на 1 януари 1994 г.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Съгласно член 98 от Споразумението за ЕИП Съвместният комитет на ЕИП може да реши да измени, </w:t>
      </w:r>
      <w:r>
        <w:rPr>
          <w:i/>
          <w:iCs/>
          <w:noProof/>
        </w:rPr>
        <w:t>inter alia</w:t>
      </w:r>
      <w:r>
        <w:rPr>
          <w:noProof/>
        </w:rPr>
        <w:t xml:space="preserve">, Протокол 31 към Споразумението за ЕИП.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Протокол 31 към Споразумението за ЕИП съдържа разпоредби относно сътрудничеството в специфични области извън четирите свободи.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Държавите от ЕАСТ продължават да участват в действията на Съюза, свързани с бюджетен ред 02 04 77 03 (Подготвително действие във връзка с научни изследвания в областта на отбраната), включени в общия бюджет на Европейския съюз за финансовата 2020 година.</w:t>
      </w:r>
    </w:p>
    <w:p>
      <w:pPr>
        <w:pStyle w:val="ManualConsidrant"/>
        <w:rPr>
          <w:noProof/>
        </w:rPr>
      </w:pPr>
      <w:r>
        <w:lastRenderedPageBreak/>
        <w:t>(5)</w:t>
      </w:r>
      <w:r>
        <w:tab/>
      </w:r>
      <w:r>
        <w:rPr>
          <w:noProof/>
        </w:rPr>
        <w:t>Поради това Протокол 31 към Споразумението за ЕИП следва да бъде изменен, за да може това разширено сътрудничество да продължи и след 1 януари 2020 г.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Позицията на Съюза в рамките на Съвместния комитет на ЕИП следва да се основава на приложения проект на решение,</w:t>
      </w:r>
    </w:p>
    <w:p>
      <w:pPr>
        <w:pStyle w:val="Formuledadoption"/>
        <w:rPr>
          <w:noProof/>
        </w:rPr>
      </w:pPr>
      <w:r>
        <w:rPr>
          <w:noProof/>
        </w:rPr>
        <w:t xml:space="preserve">ПРИЕ НАСТОЯЩОТО РЕШЕНИЕ: </w:t>
      </w:r>
    </w:p>
    <w:p>
      <w:pPr>
        <w:pStyle w:val="Titrearticle"/>
        <w:rPr>
          <w:noProof/>
        </w:rPr>
      </w:pPr>
      <w:r>
        <w:rPr>
          <w:noProof/>
        </w:rPr>
        <w:t>Член 1</w:t>
      </w:r>
    </w:p>
    <w:p>
      <w:pPr>
        <w:rPr>
          <w:noProof/>
        </w:rPr>
      </w:pPr>
      <w:r>
        <w:rPr>
          <w:noProof/>
        </w:rPr>
        <w:t>Позицията, която трябва да бъде заета от името на Съюза в рамките на Съвместния комитет на ЕИП във връзка с предложеното изменение на Протокол 31 към Споразумението за ЕИП относно сътрудничеството в специфични области извън четирите свободи, се основава на проекта на решение на Съвместния комитет на ЕИП, приложен към настоящото решение.</w:t>
      </w:r>
    </w:p>
    <w:p>
      <w:pPr>
        <w:pStyle w:val="Titrearticle"/>
        <w:rPr>
          <w:noProof/>
        </w:rPr>
      </w:pPr>
      <w:r>
        <w:rPr>
          <w:noProof/>
        </w:rPr>
        <w:t>Член 2</w:t>
      </w:r>
    </w:p>
    <w:p>
      <w:pPr>
        <w:keepLines/>
        <w:rPr>
          <w:noProof/>
        </w:rPr>
      </w:pPr>
      <w:r>
        <w:rPr>
          <w:noProof/>
        </w:rPr>
        <w:t>Настоящото решение влиза в сила в деня на приемането му.</w:t>
      </w:r>
    </w:p>
    <w:p>
      <w:pPr>
        <w:pStyle w:val="Fait"/>
        <w:rPr>
          <w:noProof/>
        </w:rPr>
      </w:pPr>
      <w:r>
        <w:t xml:space="preserve">Съставено в Брюксел на </w:t>
      </w:r>
      <w:r>
        <w:rPr>
          <w:rStyle w:val="Marker"/>
        </w:rPr>
        <w:t>[…]</w:t>
      </w:r>
      <w:r>
        <w:t xml:space="preserve"> година.</w:t>
      </w:r>
    </w:p>
    <w:p>
      <w:pPr>
        <w:pStyle w:val="Institutionquisigne"/>
        <w:rPr>
          <w:noProof/>
        </w:rPr>
      </w:pPr>
      <w:r>
        <w:rPr>
          <w:noProof/>
        </w:rPr>
        <w:tab/>
        <w:t>За Съвета</w:t>
      </w:r>
    </w:p>
    <w:p>
      <w:pPr>
        <w:pStyle w:val="Personnequisigne"/>
        <w:rPr>
          <w:noProof/>
        </w:rPr>
      </w:pPr>
      <w:r>
        <w:rPr>
          <w:noProof/>
        </w:rPr>
        <w:tab/>
        <w:t>Председател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OВ L 193, 30.7.2018 г., стр. 1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OВ L 305, 30.11.1994 г., стр. 6—8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OВ L 305, 30.11.1994 г., стр. 6—8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OВ L 193, 30.7.2018 г., стр. 1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ОВ L 1, 3.1.1994 г., стр. 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A4875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D58DB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0A471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4B817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FB481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E242B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CB0E5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DE290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8-12 13:16:48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5CFF2B87-A7B6-4B7C-A7C5-38B338743B84"/>
    <w:docVar w:name="LW_COVERPAGE_TYPE" w:val="1"/>
    <w:docVar w:name="LW_CROSSREFERENCE" w:val="&lt;UNUSED&gt;"/>
    <w:docVar w:name="LW_DocType" w:val="COM"/>
    <w:docVar w:name="LW_EMISSION" w:val="13.8.2020"/>
    <w:docVar w:name="LW_EMISSION_ISODATE" w:val="2020-08-13"/>
    <w:docVar w:name="LW_EMISSION_LOCATION" w:val="BRX"/>
    <w:docVar w:name="LW_EMISSION_PREFIX" w:val="Брюксел, "/>
    <w:docVar w:name="LW_EMISSION_SUFFIX" w:val=" \u1075?.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(\u1090?\u1077?\u1082?\u1089?\u1090? \u1086?\u1090? \u1079?\u1085?\u1072?\u1095?\u1077?\u1085?\u1080?\u1077? \u1079?\u1072? \u1045?\u1048?\u1055?)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73"/>
    <w:docVar w:name="LW_REF.II.NEW.CP_YEAR" w:val="2020"/>
    <w:docVar w:name="LW_REF.INST.NEW" w:val="COM"/>
    <w:docVar w:name="LW_REF.INST.NEW_ADOPTED" w:val="final"/>
    <w:docVar w:name="LW_REF.INST.NEW_TEXT" w:val="(2020) 37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\u1055?\u1088?\u1077?\u1076?\u1083?\u1086?\u1078?\u1077?\u1085?\u1080?\u1077? \u1079?\u1072?"/>
    <w:docVar w:name="LW_SUPERTITRE" w:val="&lt;UNUSED&gt;"/>
    <w:docVar w:name="LW_TITRE.OBJ.CP" w:val="\u1086?\u1090?\u1085?\u1086?\u1089?\u1085?\u1086? \u1087?\u1086?\u1079?\u1080?\u1094?\u1080?\u1103?\u1090?\u1072?, \u1082?\u1086?\u1103?\u1090?\u1086? \u1090?\u1088?\u1103?\u1073?\u1074?\u1072? \u1076?\u1072? \u1089?\u1077? \u1079?\u1072?\u1077?\u1084?\u1077? \u1086?\u1090? \u1080?\u1084?\u1077?\u1090?\u1086? \u1085?\u1072? \u1045?\u1074?\u1088?\u1086?\u1087?\u1077?\u1081?\u1089?\u1082?\u1080?\u1103? \u1089?\u1098?\u1102?\u1079? \u1074? \u1088?\u1072?\u1084?\u1082?\u1080?\u1090?\u1077? \u1085?\u1072? \u1057?\u1098?\u1074?\u1084?\u1077?\u1089?\u1090?\u1085?\u1080?\u1103? \u1082?\u1086?\u1084?\u1080?\u1090?\u1077?\u1090? \u1085?\u1072? \u1045?\u1048?\u1055? \u1074?\u1098?\u1074? \u1074?\u1088?\u1098?\u1079?\u1082?\u1072? \u1089? \u1080?\u1079?\u1084?\u1077?\u1085?\u1077?\u1085?\u1080?\u1077? \u1085?\u1072? \u1055?\u1088?\u1086?\u1090?\u1086?\u1082?\u1086?\u1083? 31 \u1082?\u1098?\u1084? \u1057?\u1087?\u1086?\u1088?\u1072?\u1079?\u1091?\u1084?\u1077?\u1085?\u1080?\u1077?\u1090?\u1086? \u1079?\u1072? \u1045?\u1048?\u1055? \u1086?\u1090?\u1085?\u1086?\u1089?\u1085?\u1086? \u1089?\u1098?\u1090?\u1088?\u1091?\u1076?\u1085?\u1080?\u1095?\u1077?\u1089?\u1090?\u1074?\u1086?\u1090?\u1086? \u1074? \u1089?\u1087?\u1077?\u1094?\u1080?\u1092?\u1080?\u1095?\u1085?\u1080? \u1086?\u1073?\u1083?\u1072?\u1089?\u1090?\u1080? \u1080?\u1079?\u1074?\u1098?\u1085? \u1095?\u1077?\u1090?\u1080?\u1088?\u1080?\u1090?\u1077? \u1089?\u1074?\u1086?\u1073?\u1086?\u1076?\u1080? _x000b_ _x000b_(\u1073?\u1102?\u1076?\u1078?\u1077?\u1090?\u1077?\u1085? \u1088?\u1077?\u1076? 02 04 77 03 \u8212? \u1055?\u1086?\u1076?\u1075?\u1086?\u1090?\u1074?\u1080?\u1090?\u1077?\u1083?\u1085?\u1086? \u1076?\u1077?\u1081?\u1089?\u1090?\u1074?\u1080?\u1077? \u1074?\u1098?\u1074? \u1074?\u1088?\u1098?\u1079?\u1082?\u1072? \u1089? \u1085?\u1072?\u1091?\u1095?\u1085?\u1080? \u1080?\u1079?\u1089?\u1083?\u1077?\u1076?\u1074?\u1072?\u1085?\u1080?\u1103? \u1074? \u1086?\u1073?\u1083?\u1072?\u1089?\u1090?\u1090?\u1072? \u1085?\u1072? \u1086?\u1090?\u1073?\u1088?\u1072?\u1085?\u1072?\u1090?\u1072?)"/>
    <w:docVar w:name="LW_TYPE.DOC.CP" w:val="\u1056?\u1045?\u1064?\u1045?\u1053?\u1048?\u1045? \u1053?\u1040? \u1057?\u1066?\u1042?\u1045?\u1058?\u1040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6</Pages>
  <Words>1289</Words>
  <Characters>7182</Characters>
  <Application>Microsoft Office Word</Application>
  <DocSecurity>0</DocSecurity>
  <Lines>146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2020-07-28T10:47:00Z</dcterms:created>
  <dcterms:modified xsi:type="dcterms:W3CDTF">2020-08-12T11:16:00Z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