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6132C3E-622D-43AE-870E-B747C42F682C" style="width:450.55pt;height:463.9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rPr>
      </w:pPr>
      <w:r>
        <w:rPr>
          <w:noProof/>
        </w:rPr>
        <w:t xml:space="preserve">Το σχέδιο απόφασης της Μεικτής Επιτροπής του Ευρωπαϊκού Οικονομικού Χώρου (ΕΟΧ) (που επισυνάπτεται στην πρόταση απόφασης του Συμβουλίου) αποσκοπεί στην τροποποίηση του πρωτοκόλλου 31 της συμφωνίας ΕΟΧ «σχετικά με τη συνεργασία σε ειδικούς τομείς εκτός του πλαισίου των τεσσάρων ελευθεριών». Αυτό είναι απαραίτητο προκειμένου τα κράτη ΕΖΕΣ του ΕΟΧ να μπορέσουν να συνεχίσουν να συμμετέχουν στην προπαρασκευαστική ενέργεια της Ένωσης για την έρευνα στον τομέα της άμυνας (στο εξής: προπαρασκευαστική ενέργεια) κατά το οικονομικό έτος 2020. </w:t>
      </w:r>
    </w:p>
    <w:p>
      <w:pPr>
        <w:pBdr>
          <w:top w:val="nil"/>
          <w:left w:val="nil"/>
          <w:bottom w:val="nil"/>
          <w:right w:val="nil"/>
          <w:between w:val="nil"/>
          <w:bar w:val="nil"/>
        </w:pBdr>
        <w:spacing w:before="0" w:after="240"/>
        <w:rPr>
          <w:rFonts w:eastAsia="Arial Unicode MS"/>
          <w:noProof/>
        </w:rPr>
      </w:pPr>
      <w:r>
        <w:rPr>
          <w:noProof/>
        </w:rPr>
        <w:t>Δεδομένου ότι το Λιχτενστάιν και η Ισλανδία δεν εξέφρασαν ενδιαφέρον να συμμετάσχουν σε αυτή την προπαρασκευαστική ενέργεια, το σχέδιο απόφασης της Μεικτής Επιτροπής του ΕΟΧ αφορά, ως εκ τούτου, μόνο τη Νορβηγία.</w:t>
      </w: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rPr>
          <w:noProof/>
        </w:rPr>
      </w:pPr>
      <w:r>
        <w:rPr>
          <w:noProof/>
        </w:rPr>
        <w:t>Σύμφωνα με το άρθρο 78 της συμφωνίας ΕΟΧ, τα συμβαλλόμενα μέρη ενισχύουν και διευρύνουν τη συνεργασία στο πλαίσιο των δραστηριοτήτων της ΕΕ στους τομείς της έρευνας και της τεχνολογικής ανάπτυξης. Η Επιτροπή, η οποία χρηματοδοτεί προς το παρόν αποκλειστικά μη στρατιωτική έρευνα και ανάπτυξη ή έρευνα και ανάπτυξη διπλής χρήσης μέσω του προγράμματος «Ορίζων 2020», θεωρεί την προπαρασκευαστική ενέργεια σημαντικό μέσο για να ελεγχθεί η προστιθέμενη αξία της έρευνας στον τομέα της άμυνας που χρηματοδοτείται από τον προϋπολογισμό της ΕΕ. </w:t>
      </w:r>
    </w:p>
    <w:p>
      <w:pPr>
        <w:pBdr>
          <w:top w:val="nil"/>
          <w:left w:val="nil"/>
          <w:bottom w:val="nil"/>
          <w:right w:val="nil"/>
          <w:between w:val="nil"/>
          <w:bar w:val="nil"/>
        </w:pBdr>
        <w:spacing w:before="0" w:after="240"/>
        <w:rPr>
          <w:noProof/>
        </w:rPr>
      </w:pPr>
      <w:r>
        <w:rPr>
          <w:noProof/>
        </w:rPr>
        <w:t>Η Νορβηγία συμμετείχε ήδη στην προπαρασκευαστική ενέργεια κατά το παρελθόν έτος 2019. Επιπλέον, ήδη το 2014 i) η Νορβηγία συνήψε συμφωνία συνεργασίας με τον Ευρωπαϊκό Οργανισμό Άμυνας, και ii) η σχετική οδηγία για τις δημόσιες συμβάσεις στους τομείς της άμυνας και της ασφάλειας (2009/81/ΕΚ) ενσωματώθηκε στη συμφωνία ΕΟΧ.</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rPr>
          <w:noProof/>
        </w:rPr>
      </w:pPr>
      <w:r>
        <w:rPr>
          <w:noProof/>
        </w:rPr>
        <w:t xml:space="preserve">Η συνεργατική έρευνα σε καινοτόμες τεχνολογίες, προϊόντα και υπηρεσίες στον τομέα της άμυνας είναι καίριας σημασίας για τη διασφάλιση της μακροπρόθεσμης ανταγωνιστικότητας του αμυντικού τομέα και, σε τελική ανάλυση, της στρατηγικής αυτονομίας της Ευρώπης. Επομένως, η συνεργασία με τη Νορβηγία συμβάλλει θετικά στις προσπάθειες της ΕΕ σε αυτόν τον τομέα. </w:t>
      </w:r>
    </w:p>
    <w:p>
      <w:pPr>
        <w:pBdr>
          <w:top w:val="nil"/>
          <w:left w:val="nil"/>
          <w:bottom w:val="nil"/>
          <w:right w:val="nil"/>
          <w:between w:val="nil"/>
          <w:bar w:val="nil"/>
        </w:pBdr>
        <w:spacing w:before="0" w:after="240"/>
        <w:rPr>
          <w:rFonts w:eastAsia="Arial Unicode MS"/>
          <w:noProof/>
        </w:rPr>
      </w:pPr>
      <w:r>
        <w:rPr>
          <w:noProof/>
        </w:rPr>
        <w:t>Η Επιτροπή αναγνωρίζει ότι η προπαρασκευαστική ενέργεια εντάσσεται στις πολιτικές της που συνδέονται με την εσωτερική αγορά, τη βιομηχανία και την έρευνα. Συνεπώς, η περαιτέρω εμβάθυνση της συνεργασίας σε αυτόν τον τομέα συνάδει με τους στόχους της συμφωνίας ΕΟΧ.</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rPr>
        <w:tab/>
      </w:r>
      <w:r>
        <w:rPr>
          <w:noProof/>
          <w:u w:color="000000"/>
          <w:bdr w:val="nil"/>
        </w:rPr>
        <w:t>Νομική βάση</w:t>
      </w:r>
    </w:p>
    <w:p>
      <w:pPr>
        <w:rPr>
          <w:noProof/>
          <w:color w:val="000000"/>
        </w:rPr>
      </w:pPr>
      <w:r>
        <w:rPr>
          <w:noProof/>
        </w:rPr>
        <w:t xml:space="preserve">Η νομική βάση είναι το άρθρο 58 παράγραφος 2 στοιχείο β), το άρθρο 110 παράγραφος 1 και το άρθρο 181 του κανονισμού (ΕΕ, Ευρατόμ)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w:t>
      </w:r>
      <w:r>
        <w:rPr>
          <w:noProof/>
        </w:rPr>
        <w:lastRenderedPageBreak/>
        <w:t>(ΕΕ) αριθ. 1309/2013, (ΕΕ) αριθ. 1316/2013, (ΕΕ) αριθ. 223/2014, (ΕΕ) αριθ. 283/2014 και της απόφασης αριθ. 541/2014/ΕΕ και για την κατάργηση του κανονισμού (ΕΕ, Ευρατόμ) αριθ. 966/2012</w:t>
      </w:r>
      <w:r>
        <w:rPr>
          <w:rStyle w:val="FootnoteReference"/>
          <w:noProof/>
        </w:rPr>
        <w:footnoteReference w:id="1"/>
      </w:r>
      <w:r>
        <w:rPr>
          <w:noProof/>
        </w:rPr>
        <w:t xml:space="preserve">, σε συνδυασμό με το </w:t>
      </w:r>
      <w:r>
        <w:rPr>
          <w:noProof/>
          <w:color w:val="000000"/>
        </w:rPr>
        <w:t>άρθρο 218 παράγραφος 9 της Συνθήκης για τη λειτουργία της Ευρωπαϊκής Ένωσης και το άρθρο 1 παράγραφος 3 του κανονισμού (ΕΚ) αριθ. 2894/94 του Συμβουλίου</w:t>
      </w:r>
      <w:r>
        <w:rPr>
          <w:rStyle w:val="FootnoteReference"/>
          <w:noProof/>
        </w:rPr>
        <w:footnoteReference w:id="2"/>
      </w:r>
      <w:r>
        <w:rPr>
          <w:noProof/>
          <w:color w:val="000000"/>
        </w:rPr>
        <w:t xml:space="preserve"> σχετικά με ορισμένες λεπτομέρειες εφαρμογής της συμφωνίας ΕΟΧ, το οποίο ορίζει ότι το Συμβούλιο καθορίζει τη θέση που πρέπει να ληφθεί εξ ονόματος της Ένωσης σχετικά με τις αποφάσεις αυτές, κατόπιν πρότασης της Επιτροπής.</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Επικουρικότητα (σε περίπτωση μη αποκλειστικής αρμοδιότητας) </w:t>
      </w:r>
    </w:p>
    <w:p>
      <w:pPr>
        <w:rPr>
          <w:rFonts w:cs="EUAlbertina"/>
          <w:noProof/>
          <w:color w:val="000000"/>
        </w:rPr>
      </w:pPr>
      <w:r>
        <w:rPr>
          <w:noProof/>
        </w:rPr>
        <w:t xml:space="preserve">Η πρόταση συνάδει με την αρχή της επικουρικότητας για τον ακόλουθο λόγο. </w:t>
      </w:r>
    </w:p>
    <w:p>
      <w:pPr>
        <w:pBdr>
          <w:top w:val="nil"/>
          <w:left w:val="nil"/>
          <w:bottom w:val="nil"/>
          <w:right w:val="nil"/>
          <w:between w:val="nil"/>
          <w:bar w:val="nil"/>
        </w:pBdr>
        <w:spacing w:before="0" w:after="240"/>
        <w:rPr>
          <w:rFonts w:eastAsia="Arial Unicode MS"/>
          <w:noProof/>
        </w:rPr>
      </w:pPr>
      <w:r>
        <w:rPr>
          <w:noProof/>
          <w:color w:val="000000"/>
          <w:szCs w:val="24"/>
        </w:rPr>
        <w:t>Ο στόχος της παρούσας πρότασης, δηλαδή η συνέχιση της συνεργασίας για την έρευνα στον τομέα της άμυνας με τα κράτη ΕΖΕΣ του ΕΟΧ μέσω της συμμετοχής τους σε προπαρασκευαστική ενέργεια που χρηματοδοτείται από τον προϋπολογισμό της ΕΕ, δεν μπορεί να επιτευχθεί επαρκώς από τα κράτη μέλη και δύναται, συνεπώς, λόγω των αποτελεσμάτων, να επιτευχθεί καλύτερα σε ενωσιακό επίπεδο.</w:t>
      </w:r>
    </w:p>
    <w:p>
      <w:pPr>
        <w:pStyle w:val="ManualHeading2"/>
        <w:rPr>
          <w:rFonts w:eastAsia="Arial Unicode MS"/>
          <w:noProof/>
          <w:u w:color="000000"/>
          <w:bdr w:val="nil"/>
        </w:rPr>
      </w:pPr>
      <w:r>
        <w:rPr>
          <w:noProof/>
          <w:u w:color="000000"/>
          <w:bdr w:val="nil"/>
        </w:rPr>
        <w:t>•</w:t>
      </w:r>
      <w:r>
        <w:rPr>
          <w:noProof/>
        </w:rPr>
        <w:tab/>
      </w:r>
      <w:r>
        <w:rPr>
          <w:noProof/>
          <w:u w:color="000000"/>
          <w:bdr w:val="nil"/>
        </w:rPr>
        <w:t>Αναλογικότητα</w:t>
      </w:r>
    </w:p>
    <w:p>
      <w:pPr>
        <w:pBdr>
          <w:top w:val="nil"/>
          <w:left w:val="nil"/>
          <w:bottom w:val="nil"/>
          <w:right w:val="nil"/>
          <w:between w:val="nil"/>
          <w:bar w:val="nil"/>
        </w:pBdr>
        <w:spacing w:before="0" w:after="240"/>
        <w:rPr>
          <w:rFonts w:eastAsia="Arial Unicode MS"/>
          <w:noProof/>
        </w:rPr>
      </w:pPr>
      <w:r>
        <w:rPr>
          <w:noProof/>
          <w:color w:val="000000"/>
          <w:szCs w:val="24"/>
        </w:rPr>
        <w:t>Σύμφωνα με την αρχή της αναλογικότητας, η πρόταση δεν υπερβαίνει τα αναγκαία για την επίτευξη του στόχου της, που συνίσταται στην ενίσχυση και διεύρυνση της συνεργασίας στο πλαίσιο των δραστηριοτήτων της ΕΕ στους τομείς της έρευνας και της τεχνολογικής ανάπτυξης.</w:t>
      </w:r>
    </w:p>
    <w:p>
      <w:pPr>
        <w:pStyle w:val="ManualHeading2"/>
        <w:rPr>
          <w:rFonts w:eastAsia="Arial Unicode MS"/>
          <w:noProof/>
          <w:u w:color="000000"/>
          <w:bdr w:val="nil"/>
        </w:rPr>
      </w:pPr>
      <w:r>
        <w:rPr>
          <w:noProof/>
          <w:u w:color="000000"/>
          <w:bdr w:val="nil"/>
        </w:rPr>
        <w:t>•</w:t>
      </w:r>
      <w:r>
        <w:rPr>
          <w:noProof/>
        </w:rPr>
        <w:tab/>
      </w:r>
      <w:r>
        <w:rPr>
          <w:noProof/>
          <w:u w:color="000000"/>
          <w:bdr w:val="nil"/>
        </w:rPr>
        <w:t>Επιλογή της νομικής πράξης</w:t>
      </w:r>
    </w:p>
    <w:p>
      <w:pPr>
        <w:pBdr>
          <w:top w:val="nil"/>
          <w:left w:val="nil"/>
          <w:bottom w:val="nil"/>
          <w:right w:val="nil"/>
          <w:between w:val="nil"/>
          <w:bar w:val="nil"/>
        </w:pBdr>
        <w:spacing w:before="0" w:after="240"/>
        <w:rPr>
          <w:rFonts w:eastAsia="Arial Unicode MS"/>
          <w:noProof/>
        </w:rPr>
      </w:pPr>
      <w:r>
        <w:rPr>
          <w:noProof/>
        </w:rPr>
        <w:t>Σύμφωνα με το άρθρο 98 της συμφωνίας ΕΟΧ, η πράξη που επιλέγεται είναι η απόφαση της Μεικτής Επιτροπής του ΕΟΧ. Η Μεικτή Επιτροπή του ΕΟΧ διασφαλίζει την αποτελεσματική εφαρμογή και λειτουργία της συμφωνίας ΕΟΧ. Για τον σκοπό αυτό, λαμβάνει αποφάσεις στις περιπτώσεις που προβλέπονται στην συμφωνία ΕΟΧ.</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rPr>
      </w:pPr>
      <w:r>
        <w:rPr>
          <w:b w:val="0"/>
          <w:noProof/>
        </w:rPr>
        <w:t>Άνευ αντικειμένου.</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rFonts w:eastAsia="Arial Unicode MS"/>
          <w:noProof/>
        </w:rPr>
      </w:pPr>
      <w:r>
        <w:rPr>
          <w:noProof/>
        </w:rPr>
        <w:t>Η Νορβηγία συνεισφέρει στη γραμμή 02 04 77 03 του προϋπολογισμού: «Προπαρασκευαστική ενέργεια για την έρευνα στον τομέα της άμυνας». Το ακριβές ποσό θα καθοριστεί μετά την έκδοση της παρούσας απόφασης του Συμβουλίου.</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u w:color="000000"/>
          <w:bdr w:val="nil"/>
        </w:rPr>
        <w:t>•</w:t>
      </w:r>
      <w:r>
        <w:rPr>
          <w:noProof/>
        </w:rPr>
        <w:tab/>
      </w:r>
      <w:r>
        <w:rPr>
          <w:noProof/>
          <w:u w:color="000000"/>
          <w:bdr w:val="nil"/>
        </w:rPr>
        <w:t>Σχέδια εφαρμογής και ρυθμίσεις παρακολούθησης, αξιολόγησης και υποβολής εκθέσεων</w:t>
      </w:r>
    </w:p>
    <w:p>
      <w:pPr>
        <w:spacing w:before="0" w:after="240"/>
        <w:rPr>
          <w:noProof/>
        </w:rPr>
      </w:pPr>
      <w:r>
        <w:rPr>
          <w:noProof/>
        </w:rPr>
        <w:t xml:space="preserve">Σύμφωνα με τη δημοσιονομική πολιτική της ΕΕ, η συμμετοχή σε δραστηριότητες της ΕΕ είναι εφικτή μόνον εφόσον έχει καταβληθεί η αντίστοιχη οικονομική συνεισφορά. Ωστόσο, η πληρωμή μπορεί να πραγματοποιηθεί μόλις εγκριθεί το παρόν σχέδιο απόφασης του </w:t>
      </w:r>
      <w:r>
        <w:rPr>
          <w:noProof/>
        </w:rPr>
        <w:lastRenderedPageBreak/>
        <w:t>Συμβουλίου και μόλις υποβληθεί στα κράτη ΕΖΕΣ του ΕΟΧ η επακόλουθη πρόσκληση της ΕΕ για καταβολή συνεισφορών, η οποία καταρτίζεται από την Ευρωπαϊκή Επιτροπή.</w:t>
      </w:r>
    </w:p>
    <w:p>
      <w:pPr>
        <w:spacing w:before="0" w:after="240"/>
        <w:rPr>
          <w:noProof/>
        </w:rPr>
      </w:pPr>
      <w:r>
        <w:rPr>
          <w:noProof/>
        </w:rPr>
        <w:t xml:space="preserve">Ως εκ τούτου, προκειμένου να καλυφθεί το διάστημα που μεσολαβεί μεταξύ του Ιανουαρίου 2020 και της παραλαβής της αντίστοιχης πληρωμής, το σχέδιο απόφασης της Μεικτής Επιτροπής ισχύει αναδρομικά από τον Ιανουάριο του 2020. </w:t>
      </w:r>
    </w:p>
    <w:p>
      <w:pPr>
        <w:pBdr>
          <w:top w:val="nil"/>
          <w:left w:val="nil"/>
          <w:bottom w:val="nil"/>
          <w:right w:val="nil"/>
          <w:between w:val="nil"/>
          <w:bar w:val="nil"/>
        </w:pBdr>
        <w:spacing w:before="0" w:after="240"/>
        <w:rPr>
          <w:rFonts w:eastAsia="Arial Unicode MS"/>
          <w:noProof/>
        </w:rPr>
      </w:pPr>
      <w:r>
        <w:rPr>
          <w:noProof/>
        </w:rPr>
        <w:t>Η αναδρομική ισχύς δεν θίγει τα δικαιώματα και τις υποχρεώσεις των ενδιαφερομένων και τηρεί την αρχή της δικαιολογημένης εμπιστοσύνης.</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2020/0173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 xml:space="preserve">σχετικά με τη θέση που πρέπει να ληφθεί, εξ ονόματος της Ευρωπαϊκής Ένωσης, στη Μεικτή Επιτροπή του ΕΟΧ όσον αφορά την τροποποίηση του πρωτοκόλλου 31 της συμφωνίας ΕΟΧ σχετικά με τη συνεργασία σε ειδικούς τομείς εκτός του πλαισίου των τεσσάρων ελευθεριών </w:t>
      </w:r>
      <w:r>
        <w:rPr>
          <w:noProof/>
        </w:rPr>
        <w:br/>
        <w:t xml:space="preserve"> </w:t>
      </w:r>
      <w:r>
        <w:rPr>
          <w:noProof/>
        </w:rPr>
        <w:br/>
        <w:t>(Γραμμή 02 04 77 03 του προϋπολογισμού - Προπαρασκευαστική ενέργεια για την έρευνα στον τομέα της άμυνας)</w:t>
      </w:r>
    </w:p>
    <w:p>
      <w:pPr>
        <w:pStyle w:val="IntrtEEE"/>
        <w:rPr>
          <w:noProof/>
        </w:rPr>
      </w:pPr>
      <w:r>
        <w:rPr>
          <w:noProof/>
        </w:rPr>
        <w:t>(Κείμενο που παρουσιάζει ενδιαφέρον για τον ΕΟΧ)</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218 παράγραφος 9,</w:t>
      </w:r>
    </w:p>
    <w:p>
      <w:pPr>
        <w:rPr>
          <w:noProof/>
        </w:rPr>
      </w:pPr>
      <w:r>
        <w:rPr>
          <w:noProof/>
        </w:rPr>
        <w:t>Έχοντας υπόψη τον κανονισμό (ΕΚ) αριθ. 2894/94 του Συμβουλίου, της 28ης Νοεμβρίου 1994, σχετικά με ορισμένες λεπτομέρειες εφαρμογής της συμφωνίας για τον Ευρωπαϊκό Οικονομικό Χώρο</w:t>
      </w:r>
      <w:r>
        <w:rPr>
          <w:rStyle w:val="FootnoteReference"/>
          <w:noProof/>
        </w:rPr>
        <w:footnoteReference w:id="3"/>
      </w:r>
      <w:r>
        <w:rPr>
          <w:noProof/>
        </w:rPr>
        <w:t>, και ιδίως το άρθρο 1 παράγραφος 3,</w:t>
      </w:r>
    </w:p>
    <w:p>
      <w:pPr>
        <w:rPr>
          <w:noProof/>
        </w:rPr>
      </w:pPr>
      <w:r>
        <w:rPr>
          <w:noProof/>
        </w:rPr>
        <w:t>Έχοντας υπόψη τον κανονισμό (ΕΕ, Ευρατόμ)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w:t>
      </w:r>
      <w:r>
        <w:rPr>
          <w:rStyle w:val="FootnoteReference"/>
          <w:noProof/>
        </w:rPr>
        <w:footnoteReference w:id="4"/>
      </w:r>
      <w:r>
        <w:rPr>
          <w:noProof/>
        </w:rPr>
        <w:t xml:space="preserve">, και ιδίως το άρθρο 58 παράγραφος 2 στοιχείο β), το άρθρο 110 παράγραφος 1 και το άρθρο 181, </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συμφωνία για τον Ευρωπαϊκό Οικονομικό Χώρο</w:t>
      </w:r>
      <w:r>
        <w:rPr>
          <w:rStyle w:val="FootnoteReference"/>
          <w:noProof/>
        </w:rPr>
        <w:footnoteReference w:id="5"/>
      </w:r>
      <w:r>
        <w:rPr>
          <w:noProof/>
        </w:rPr>
        <w:t xml:space="preserve"> (στο εξής: συμφωνία ΕΟΧ) άρχισε να ισχύει την 1η Ιανουαρίου 1994.</w:t>
      </w:r>
    </w:p>
    <w:p>
      <w:pPr>
        <w:pStyle w:val="ManualConsidrant"/>
        <w:rPr>
          <w:noProof/>
        </w:rPr>
      </w:pPr>
      <w:r>
        <w:t>(2)</w:t>
      </w:r>
      <w:r>
        <w:tab/>
      </w:r>
      <w:r>
        <w:rPr>
          <w:noProof/>
        </w:rPr>
        <w:t xml:space="preserve">Σύμφωνα με το άρθρο 98 της συμφωνίας ΕΟΧ, η Μεικτή Επιτροπή του ΕΟΧ μπορεί να αποφασίσει να τροποποιήσει, μεταξύ άλλων, το πρωτόκολλο 31 της συμφωνίας ΕΟΧ. </w:t>
      </w:r>
    </w:p>
    <w:p>
      <w:pPr>
        <w:pStyle w:val="ManualConsidrant"/>
        <w:rPr>
          <w:noProof/>
        </w:rPr>
      </w:pPr>
      <w:r>
        <w:t>(3)</w:t>
      </w:r>
      <w:r>
        <w:tab/>
      </w:r>
      <w:r>
        <w:rPr>
          <w:noProof/>
        </w:rPr>
        <w:t>Το πρωτόκολλο 31 της συμφωνίας ΕΟΧ περιλαμβάνει διατάξεις σχετικά με τη συνεργασία σε ειδικούς τομείς εκτός του πλαισίου των τεσσάρων ελευθεριών.</w:t>
      </w:r>
    </w:p>
    <w:p>
      <w:pPr>
        <w:pStyle w:val="ManualConsidrant"/>
        <w:rPr>
          <w:noProof/>
        </w:rPr>
      </w:pPr>
      <w:r>
        <w:t>(4)</w:t>
      </w:r>
      <w:r>
        <w:tab/>
      </w:r>
      <w:r>
        <w:rPr>
          <w:noProof/>
        </w:rPr>
        <w:t xml:space="preserve">Τα κράτη της ΕΖΕΣ συνεχίζουν να συμμετέχουν στις δραστηριότητες της Ένωσης που συνδέονται με τη γραμμή 02 04 77 03 του προϋπολογισμού (Προπαρασκευαστική </w:t>
      </w:r>
      <w:r>
        <w:rPr>
          <w:noProof/>
        </w:rPr>
        <w:lastRenderedPageBreak/>
        <w:t>ενέργεια για την έρευνα στον τομέα της άμυνας), οι οποίες είναι εγγεγραμμένες στον γενικό προϋπολογισμό της Ευρωπαϊκής Ένωσης για το οικονομικό έτος 2020.</w:t>
      </w:r>
    </w:p>
    <w:p>
      <w:pPr>
        <w:pStyle w:val="ManualConsidrant"/>
        <w:rPr>
          <w:noProof/>
        </w:rPr>
      </w:pPr>
      <w:r>
        <w:t>(5)</w:t>
      </w:r>
      <w:r>
        <w:tab/>
      </w:r>
      <w:r>
        <w:rPr>
          <w:noProof/>
        </w:rPr>
        <w:t>Επομένως, το πρωτόκολλο 31 της συμφωνίας ΕΟΧ θα πρέπει να τροποποιηθεί, ώστε να καταστεί δυνατή η συνέχιση αυτής της διευρυμένης συνεργασίας από την 1η Ιανουαρίου 2020.</w:t>
      </w:r>
    </w:p>
    <w:p>
      <w:pPr>
        <w:pStyle w:val="ManualConsidrant"/>
        <w:rPr>
          <w:noProof/>
        </w:rPr>
      </w:pPr>
      <w:r>
        <w:t>(6)</w:t>
      </w:r>
      <w:r>
        <w:tab/>
      </w:r>
      <w:r>
        <w:rPr>
          <w:noProof/>
        </w:rPr>
        <w:t>Η θέση της Ένωσης στη Μεικτή Επιτροπή του ΕΟΧ θα πρέπει να βασιστεί στο συνημμένο σχέδιο απόφασης,</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rPr>
      </w:pPr>
      <w:r>
        <w:rPr>
          <w:noProof/>
        </w:rPr>
        <w:t>Η θέση που πρέπει να ληφθεί, εξ ονόματος της Ένωσης, στη Μεικτή Επιτροπή του ΕΟΧ όσον αφορά την προτεινόμενη τροποποίηση του πρωτοκόλλου 31 της συμφωνίας ΕΟΧ, σχετικά με τη συνεργασία σε ειδικούς τομείς εκτός του πλαισίου των τεσσάρων ελευθεριών, βασίζεται στο σχέδιο απόφασης της Μεικτής Επιτροπής του ΕΟΧ που επισυνάπτεται στην παρούσα απόφαση.</w:t>
      </w:r>
    </w:p>
    <w:p>
      <w:pPr>
        <w:pStyle w:val="Titrearticle"/>
        <w:rPr>
          <w:noProof/>
        </w:rPr>
      </w:pPr>
      <w:r>
        <w:rPr>
          <w:noProof/>
        </w:rPr>
        <w:t>Άρθρο 2</w:t>
      </w:r>
    </w:p>
    <w:p>
      <w:pPr>
        <w:keepLines/>
        <w:rPr>
          <w:noProof/>
        </w:rPr>
      </w:pPr>
      <w:r>
        <w:rPr>
          <w:noProof/>
        </w:rPr>
        <w:t>Η παρούσα απόφαση αρχίζει να ισχύει την ημερομηνία της έκδοσής της.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193 της 30.7.2018, σ. 1.</w:t>
      </w:r>
    </w:p>
  </w:footnote>
  <w:footnote w:id="2">
    <w:p>
      <w:pPr>
        <w:pStyle w:val="FootnoteText"/>
      </w:pPr>
      <w:r>
        <w:rPr>
          <w:rStyle w:val="FootnoteReference"/>
        </w:rPr>
        <w:footnoteRef/>
      </w:r>
      <w:r>
        <w:tab/>
        <w:t>ΕΕ L 305 της 30.11.1994, σ. 6-8.</w:t>
      </w:r>
    </w:p>
  </w:footnote>
  <w:footnote w:id="3">
    <w:p>
      <w:pPr>
        <w:pStyle w:val="FootnoteText"/>
      </w:pPr>
      <w:r>
        <w:rPr>
          <w:rStyle w:val="FootnoteReference"/>
        </w:rPr>
        <w:footnoteRef/>
      </w:r>
      <w:r>
        <w:tab/>
        <w:t>ΕΕ L 305 της 30.11.1994, σ. 6-8.</w:t>
      </w:r>
    </w:p>
  </w:footnote>
  <w:footnote w:id="4">
    <w:p>
      <w:pPr>
        <w:pStyle w:val="FootnoteText"/>
      </w:pPr>
      <w:r>
        <w:rPr>
          <w:rStyle w:val="FootnoteReference"/>
        </w:rPr>
        <w:footnoteRef/>
      </w:r>
      <w:r>
        <w:tab/>
        <w:t>ΕΕ L 193 της 30.7.2018, σ. 1.</w:t>
      </w:r>
    </w:p>
  </w:footnote>
  <w:footnote w:id="5">
    <w:p>
      <w:pPr>
        <w:pStyle w:val="FootnoteText"/>
      </w:pPr>
      <w:r>
        <w:rPr>
          <w:rStyle w:val="FootnoteReference"/>
        </w:rPr>
        <w:footnoteRef/>
      </w:r>
      <w:r>
        <w:tab/>
        <w:t xml:space="preserve">ΕΕ L 1 της 3.1.1994, σ.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875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58DB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A471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B817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B481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242B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CB0E522"/>
    <w:lvl w:ilvl="0">
      <w:start w:val="1"/>
      <w:numFmt w:val="decimal"/>
      <w:pStyle w:val="ListNumber"/>
      <w:lvlText w:val="%1."/>
      <w:lvlJc w:val="left"/>
      <w:pPr>
        <w:tabs>
          <w:tab w:val="num" w:pos="360"/>
        </w:tabs>
        <w:ind w:left="360" w:hanging="360"/>
      </w:pPr>
    </w:lvl>
  </w:abstractNum>
  <w:abstractNum w:abstractNumId="7">
    <w:nsid w:val="FFFFFF89"/>
    <w:multiLevelType w:val="singleLevel"/>
    <w:tmpl w:val="2DE290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2"/>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2 13:11: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6132C3E-622D-43AE-870E-B747C42F682C"/>
    <w:docVar w:name="LW_COVERPAGE_TYPE" w:val="1"/>
    <w:docVar w:name="LW_CROSSREFERENCE" w:val="&lt;UNUSED&gt;"/>
    <w:docVar w:name="LW_DocType" w:val="COM"/>
    <w:docVar w:name="LW_EMISSION" w:val="13.8.2020"/>
    <w:docVar w:name="LW_EMISSION_ISODATE" w:val="2020-08-13"/>
    <w:docVar w:name="LW_EMISSION_LOCATION" w:val="BRX"/>
    <w:docVar w:name="LW_EMISSION_PREFIX" w:val="Βρυξέλλες,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173"/>
    <w:docVar w:name="LW_REF.II.NEW.CP_YEAR" w:val="2020"/>
    <w:docVar w:name="LW_REF.INST.NEW" w:val="COM"/>
    <w:docVar w:name="LW_REF.INST.NEW_ADOPTED" w:val="final"/>
    <w:docVar w:name="LW_REF.INST.NEW_TEXT" w:val="(2020) 3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1? \u924?\u949?\u953?\u954?\u964?\u942? \u917?\u960?\u953?\u964?\u961?\u959?\u960?\u942? \u964?\u959?\u965? \u917?\u927?\u935? \u972?\u963?\u959?\u957? \u945?\u966?\u959?\u961?\u940? \u964?\u951?\u957? \u964?\u961?\u959?\u960?\u959?\u960?\u959?\u943?\u951?\u963?\u951? \u964?\u959?\u965? \u960?\u961?\u969?\u964?\u959?\u954?\u972?\u955?\u955?\u959?\u965? 31 \u964?\u951?\u962? \u963?\u965?\u956?\u966?\u969?\u957?\u943?\u945?\u962? \u917?\u927?\u935? \u963?\u967?\u949?\u964?\u953?\u954?\u940? \u956?\u949? \u964?\u951? \u963?\u965?\u957?\u949?\u961?\u947?\u945?\u963?\u943?\u945? \u963?\u949? \u949?\u953?\u948?\u953?\u954?\u959?\u973?\u962? \u964?\u959?\u956?\u949?\u943?\u962? \u949?\u954?\u964?\u972?\u962? \u964?\u959?\u965? \u960?\u955?\u945?\u953?\u963?\u943?\u959?\u965? \u964?\u969?\u957? \u964?\u949?\u963?\u963?\u940?\u961?\u969?\u957? \u949?\u955?\u949?\u965?\u952?\u949?\u961?\u953?\u974?\u957? _x000b_ _x000b_(\u915?\u961?\u945?\u956?\u956?\u942? 02 04 77 03 \u964?\u959?\u965? \u960?\u961?\u959?\u971?\u960?\u959?\u955?\u959?\u947?\u953?\u963?\u956?\u959?\u973? - \u928?\u961?\u959?\u960?\u945?\u961?\u945?\u963?\u954?\u949?\u965?\u945?\u963?\u964?\u953?\u954?\u942? \u949?\u957?\u941?\u961?\u947?\u949?\u953?\u945? \u947?\u953?\u945? \u964?\u951?\u957? \u941?\u961?\u949?\u965?\u957?\u945? \u963?\u964?\u959?\u957? \u964?\u959?\u956?\u941?\u945? \u964?\u951?\u962? \u940?\u956?\u965?\u957?\u945?\u962?)"/>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1327</Words>
  <Characters>7567</Characters>
  <Application>Microsoft Office Word</Application>
  <DocSecurity>0</DocSecurity>
  <Lines>145</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2020-08-11T11:32:00Z</dcterms:created>
  <dcterms:modified xsi:type="dcterms:W3CDTF">2020-08-12T11:11:00Z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