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53" w:rsidRDefault="0076469E">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56F198C4-172C-4028-87D2-F3CA1ECE37FC" style="width:450.6pt;height:361.8pt">
            <v:imagedata r:id="rId11" o:title=""/>
          </v:shape>
        </w:pict>
      </w:r>
    </w:p>
    <w:bookmarkEnd w:id="0"/>
    <w:p w:rsidR="00737A53" w:rsidRDefault="00737A53">
      <w:pPr>
        <w:rPr>
          <w:noProof/>
        </w:rPr>
        <w:sectPr w:rsidR="00737A53">
          <w:headerReference w:type="even" r:id="rId12"/>
          <w:headerReference w:type="default" r:id="rId13"/>
          <w:footerReference w:type="even" r:id="rId14"/>
          <w:footerReference w:type="default" r:id="rId15"/>
          <w:headerReference w:type="first" r:id="rId16"/>
          <w:footerReference w:type="first" r:id="rId17"/>
          <w:pgSz w:w="11900" w:h="16840" w:code="9"/>
          <w:pgMar w:top="1134" w:right="1417" w:bottom="1134" w:left="1417" w:header="709" w:footer="709" w:gutter="0"/>
          <w:pgNumType w:start="0"/>
          <w:cols w:space="720"/>
          <w:docGrid w:linePitch="360"/>
        </w:sectPr>
      </w:pPr>
    </w:p>
    <w:p w:rsidR="00737A53" w:rsidRPr="0076469E" w:rsidRDefault="0076469E">
      <w:pPr>
        <w:pStyle w:val="Heading1"/>
        <w:spacing w:after="120"/>
        <w:rPr>
          <w:rFonts w:ascii="Times New Roman" w:hAnsi="Times New Roman" w:cs="Times New Roman"/>
          <w:b/>
          <w:noProof/>
          <w:color w:val="auto"/>
          <w:sz w:val="24"/>
          <w:szCs w:val="24"/>
        </w:rPr>
      </w:pPr>
      <w:r w:rsidRPr="0076469E">
        <w:rPr>
          <w:rFonts w:ascii="Times New Roman" w:hAnsi="Times New Roman" w:cs="Times New Roman"/>
          <w:b/>
          <w:noProof/>
          <w:color w:val="auto"/>
          <w:sz w:val="24"/>
          <w:szCs w:val="24"/>
        </w:rPr>
        <w:lastRenderedPageBreak/>
        <w:t>1. INTRODUÇÃO</w:t>
      </w:r>
    </w:p>
    <w:p w:rsidR="00737A53" w:rsidRDefault="0076469E">
      <w:pPr>
        <w:spacing w:after="120"/>
        <w:jc w:val="both"/>
        <w:rPr>
          <w:rFonts w:ascii="Times New Roman" w:hAnsi="Times New Roman" w:cs="Times New Roman"/>
          <w:noProof/>
        </w:rPr>
      </w:pPr>
      <w:r>
        <w:rPr>
          <w:rFonts w:ascii="Times New Roman" w:hAnsi="Times New Roman" w:cs="Times New Roman"/>
          <w:noProof/>
          <w:spacing w:val="10"/>
        </w:rPr>
        <w:t>Este é o quarto relatório que salienta os progressos alcançados pela UE e os seus Estados-</w:t>
      </w:r>
      <w:r>
        <w:rPr>
          <w:rFonts w:ascii="Times New Roman" w:hAnsi="Times New Roman" w:cs="Times New Roman"/>
          <w:noProof/>
        </w:rPr>
        <w:t xml:space="preserve">Membros na execução dos compromissos da </w:t>
      </w:r>
      <w:r>
        <w:rPr>
          <w:rFonts w:ascii="Times New Roman" w:hAnsi="Times New Roman" w:cs="Times New Roman"/>
          <w:noProof/>
        </w:rPr>
        <w:t>sua política comum em matéria de segurança alimentar e nutricional</w:t>
      </w:r>
      <w:r>
        <w:rPr>
          <w:rStyle w:val="FootnoteReference"/>
          <w:rFonts w:ascii="Times New Roman" w:hAnsi="Times New Roman" w:cs="Times New Roman"/>
          <w:noProof/>
        </w:rPr>
        <w:footnoteReference w:id="2"/>
      </w:r>
      <w:r>
        <w:rPr>
          <w:rFonts w:ascii="Times New Roman" w:hAnsi="Times New Roman" w:cs="Times New Roman"/>
          <w:noProof/>
        </w:rPr>
        <w:t xml:space="preserve">. É acompanhado por um documento de trabalho dos serviços da Comissão (SWD), com informações complementares sobre as análises e estudos de caso. </w:t>
      </w:r>
    </w:p>
    <w:p w:rsidR="00737A53" w:rsidRDefault="0076469E">
      <w:pPr>
        <w:spacing w:after="120"/>
        <w:jc w:val="both"/>
        <w:rPr>
          <w:rFonts w:ascii="Times New Roman" w:hAnsi="Times New Roman" w:cs="Times New Roman"/>
          <w:noProof/>
        </w:rPr>
      </w:pPr>
      <w:r>
        <w:rPr>
          <w:rFonts w:ascii="Times New Roman" w:hAnsi="Times New Roman"/>
          <w:noProof/>
        </w:rPr>
        <w:t xml:space="preserve">O presente relatório centra-se na evolução </w:t>
      </w:r>
      <w:r>
        <w:rPr>
          <w:rFonts w:ascii="Times New Roman" w:hAnsi="Times New Roman"/>
          <w:noProof/>
        </w:rPr>
        <w:t>das principais políticas, analisa as tendências financeiras dos desembolsos</w:t>
      </w:r>
      <w:r>
        <w:rPr>
          <w:rStyle w:val="FootnoteReference"/>
          <w:rFonts w:ascii="Times New Roman" w:hAnsi="Times New Roman" w:cs="Times New Roman"/>
          <w:noProof/>
        </w:rPr>
        <w:footnoteReference w:id="3"/>
      </w:r>
      <w:r>
        <w:rPr>
          <w:rFonts w:ascii="Times New Roman" w:hAnsi="Times New Roman"/>
          <w:noProof/>
        </w:rPr>
        <w:t xml:space="preserve"> e a avaliação das prioridades estratégicas. Também salienta os resultados e progressos alcançados pela UE e os seus Estados-Membros nos dois domínios de concentração temáticos ide</w:t>
      </w:r>
      <w:r>
        <w:rPr>
          <w:rFonts w:ascii="Times New Roman" w:hAnsi="Times New Roman"/>
          <w:noProof/>
        </w:rPr>
        <w:t>ntificados pelo Conselho em 2018: i) o empoderamento das mulheres em matéria de segurança alimentar e nutricional, e ii) a criação de emprego nas zonas rurais. Termina salientando a importância de oito orientações estratégicas.</w:t>
      </w:r>
    </w:p>
    <w:p w:rsidR="00737A53" w:rsidRDefault="0076469E">
      <w:pPr>
        <w:spacing w:after="120"/>
        <w:jc w:val="both"/>
        <w:rPr>
          <w:rFonts w:ascii="Times New Roman" w:hAnsi="Times New Roman" w:cs="Times New Roman"/>
          <w:noProof/>
        </w:rPr>
      </w:pPr>
      <w:r>
        <w:rPr>
          <w:rFonts w:ascii="Times New Roman" w:hAnsi="Times New Roman"/>
          <w:noProof/>
        </w:rPr>
        <w:t>Ao longo do relatório, estão</w:t>
      </w:r>
      <w:r>
        <w:rPr>
          <w:rFonts w:ascii="Times New Roman" w:hAnsi="Times New Roman"/>
          <w:noProof/>
        </w:rPr>
        <w:t xml:space="preserve"> incluídos exemplos de como a UE e os seus Estados-Membros reforçaram as suas medidas nos domínios da segurança alimentar e nutricional e da agricultura sustentável. </w:t>
      </w:r>
    </w:p>
    <w:p w:rsidR="00737A53" w:rsidRDefault="00737A53">
      <w:pPr>
        <w:spacing w:after="120"/>
        <w:jc w:val="both"/>
        <w:rPr>
          <w:rFonts w:ascii="Times New Roman" w:hAnsi="Times New Roman" w:cs="Times New Roman"/>
          <w:noProof/>
        </w:rPr>
      </w:pPr>
    </w:p>
    <w:p w:rsidR="00737A53" w:rsidRPr="0076469E" w:rsidRDefault="0076469E">
      <w:pPr>
        <w:pStyle w:val="Heading1"/>
        <w:spacing w:after="120"/>
        <w:rPr>
          <w:rFonts w:ascii="Times New Roman" w:hAnsi="Times New Roman" w:cs="Times New Roman"/>
          <w:b/>
          <w:noProof/>
          <w:color w:val="auto"/>
          <w:sz w:val="24"/>
          <w:szCs w:val="24"/>
        </w:rPr>
      </w:pPr>
      <w:r w:rsidRPr="0076469E">
        <w:rPr>
          <w:rFonts w:ascii="Times New Roman" w:hAnsi="Times New Roman" w:cs="Times New Roman"/>
          <w:b/>
          <w:noProof/>
          <w:color w:val="auto"/>
          <w:sz w:val="24"/>
          <w:szCs w:val="24"/>
        </w:rPr>
        <w:t>2. EVOLUÇÃO DAS POLÍTICAS A NÍVEL MUNDIAL E EUROPEU</w:t>
      </w:r>
    </w:p>
    <w:p w:rsidR="00737A53" w:rsidRDefault="0076469E">
      <w:pPr>
        <w:spacing w:after="120"/>
        <w:jc w:val="both"/>
        <w:rPr>
          <w:rFonts w:ascii="Times New Roman" w:hAnsi="Times New Roman" w:cs="Times New Roman"/>
          <w:noProof/>
        </w:rPr>
      </w:pPr>
      <w:r>
        <w:rPr>
          <w:rFonts w:ascii="Times New Roman" w:hAnsi="Times New Roman"/>
          <w:noProof/>
        </w:rPr>
        <w:t>Após décadas de diminuição, a fome e</w:t>
      </w:r>
      <w:r>
        <w:rPr>
          <w:rFonts w:ascii="Times New Roman" w:hAnsi="Times New Roman"/>
          <w:noProof/>
        </w:rPr>
        <w:t xml:space="preserve"> a subnutrição têm vindo a aumentar novamente desde 2015. Em 2018, estimava-se que 821 milhões de pessoas estavam subnutridas</w:t>
      </w:r>
      <w:r>
        <w:rPr>
          <w:rFonts w:ascii="Times New Roman" w:hAnsi="Times New Roman" w:cs="Times New Roman"/>
          <w:noProof/>
          <w:vertAlign w:val="superscript"/>
        </w:rPr>
        <w:footnoteReference w:id="4"/>
      </w:r>
      <w:r>
        <w:rPr>
          <w:rFonts w:ascii="Times New Roman" w:hAnsi="Times New Roman"/>
          <w:noProof/>
        </w:rPr>
        <w:t>. Além disso, agregando-se a prevalência da insegurança alimentar moderada e severa, estima-se que 26,4 % da população mundial (ce</w:t>
      </w:r>
      <w:r>
        <w:rPr>
          <w:rFonts w:ascii="Times New Roman" w:hAnsi="Times New Roman"/>
          <w:noProof/>
        </w:rPr>
        <w:t>rca de 2 mil milhões de pessoas) sofre de insegurança alimentar e mais de 135 milhões de pessoas em 55 países passaram por fome aguda, carecendo urgentemente de ajuda alimentar, nutricional e meios de subsistência</w:t>
      </w:r>
      <w:r>
        <w:rPr>
          <w:rFonts w:ascii="Times New Roman" w:hAnsi="Times New Roman" w:cs="Times New Roman"/>
          <w:bCs/>
          <w:noProof/>
          <w:vertAlign w:val="superscript"/>
        </w:rPr>
        <w:footnoteReference w:id="5"/>
      </w:r>
      <w:r>
        <w:rPr>
          <w:rFonts w:ascii="Times New Roman" w:hAnsi="Times New Roman"/>
          <w:noProof/>
        </w:rPr>
        <w:t>.</w:t>
      </w:r>
      <w:r>
        <w:rPr>
          <w:rFonts w:ascii="Times New Roman" w:hAnsi="Times New Roman"/>
          <w:bCs/>
          <w:noProof/>
        </w:rPr>
        <w:t xml:space="preserve"> </w:t>
      </w:r>
      <w:r>
        <w:rPr>
          <w:rFonts w:ascii="Times New Roman" w:hAnsi="Times New Roman"/>
          <w:noProof/>
        </w:rPr>
        <w:t xml:space="preserve">Este aumento deve-se em grande medida a </w:t>
      </w:r>
      <w:r>
        <w:rPr>
          <w:rFonts w:ascii="Times New Roman" w:hAnsi="Times New Roman"/>
          <w:noProof/>
        </w:rPr>
        <w:t>conflitos, catástrofes (TERM) naturais e às alterações climáticas. Se a atual tendência continuar, isso colocará em risco a consecução não só do Objetivo de Desenvolvimento Sustentável (ODS) 2 (Erradicação da fome), mas também de todos os ODS até 2030.</w:t>
      </w:r>
    </w:p>
    <w:p w:rsidR="00737A53" w:rsidRDefault="0076469E">
      <w:pPr>
        <w:spacing w:after="120"/>
        <w:jc w:val="both"/>
        <w:rPr>
          <w:rFonts w:ascii="Times New Roman" w:hAnsi="Times New Roman" w:cs="Times New Roman"/>
          <w:noProof/>
        </w:rPr>
      </w:pPr>
      <w:r>
        <w:rPr>
          <w:rFonts w:ascii="Times New Roman" w:hAnsi="Times New Roman"/>
          <w:noProof/>
        </w:rPr>
        <w:t xml:space="preserve">Em </w:t>
      </w:r>
      <w:r>
        <w:rPr>
          <w:rFonts w:ascii="Times New Roman" w:hAnsi="Times New Roman"/>
          <w:noProof/>
        </w:rPr>
        <w:t xml:space="preserve">2018, o Conselho da UE manifestou a sua preocupação relativamente à segurança alimentar e nutricional a nível mundial, em resposta aos valores já alarmantes e na sequência dos mais recentes relatórios sobre a execução dos compromissos da política da UE em </w:t>
      </w:r>
      <w:r>
        <w:rPr>
          <w:rFonts w:ascii="Times New Roman" w:hAnsi="Times New Roman"/>
          <w:noProof/>
        </w:rPr>
        <w:t>matéria de segurança alimentar e nutricional e sobre o plano de ação da Comissão em matéria de nutrição</w:t>
      </w:r>
      <w:r>
        <w:rPr>
          <w:rFonts w:ascii="Times New Roman" w:hAnsi="Times New Roman" w:cs="Times New Roman"/>
          <w:noProof/>
          <w:vertAlign w:val="superscript"/>
        </w:rPr>
        <w:footnoteReference w:id="6"/>
      </w:r>
      <w:r>
        <w:rPr>
          <w:rFonts w:ascii="Times New Roman" w:hAnsi="Times New Roman"/>
          <w:noProof/>
        </w:rPr>
        <w:t>. O Conselho exortou a Comissão a manter e intensificar os seus esforços para cumprir o ODS 2 e, dessa forma, inverter as atuais tendências.</w:t>
      </w:r>
    </w:p>
    <w:p w:rsidR="00737A53" w:rsidRDefault="0076469E">
      <w:pPr>
        <w:spacing w:after="120"/>
        <w:jc w:val="both"/>
        <w:rPr>
          <w:rFonts w:ascii="Times New Roman" w:hAnsi="Times New Roman" w:cs="Times New Roman"/>
          <w:noProof/>
        </w:rPr>
      </w:pPr>
      <w:r>
        <w:rPr>
          <w:rFonts w:ascii="Times New Roman" w:hAnsi="Times New Roman"/>
          <w:noProof/>
        </w:rPr>
        <w:t>Durante o p</w:t>
      </w:r>
      <w:r>
        <w:rPr>
          <w:rFonts w:ascii="Times New Roman" w:hAnsi="Times New Roman"/>
          <w:noProof/>
        </w:rPr>
        <w:t>eríodo de referência, a UE e os seus Estados-Membros contribuíram de forma significativa para melhorar a segurança alimentar a nível mundial, através da importância do seu financiamento, da sensibilização e defesa das questões-chave em matéria de governaçã</w:t>
      </w:r>
      <w:r>
        <w:rPr>
          <w:rFonts w:ascii="Times New Roman" w:hAnsi="Times New Roman"/>
          <w:noProof/>
        </w:rPr>
        <w:t>o.</w:t>
      </w:r>
    </w:p>
    <w:p w:rsidR="00737A53" w:rsidRDefault="0076469E">
      <w:pPr>
        <w:spacing w:after="120"/>
        <w:jc w:val="both"/>
        <w:rPr>
          <w:rFonts w:ascii="Times New Roman" w:hAnsi="Times New Roman" w:cs="Times New Roman"/>
          <w:noProof/>
        </w:rPr>
      </w:pPr>
      <w:r>
        <w:rPr>
          <w:rFonts w:ascii="Times New Roman" w:hAnsi="Times New Roman"/>
          <w:noProof/>
        </w:rPr>
        <w:t>Em 2018, a UE e os seus Estados-Membros centraram-se na aplicação do Consenso Europeu sobre o Desenvolvimento de junho de 2017</w:t>
      </w:r>
      <w:r>
        <w:rPr>
          <w:rStyle w:val="FootnoteReference"/>
          <w:rFonts w:ascii="Times New Roman" w:hAnsi="Times New Roman" w:cs="Times New Roman"/>
          <w:noProof/>
        </w:rPr>
        <w:footnoteReference w:id="7"/>
      </w:r>
      <w:r>
        <w:rPr>
          <w:rFonts w:ascii="Times New Roman" w:hAnsi="Times New Roman"/>
          <w:noProof/>
        </w:rPr>
        <w:t xml:space="preserve">. O Consenso define uma abordagem comum no que respeita à política de desenvolvimento e de cooperação internacional e à forma </w:t>
      </w:r>
      <w:r>
        <w:rPr>
          <w:rFonts w:ascii="Times New Roman" w:hAnsi="Times New Roman"/>
          <w:noProof/>
        </w:rPr>
        <w:t>como a ação externa da UE pode contribuir para a concretização, com sucesso, da Agenda 2030 para o Desenvolvimento Sustentável. Reconhecendo que a segurança alimentar e nutricional é um grande desafio global, identifica a agricultura e a pesca sustentáveis</w:t>
      </w:r>
      <w:r>
        <w:rPr>
          <w:rFonts w:ascii="Times New Roman" w:hAnsi="Times New Roman"/>
          <w:noProof/>
        </w:rPr>
        <w:t xml:space="preserve"> como elementos-chave na </w:t>
      </w:r>
      <w:r>
        <w:rPr>
          <w:rFonts w:ascii="Times New Roman" w:hAnsi="Times New Roman"/>
          <w:noProof/>
          <w:spacing w:val="6"/>
        </w:rPr>
        <w:t>luta contra a pobreza e as desigualdades crescentes. Também exorta a UE e os seus Estados-</w:t>
      </w:r>
      <w:r>
        <w:rPr>
          <w:rFonts w:ascii="Times New Roman" w:hAnsi="Times New Roman"/>
          <w:noProof/>
        </w:rPr>
        <w:t xml:space="preserve">Membros a continuarem os esforços para erradicar a fome e todas as formas de subnutrição. </w:t>
      </w:r>
    </w:p>
    <w:p w:rsidR="00737A53" w:rsidRDefault="0076469E">
      <w:pPr>
        <w:spacing w:after="120"/>
        <w:jc w:val="both"/>
        <w:rPr>
          <w:rFonts w:ascii="Times New Roman" w:hAnsi="Times New Roman" w:cs="Times New Roman"/>
          <w:noProof/>
        </w:rPr>
      </w:pPr>
      <w:r>
        <w:rPr>
          <w:rFonts w:ascii="Times New Roman" w:hAnsi="Times New Roman"/>
          <w:noProof/>
        </w:rPr>
        <w:t>A nível global, os esforços da UE e dos seus Estad</w:t>
      </w:r>
      <w:r>
        <w:rPr>
          <w:rFonts w:ascii="Times New Roman" w:hAnsi="Times New Roman"/>
          <w:noProof/>
        </w:rPr>
        <w:t>os-Membros continuaram a: i) reforçar a governação em matéria de segurança alimentar e nutricional, nomeadamente através do Comité da Segurança Alimentar Mundial e do movimento Fomento da Nutrição (SUN); e ii) defender um novo mecanismo de coordenação glob</w:t>
      </w:r>
      <w:r>
        <w:rPr>
          <w:rFonts w:ascii="Times New Roman" w:hAnsi="Times New Roman"/>
          <w:noProof/>
        </w:rPr>
        <w:t>al para erradicar as crises alimentares. Através do seu apoio à «Rede Mundial contra as Crises Alimentares», a UE continuou a desempenhar um papel importante e a cumprir o seu compromisso de trabalhar multilateralmente no sentido de reforçar o trinómio aju</w:t>
      </w:r>
      <w:r>
        <w:rPr>
          <w:rFonts w:ascii="Times New Roman" w:hAnsi="Times New Roman"/>
          <w:noProof/>
        </w:rPr>
        <w:t xml:space="preserve">da humanitária-desenvolvimento-paz (TERM) (prioridade 6). Esta abordagem integrada das crises reúne todos os principais atores e promove ativamente a coordenação e colaboração no terreno. O Relatório Mundial sobre Crises Alimentares, elaborado anualmente, </w:t>
      </w:r>
      <w:r>
        <w:rPr>
          <w:rFonts w:ascii="Times New Roman" w:hAnsi="Times New Roman"/>
          <w:noProof/>
        </w:rPr>
        <w:t xml:space="preserve">reúne 16 importantes instituições mundiais e regionais no âmbito da Rede de Informação sobre Segurança Alimentar e é hoje amplamente reconhecido como a referência para a análise das crises alimentares baseada em consensos. Em 2018, a Rede Mundial preparou </w:t>
      </w:r>
      <w:r>
        <w:rPr>
          <w:rFonts w:ascii="Times New Roman" w:hAnsi="Times New Roman"/>
          <w:noProof/>
        </w:rPr>
        <w:t>a conferência «Food and agriculture in times of crisis» [Alimentação e agricultura em tempos de crise], que decorreu no início de 2019 em Bruxelas.</w:t>
      </w:r>
    </w:p>
    <w:p w:rsidR="00737A53" w:rsidRDefault="0076469E">
      <w:pPr>
        <w:spacing w:after="120"/>
        <w:jc w:val="both"/>
        <w:rPr>
          <w:rFonts w:ascii="Times New Roman" w:hAnsi="Times New Roman" w:cs="Times New Roman"/>
          <w:noProof/>
        </w:rPr>
      </w:pPr>
      <w:r>
        <w:rPr>
          <w:rFonts w:ascii="Times New Roman" w:hAnsi="Times New Roman"/>
          <w:noProof/>
        </w:rPr>
        <w:t>Enquanto parte do esforço global para combater a subnutrição, a UE tem trabalhado ativamente na área da desnutrição, em particular para prevenir atrasos de crescimento nas crianças. A Comissão comprometeu-se a mobilizar 3,5 mil milhões de EUR até 2020 para</w:t>
      </w:r>
      <w:r>
        <w:rPr>
          <w:rFonts w:ascii="Times New Roman" w:hAnsi="Times New Roman"/>
          <w:noProof/>
        </w:rPr>
        <w:t xml:space="preserve"> reduzir o número de crianças com atrasos de crescimento em países parceiros em pelo menos 7 milhões até 2025. Nas suas conclusões de 26 de novembro de 2018, o Conselho reconheceu os esforços da Comissão para honrar os compromissos da UE e para mobilizar t</w:t>
      </w:r>
      <w:r>
        <w:rPr>
          <w:rFonts w:ascii="Times New Roman" w:hAnsi="Times New Roman"/>
          <w:noProof/>
        </w:rPr>
        <w:t xml:space="preserve">odos os setores relevantes no apoio à agenda da nutrição a nível mundial e a nível dos países parceiros. O 4.º relatório intercalar sobre o </w:t>
      </w:r>
      <w:r>
        <w:rPr>
          <w:rFonts w:ascii="Times New Roman" w:hAnsi="Times New Roman"/>
          <w:i/>
          <w:noProof/>
        </w:rPr>
        <w:t>Plano de Ação da UE em matéria de nutrição,</w:t>
      </w:r>
      <w:r>
        <w:rPr>
          <w:rFonts w:ascii="Times New Roman" w:hAnsi="Times New Roman"/>
          <w:noProof/>
        </w:rPr>
        <w:t xml:space="preserve"> publicado em 2019</w:t>
      </w:r>
      <w:r>
        <w:rPr>
          <w:rStyle w:val="FootnoteReference"/>
          <w:rFonts w:ascii="Times New Roman" w:hAnsi="Times New Roman" w:cs="Times New Roman"/>
          <w:noProof/>
        </w:rPr>
        <w:footnoteReference w:id="8"/>
      </w:r>
      <w:r>
        <w:rPr>
          <w:rFonts w:ascii="Times New Roman" w:hAnsi="Times New Roman"/>
          <w:noProof/>
        </w:rPr>
        <w:t>, confirmou que o</w:t>
      </w:r>
      <w:r>
        <w:rPr>
          <w:rFonts w:ascii="Times New Roman" w:hAnsi="Times New Roman"/>
          <w:noProof/>
          <w:color w:val="000000" w:themeColor="text1"/>
        </w:rPr>
        <w:t>s investimentos da Comissão relaciona</w:t>
      </w:r>
      <w:r>
        <w:rPr>
          <w:rFonts w:ascii="Times New Roman" w:hAnsi="Times New Roman"/>
          <w:noProof/>
          <w:color w:val="000000" w:themeColor="text1"/>
        </w:rPr>
        <w:t>dos com a nutrição estavam no bom caminho para cumprir o compromisso político da UE.</w:t>
      </w:r>
      <w:r>
        <w:rPr>
          <w:rFonts w:ascii="Times New Roman" w:hAnsi="Times New Roman"/>
          <w:noProof/>
        </w:rPr>
        <w:t xml:space="preserve"> Em 42 países parceiros, a prevalência de atrasos de crescimento diminuiu de 39,2 % em 2012 para 34,9 % em 2019. Com base nas atuais tendências, estima-se que 4,7 milhões d</w:t>
      </w:r>
      <w:r>
        <w:rPr>
          <w:rFonts w:ascii="Times New Roman" w:hAnsi="Times New Roman"/>
          <w:noProof/>
        </w:rPr>
        <w:t>e crianças nestes países conseguirão escapar a atrasos de crescimento. O compromisso de afetar 3,5 mil milhões de EUR até 2020 foi cumprido antes do previsto, em 2019.</w:t>
      </w:r>
    </w:p>
    <w:p w:rsidR="00737A53" w:rsidRDefault="0076469E">
      <w:pPr>
        <w:spacing w:after="120"/>
        <w:jc w:val="both"/>
        <w:rPr>
          <w:rFonts w:ascii="Times New Roman" w:hAnsi="Times New Roman" w:cs="Times New Roman"/>
          <w:noProof/>
        </w:rPr>
      </w:pPr>
      <w:r>
        <w:rPr>
          <w:rFonts w:ascii="Times New Roman" w:hAnsi="Times New Roman"/>
          <w:noProof/>
        </w:rPr>
        <w:t>Em consonância com o 2.º Plano de Ação da UE sobre o Género (GAPII), prosseguiram os esf</w:t>
      </w:r>
      <w:r>
        <w:rPr>
          <w:rFonts w:ascii="Times New Roman" w:hAnsi="Times New Roman"/>
          <w:noProof/>
        </w:rPr>
        <w:t>orços para uma abordagem transformadora em termos de melhoria da igualdade de género. O papel crítico das mulheres ao longo das cadeias de valor agroalimentares no que toca a gerir os recursos naturais e garantir a segurança alimentar e nutricional é plena</w:t>
      </w:r>
      <w:r>
        <w:rPr>
          <w:rFonts w:ascii="Times New Roman" w:hAnsi="Times New Roman"/>
          <w:noProof/>
        </w:rPr>
        <w:t xml:space="preserve">mente reconhecido. </w:t>
      </w:r>
      <w:r>
        <w:rPr>
          <w:rFonts w:ascii="Times New Roman" w:hAnsi="Times New Roman" w:cs="Times New Roman"/>
          <w:noProof/>
        </w:rPr>
        <w:t>O número de contratos sensíveis às questões de género aumentou de 37 % em 2014 para 57 % em 2018</w:t>
      </w:r>
      <w:r>
        <w:rPr>
          <w:rStyle w:val="FootnoteReference"/>
          <w:rFonts w:ascii="Times New Roman" w:hAnsi="Times New Roman" w:cs="Times New Roman"/>
          <w:noProof/>
        </w:rPr>
        <w:footnoteReference w:id="9"/>
      </w:r>
      <w:r>
        <w:rPr>
          <w:rFonts w:ascii="Times New Roman" w:hAnsi="Times New Roman" w:cs="Times New Roman"/>
          <w:noProof/>
        </w:rPr>
        <w:t xml:space="preserve">. </w:t>
      </w:r>
    </w:p>
    <w:p w:rsidR="00737A53" w:rsidRDefault="0076469E">
      <w:pPr>
        <w:spacing w:after="120"/>
        <w:jc w:val="both"/>
        <w:rPr>
          <w:rFonts w:ascii="Times New Roman" w:hAnsi="Times New Roman" w:cs="Times New Roman"/>
          <w:noProof/>
        </w:rPr>
      </w:pPr>
      <w:r>
        <w:rPr>
          <w:rFonts w:ascii="Times New Roman" w:hAnsi="Times New Roman" w:cs="Times New Roman"/>
          <w:noProof/>
        </w:rPr>
        <w:t xml:space="preserve">Na cimeira «One Planet Summit» em 2017, a UE prometeu 270 milhões de EUR para apoiar a resiliência às alterações climáticas e a inovação </w:t>
      </w:r>
      <w:r>
        <w:rPr>
          <w:rFonts w:ascii="Times New Roman" w:hAnsi="Times New Roman" w:cs="Times New Roman"/>
          <w:noProof/>
        </w:rPr>
        <w:t>agrícola tendo em vista uma transformação rural sustentável. Com o apoio financeiro da França, a Comissão lançou a iniciativa DeSIRA</w:t>
      </w:r>
      <w:r>
        <w:rPr>
          <w:rStyle w:val="FootnoteReference"/>
          <w:rFonts w:ascii="Times New Roman" w:hAnsi="Times New Roman" w:cs="Times New Roman"/>
          <w:noProof/>
        </w:rPr>
        <w:footnoteReference w:id="10"/>
      </w:r>
      <w:r>
        <w:rPr>
          <w:rFonts w:ascii="Times New Roman" w:hAnsi="Times New Roman" w:cs="Times New Roman"/>
          <w:noProof/>
        </w:rPr>
        <w:t xml:space="preserve"> para reforçar a ligação entre a investigação e inovação em sistemas alimentares resilientes às alterações climáticas e rec</w:t>
      </w:r>
      <w:r>
        <w:rPr>
          <w:rFonts w:ascii="Times New Roman" w:hAnsi="Times New Roman" w:cs="Times New Roman"/>
          <w:noProof/>
        </w:rPr>
        <w:t>olher dados para apoiar o desenvolvimento de políticas em países de baixos e médios rendimentos. A iniciativa</w:t>
      </w:r>
      <w:r>
        <w:rPr>
          <w:rFonts w:ascii="Times New Roman" w:hAnsi="Times New Roman"/>
          <w:noProof/>
        </w:rPr>
        <w:t xml:space="preserve"> DeSIRA apoia projetos de investigação e inovação em África, na Ásia e na América Latina e reforça as capacidades de inovação e governação por part</w:t>
      </w:r>
      <w:r>
        <w:rPr>
          <w:rFonts w:ascii="Times New Roman" w:hAnsi="Times New Roman"/>
          <w:noProof/>
        </w:rPr>
        <w:t>e dos principais intervenientes a nível nacional, regional e mundial. Articula-se em torno de três eixos: 1) Investigação e inovação em sistemas agroalimentares; 2) Infraestruturas de investigação conducentes à inovação e 3) Conhecimento e dados factuais p</w:t>
      </w:r>
      <w:r>
        <w:rPr>
          <w:rFonts w:ascii="Times New Roman" w:hAnsi="Times New Roman"/>
          <w:noProof/>
        </w:rPr>
        <w:t>ara fomentar a conceção de políticas. Desde 2018, foram adotados mais de 40 projetos em mais de 31 países e seis Estados-Membros</w:t>
      </w:r>
      <w:r>
        <w:rPr>
          <w:rStyle w:val="FootnoteReference"/>
          <w:rFonts w:ascii="Times New Roman" w:hAnsi="Times New Roman" w:cs="Times New Roman"/>
          <w:noProof/>
        </w:rPr>
        <w:footnoteReference w:id="11"/>
      </w:r>
      <w:r>
        <w:rPr>
          <w:rFonts w:ascii="Times New Roman" w:hAnsi="Times New Roman"/>
          <w:noProof/>
        </w:rPr>
        <w:t xml:space="preserve"> canalizaram fundos adicionais para a iniciativa DeSIRA a fim de reforçar as sinergias com as suas carteiras de investigação e </w:t>
      </w:r>
      <w:r>
        <w:rPr>
          <w:rFonts w:ascii="Times New Roman" w:hAnsi="Times New Roman"/>
          <w:noProof/>
        </w:rPr>
        <w:t xml:space="preserve">inovação bilaterais e multilaterais no domínio da agricultura e do desenvolvimento rural. </w:t>
      </w:r>
    </w:p>
    <w:p w:rsidR="00737A53" w:rsidRDefault="0076469E">
      <w:pPr>
        <w:spacing w:after="120"/>
        <w:jc w:val="both"/>
        <w:rPr>
          <w:rFonts w:ascii="Times New Roman" w:hAnsi="Times New Roman" w:cs="Times New Roman"/>
          <w:noProof/>
        </w:rPr>
      </w:pPr>
      <w:r>
        <w:rPr>
          <w:rFonts w:ascii="Times New Roman" w:hAnsi="Times New Roman"/>
          <w:noProof/>
        </w:rPr>
        <w:t>A Parceria UE-África nos domínios da investigação e inovação sobre segurança alimentar e nutricional e agricultura sustentável está a implementar um roteiro UE-União</w:t>
      </w:r>
      <w:r>
        <w:rPr>
          <w:rFonts w:ascii="Times New Roman" w:hAnsi="Times New Roman"/>
          <w:noProof/>
        </w:rPr>
        <w:t xml:space="preserve"> Africana (2016-2020) comummente acordado. Até ao final de 2020, será mobilizado um financiamento na ordem dos 190 milhões de EUR ao abrigo do programa Horizonte 2020, através do Regime de Subvenções à Investigação da União Africana e através de um regime </w:t>
      </w:r>
      <w:r>
        <w:rPr>
          <w:rFonts w:ascii="Times New Roman" w:hAnsi="Times New Roman"/>
          <w:noProof/>
        </w:rPr>
        <w:t>de financiamento conjunto (LEAP-AGRI ERANet) de 10 Estados-Membros da UE e 9 Estados-Membros da UA. No total, são financiados cerca de 100 projetos</w:t>
      </w:r>
      <w:r>
        <w:rPr>
          <w:rStyle w:val="FootnoteReference"/>
          <w:rFonts w:ascii="Times New Roman" w:hAnsi="Times New Roman" w:cs="Times New Roman"/>
          <w:noProof/>
        </w:rPr>
        <w:footnoteReference w:id="12"/>
      </w:r>
      <w:r>
        <w:rPr>
          <w:rFonts w:ascii="Times New Roman" w:hAnsi="Times New Roman"/>
          <w:noProof/>
        </w:rPr>
        <w:t>.</w:t>
      </w:r>
    </w:p>
    <w:p w:rsidR="00737A53" w:rsidRDefault="0076469E">
      <w:pPr>
        <w:spacing w:after="120"/>
        <w:jc w:val="both"/>
        <w:rPr>
          <w:rFonts w:ascii="Times New Roman" w:hAnsi="Times New Roman" w:cs="Times New Roman"/>
          <w:noProof/>
        </w:rPr>
      </w:pPr>
      <w:r>
        <w:rPr>
          <w:rFonts w:ascii="Times New Roman" w:hAnsi="Times New Roman"/>
          <w:noProof/>
        </w:rPr>
        <w:t>Dois eventos reforçaram a cooperação entre a União Africana e a UE. A Conferência Ministerial União Africa</w:t>
      </w:r>
      <w:r>
        <w:rPr>
          <w:rFonts w:ascii="Times New Roman" w:hAnsi="Times New Roman"/>
          <w:noProof/>
        </w:rPr>
        <w:t>na - UE de 2019 permitiu chegar a acordo sobre 10 pontos de ação, incluindo o estabelecimento da Rede Pan-Africana para a Análise Económica de Políticas (PANAP), que visa a partilha de conhecimento sobre análises de impacto das políticas em países subsaria</w:t>
      </w:r>
      <w:r>
        <w:rPr>
          <w:rFonts w:ascii="Times New Roman" w:hAnsi="Times New Roman"/>
          <w:noProof/>
        </w:rPr>
        <w:t>nos. O Diálogo de Alto Nível (HLPD) de 2019 entre a União Africana e a UE nos domínios da Ciência, Tecnologia e Inovação visa uma melhor utilização dos resultados da investigação e a sua tradução em produtos e processos que aumentam a produção de alimentos</w:t>
      </w:r>
      <w:r>
        <w:rPr>
          <w:rFonts w:ascii="Times New Roman" w:hAnsi="Times New Roman"/>
          <w:noProof/>
        </w:rPr>
        <w:t xml:space="preserve"> de elevada qualidade com matérias-primas adequadas, reforçam o crescimento do rendimento e promovem o desenvolvimento rural em ambas as regiões.</w:t>
      </w:r>
    </w:p>
    <w:p w:rsidR="00737A53" w:rsidRDefault="0076469E">
      <w:pPr>
        <w:spacing w:after="120"/>
        <w:jc w:val="both"/>
        <w:rPr>
          <w:rFonts w:ascii="Times New Roman" w:hAnsi="Times New Roman" w:cs="Times New Roman"/>
          <w:noProof/>
        </w:rPr>
      </w:pPr>
      <w:r>
        <w:rPr>
          <w:rFonts w:ascii="Times New Roman" w:hAnsi="Times New Roman"/>
          <w:noProof/>
        </w:rPr>
        <w:t>A UE e os seus Estados-Membros fizeram progressos no reforço da ligação entre os agricultores de pequena escal</w:t>
      </w:r>
      <w:r>
        <w:rPr>
          <w:rFonts w:ascii="Times New Roman" w:hAnsi="Times New Roman"/>
          <w:noProof/>
        </w:rPr>
        <w:t>a e as pequenas e médias empresas (PME) e na canalização dos seus investimentos para a criação de oportunidades de emprego nas zonas rurais, especialmente para os jovens e as mulheres. Em 2018, foi adotada uma Comunicação sobre uma nova Aliança África-Euro</w:t>
      </w:r>
      <w:r>
        <w:rPr>
          <w:rFonts w:ascii="Times New Roman" w:hAnsi="Times New Roman"/>
          <w:noProof/>
        </w:rPr>
        <w:t>pa para investimentos e empregos sustentáveis</w:t>
      </w:r>
      <w:r>
        <w:rPr>
          <w:rFonts w:ascii="Times New Roman" w:hAnsi="Times New Roman" w:cs="Times New Roman"/>
          <w:noProof/>
          <w:vertAlign w:val="superscript"/>
        </w:rPr>
        <w:footnoteReference w:id="13"/>
      </w:r>
      <w:r>
        <w:rPr>
          <w:rFonts w:ascii="Times New Roman" w:hAnsi="Times New Roman"/>
          <w:noProof/>
        </w:rPr>
        <w:t>, com vista a criar emprego e a promover um desenvolvimento sustentável e inclusivo. Foi criado um grupo de trabalho para a África rural para fomentar a criação de emprego na agricultura e no setor agroalimenta</w:t>
      </w:r>
      <w:r>
        <w:rPr>
          <w:rFonts w:ascii="Times New Roman" w:hAnsi="Times New Roman"/>
          <w:noProof/>
        </w:rPr>
        <w:t xml:space="preserve">r. Os principais instrumentos da UE para incentivar o investimento em África (incluindo através da mobilização de outras fontes de financiamento para desenvolver a agricultura) são o Plano de Investimento Externo e o Fundo Fiduciário para África. </w:t>
      </w:r>
    </w:p>
    <w:p w:rsidR="00737A53" w:rsidRDefault="0076469E">
      <w:pPr>
        <w:spacing w:after="120"/>
        <w:jc w:val="both"/>
        <w:rPr>
          <w:rFonts w:ascii="Times New Roman" w:hAnsi="Times New Roman" w:cs="Times New Roman"/>
          <w:noProof/>
        </w:rPr>
      </w:pPr>
      <w:r>
        <w:rPr>
          <w:rFonts w:ascii="Times New Roman" w:hAnsi="Times New Roman"/>
          <w:noProof/>
        </w:rPr>
        <w:t>No que r</w:t>
      </w:r>
      <w:r>
        <w:rPr>
          <w:rFonts w:ascii="Times New Roman" w:hAnsi="Times New Roman"/>
          <w:noProof/>
        </w:rPr>
        <w:t>espeita à coordenação multilateral, a Comissão e cinco Estados-Membros</w:t>
      </w:r>
      <w:r>
        <w:rPr>
          <w:rStyle w:val="FootnoteReference"/>
          <w:rFonts w:ascii="Times New Roman" w:hAnsi="Times New Roman" w:cs="Times New Roman"/>
          <w:noProof/>
        </w:rPr>
        <w:footnoteReference w:id="14"/>
      </w:r>
      <w:r>
        <w:rPr>
          <w:rFonts w:ascii="Times New Roman" w:hAnsi="Times New Roman"/>
          <w:noProof/>
        </w:rPr>
        <w:t xml:space="preserve"> continuam como membros do conselho de administração da Plataforma Mundial dos Doadores para o Desenvolvimento Rural (GDPRD). Na GDPRD, a UE está fortemente empenhada no grupo de trabal</w:t>
      </w:r>
      <w:r>
        <w:rPr>
          <w:rFonts w:ascii="Times New Roman" w:hAnsi="Times New Roman"/>
          <w:noProof/>
        </w:rPr>
        <w:t>ho dos doadores mundiais sobre as terras (Global Donor Working Group on Land). A UE e 28 parceiros comprometeram-se a aumentar a coordenação e partilha de conhecimento em programas de governação fundiária, e apoiam em conjunto soluções para questões fundiá</w:t>
      </w:r>
      <w:r>
        <w:rPr>
          <w:rFonts w:ascii="Times New Roman" w:hAnsi="Times New Roman"/>
          <w:noProof/>
        </w:rPr>
        <w:t>rias em processos políticos. Em 2018, a UE adotou um programa de governação fundiária</w:t>
      </w:r>
      <w:r>
        <w:rPr>
          <w:rStyle w:val="FootnoteReference"/>
          <w:rFonts w:ascii="Times New Roman" w:hAnsi="Times New Roman" w:cs="Times New Roman"/>
          <w:noProof/>
        </w:rPr>
        <w:footnoteReference w:id="15"/>
      </w:r>
      <w:r>
        <w:rPr>
          <w:rFonts w:ascii="Times New Roman" w:hAnsi="Times New Roman"/>
          <w:noProof/>
        </w:rPr>
        <w:t xml:space="preserve"> que visa fomentar o investimento em terrenos para aumentar a produtividade agrícola e o desenvolvimento sustentável. </w:t>
      </w:r>
    </w:p>
    <w:p w:rsidR="00737A53" w:rsidRDefault="00737A53">
      <w:pPr>
        <w:spacing w:after="120"/>
        <w:jc w:val="both"/>
        <w:rPr>
          <w:rFonts w:ascii="Times New Roman" w:hAnsi="Times New Roman" w:cs="Times New Roman"/>
          <w:noProof/>
        </w:rPr>
      </w:pPr>
    </w:p>
    <w:p w:rsidR="00737A53" w:rsidRPr="0076469E" w:rsidRDefault="0076469E">
      <w:pPr>
        <w:pStyle w:val="Heading1"/>
        <w:spacing w:after="120"/>
        <w:rPr>
          <w:rFonts w:ascii="Times New Roman" w:hAnsi="Times New Roman" w:cs="Times New Roman"/>
          <w:b/>
          <w:noProof/>
          <w:color w:val="auto"/>
          <w:sz w:val="24"/>
          <w:szCs w:val="24"/>
        </w:rPr>
      </w:pPr>
      <w:r w:rsidRPr="0076469E">
        <w:rPr>
          <w:rFonts w:ascii="Times New Roman" w:hAnsi="Times New Roman"/>
          <w:b/>
          <w:noProof/>
          <w:color w:val="auto"/>
          <w:sz w:val="24"/>
          <w:szCs w:val="24"/>
        </w:rPr>
        <w:t>3. INFORMAÇÃO FINANCEIRA E PROGRESSOS REALIZADOS</w:t>
      </w:r>
    </w:p>
    <w:p w:rsidR="00737A53" w:rsidRDefault="0076469E">
      <w:pPr>
        <w:spacing w:after="120"/>
        <w:jc w:val="both"/>
        <w:rPr>
          <w:rFonts w:ascii="Times New Roman" w:hAnsi="Times New Roman" w:cs="Times New Roman"/>
          <w:noProof/>
        </w:rPr>
      </w:pPr>
      <w:r>
        <w:rPr>
          <w:rFonts w:ascii="Times New Roman" w:hAnsi="Times New Roman"/>
          <w:noProof/>
        </w:rPr>
        <w:t>Esta secção fornece uma panorâmica dos desembolsos para segurança alimentar e nutricional efetuados pela UE e os seus Estados-Membros, bem como dos progressos mais recentes no que respeita às prioridades estratégicas.</w:t>
      </w:r>
    </w:p>
    <w:p w:rsidR="00737A53" w:rsidRDefault="0076469E">
      <w:pPr>
        <w:keepNext/>
        <w:keepLines/>
        <w:spacing w:after="120"/>
        <w:jc w:val="both"/>
        <w:outlineLvl w:val="0"/>
        <w:rPr>
          <w:rFonts w:ascii="Times New Roman" w:hAnsi="Times New Roman" w:cs="Times New Roman"/>
          <w:noProof/>
          <w:vertAlign w:val="superscript"/>
        </w:rPr>
      </w:pPr>
      <w:r>
        <w:rPr>
          <w:rFonts w:ascii="Times New Roman" w:hAnsi="Times New Roman"/>
          <w:b/>
          <w:noProof/>
        </w:rPr>
        <w:t>Desembolsos</w:t>
      </w:r>
      <w:r>
        <w:rPr>
          <w:rFonts w:ascii="Times New Roman" w:hAnsi="Times New Roman" w:cs="Times New Roman"/>
          <w:noProof/>
          <w:vertAlign w:val="superscript"/>
        </w:rPr>
        <w:footnoteReference w:id="16"/>
      </w:r>
    </w:p>
    <w:p w:rsidR="00737A53" w:rsidRDefault="0076469E">
      <w:pPr>
        <w:spacing w:after="120"/>
        <w:jc w:val="both"/>
        <w:rPr>
          <w:rFonts w:ascii="Times New Roman" w:eastAsia="Times New Roman" w:hAnsi="Times New Roman" w:cs="Times New Roman"/>
          <w:noProof/>
        </w:rPr>
      </w:pPr>
      <w:r>
        <w:rPr>
          <w:rFonts w:ascii="Times New Roman" w:hAnsi="Times New Roman"/>
          <w:noProof/>
        </w:rPr>
        <w:t>Desde 2012, a Ajuda Públi</w:t>
      </w:r>
      <w:r>
        <w:rPr>
          <w:rFonts w:ascii="Times New Roman" w:hAnsi="Times New Roman"/>
          <w:noProof/>
        </w:rPr>
        <w:t xml:space="preserve">ca ao Desenvolvimento (APD) da UE e dos seus Estados-Membros para a segurança alimentar e nutricional tem aumentado constantemente, ascendendo a 5 027 milhões de EUR em 2018, um aumento de 19,7 % em relação a 2016. Isso representou 8,1 % dos fluxos totais </w:t>
      </w:r>
      <w:r>
        <w:rPr>
          <w:rFonts w:ascii="Times New Roman" w:hAnsi="Times New Roman"/>
          <w:noProof/>
        </w:rPr>
        <w:t>de APD em 2018, o nível mais elevado desde 2012.</w:t>
      </w:r>
    </w:p>
    <w:p w:rsidR="00737A53" w:rsidRDefault="0076469E">
      <w:pPr>
        <w:spacing w:after="120"/>
        <w:jc w:val="both"/>
        <w:rPr>
          <w:rFonts w:ascii="Times New Roman" w:eastAsia="Times New Roman" w:hAnsi="Times New Roman" w:cs="Times New Roman"/>
          <w:noProof/>
        </w:rPr>
      </w:pPr>
      <w:r>
        <w:rPr>
          <w:rFonts w:ascii="Times New Roman" w:hAnsi="Times New Roman"/>
          <w:noProof/>
        </w:rPr>
        <w:t>Do ponto de vista da conceção das políticas, os desembolsos a nível nacional continuaram a constituir a maior parte da APD desde 2012, representando 66 % em 2018. A proporção dos desembolsos a nível regional</w:t>
      </w:r>
      <w:r>
        <w:rPr>
          <w:rFonts w:ascii="Times New Roman" w:hAnsi="Times New Roman"/>
          <w:noProof/>
        </w:rPr>
        <w:t xml:space="preserve"> manteve-se estável em 2018 quando comparado com 2016, mas o volume quase triplicou desde 2012. Ultrapassando os mil milhões de EUR, a despesa em iniciativas mundiais e no fornecimento de bens públicos mundiais aumentou em 2018, após uma ligeira redução em</w:t>
      </w:r>
      <w:r>
        <w:rPr>
          <w:rFonts w:ascii="Times New Roman" w:hAnsi="Times New Roman"/>
          <w:noProof/>
        </w:rPr>
        <w:t xml:space="preserve"> 2014 e 2016. </w:t>
      </w:r>
    </w:p>
    <w:p w:rsidR="00737A53" w:rsidRDefault="0076469E">
      <w:pPr>
        <w:spacing w:after="120"/>
        <w:jc w:val="both"/>
        <w:rPr>
          <w:rFonts w:ascii="Times New Roman" w:eastAsia="Times New Roman" w:hAnsi="Times New Roman" w:cs="Times New Roman"/>
          <w:noProof/>
        </w:rPr>
      </w:pPr>
      <w:r>
        <w:rPr>
          <w:rFonts w:ascii="Times New Roman" w:hAnsi="Times New Roman"/>
          <w:noProof/>
        </w:rPr>
        <w:t>Em 2018, a região da África Subsariana continuou a ser o maior beneficiário do apoio em matéria de segurança alimentar e nutricional, recebendo cerca de metade de todos os desembolsos. A quota conjunta de financiamento em matéria de seguranç</w:t>
      </w:r>
      <w:r>
        <w:rPr>
          <w:rFonts w:ascii="Times New Roman" w:hAnsi="Times New Roman"/>
          <w:noProof/>
        </w:rPr>
        <w:t>a alimentar e nutricional canalizada para a América do Norte, Central e do Sul tem-se mantido relativamente estável desde 2012, oscilando em torno dos 6 %. Embora o apoio em matéria de segurança alimentar e nutricional nos países vizinhos tenha vindo a aum</w:t>
      </w:r>
      <w:r>
        <w:rPr>
          <w:rFonts w:ascii="Times New Roman" w:hAnsi="Times New Roman"/>
          <w:noProof/>
        </w:rPr>
        <w:t xml:space="preserve">entar desde 2012, continua ainda assim a representar uma pequena percentagem do total de desembolsos para segurança alimentar e nutricional (em média, 6,7 % por ano). </w:t>
      </w:r>
    </w:p>
    <w:p w:rsidR="00737A53" w:rsidRDefault="0076469E">
      <w:pPr>
        <w:spacing w:after="120"/>
        <w:jc w:val="both"/>
        <w:rPr>
          <w:rFonts w:ascii="Times New Roman" w:eastAsia="Times New Roman" w:hAnsi="Times New Roman" w:cs="Times New Roman"/>
          <w:noProof/>
        </w:rPr>
      </w:pPr>
      <w:r>
        <w:rPr>
          <w:rFonts w:ascii="Times New Roman" w:hAnsi="Times New Roman"/>
          <w:noProof/>
        </w:rPr>
        <w:t>Em 2018, foram apoiadas muitas atividades, sobretudo nos domínios do desenvolvimento agr</w:t>
      </w:r>
      <w:r>
        <w:rPr>
          <w:rFonts w:ascii="Times New Roman" w:hAnsi="Times New Roman"/>
          <w:noProof/>
        </w:rPr>
        <w:t>ícola sustentável, assistência alimentar, desenvolvimento rural, nutrição de base e investigação agrícola, que representaram cerca de metade do financiamento total</w:t>
      </w:r>
      <w:r>
        <w:rPr>
          <w:rStyle w:val="FootnoteReference"/>
          <w:rFonts w:ascii="Times New Roman" w:eastAsia="Times New Roman" w:hAnsi="Times New Roman" w:cs="Times New Roman"/>
          <w:noProof/>
        </w:rPr>
        <w:footnoteReference w:id="17"/>
      </w:r>
      <w:r>
        <w:rPr>
          <w:rFonts w:ascii="Times New Roman" w:hAnsi="Times New Roman"/>
          <w:noProof/>
        </w:rPr>
        <w:t>.</w:t>
      </w:r>
    </w:p>
    <w:p w:rsidR="00737A53" w:rsidRDefault="00737A53">
      <w:pPr>
        <w:spacing w:after="120"/>
        <w:jc w:val="both"/>
        <w:rPr>
          <w:rFonts w:ascii="Times New Roman" w:hAnsi="Times New Roman" w:cs="Times New Roman"/>
          <w:noProof/>
        </w:rPr>
      </w:pPr>
    </w:p>
    <w:p w:rsidR="00737A53" w:rsidRDefault="0076469E">
      <w:pPr>
        <w:spacing w:after="120"/>
        <w:outlineLvl w:val="0"/>
        <w:rPr>
          <w:rFonts w:ascii="Times New Roman" w:hAnsi="Times New Roman" w:cs="Times New Roman"/>
          <w:b/>
          <w:noProof/>
        </w:rPr>
      </w:pPr>
      <w:r>
        <w:rPr>
          <w:rFonts w:ascii="Times New Roman Bold" w:hAnsi="Times New Roman Bold"/>
          <w:b/>
          <w:noProof/>
          <w:spacing w:val="6"/>
        </w:rPr>
        <w:t>Quadro 1: Distribuição geográfica dos desembolsos de ajuda da UE e dos seus Estados-</w:t>
      </w:r>
      <w:r>
        <w:rPr>
          <w:rFonts w:ascii="Times New Roman" w:hAnsi="Times New Roman"/>
          <w:b/>
          <w:noProof/>
        </w:rPr>
        <w:t>Membr</w:t>
      </w:r>
      <w:r>
        <w:rPr>
          <w:rFonts w:ascii="Times New Roman" w:hAnsi="Times New Roman"/>
          <w:b/>
          <w:noProof/>
        </w:rPr>
        <w:t>os para a segurança alimentar e nutricional em 2012, 2014, 2016 e 2018. Em milhões de EUR e em percentagem</w:t>
      </w:r>
      <w:r>
        <w:rPr>
          <w:rFonts w:ascii="Times New Roman" w:hAnsi="Times New Roman" w:cs="Times New Roman"/>
          <w:b/>
          <w:noProof/>
          <w:vertAlign w:val="superscript"/>
        </w:rPr>
        <w:footnoteReference w:id="18"/>
      </w:r>
    </w:p>
    <w:tbl>
      <w:tblPr>
        <w:tblStyle w:val="TableGrid"/>
        <w:tblW w:w="0" w:type="auto"/>
        <w:tblLayout w:type="fixed"/>
        <w:tblLook w:val="04A0" w:firstRow="1" w:lastRow="0" w:firstColumn="1" w:lastColumn="0" w:noHBand="0" w:noVBand="1"/>
      </w:tblPr>
      <w:tblGrid>
        <w:gridCol w:w="1436"/>
        <w:gridCol w:w="680"/>
        <w:gridCol w:w="807"/>
        <w:gridCol w:w="758"/>
        <w:gridCol w:w="739"/>
        <w:gridCol w:w="678"/>
        <w:gridCol w:w="819"/>
        <w:gridCol w:w="741"/>
        <w:gridCol w:w="756"/>
        <w:gridCol w:w="803"/>
        <w:gridCol w:w="793"/>
      </w:tblGrid>
      <w:tr w:rsidR="00737A53">
        <w:trPr>
          <w:trHeight w:val="288"/>
        </w:trPr>
        <w:tc>
          <w:tcPr>
            <w:tcW w:w="1436" w:type="dxa"/>
            <w:noWrap/>
            <w:vAlign w:val="center"/>
            <w:hideMark/>
          </w:tcPr>
          <w:p w:rsidR="00737A53" w:rsidRDefault="0076469E">
            <w:pPr>
              <w:spacing w:before="120" w:after="120"/>
              <w:jc w:val="center"/>
              <w:rPr>
                <w:rFonts w:ascii="Times New Roman" w:hAnsi="Times New Roman" w:cs="Times New Roman"/>
                <w:noProof/>
                <w:sz w:val="18"/>
                <w:szCs w:val="18"/>
              </w:rPr>
            </w:pPr>
            <w:r>
              <w:rPr>
                <w:rFonts w:ascii="Times New Roman" w:hAnsi="Times New Roman"/>
                <w:noProof/>
                <w:sz w:val="18"/>
                <w:szCs w:val="18"/>
              </w:rPr>
              <w:t>Zona geográfica</w:t>
            </w:r>
          </w:p>
        </w:tc>
        <w:tc>
          <w:tcPr>
            <w:tcW w:w="680" w:type="dxa"/>
            <w:shd w:val="clear" w:color="auto" w:fill="E2EFD9" w:themeFill="accent6" w:themeFillTint="33"/>
            <w:noWrap/>
            <w:vAlign w:val="center"/>
            <w:hideMark/>
          </w:tcPr>
          <w:p w:rsidR="00737A53" w:rsidRDefault="0076469E">
            <w:pPr>
              <w:spacing w:before="120" w:after="120"/>
              <w:jc w:val="center"/>
              <w:rPr>
                <w:rFonts w:ascii="Times New Roman" w:hAnsi="Times New Roman" w:cs="Times New Roman"/>
                <w:noProof/>
                <w:sz w:val="18"/>
                <w:szCs w:val="18"/>
              </w:rPr>
            </w:pPr>
            <w:r>
              <w:rPr>
                <w:rFonts w:ascii="Times New Roman" w:hAnsi="Times New Roman"/>
                <w:noProof/>
                <w:sz w:val="18"/>
                <w:szCs w:val="18"/>
              </w:rPr>
              <w:t>2012</w:t>
            </w:r>
          </w:p>
        </w:tc>
        <w:tc>
          <w:tcPr>
            <w:tcW w:w="807" w:type="dxa"/>
            <w:noWrap/>
            <w:vAlign w:val="center"/>
            <w:hideMark/>
          </w:tcPr>
          <w:p w:rsidR="00737A53" w:rsidRDefault="0076469E">
            <w:pPr>
              <w:spacing w:before="120" w:after="120"/>
              <w:jc w:val="center"/>
              <w:rPr>
                <w:rFonts w:ascii="Times New Roman" w:hAnsi="Times New Roman" w:cs="Times New Roman"/>
                <w:i/>
                <w:noProof/>
                <w:sz w:val="18"/>
                <w:szCs w:val="18"/>
              </w:rPr>
            </w:pPr>
            <w:r>
              <w:rPr>
                <w:rFonts w:ascii="Times New Roman" w:hAnsi="Times New Roman"/>
                <w:i/>
                <w:noProof/>
                <w:sz w:val="18"/>
                <w:szCs w:val="18"/>
              </w:rPr>
              <w:t>2012, em %</w:t>
            </w:r>
          </w:p>
        </w:tc>
        <w:tc>
          <w:tcPr>
            <w:tcW w:w="758" w:type="dxa"/>
            <w:shd w:val="clear" w:color="auto" w:fill="E2EFD9" w:themeFill="accent6" w:themeFillTint="33"/>
            <w:noWrap/>
            <w:vAlign w:val="center"/>
            <w:hideMark/>
          </w:tcPr>
          <w:p w:rsidR="00737A53" w:rsidRDefault="0076469E">
            <w:pPr>
              <w:spacing w:before="120" w:after="120"/>
              <w:jc w:val="center"/>
              <w:rPr>
                <w:rFonts w:ascii="Times New Roman" w:hAnsi="Times New Roman" w:cs="Times New Roman"/>
                <w:noProof/>
                <w:sz w:val="18"/>
                <w:szCs w:val="18"/>
              </w:rPr>
            </w:pPr>
            <w:r>
              <w:rPr>
                <w:rFonts w:ascii="Times New Roman" w:hAnsi="Times New Roman"/>
                <w:noProof/>
                <w:sz w:val="18"/>
                <w:szCs w:val="18"/>
              </w:rPr>
              <w:t>2014</w:t>
            </w:r>
          </w:p>
        </w:tc>
        <w:tc>
          <w:tcPr>
            <w:tcW w:w="739" w:type="dxa"/>
            <w:noWrap/>
            <w:vAlign w:val="center"/>
            <w:hideMark/>
          </w:tcPr>
          <w:p w:rsidR="00737A53" w:rsidRDefault="0076469E">
            <w:pPr>
              <w:spacing w:before="120" w:after="120"/>
              <w:jc w:val="center"/>
              <w:rPr>
                <w:rFonts w:ascii="Times New Roman" w:hAnsi="Times New Roman" w:cs="Times New Roman"/>
                <w:i/>
                <w:noProof/>
                <w:sz w:val="18"/>
                <w:szCs w:val="18"/>
              </w:rPr>
            </w:pPr>
            <w:r>
              <w:rPr>
                <w:rFonts w:ascii="Times New Roman" w:hAnsi="Times New Roman"/>
                <w:i/>
                <w:noProof/>
                <w:sz w:val="18"/>
                <w:szCs w:val="18"/>
              </w:rPr>
              <w:t>2014, em %</w:t>
            </w:r>
          </w:p>
        </w:tc>
        <w:tc>
          <w:tcPr>
            <w:tcW w:w="678" w:type="dxa"/>
            <w:shd w:val="clear" w:color="auto" w:fill="E2EFD9" w:themeFill="accent6" w:themeFillTint="33"/>
            <w:noWrap/>
            <w:vAlign w:val="center"/>
            <w:hideMark/>
          </w:tcPr>
          <w:p w:rsidR="00737A53" w:rsidRDefault="0076469E">
            <w:pPr>
              <w:spacing w:before="120" w:after="120"/>
              <w:jc w:val="center"/>
              <w:rPr>
                <w:rFonts w:ascii="Times New Roman" w:hAnsi="Times New Roman" w:cs="Times New Roman"/>
                <w:noProof/>
                <w:sz w:val="18"/>
                <w:szCs w:val="18"/>
              </w:rPr>
            </w:pPr>
            <w:r>
              <w:rPr>
                <w:rFonts w:ascii="Times New Roman" w:hAnsi="Times New Roman"/>
                <w:noProof/>
                <w:sz w:val="18"/>
                <w:szCs w:val="18"/>
              </w:rPr>
              <w:t>2016</w:t>
            </w:r>
          </w:p>
        </w:tc>
        <w:tc>
          <w:tcPr>
            <w:tcW w:w="819" w:type="dxa"/>
            <w:noWrap/>
            <w:vAlign w:val="center"/>
            <w:hideMark/>
          </w:tcPr>
          <w:p w:rsidR="00737A53" w:rsidRDefault="0076469E">
            <w:pPr>
              <w:spacing w:before="120" w:after="120"/>
              <w:jc w:val="center"/>
              <w:rPr>
                <w:rFonts w:ascii="Times New Roman" w:hAnsi="Times New Roman" w:cs="Times New Roman"/>
                <w:i/>
                <w:noProof/>
                <w:sz w:val="18"/>
                <w:szCs w:val="18"/>
              </w:rPr>
            </w:pPr>
            <w:r>
              <w:rPr>
                <w:rFonts w:ascii="Times New Roman" w:hAnsi="Times New Roman"/>
                <w:i/>
                <w:noProof/>
                <w:sz w:val="18"/>
                <w:szCs w:val="18"/>
              </w:rPr>
              <w:t>2016, em %</w:t>
            </w:r>
          </w:p>
        </w:tc>
        <w:tc>
          <w:tcPr>
            <w:tcW w:w="741" w:type="dxa"/>
            <w:shd w:val="clear" w:color="auto" w:fill="E2EFD9" w:themeFill="accent6" w:themeFillTint="33"/>
            <w:noWrap/>
            <w:vAlign w:val="center"/>
            <w:hideMark/>
          </w:tcPr>
          <w:p w:rsidR="00737A53" w:rsidRDefault="0076469E">
            <w:pPr>
              <w:spacing w:before="120" w:after="120"/>
              <w:jc w:val="center"/>
              <w:rPr>
                <w:rFonts w:ascii="Times New Roman" w:hAnsi="Times New Roman" w:cs="Times New Roman"/>
                <w:noProof/>
                <w:sz w:val="18"/>
                <w:szCs w:val="18"/>
              </w:rPr>
            </w:pPr>
            <w:r>
              <w:rPr>
                <w:rFonts w:ascii="Times New Roman" w:hAnsi="Times New Roman"/>
                <w:noProof/>
                <w:sz w:val="18"/>
                <w:szCs w:val="18"/>
              </w:rPr>
              <w:t>2018</w:t>
            </w:r>
          </w:p>
        </w:tc>
        <w:tc>
          <w:tcPr>
            <w:tcW w:w="756" w:type="dxa"/>
            <w:noWrap/>
            <w:vAlign w:val="center"/>
            <w:hideMark/>
          </w:tcPr>
          <w:p w:rsidR="00737A53" w:rsidRDefault="0076469E">
            <w:pPr>
              <w:spacing w:before="120" w:after="120"/>
              <w:jc w:val="center"/>
              <w:rPr>
                <w:rFonts w:ascii="Times New Roman" w:hAnsi="Times New Roman" w:cs="Times New Roman"/>
                <w:i/>
                <w:noProof/>
                <w:sz w:val="18"/>
                <w:szCs w:val="18"/>
              </w:rPr>
            </w:pPr>
            <w:r>
              <w:rPr>
                <w:rFonts w:ascii="Times New Roman" w:hAnsi="Times New Roman"/>
                <w:i/>
                <w:noProof/>
                <w:sz w:val="18"/>
                <w:szCs w:val="18"/>
              </w:rPr>
              <w:t>2018, em %</w:t>
            </w:r>
          </w:p>
        </w:tc>
        <w:tc>
          <w:tcPr>
            <w:tcW w:w="803" w:type="dxa"/>
            <w:shd w:val="clear" w:color="auto" w:fill="E2EFD9" w:themeFill="accent6" w:themeFillTint="33"/>
            <w:noWrap/>
            <w:vAlign w:val="center"/>
            <w:hideMark/>
          </w:tcPr>
          <w:p w:rsidR="00737A53" w:rsidRDefault="0076469E">
            <w:pPr>
              <w:spacing w:before="120" w:after="120"/>
              <w:jc w:val="center"/>
              <w:rPr>
                <w:rFonts w:ascii="Times New Roman" w:hAnsi="Times New Roman" w:cs="Times New Roman"/>
                <w:noProof/>
                <w:sz w:val="18"/>
                <w:szCs w:val="18"/>
              </w:rPr>
            </w:pPr>
            <w:r>
              <w:rPr>
                <w:rFonts w:ascii="Times New Roman" w:hAnsi="Times New Roman"/>
                <w:noProof/>
                <w:sz w:val="18"/>
                <w:szCs w:val="18"/>
              </w:rPr>
              <w:t>Total</w:t>
            </w:r>
          </w:p>
        </w:tc>
        <w:tc>
          <w:tcPr>
            <w:tcW w:w="793" w:type="dxa"/>
            <w:noWrap/>
            <w:vAlign w:val="center"/>
            <w:hideMark/>
          </w:tcPr>
          <w:p w:rsidR="00737A53" w:rsidRDefault="0076469E">
            <w:pPr>
              <w:spacing w:before="120" w:after="120"/>
              <w:jc w:val="center"/>
              <w:rPr>
                <w:rFonts w:ascii="Times New Roman" w:hAnsi="Times New Roman" w:cs="Times New Roman"/>
                <w:i/>
                <w:noProof/>
                <w:sz w:val="18"/>
                <w:szCs w:val="18"/>
              </w:rPr>
            </w:pPr>
            <w:r>
              <w:rPr>
                <w:rFonts w:ascii="Times New Roman" w:hAnsi="Times New Roman"/>
                <w:i/>
                <w:noProof/>
                <w:sz w:val="18"/>
                <w:szCs w:val="18"/>
              </w:rPr>
              <w:t>Total, em %</w:t>
            </w:r>
          </w:p>
        </w:tc>
      </w:tr>
      <w:tr w:rsidR="00737A53">
        <w:trPr>
          <w:trHeight w:val="288"/>
        </w:trPr>
        <w:tc>
          <w:tcPr>
            <w:tcW w:w="1436" w:type="dxa"/>
            <w:noWrap/>
            <w:vAlign w:val="center"/>
            <w:hideMark/>
          </w:tcPr>
          <w:p w:rsidR="00737A53" w:rsidRDefault="0076469E">
            <w:pPr>
              <w:spacing w:before="120" w:after="120"/>
              <w:rPr>
                <w:rFonts w:ascii="Times New Roman" w:hAnsi="Times New Roman" w:cs="Times New Roman"/>
                <w:noProof/>
                <w:sz w:val="18"/>
                <w:szCs w:val="18"/>
              </w:rPr>
            </w:pPr>
            <w:r>
              <w:rPr>
                <w:rFonts w:ascii="Times New Roman" w:hAnsi="Times New Roman"/>
                <w:noProof/>
                <w:sz w:val="18"/>
                <w:szCs w:val="18"/>
              </w:rPr>
              <w:t>África Subsariana</w:t>
            </w:r>
          </w:p>
        </w:tc>
        <w:tc>
          <w:tcPr>
            <w:tcW w:w="680" w:type="dxa"/>
            <w:shd w:val="clear" w:color="auto" w:fill="E2EFD9" w:themeFill="accent6" w:themeFillTint="33"/>
            <w:noWrap/>
            <w:vAlign w:val="center"/>
            <w:hideMark/>
          </w:tcPr>
          <w:p w:rsidR="00737A53" w:rsidRDefault="0076469E">
            <w:pPr>
              <w:spacing w:before="120" w:after="120"/>
              <w:jc w:val="right"/>
              <w:rPr>
                <w:rFonts w:ascii="Times New Roman" w:hAnsi="Times New Roman" w:cs="Times New Roman"/>
                <w:noProof/>
                <w:sz w:val="18"/>
                <w:szCs w:val="18"/>
              </w:rPr>
            </w:pPr>
            <w:r>
              <w:rPr>
                <w:rFonts w:ascii="Times New Roman" w:hAnsi="Times New Roman"/>
                <w:noProof/>
                <w:sz w:val="18"/>
                <w:szCs w:val="18"/>
              </w:rPr>
              <w:t>1 440</w:t>
            </w:r>
          </w:p>
        </w:tc>
        <w:tc>
          <w:tcPr>
            <w:tcW w:w="807" w:type="dxa"/>
            <w:noWrap/>
            <w:vAlign w:val="center"/>
            <w:hideMark/>
          </w:tcPr>
          <w:p w:rsidR="00737A53" w:rsidRDefault="0076469E">
            <w:pPr>
              <w:spacing w:before="120" w:after="120"/>
              <w:jc w:val="right"/>
              <w:rPr>
                <w:rFonts w:ascii="Times New Roman" w:hAnsi="Times New Roman" w:cs="Times New Roman"/>
                <w:i/>
                <w:noProof/>
                <w:sz w:val="18"/>
                <w:szCs w:val="18"/>
              </w:rPr>
            </w:pPr>
            <w:r>
              <w:rPr>
                <w:rFonts w:ascii="Times New Roman" w:hAnsi="Times New Roman"/>
                <w:i/>
                <w:noProof/>
                <w:sz w:val="18"/>
                <w:szCs w:val="18"/>
              </w:rPr>
              <w:t>42,8</w:t>
            </w:r>
          </w:p>
        </w:tc>
        <w:tc>
          <w:tcPr>
            <w:tcW w:w="758" w:type="dxa"/>
            <w:shd w:val="clear" w:color="auto" w:fill="E2EFD9" w:themeFill="accent6" w:themeFillTint="33"/>
            <w:noWrap/>
            <w:vAlign w:val="center"/>
            <w:hideMark/>
          </w:tcPr>
          <w:p w:rsidR="00737A53" w:rsidRDefault="0076469E">
            <w:pPr>
              <w:spacing w:before="120" w:after="120"/>
              <w:jc w:val="right"/>
              <w:rPr>
                <w:rFonts w:ascii="Times New Roman" w:hAnsi="Times New Roman" w:cs="Times New Roman"/>
                <w:noProof/>
                <w:sz w:val="18"/>
                <w:szCs w:val="18"/>
              </w:rPr>
            </w:pPr>
            <w:r>
              <w:rPr>
                <w:rFonts w:ascii="Times New Roman" w:hAnsi="Times New Roman"/>
                <w:noProof/>
                <w:sz w:val="18"/>
                <w:szCs w:val="18"/>
              </w:rPr>
              <w:t>1 650</w:t>
            </w:r>
          </w:p>
        </w:tc>
        <w:tc>
          <w:tcPr>
            <w:tcW w:w="739" w:type="dxa"/>
            <w:noWrap/>
            <w:vAlign w:val="center"/>
            <w:hideMark/>
          </w:tcPr>
          <w:p w:rsidR="00737A53" w:rsidRDefault="0076469E">
            <w:pPr>
              <w:spacing w:before="120" w:after="120"/>
              <w:jc w:val="right"/>
              <w:rPr>
                <w:rFonts w:ascii="Times New Roman" w:hAnsi="Times New Roman" w:cs="Times New Roman"/>
                <w:i/>
                <w:noProof/>
                <w:sz w:val="18"/>
                <w:szCs w:val="18"/>
              </w:rPr>
            </w:pPr>
            <w:r>
              <w:rPr>
                <w:rFonts w:ascii="Times New Roman" w:hAnsi="Times New Roman"/>
                <w:i/>
                <w:noProof/>
                <w:sz w:val="18"/>
                <w:szCs w:val="18"/>
              </w:rPr>
              <w:t>45,1</w:t>
            </w:r>
          </w:p>
        </w:tc>
        <w:tc>
          <w:tcPr>
            <w:tcW w:w="678" w:type="dxa"/>
            <w:shd w:val="clear" w:color="auto" w:fill="E2EFD9" w:themeFill="accent6" w:themeFillTint="33"/>
            <w:noWrap/>
            <w:vAlign w:val="center"/>
            <w:hideMark/>
          </w:tcPr>
          <w:p w:rsidR="00737A53" w:rsidRDefault="0076469E">
            <w:pPr>
              <w:spacing w:before="120" w:after="120"/>
              <w:jc w:val="right"/>
              <w:rPr>
                <w:rFonts w:ascii="Times New Roman" w:hAnsi="Times New Roman" w:cs="Times New Roman"/>
                <w:noProof/>
                <w:sz w:val="18"/>
                <w:szCs w:val="18"/>
              </w:rPr>
            </w:pPr>
            <w:r>
              <w:rPr>
                <w:rFonts w:ascii="Times New Roman" w:hAnsi="Times New Roman"/>
                <w:noProof/>
                <w:sz w:val="18"/>
                <w:szCs w:val="18"/>
              </w:rPr>
              <w:t>2 242</w:t>
            </w:r>
          </w:p>
        </w:tc>
        <w:tc>
          <w:tcPr>
            <w:tcW w:w="819" w:type="dxa"/>
            <w:noWrap/>
            <w:vAlign w:val="center"/>
            <w:hideMark/>
          </w:tcPr>
          <w:p w:rsidR="00737A53" w:rsidRDefault="0076469E">
            <w:pPr>
              <w:spacing w:before="120" w:after="120"/>
              <w:jc w:val="right"/>
              <w:rPr>
                <w:rFonts w:ascii="Times New Roman" w:hAnsi="Times New Roman" w:cs="Times New Roman"/>
                <w:i/>
                <w:noProof/>
                <w:sz w:val="18"/>
                <w:szCs w:val="18"/>
              </w:rPr>
            </w:pPr>
            <w:r>
              <w:rPr>
                <w:rFonts w:ascii="Times New Roman" w:hAnsi="Times New Roman"/>
                <w:i/>
                <w:noProof/>
                <w:sz w:val="18"/>
                <w:szCs w:val="18"/>
              </w:rPr>
              <w:t>53,4</w:t>
            </w:r>
          </w:p>
        </w:tc>
        <w:tc>
          <w:tcPr>
            <w:tcW w:w="741" w:type="dxa"/>
            <w:shd w:val="clear" w:color="auto" w:fill="E2EFD9" w:themeFill="accent6" w:themeFillTint="33"/>
            <w:noWrap/>
            <w:vAlign w:val="center"/>
          </w:tcPr>
          <w:p w:rsidR="00737A53" w:rsidRDefault="0076469E">
            <w:pPr>
              <w:spacing w:before="120" w:after="120"/>
              <w:jc w:val="right"/>
              <w:rPr>
                <w:rFonts w:ascii="Times New Roman" w:hAnsi="Times New Roman" w:cs="Times New Roman"/>
                <w:noProof/>
                <w:sz w:val="18"/>
                <w:szCs w:val="18"/>
              </w:rPr>
            </w:pPr>
            <w:r>
              <w:rPr>
                <w:rFonts w:ascii="Times New Roman" w:hAnsi="Times New Roman"/>
                <w:noProof/>
                <w:sz w:val="18"/>
                <w:szCs w:val="18"/>
              </w:rPr>
              <w:t>2 463</w:t>
            </w:r>
          </w:p>
        </w:tc>
        <w:tc>
          <w:tcPr>
            <w:tcW w:w="756" w:type="dxa"/>
            <w:noWrap/>
            <w:vAlign w:val="center"/>
          </w:tcPr>
          <w:p w:rsidR="00737A53" w:rsidRDefault="0076469E">
            <w:pPr>
              <w:spacing w:before="120" w:after="120"/>
              <w:jc w:val="right"/>
              <w:rPr>
                <w:rFonts w:ascii="Times New Roman" w:hAnsi="Times New Roman" w:cs="Times New Roman"/>
                <w:i/>
                <w:iCs/>
                <w:noProof/>
                <w:sz w:val="18"/>
                <w:szCs w:val="18"/>
              </w:rPr>
            </w:pPr>
            <w:r>
              <w:rPr>
                <w:rFonts w:ascii="Times New Roman" w:hAnsi="Times New Roman"/>
                <w:i/>
                <w:iCs/>
                <w:noProof/>
                <w:sz w:val="18"/>
                <w:szCs w:val="18"/>
              </w:rPr>
              <w:t>49,0</w:t>
            </w:r>
          </w:p>
        </w:tc>
        <w:tc>
          <w:tcPr>
            <w:tcW w:w="803" w:type="dxa"/>
            <w:shd w:val="clear" w:color="auto" w:fill="E2EFD9" w:themeFill="accent6" w:themeFillTint="33"/>
            <w:noWrap/>
            <w:vAlign w:val="center"/>
          </w:tcPr>
          <w:p w:rsidR="00737A53" w:rsidRDefault="0076469E">
            <w:pPr>
              <w:spacing w:before="120" w:after="120"/>
              <w:jc w:val="right"/>
              <w:rPr>
                <w:rFonts w:ascii="Times New Roman" w:hAnsi="Times New Roman" w:cs="Times New Roman"/>
                <w:noProof/>
                <w:sz w:val="18"/>
                <w:szCs w:val="18"/>
              </w:rPr>
            </w:pPr>
            <w:r>
              <w:rPr>
                <w:rFonts w:ascii="Times New Roman" w:hAnsi="Times New Roman"/>
                <w:noProof/>
                <w:sz w:val="18"/>
                <w:szCs w:val="18"/>
              </w:rPr>
              <w:t>7 795</w:t>
            </w:r>
          </w:p>
        </w:tc>
        <w:tc>
          <w:tcPr>
            <w:tcW w:w="793" w:type="dxa"/>
            <w:noWrap/>
            <w:vAlign w:val="center"/>
          </w:tcPr>
          <w:p w:rsidR="00737A53" w:rsidRDefault="0076469E">
            <w:pPr>
              <w:spacing w:before="120" w:after="120"/>
              <w:jc w:val="right"/>
              <w:rPr>
                <w:rFonts w:ascii="Times New Roman" w:hAnsi="Times New Roman" w:cs="Times New Roman"/>
                <w:i/>
                <w:iCs/>
                <w:noProof/>
                <w:sz w:val="18"/>
                <w:szCs w:val="18"/>
              </w:rPr>
            </w:pPr>
            <w:r>
              <w:rPr>
                <w:rFonts w:ascii="Times New Roman" w:hAnsi="Times New Roman"/>
                <w:i/>
                <w:iCs/>
                <w:noProof/>
                <w:sz w:val="18"/>
                <w:szCs w:val="18"/>
              </w:rPr>
              <w:t>48,0</w:t>
            </w:r>
          </w:p>
        </w:tc>
      </w:tr>
      <w:tr w:rsidR="00737A53">
        <w:trPr>
          <w:trHeight w:val="288"/>
        </w:trPr>
        <w:tc>
          <w:tcPr>
            <w:tcW w:w="1436" w:type="dxa"/>
            <w:noWrap/>
            <w:vAlign w:val="center"/>
            <w:hideMark/>
          </w:tcPr>
          <w:p w:rsidR="00737A53" w:rsidRDefault="0076469E">
            <w:pPr>
              <w:spacing w:before="120" w:after="120"/>
              <w:rPr>
                <w:rFonts w:ascii="Times New Roman" w:hAnsi="Times New Roman" w:cs="Times New Roman"/>
                <w:noProof/>
                <w:sz w:val="18"/>
                <w:szCs w:val="18"/>
              </w:rPr>
            </w:pPr>
            <w:r>
              <w:rPr>
                <w:rFonts w:ascii="Times New Roman" w:hAnsi="Times New Roman"/>
                <w:noProof/>
                <w:sz w:val="18"/>
                <w:szCs w:val="18"/>
              </w:rPr>
              <w:t>Ásia-Pacífico e Oceânia</w:t>
            </w:r>
          </w:p>
        </w:tc>
        <w:tc>
          <w:tcPr>
            <w:tcW w:w="680" w:type="dxa"/>
            <w:shd w:val="clear" w:color="auto" w:fill="E2EFD9" w:themeFill="accent6" w:themeFillTint="33"/>
            <w:noWrap/>
            <w:vAlign w:val="center"/>
            <w:hideMark/>
          </w:tcPr>
          <w:p w:rsidR="00737A53" w:rsidRDefault="0076469E">
            <w:pPr>
              <w:spacing w:before="120" w:after="120"/>
              <w:jc w:val="right"/>
              <w:rPr>
                <w:rFonts w:ascii="Times New Roman" w:hAnsi="Times New Roman" w:cs="Times New Roman"/>
                <w:noProof/>
                <w:sz w:val="18"/>
                <w:szCs w:val="18"/>
              </w:rPr>
            </w:pPr>
            <w:r>
              <w:rPr>
                <w:rFonts w:ascii="Times New Roman" w:hAnsi="Times New Roman"/>
                <w:noProof/>
                <w:sz w:val="18"/>
                <w:szCs w:val="18"/>
              </w:rPr>
              <w:t>622</w:t>
            </w:r>
          </w:p>
        </w:tc>
        <w:tc>
          <w:tcPr>
            <w:tcW w:w="807" w:type="dxa"/>
            <w:noWrap/>
            <w:vAlign w:val="center"/>
            <w:hideMark/>
          </w:tcPr>
          <w:p w:rsidR="00737A53" w:rsidRDefault="0076469E">
            <w:pPr>
              <w:spacing w:before="120" w:after="120"/>
              <w:jc w:val="right"/>
              <w:rPr>
                <w:rFonts w:ascii="Times New Roman" w:hAnsi="Times New Roman" w:cs="Times New Roman"/>
                <w:i/>
                <w:noProof/>
                <w:sz w:val="18"/>
                <w:szCs w:val="18"/>
              </w:rPr>
            </w:pPr>
            <w:r>
              <w:rPr>
                <w:rFonts w:ascii="Times New Roman" w:hAnsi="Times New Roman"/>
                <w:i/>
                <w:noProof/>
                <w:sz w:val="18"/>
                <w:szCs w:val="18"/>
              </w:rPr>
              <w:t>18,5</w:t>
            </w:r>
          </w:p>
        </w:tc>
        <w:tc>
          <w:tcPr>
            <w:tcW w:w="758" w:type="dxa"/>
            <w:shd w:val="clear" w:color="auto" w:fill="E2EFD9" w:themeFill="accent6" w:themeFillTint="33"/>
            <w:noWrap/>
            <w:vAlign w:val="center"/>
            <w:hideMark/>
          </w:tcPr>
          <w:p w:rsidR="00737A53" w:rsidRDefault="0076469E">
            <w:pPr>
              <w:spacing w:before="120" w:after="120"/>
              <w:jc w:val="right"/>
              <w:rPr>
                <w:rFonts w:ascii="Times New Roman" w:hAnsi="Times New Roman" w:cs="Times New Roman"/>
                <w:noProof/>
                <w:sz w:val="18"/>
                <w:szCs w:val="18"/>
              </w:rPr>
            </w:pPr>
            <w:r>
              <w:rPr>
                <w:rFonts w:ascii="Times New Roman" w:hAnsi="Times New Roman"/>
                <w:noProof/>
                <w:sz w:val="18"/>
                <w:szCs w:val="18"/>
              </w:rPr>
              <w:t>559</w:t>
            </w:r>
          </w:p>
        </w:tc>
        <w:tc>
          <w:tcPr>
            <w:tcW w:w="739" w:type="dxa"/>
            <w:noWrap/>
            <w:vAlign w:val="center"/>
            <w:hideMark/>
          </w:tcPr>
          <w:p w:rsidR="00737A53" w:rsidRDefault="0076469E">
            <w:pPr>
              <w:spacing w:before="120" w:after="120"/>
              <w:jc w:val="right"/>
              <w:rPr>
                <w:rFonts w:ascii="Times New Roman" w:hAnsi="Times New Roman" w:cs="Times New Roman"/>
                <w:i/>
                <w:noProof/>
                <w:sz w:val="18"/>
                <w:szCs w:val="18"/>
              </w:rPr>
            </w:pPr>
            <w:r>
              <w:rPr>
                <w:rFonts w:ascii="Times New Roman" w:hAnsi="Times New Roman"/>
                <w:i/>
                <w:noProof/>
                <w:sz w:val="18"/>
                <w:szCs w:val="18"/>
              </w:rPr>
              <w:t>15,3</w:t>
            </w:r>
          </w:p>
        </w:tc>
        <w:tc>
          <w:tcPr>
            <w:tcW w:w="678" w:type="dxa"/>
            <w:shd w:val="clear" w:color="auto" w:fill="E2EFD9" w:themeFill="accent6" w:themeFillTint="33"/>
            <w:noWrap/>
            <w:vAlign w:val="center"/>
            <w:hideMark/>
          </w:tcPr>
          <w:p w:rsidR="00737A53" w:rsidRDefault="0076469E">
            <w:pPr>
              <w:spacing w:before="120" w:after="120"/>
              <w:jc w:val="right"/>
              <w:rPr>
                <w:rFonts w:ascii="Times New Roman" w:hAnsi="Times New Roman" w:cs="Times New Roman"/>
                <w:noProof/>
                <w:sz w:val="18"/>
                <w:szCs w:val="18"/>
              </w:rPr>
            </w:pPr>
            <w:r>
              <w:rPr>
                <w:rFonts w:ascii="Times New Roman" w:hAnsi="Times New Roman"/>
                <w:noProof/>
                <w:sz w:val="18"/>
                <w:szCs w:val="18"/>
              </w:rPr>
              <w:t>521</w:t>
            </w:r>
          </w:p>
        </w:tc>
        <w:tc>
          <w:tcPr>
            <w:tcW w:w="819" w:type="dxa"/>
            <w:noWrap/>
            <w:vAlign w:val="center"/>
            <w:hideMark/>
          </w:tcPr>
          <w:p w:rsidR="00737A53" w:rsidRDefault="0076469E">
            <w:pPr>
              <w:spacing w:before="120" w:after="120"/>
              <w:jc w:val="right"/>
              <w:rPr>
                <w:rFonts w:ascii="Times New Roman" w:hAnsi="Times New Roman" w:cs="Times New Roman"/>
                <w:i/>
                <w:noProof/>
                <w:sz w:val="18"/>
                <w:szCs w:val="18"/>
              </w:rPr>
            </w:pPr>
            <w:r>
              <w:rPr>
                <w:rFonts w:ascii="Times New Roman" w:hAnsi="Times New Roman"/>
                <w:i/>
                <w:noProof/>
                <w:sz w:val="18"/>
                <w:szCs w:val="18"/>
              </w:rPr>
              <w:t>12,4</w:t>
            </w:r>
          </w:p>
        </w:tc>
        <w:tc>
          <w:tcPr>
            <w:tcW w:w="741" w:type="dxa"/>
            <w:shd w:val="clear" w:color="auto" w:fill="E2EFD9" w:themeFill="accent6" w:themeFillTint="33"/>
            <w:noWrap/>
            <w:vAlign w:val="center"/>
          </w:tcPr>
          <w:p w:rsidR="00737A53" w:rsidRDefault="0076469E">
            <w:pPr>
              <w:spacing w:before="120" w:after="120"/>
              <w:jc w:val="right"/>
              <w:rPr>
                <w:rFonts w:ascii="Times New Roman" w:hAnsi="Times New Roman" w:cs="Times New Roman"/>
                <w:noProof/>
                <w:sz w:val="18"/>
                <w:szCs w:val="18"/>
              </w:rPr>
            </w:pPr>
            <w:r>
              <w:rPr>
                <w:rFonts w:ascii="Times New Roman" w:hAnsi="Times New Roman"/>
                <w:noProof/>
                <w:sz w:val="18"/>
                <w:szCs w:val="18"/>
              </w:rPr>
              <w:t>659</w:t>
            </w:r>
          </w:p>
        </w:tc>
        <w:tc>
          <w:tcPr>
            <w:tcW w:w="756" w:type="dxa"/>
            <w:noWrap/>
            <w:vAlign w:val="center"/>
          </w:tcPr>
          <w:p w:rsidR="00737A53" w:rsidRDefault="0076469E">
            <w:pPr>
              <w:spacing w:before="120" w:after="120"/>
              <w:jc w:val="right"/>
              <w:rPr>
                <w:rFonts w:ascii="Times New Roman" w:hAnsi="Times New Roman" w:cs="Times New Roman"/>
                <w:i/>
                <w:iCs/>
                <w:noProof/>
                <w:sz w:val="18"/>
                <w:szCs w:val="18"/>
              </w:rPr>
            </w:pPr>
            <w:r>
              <w:rPr>
                <w:rFonts w:ascii="Times New Roman" w:hAnsi="Times New Roman"/>
                <w:i/>
                <w:iCs/>
                <w:noProof/>
                <w:sz w:val="18"/>
                <w:szCs w:val="18"/>
              </w:rPr>
              <w:t>13,1</w:t>
            </w:r>
          </w:p>
        </w:tc>
        <w:tc>
          <w:tcPr>
            <w:tcW w:w="803" w:type="dxa"/>
            <w:shd w:val="clear" w:color="auto" w:fill="E2EFD9" w:themeFill="accent6" w:themeFillTint="33"/>
            <w:noWrap/>
            <w:vAlign w:val="center"/>
          </w:tcPr>
          <w:p w:rsidR="00737A53" w:rsidRDefault="0076469E">
            <w:pPr>
              <w:spacing w:before="120" w:after="120"/>
              <w:jc w:val="right"/>
              <w:rPr>
                <w:rFonts w:ascii="Times New Roman" w:hAnsi="Times New Roman" w:cs="Times New Roman"/>
                <w:noProof/>
                <w:sz w:val="18"/>
                <w:szCs w:val="18"/>
              </w:rPr>
            </w:pPr>
            <w:r>
              <w:rPr>
                <w:rFonts w:ascii="Times New Roman" w:hAnsi="Times New Roman"/>
                <w:noProof/>
                <w:sz w:val="18"/>
                <w:szCs w:val="18"/>
              </w:rPr>
              <w:t>2 361</w:t>
            </w:r>
          </w:p>
        </w:tc>
        <w:tc>
          <w:tcPr>
            <w:tcW w:w="793" w:type="dxa"/>
            <w:noWrap/>
            <w:vAlign w:val="center"/>
          </w:tcPr>
          <w:p w:rsidR="00737A53" w:rsidRDefault="0076469E">
            <w:pPr>
              <w:spacing w:before="120" w:after="120"/>
              <w:jc w:val="right"/>
              <w:rPr>
                <w:rFonts w:ascii="Times New Roman" w:hAnsi="Times New Roman" w:cs="Times New Roman"/>
                <w:i/>
                <w:iCs/>
                <w:noProof/>
                <w:sz w:val="18"/>
                <w:szCs w:val="18"/>
              </w:rPr>
            </w:pPr>
            <w:r>
              <w:rPr>
                <w:rFonts w:ascii="Times New Roman" w:hAnsi="Times New Roman"/>
                <w:i/>
                <w:iCs/>
                <w:noProof/>
                <w:sz w:val="18"/>
                <w:szCs w:val="18"/>
              </w:rPr>
              <w:t>14,5</w:t>
            </w:r>
          </w:p>
        </w:tc>
      </w:tr>
      <w:tr w:rsidR="00737A53">
        <w:trPr>
          <w:trHeight w:val="288"/>
        </w:trPr>
        <w:tc>
          <w:tcPr>
            <w:tcW w:w="1436" w:type="dxa"/>
            <w:noWrap/>
            <w:vAlign w:val="center"/>
            <w:hideMark/>
          </w:tcPr>
          <w:p w:rsidR="00737A53" w:rsidRDefault="0076469E">
            <w:pPr>
              <w:spacing w:before="120" w:after="120"/>
              <w:rPr>
                <w:rFonts w:ascii="Times New Roman" w:hAnsi="Times New Roman" w:cs="Times New Roman"/>
                <w:noProof/>
                <w:sz w:val="18"/>
                <w:szCs w:val="18"/>
              </w:rPr>
            </w:pPr>
            <w:r>
              <w:rPr>
                <w:rFonts w:ascii="Times New Roman" w:hAnsi="Times New Roman"/>
                <w:noProof/>
                <w:sz w:val="18"/>
                <w:szCs w:val="18"/>
              </w:rPr>
              <w:t>Médio Oriente</w:t>
            </w:r>
          </w:p>
        </w:tc>
        <w:tc>
          <w:tcPr>
            <w:tcW w:w="680" w:type="dxa"/>
            <w:shd w:val="clear" w:color="auto" w:fill="E2EFD9" w:themeFill="accent6" w:themeFillTint="33"/>
            <w:noWrap/>
            <w:vAlign w:val="center"/>
            <w:hideMark/>
          </w:tcPr>
          <w:p w:rsidR="00737A53" w:rsidRDefault="0076469E">
            <w:pPr>
              <w:spacing w:before="120" w:after="120"/>
              <w:jc w:val="right"/>
              <w:rPr>
                <w:rFonts w:ascii="Times New Roman" w:hAnsi="Times New Roman" w:cs="Times New Roman"/>
                <w:noProof/>
                <w:sz w:val="18"/>
                <w:szCs w:val="18"/>
              </w:rPr>
            </w:pPr>
            <w:r>
              <w:rPr>
                <w:rFonts w:ascii="Times New Roman" w:hAnsi="Times New Roman"/>
                <w:noProof/>
                <w:sz w:val="18"/>
                <w:szCs w:val="18"/>
              </w:rPr>
              <w:t>12</w:t>
            </w:r>
          </w:p>
        </w:tc>
        <w:tc>
          <w:tcPr>
            <w:tcW w:w="807" w:type="dxa"/>
            <w:noWrap/>
            <w:vAlign w:val="center"/>
            <w:hideMark/>
          </w:tcPr>
          <w:p w:rsidR="00737A53" w:rsidRDefault="0076469E">
            <w:pPr>
              <w:spacing w:before="120" w:after="120"/>
              <w:jc w:val="right"/>
              <w:rPr>
                <w:rFonts w:ascii="Times New Roman" w:hAnsi="Times New Roman" w:cs="Times New Roman"/>
                <w:i/>
                <w:noProof/>
                <w:sz w:val="18"/>
                <w:szCs w:val="18"/>
              </w:rPr>
            </w:pPr>
            <w:r>
              <w:rPr>
                <w:rFonts w:ascii="Times New Roman" w:hAnsi="Times New Roman"/>
                <w:i/>
                <w:noProof/>
                <w:sz w:val="18"/>
                <w:szCs w:val="18"/>
              </w:rPr>
              <w:t>0,3</w:t>
            </w:r>
          </w:p>
        </w:tc>
        <w:tc>
          <w:tcPr>
            <w:tcW w:w="758" w:type="dxa"/>
            <w:shd w:val="clear" w:color="auto" w:fill="E2EFD9" w:themeFill="accent6" w:themeFillTint="33"/>
            <w:noWrap/>
            <w:vAlign w:val="center"/>
            <w:hideMark/>
          </w:tcPr>
          <w:p w:rsidR="00737A53" w:rsidRDefault="0076469E">
            <w:pPr>
              <w:spacing w:before="120" w:after="120"/>
              <w:jc w:val="right"/>
              <w:rPr>
                <w:rFonts w:ascii="Times New Roman" w:hAnsi="Times New Roman" w:cs="Times New Roman"/>
                <w:noProof/>
                <w:sz w:val="18"/>
                <w:szCs w:val="18"/>
              </w:rPr>
            </w:pPr>
            <w:r>
              <w:rPr>
                <w:rFonts w:ascii="Times New Roman" w:hAnsi="Times New Roman"/>
                <w:noProof/>
                <w:sz w:val="18"/>
                <w:szCs w:val="18"/>
              </w:rPr>
              <w:t>54</w:t>
            </w:r>
          </w:p>
        </w:tc>
        <w:tc>
          <w:tcPr>
            <w:tcW w:w="739" w:type="dxa"/>
            <w:noWrap/>
            <w:vAlign w:val="center"/>
            <w:hideMark/>
          </w:tcPr>
          <w:p w:rsidR="00737A53" w:rsidRDefault="0076469E">
            <w:pPr>
              <w:spacing w:before="120" w:after="120"/>
              <w:jc w:val="right"/>
              <w:rPr>
                <w:rFonts w:ascii="Times New Roman" w:hAnsi="Times New Roman" w:cs="Times New Roman"/>
                <w:i/>
                <w:noProof/>
                <w:sz w:val="18"/>
                <w:szCs w:val="18"/>
              </w:rPr>
            </w:pPr>
            <w:r>
              <w:rPr>
                <w:rFonts w:ascii="Times New Roman" w:hAnsi="Times New Roman"/>
                <w:i/>
                <w:noProof/>
                <w:sz w:val="18"/>
                <w:szCs w:val="18"/>
              </w:rPr>
              <w:t>1,5</w:t>
            </w:r>
          </w:p>
        </w:tc>
        <w:tc>
          <w:tcPr>
            <w:tcW w:w="678" w:type="dxa"/>
            <w:shd w:val="clear" w:color="auto" w:fill="E2EFD9" w:themeFill="accent6" w:themeFillTint="33"/>
            <w:noWrap/>
            <w:vAlign w:val="center"/>
            <w:hideMark/>
          </w:tcPr>
          <w:p w:rsidR="00737A53" w:rsidRDefault="0076469E">
            <w:pPr>
              <w:spacing w:before="120" w:after="120"/>
              <w:jc w:val="right"/>
              <w:rPr>
                <w:rFonts w:ascii="Times New Roman" w:hAnsi="Times New Roman" w:cs="Times New Roman"/>
                <w:noProof/>
                <w:sz w:val="18"/>
                <w:szCs w:val="18"/>
              </w:rPr>
            </w:pPr>
            <w:r>
              <w:rPr>
                <w:rFonts w:ascii="Times New Roman" w:hAnsi="Times New Roman"/>
                <w:noProof/>
                <w:sz w:val="18"/>
                <w:szCs w:val="18"/>
              </w:rPr>
              <w:t>40</w:t>
            </w:r>
          </w:p>
        </w:tc>
        <w:tc>
          <w:tcPr>
            <w:tcW w:w="819" w:type="dxa"/>
            <w:noWrap/>
            <w:vAlign w:val="center"/>
            <w:hideMark/>
          </w:tcPr>
          <w:p w:rsidR="00737A53" w:rsidRDefault="0076469E">
            <w:pPr>
              <w:spacing w:before="120" w:after="120"/>
              <w:jc w:val="right"/>
              <w:rPr>
                <w:rFonts w:ascii="Times New Roman" w:hAnsi="Times New Roman" w:cs="Times New Roman"/>
                <w:i/>
                <w:noProof/>
                <w:sz w:val="18"/>
                <w:szCs w:val="18"/>
              </w:rPr>
            </w:pPr>
            <w:r>
              <w:rPr>
                <w:rFonts w:ascii="Times New Roman" w:hAnsi="Times New Roman"/>
                <w:i/>
                <w:noProof/>
                <w:sz w:val="18"/>
                <w:szCs w:val="18"/>
              </w:rPr>
              <w:t>0,9</w:t>
            </w:r>
          </w:p>
        </w:tc>
        <w:tc>
          <w:tcPr>
            <w:tcW w:w="741" w:type="dxa"/>
            <w:shd w:val="clear" w:color="auto" w:fill="E2EFD9" w:themeFill="accent6" w:themeFillTint="33"/>
            <w:noWrap/>
            <w:vAlign w:val="center"/>
          </w:tcPr>
          <w:p w:rsidR="00737A53" w:rsidRDefault="0076469E">
            <w:pPr>
              <w:spacing w:before="120" w:after="120"/>
              <w:jc w:val="right"/>
              <w:rPr>
                <w:rFonts w:ascii="Times New Roman" w:hAnsi="Times New Roman" w:cs="Times New Roman"/>
                <w:noProof/>
                <w:sz w:val="18"/>
                <w:szCs w:val="18"/>
              </w:rPr>
            </w:pPr>
            <w:r>
              <w:rPr>
                <w:rFonts w:ascii="Times New Roman" w:hAnsi="Times New Roman"/>
                <w:noProof/>
                <w:sz w:val="18"/>
                <w:szCs w:val="18"/>
              </w:rPr>
              <w:t>64</w:t>
            </w:r>
          </w:p>
        </w:tc>
        <w:tc>
          <w:tcPr>
            <w:tcW w:w="756" w:type="dxa"/>
            <w:noWrap/>
            <w:vAlign w:val="center"/>
          </w:tcPr>
          <w:p w:rsidR="00737A53" w:rsidRDefault="0076469E">
            <w:pPr>
              <w:spacing w:before="120" w:after="120"/>
              <w:jc w:val="right"/>
              <w:rPr>
                <w:rFonts w:ascii="Times New Roman" w:hAnsi="Times New Roman" w:cs="Times New Roman"/>
                <w:i/>
                <w:iCs/>
                <w:noProof/>
                <w:sz w:val="18"/>
                <w:szCs w:val="18"/>
              </w:rPr>
            </w:pPr>
            <w:r>
              <w:rPr>
                <w:rFonts w:ascii="Times New Roman" w:hAnsi="Times New Roman"/>
                <w:i/>
                <w:iCs/>
                <w:noProof/>
                <w:sz w:val="18"/>
                <w:szCs w:val="18"/>
              </w:rPr>
              <w:t>1,3</w:t>
            </w:r>
          </w:p>
        </w:tc>
        <w:tc>
          <w:tcPr>
            <w:tcW w:w="803" w:type="dxa"/>
            <w:shd w:val="clear" w:color="auto" w:fill="E2EFD9" w:themeFill="accent6" w:themeFillTint="33"/>
            <w:noWrap/>
            <w:vAlign w:val="center"/>
          </w:tcPr>
          <w:p w:rsidR="00737A53" w:rsidRDefault="0076469E">
            <w:pPr>
              <w:spacing w:before="120" w:after="120"/>
              <w:jc w:val="right"/>
              <w:rPr>
                <w:rFonts w:ascii="Times New Roman" w:hAnsi="Times New Roman" w:cs="Times New Roman"/>
                <w:noProof/>
                <w:sz w:val="18"/>
                <w:szCs w:val="18"/>
              </w:rPr>
            </w:pPr>
            <w:r>
              <w:rPr>
                <w:rFonts w:ascii="Times New Roman" w:hAnsi="Times New Roman"/>
                <w:noProof/>
                <w:sz w:val="18"/>
                <w:szCs w:val="18"/>
              </w:rPr>
              <w:t>169</w:t>
            </w:r>
          </w:p>
        </w:tc>
        <w:tc>
          <w:tcPr>
            <w:tcW w:w="793" w:type="dxa"/>
            <w:noWrap/>
            <w:vAlign w:val="center"/>
          </w:tcPr>
          <w:p w:rsidR="00737A53" w:rsidRDefault="0076469E">
            <w:pPr>
              <w:spacing w:before="120" w:after="120"/>
              <w:jc w:val="right"/>
              <w:rPr>
                <w:rFonts w:ascii="Times New Roman" w:hAnsi="Times New Roman" w:cs="Times New Roman"/>
                <w:i/>
                <w:iCs/>
                <w:noProof/>
                <w:sz w:val="18"/>
                <w:szCs w:val="18"/>
              </w:rPr>
            </w:pPr>
            <w:r>
              <w:rPr>
                <w:rFonts w:ascii="Times New Roman" w:hAnsi="Times New Roman"/>
                <w:i/>
                <w:iCs/>
                <w:noProof/>
                <w:sz w:val="18"/>
                <w:szCs w:val="18"/>
              </w:rPr>
              <w:t>1,0</w:t>
            </w:r>
          </w:p>
        </w:tc>
      </w:tr>
      <w:tr w:rsidR="00737A53">
        <w:trPr>
          <w:trHeight w:val="288"/>
        </w:trPr>
        <w:tc>
          <w:tcPr>
            <w:tcW w:w="1436" w:type="dxa"/>
            <w:noWrap/>
            <w:vAlign w:val="center"/>
            <w:hideMark/>
          </w:tcPr>
          <w:p w:rsidR="00737A53" w:rsidRDefault="0076469E">
            <w:pPr>
              <w:spacing w:before="120" w:after="120"/>
              <w:rPr>
                <w:rFonts w:ascii="Times New Roman" w:hAnsi="Times New Roman" w:cs="Times New Roman"/>
                <w:noProof/>
                <w:sz w:val="18"/>
                <w:szCs w:val="18"/>
              </w:rPr>
            </w:pPr>
            <w:r>
              <w:rPr>
                <w:rFonts w:ascii="Times New Roman" w:hAnsi="Times New Roman"/>
                <w:noProof/>
                <w:sz w:val="18"/>
                <w:szCs w:val="18"/>
              </w:rPr>
              <w:t>Vizinhança</w:t>
            </w:r>
          </w:p>
        </w:tc>
        <w:tc>
          <w:tcPr>
            <w:tcW w:w="680" w:type="dxa"/>
            <w:shd w:val="clear" w:color="auto" w:fill="E2EFD9" w:themeFill="accent6" w:themeFillTint="33"/>
            <w:noWrap/>
            <w:vAlign w:val="center"/>
            <w:hideMark/>
          </w:tcPr>
          <w:p w:rsidR="00737A53" w:rsidRDefault="0076469E">
            <w:pPr>
              <w:spacing w:before="120" w:after="120"/>
              <w:jc w:val="right"/>
              <w:rPr>
                <w:rFonts w:ascii="Times New Roman" w:hAnsi="Times New Roman" w:cs="Times New Roman"/>
                <w:noProof/>
                <w:sz w:val="18"/>
                <w:szCs w:val="18"/>
              </w:rPr>
            </w:pPr>
            <w:r>
              <w:rPr>
                <w:rFonts w:ascii="Times New Roman" w:hAnsi="Times New Roman"/>
                <w:noProof/>
                <w:sz w:val="18"/>
                <w:szCs w:val="18"/>
              </w:rPr>
              <w:t>98</w:t>
            </w:r>
          </w:p>
        </w:tc>
        <w:tc>
          <w:tcPr>
            <w:tcW w:w="807" w:type="dxa"/>
            <w:noWrap/>
            <w:vAlign w:val="center"/>
            <w:hideMark/>
          </w:tcPr>
          <w:p w:rsidR="00737A53" w:rsidRDefault="0076469E">
            <w:pPr>
              <w:spacing w:before="120" w:after="120"/>
              <w:jc w:val="right"/>
              <w:rPr>
                <w:rFonts w:ascii="Times New Roman" w:hAnsi="Times New Roman" w:cs="Times New Roman"/>
                <w:i/>
                <w:noProof/>
                <w:sz w:val="18"/>
                <w:szCs w:val="18"/>
              </w:rPr>
            </w:pPr>
            <w:r>
              <w:rPr>
                <w:rFonts w:ascii="Times New Roman" w:hAnsi="Times New Roman"/>
                <w:i/>
                <w:noProof/>
                <w:sz w:val="18"/>
                <w:szCs w:val="18"/>
              </w:rPr>
              <w:t>2,9</w:t>
            </w:r>
          </w:p>
        </w:tc>
        <w:tc>
          <w:tcPr>
            <w:tcW w:w="758" w:type="dxa"/>
            <w:shd w:val="clear" w:color="auto" w:fill="E2EFD9" w:themeFill="accent6" w:themeFillTint="33"/>
            <w:noWrap/>
            <w:vAlign w:val="center"/>
            <w:hideMark/>
          </w:tcPr>
          <w:p w:rsidR="00737A53" w:rsidRDefault="0076469E">
            <w:pPr>
              <w:spacing w:before="120" w:after="120"/>
              <w:jc w:val="right"/>
              <w:rPr>
                <w:rFonts w:ascii="Times New Roman" w:hAnsi="Times New Roman" w:cs="Times New Roman"/>
                <w:noProof/>
                <w:sz w:val="18"/>
                <w:szCs w:val="18"/>
              </w:rPr>
            </w:pPr>
            <w:r>
              <w:rPr>
                <w:rFonts w:ascii="Times New Roman" w:hAnsi="Times New Roman"/>
                <w:noProof/>
                <w:sz w:val="18"/>
                <w:szCs w:val="18"/>
              </w:rPr>
              <w:t>273</w:t>
            </w:r>
          </w:p>
        </w:tc>
        <w:tc>
          <w:tcPr>
            <w:tcW w:w="739" w:type="dxa"/>
            <w:noWrap/>
            <w:vAlign w:val="center"/>
            <w:hideMark/>
          </w:tcPr>
          <w:p w:rsidR="00737A53" w:rsidRDefault="0076469E">
            <w:pPr>
              <w:spacing w:before="120" w:after="120"/>
              <w:jc w:val="right"/>
              <w:rPr>
                <w:rFonts w:ascii="Times New Roman" w:hAnsi="Times New Roman" w:cs="Times New Roman"/>
                <w:i/>
                <w:noProof/>
                <w:sz w:val="18"/>
                <w:szCs w:val="18"/>
              </w:rPr>
            </w:pPr>
            <w:r>
              <w:rPr>
                <w:rFonts w:ascii="Times New Roman" w:hAnsi="Times New Roman"/>
                <w:i/>
                <w:noProof/>
                <w:sz w:val="18"/>
                <w:szCs w:val="18"/>
              </w:rPr>
              <w:t>7,4</w:t>
            </w:r>
          </w:p>
        </w:tc>
        <w:tc>
          <w:tcPr>
            <w:tcW w:w="678" w:type="dxa"/>
            <w:shd w:val="clear" w:color="auto" w:fill="E2EFD9" w:themeFill="accent6" w:themeFillTint="33"/>
            <w:noWrap/>
            <w:vAlign w:val="center"/>
            <w:hideMark/>
          </w:tcPr>
          <w:p w:rsidR="00737A53" w:rsidRDefault="0076469E">
            <w:pPr>
              <w:spacing w:before="120" w:after="120"/>
              <w:jc w:val="right"/>
              <w:rPr>
                <w:rFonts w:ascii="Times New Roman" w:hAnsi="Times New Roman" w:cs="Times New Roman"/>
                <w:noProof/>
                <w:sz w:val="18"/>
                <w:szCs w:val="18"/>
              </w:rPr>
            </w:pPr>
            <w:r>
              <w:rPr>
                <w:rFonts w:ascii="Times New Roman" w:hAnsi="Times New Roman"/>
                <w:noProof/>
                <w:sz w:val="18"/>
                <w:szCs w:val="18"/>
              </w:rPr>
              <w:t>312</w:t>
            </w:r>
          </w:p>
        </w:tc>
        <w:tc>
          <w:tcPr>
            <w:tcW w:w="819" w:type="dxa"/>
            <w:noWrap/>
            <w:vAlign w:val="center"/>
            <w:hideMark/>
          </w:tcPr>
          <w:p w:rsidR="00737A53" w:rsidRDefault="0076469E">
            <w:pPr>
              <w:spacing w:before="120" w:after="120"/>
              <w:jc w:val="right"/>
              <w:rPr>
                <w:rFonts w:ascii="Times New Roman" w:hAnsi="Times New Roman" w:cs="Times New Roman"/>
                <w:i/>
                <w:noProof/>
                <w:sz w:val="18"/>
                <w:szCs w:val="18"/>
              </w:rPr>
            </w:pPr>
            <w:r>
              <w:rPr>
                <w:rFonts w:ascii="Times New Roman" w:hAnsi="Times New Roman"/>
                <w:i/>
                <w:noProof/>
                <w:sz w:val="18"/>
                <w:szCs w:val="18"/>
              </w:rPr>
              <w:t>7,4</w:t>
            </w:r>
          </w:p>
        </w:tc>
        <w:tc>
          <w:tcPr>
            <w:tcW w:w="741" w:type="dxa"/>
            <w:shd w:val="clear" w:color="auto" w:fill="E2EFD9" w:themeFill="accent6" w:themeFillTint="33"/>
            <w:noWrap/>
            <w:vAlign w:val="center"/>
          </w:tcPr>
          <w:p w:rsidR="00737A53" w:rsidRDefault="0076469E">
            <w:pPr>
              <w:spacing w:before="120" w:after="120"/>
              <w:jc w:val="right"/>
              <w:rPr>
                <w:rFonts w:ascii="Times New Roman" w:hAnsi="Times New Roman" w:cs="Times New Roman"/>
                <w:noProof/>
                <w:sz w:val="18"/>
                <w:szCs w:val="18"/>
              </w:rPr>
            </w:pPr>
            <w:r>
              <w:rPr>
                <w:rFonts w:ascii="Times New Roman" w:hAnsi="Times New Roman"/>
                <w:noProof/>
                <w:sz w:val="18"/>
                <w:szCs w:val="18"/>
              </w:rPr>
              <w:t>405</w:t>
            </w:r>
          </w:p>
        </w:tc>
        <w:tc>
          <w:tcPr>
            <w:tcW w:w="756" w:type="dxa"/>
            <w:noWrap/>
            <w:vAlign w:val="center"/>
          </w:tcPr>
          <w:p w:rsidR="00737A53" w:rsidRDefault="0076469E">
            <w:pPr>
              <w:spacing w:before="120" w:after="120"/>
              <w:jc w:val="right"/>
              <w:rPr>
                <w:rFonts w:ascii="Times New Roman" w:hAnsi="Times New Roman" w:cs="Times New Roman"/>
                <w:i/>
                <w:iCs/>
                <w:noProof/>
                <w:sz w:val="18"/>
                <w:szCs w:val="18"/>
              </w:rPr>
            </w:pPr>
            <w:r>
              <w:rPr>
                <w:rFonts w:ascii="Times New Roman" w:hAnsi="Times New Roman"/>
                <w:i/>
                <w:iCs/>
                <w:noProof/>
                <w:sz w:val="18"/>
                <w:szCs w:val="18"/>
              </w:rPr>
              <w:t>8,0</w:t>
            </w:r>
          </w:p>
        </w:tc>
        <w:tc>
          <w:tcPr>
            <w:tcW w:w="803" w:type="dxa"/>
            <w:shd w:val="clear" w:color="auto" w:fill="E2EFD9" w:themeFill="accent6" w:themeFillTint="33"/>
            <w:noWrap/>
            <w:vAlign w:val="center"/>
          </w:tcPr>
          <w:p w:rsidR="00737A53" w:rsidRDefault="0076469E">
            <w:pPr>
              <w:spacing w:before="120" w:after="120"/>
              <w:jc w:val="right"/>
              <w:rPr>
                <w:rFonts w:ascii="Times New Roman" w:hAnsi="Times New Roman" w:cs="Times New Roman"/>
                <w:noProof/>
                <w:sz w:val="18"/>
                <w:szCs w:val="18"/>
              </w:rPr>
            </w:pPr>
            <w:r>
              <w:rPr>
                <w:rFonts w:ascii="Times New Roman" w:hAnsi="Times New Roman"/>
                <w:noProof/>
                <w:sz w:val="18"/>
                <w:szCs w:val="18"/>
              </w:rPr>
              <w:t>1 088</w:t>
            </w:r>
          </w:p>
        </w:tc>
        <w:tc>
          <w:tcPr>
            <w:tcW w:w="793" w:type="dxa"/>
            <w:noWrap/>
            <w:vAlign w:val="center"/>
          </w:tcPr>
          <w:p w:rsidR="00737A53" w:rsidRDefault="0076469E">
            <w:pPr>
              <w:spacing w:before="120" w:after="120"/>
              <w:jc w:val="right"/>
              <w:rPr>
                <w:rFonts w:ascii="Times New Roman" w:hAnsi="Times New Roman" w:cs="Times New Roman"/>
                <w:i/>
                <w:iCs/>
                <w:noProof/>
                <w:sz w:val="18"/>
                <w:szCs w:val="18"/>
              </w:rPr>
            </w:pPr>
            <w:r>
              <w:rPr>
                <w:rFonts w:ascii="Times New Roman" w:hAnsi="Times New Roman"/>
                <w:i/>
                <w:iCs/>
                <w:noProof/>
                <w:sz w:val="18"/>
                <w:szCs w:val="18"/>
              </w:rPr>
              <w:t>6,7</w:t>
            </w:r>
          </w:p>
        </w:tc>
      </w:tr>
      <w:tr w:rsidR="00737A53">
        <w:trPr>
          <w:trHeight w:val="288"/>
        </w:trPr>
        <w:tc>
          <w:tcPr>
            <w:tcW w:w="1436" w:type="dxa"/>
            <w:noWrap/>
            <w:vAlign w:val="center"/>
            <w:hideMark/>
          </w:tcPr>
          <w:p w:rsidR="00737A53" w:rsidRDefault="0076469E">
            <w:pPr>
              <w:spacing w:before="120" w:after="120"/>
              <w:rPr>
                <w:rFonts w:ascii="Times New Roman" w:hAnsi="Times New Roman" w:cs="Times New Roman"/>
                <w:noProof/>
                <w:sz w:val="18"/>
                <w:szCs w:val="18"/>
              </w:rPr>
            </w:pPr>
            <w:r>
              <w:rPr>
                <w:rFonts w:ascii="Times New Roman" w:hAnsi="Times New Roman"/>
                <w:noProof/>
                <w:sz w:val="18"/>
                <w:szCs w:val="18"/>
              </w:rPr>
              <w:t>América do Norte, Central e do Sul</w:t>
            </w:r>
          </w:p>
        </w:tc>
        <w:tc>
          <w:tcPr>
            <w:tcW w:w="680" w:type="dxa"/>
            <w:shd w:val="clear" w:color="auto" w:fill="E2EFD9" w:themeFill="accent6" w:themeFillTint="33"/>
            <w:noWrap/>
            <w:vAlign w:val="center"/>
            <w:hideMark/>
          </w:tcPr>
          <w:p w:rsidR="00737A53" w:rsidRDefault="0076469E">
            <w:pPr>
              <w:spacing w:before="120" w:after="120"/>
              <w:jc w:val="right"/>
              <w:rPr>
                <w:rFonts w:ascii="Times New Roman" w:hAnsi="Times New Roman" w:cs="Times New Roman"/>
                <w:noProof/>
                <w:sz w:val="18"/>
                <w:szCs w:val="18"/>
              </w:rPr>
            </w:pPr>
            <w:r>
              <w:rPr>
                <w:rFonts w:ascii="Times New Roman" w:hAnsi="Times New Roman"/>
                <w:noProof/>
                <w:sz w:val="18"/>
                <w:szCs w:val="18"/>
              </w:rPr>
              <w:t>232</w:t>
            </w:r>
          </w:p>
        </w:tc>
        <w:tc>
          <w:tcPr>
            <w:tcW w:w="807" w:type="dxa"/>
            <w:noWrap/>
            <w:vAlign w:val="center"/>
            <w:hideMark/>
          </w:tcPr>
          <w:p w:rsidR="00737A53" w:rsidRDefault="0076469E">
            <w:pPr>
              <w:spacing w:before="120" w:after="120"/>
              <w:jc w:val="right"/>
              <w:rPr>
                <w:rFonts w:ascii="Times New Roman" w:hAnsi="Times New Roman" w:cs="Times New Roman"/>
                <w:i/>
                <w:noProof/>
                <w:sz w:val="18"/>
                <w:szCs w:val="18"/>
              </w:rPr>
            </w:pPr>
            <w:r>
              <w:rPr>
                <w:rFonts w:ascii="Times New Roman" w:hAnsi="Times New Roman"/>
                <w:i/>
                <w:noProof/>
                <w:sz w:val="18"/>
                <w:szCs w:val="18"/>
              </w:rPr>
              <w:t>6,9</w:t>
            </w:r>
          </w:p>
        </w:tc>
        <w:tc>
          <w:tcPr>
            <w:tcW w:w="758" w:type="dxa"/>
            <w:shd w:val="clear" w:color="auto" w:fill="E2EFD9" w:themeFill="accent6" w:themeFillTint="33"/>
            <w:noWrap/>
            <w:vAlign w:val="center"/>
            <w:hideMark/>
          </w:tcPr>
          <w:p w:rsidR="00737A53" w:rsidRDefault="0076469E">
            <w:pPr>
              <w:spacing w:before="120" w:after="120"/>
              <w:jc w:val="right"/>
              <w:rPr>
                <w:rFonts w:ascii="Times New Roman" w:hAnsi="Times New Roman" w:cs="Times New Roman"/>
                <w:noProof/>
                <w:sz w:val="18"/>
                <w:szCs w:val="18"/>
              </w:rPr>
            </w:pPr>
            <w:r>
              <w:rPr>
                <w:rFonts w:ascii="Times New Roman" w:hAnsi="Times New Roman"/>
                <w:noProof/>
                <w:sz w:val="18"/>
                <w:szCs w:val="18"/>
              </w:rPr>
              <w:t>225</w:t>
            </w:r>
          </w:p>
        </w:tc>
        <w:tc>
          <w:tcPr>
            <w:tcW w:w="739" w:type="dxa"/>
            <w:noWrap/>
            <w:vAlign w:val="center"/>
            <w:hideMark/>
          </w:tcPr>
          <w:p w:rsidR="00737A53" w:rsidRDefault="0076469E">
            <w:pPr>
              <w:spacing w:before="120" w:after="120"/>
              <w:jc w:val="right"/>
              <w:rPr>
                <w:rFonts w:ascii="Times New Roman" w:hAnsi="Times New Roman" w:cs="Times New Roman"/>
                <w:i/>
                <w:noProof/>
                <w:sz w:val="18"/>
                <w:szCs w:val="18"/>
              </w:rPr>
            </w:pPr>
            <w:r>
              <w:rPr>
                <w:rFonts w:ascii="Times New Roman" w:hAnsi="Times New Roman"/>
                <w:i/>
                <w:noProof/>
                <w:sz w:val="18"/>
                <w:szCs w:val="18"/>
              </w:rPr>
              <w:t>6,2</w:t>
            </w:r>
          </w:p>
        </w:tc>
        <w:tc>
          <w:tcPr>
            <w:tcW w:w="678" w:type="dxa"/>
            <w:shd w:val="clear" w:color="auto" w:fill="E2EFD9" w:themeFill="accent6" w:themeFillTint="33"/>
            <w:noWrap/>
            <w:vAlign w:val="center"/>
            <w:hideMark/>
          </w:tcPr>
          <w:p w:rsidR="00737A53" w:rsidRDefault="0076469E">
            <w:pPr>
              <w:spacing w:before="120" w:after="120"/>
              <w:jc w:val="right"/>
              <w:rPr>
                <w:rFonts w:ascii="Times New Roman" w:hAnsi="Times New Roman" w:cs="Times New Roman"/>
                <w:noProof/>
                <w:sz w:val="18"/>
                <w:szCs w:val="18"/>
              </w:rPr>
            </w:pPr>
            <w:r>
              <w:rPr>
                <w:rFonts w:ascii="Times New Roman" w:hAnsi="Times New Roman"/>
                <w:noProof/>
                <w:sz w:val="18"/>
                <w:szCs w:val="18"/>
              </w:rPr>
              <w:t>285</w:t>
            </w:r>
          </w:p>
        </w:tc>
        <w:tc>
          <w:tcPr>
            <w:tcW w:w="819" w:type="dxa"/>
            <w:noWrap/>
            <w:vAlign w:val="center"/>
            <w:hideMark/>
          </w:tcPr>
          <w:p w:rsidR="00737A53" w:rsidRDefault="0076469E">
            <w:pPr>
              <w:spacing w:before="120" w:after="120"/>
              <w:jc w:val="right"/>
              <w:rPr>
                <w:rFonts w:ascii="Times New Roman" w:hAnsi="Times New Roman" w:cs="Times New Roman"/>
                <w:i/>
                <w:noProof/>
                <w:sz w:val="18"/>
                <w:szCs w:val="18"/>
              </w:rPr>
            </w:pPr>
            <w:r>
              <w:rPr>
                <w:rFonts w:ascii="Times New Roman" w:hAnsi="Times New Roman"/>
                <w:i/>
                <w:noProof/>
                <w:sz w:val="18"/>
                <w:szCs w:val="18"/>
              </w:rPr>
              <w:t>6,8</w:t>
            </w:r>
          </w:p>
        </w:tc>
        <w:tc>
          <w:tcPr>
            <w:tcW w:w="741" w:type="dxa"/>
            <w:shd w:val="clear" w:color="auto" w:fill="E2EFD9" w:themeFill="accent6" w:themeFillTint="33"/>
            <w:noWrap/>
            <w:vAlign w:val="center"/>
          </w:tcPr>
          <w:p w:rsidR="00737A53" w:rsidRDefault="0076469E">
            <w:pPr>
              <w:spacing w:before="120" w:after="120"/>
              <w:jc w:val="right"/>
              <w:rPr>
                <w:rFonts w:ascii="Times New Roman" w:hAnsi="Times New Roman" w:cs="Times New Roman"/>
                <w:noProof/>
                <w:sz w:val="18"/>
                <w:szCs w:val="18"/>
              </w:rPr>
            </w:pPr>
            <w:r>
              <w:rPr>
                <w:rFonts w:ascii="Times New Roman" w:hAnsi="Times New Roman"/>
                <w:noProof/>
                <w:sz w:val="18"/>
                <w:szCs w:val="18"/>
              </w:rPr>
              <w:t>289</w:t>
            </w:r>
          </w:p>
        </w:tc>
        <w:tc>
          <w:tcPr>
            <w:tcW w:w="756" w:type="dxa"/>
            <w:noWrap/>
            <w:vAlign w:val="center"/>
          </w:tcPr>
          <w:p w:rsidR="00737A53" w:rsidRDefault="0076469E">
            <w:pPr>
              <w:spacing w:before="120" w:after="120"/>
              <w:jc w:val="right"/>
              <w:rPr>
                <w:rFonts w:ascii="Times New Roman" w:hAnsi="Times New Roman" w:cs="Times New Roman"/>
                <w:i/>
                <w:iCs/>
                <w:noProof/>
                <w:sz w:val="18"/>
                <w:szCs w:val="18"/>
              </w:rPr>
            </w:pPr>
            <w:r>
              <w:rPr>
                <w:rFonts w:ascii="Times New Roman" w:hAnsi="Times New Roman"/>
                <w:i/>
                <w:iCs/>
                <w:noProof/>
                <w:sz w:val="18"/>
                <w:szCs w:val="18"/>
              </w:rPr>
              <w:t>5,8</w:t>
            </w:r>
          </w:p>
        </w:tc>
        <w:tc>
          <w:tcPr>
            <w:tcW w:w="803" w:type="dxa"/>
            <w:shd w:val="clear" w:color="auto" w:fill="E2EFD9" w:themeFill="accent6" w:themeFillTint="33"/>
            <w:noWrap/>
            <w:vAlign w:val="center"/>
          </w:tcPr>
          <w:p w:rsidR="00737A53" w:rsidRDefault="0076469E">
            <w:pPr>
              <w:spacing w:before="120" w:after="120"/>
              <w:jc w:val="right"/>
              <w:rPr>
                <w:rFonts w:ascii="Times New Roman" w:hAnsi="Times New Roman" w:cs="Times New Roman"/>
                <w:noProof/>
                <w:sz w:val="18"/>
                <w:szCs w:val="18"/>
              </w:rPr>
            </w:pPr>
            <w:r>
              <w:rPr>
                <w:rFonts w:ascii="Times New Roman" w:hAnsi="Times New Roman"/>
                <w:noProof/>
                <w:sz w:val="18"/>
                <w:szCs w:val="18"/>
              </w:rPr>
              <w:t>1 031</w:t>
            </w:r>
          </w:p>
        </w:tc>
        <w:tc>
          <w:tcPr>
            <w:tcW w:w="793" w:type="dxa"/>
            <w:noWrap/>
            <w:vAlign w:val="center"/>
          </w:tcPr>
          <w:p w:rsidR="00737A53" w:rsidRDefault="0076469E">
            <w:pPr>
              <w:spacing w:before="120" w:after="120"/>
              <w:jc w:val="right"/>
              <w:rPr>
                <w:rFonts w:ascii="Times New Roman" w:hAnsi="Times New Roman" w:cs="Times New Roman"/>
                <w:i/>
                <w:iCs/>
                <w:noProof/>
                <w:sz w:val="18"/>
                <w:szCs w:val="18"/>
              </w:rPr>
            </w:pPr>
            <w:r>
              <w:rPr>
                <w:rFonts w:ascii="Times New Roman" w:hAnsi="Times New Roman"/>
                <w:i/>
                <w:iCs/>
                <w:noProof/>
                <w:sz w:val="18"/>
                <w:szCs w:val="18"/>
              </w:rPr>
              <w:t>6,3</w:t>
            </w:r>
          </w:p>
        </w:tc>
      </w:tr>
      <w:tr w:rsidR="00737A53">
        <w:trPr>
          <w:trHeight w:val="288"/>
        </w:trPr>
        <w:tc>
          <w:tcPr>
            <w:tcW w:w="1436" w:type="dxa"/>
            <w:noWrap/>
            <w:vAlign w:val="center"/>
            <w:hideMark/>
          </w:tcPr>
          <w:p w:rsidR="00737A53" w:rsidRDefault="0076469E">
            <w:pPr>
              <w:spacing w:before="120" w:after="120"/>
              <w:rPr>
                <w:rFonts w:ascii="Times New Roman" w:hAnsi="Times New Roman" w:cs="Times New Roman"/>
                <w:noProof/>
                <w:sz w:val="18"/>
                <w:szCs w:val="18"/>
              </w:rPr>
            </w:pPr>
            <w:r>
              <w:rPr>
                <w:rFonts w:ascii="Times New Roman" w:hAnsi="Times New Roman"/>
                <w:noProof/>
                <w:sz w:val="18"/>
                <w:szCs w:val="18"/>
              </w:rPr>
              <w:t>Regional e não especificado</w:t>
            </w:r>
          </w:p>
        </w:tc>
        <w:tc>
          <w:tcPr>
            <w:tcW w:w="680" w:type="dxa"/>
            <w:shd w:val="clear" w:color="auto" w:fill="E2EFD9" w:themeFill="accent6" w:themeFillTint="33"/>
            <w:noWrap/>
            <w:vAlign w:val="center"/>
            <w:hideMark/>
          </w:tcPr>
          <w:p w:rsidR="00737A53" w:rsidRDefault="0076469E">
            <w:pPr>
              <w:spacing w:before="120" w:after="120"/>
              <w:jc w:val="right"/>
              <w:rPr>
                <w:rFonts w:ascii="Times New Roman" w:hAnsi="Times New Roman" w:cs="Times New Roman"/>
                <w:noProof/>
                <w:sz w:val="18"/>
                <w:szCs w:val="18"/>
              </w:rPr>
            </w:pPr>
            <w:r>
              <w:rPr>
                <w:rFonts w:ascii="Times New Roman" w:hAnsi="Times New Roman"/>
                <w:noProof/>
                <w:sz w:val="18"/>
                <w:szCs w:val="18"/>
              </w:rPr>
              <w:t>962</w:t>
            </w:r>
          </w:p>
        </w:tc>
        <w:tc>
          <w:tcPr>
            <w:tcW w:w="807" w:type="dxa"/>
            <w:noWrap/>
            <w:vAlign w:val="center"/>
            <w:hideMark/>
          </w:tcPr>
          <w:p w:rsidR="00737A53" w:rsidRDefault="0076469E">
            <w:pPr>
              <w:spacing w:before="120" w:after="120"/>
              <w:jc w:val="right"/>
              <w:rPr>
                <w:rFonts w:ascii="Times New Roman" w:hAnsi="Times New Roman" w:cs="Times New Roman"/>
                <w:i/>
                <w:noProof/>
                <w:sz w:val="18"/>
                <w:szCs w:val="18"/>
              </w:rPr>
            </w:pPr>
            <w:r>
              <w:rPr>
                <w:rFonts w:ascii="Times New Roman" w:hAnsi="Times New Roman"/>
                <w:i/>
                <w:noProof/>
                <w:sz w:val="18"/>
                <w:szCs w:val="18"/>
              </w:rPr>
              <w:t>28,6</w:t>
            </w:r>
          </w:p>
        </w:tc>
        <w:tc>
          <w:tcPr>
            <w:tcW w:w="758" w:type="dxa"/>
            <w:shd w:val="clear" w:color="auto" w:fill="E2EFD9" w:themeFill="accent6" w:themeFillTint="33"/>
            <w:noWrap/>
            <w:vAlign w:val="center"/>
            <w:hideMark/>
          </w:tcPr>
          <w:p w:rsidR="00737A53" w:rsidRDefault="0076469E">
            <w:pPr>
              <w:spacing w:before="120" w:after="120"/>
              <w:jc w:val="right"/>
              <w:rPr>
                <w:rFonts w:ascii="Times New Roman" w:hAnsi="Times New Roman" w:cs="Times New Roman"/>
                <w:noProof/>
                <w:sz w:val="18"/>
                <w:szCs w:val="18"/>
              </w:rPr>
            </w:pPr>
            <w:r>
              <w:rPr>
                <w:rFonts w:ascii="Times New Roman" w:hAnsi="Times New Roman"/>
                <w:noProof/>
                <w:sz w:val="18"/>
                <w:szCs w:val="18"/>
              </w:rPr>
              <w:t>898</w:t>
            </w:r>
          </w:p>
        </w:tc>
        <w:tc>
          <w:tcPr>
            <w:tcW w:w="739" w:type="dxa"/>
            <w:noWrap/>
            <w:vAlign w:val="center"/>
            <w:hideMark/>
          </w:tcPr>
          <w:p w:rsidR="00737A53" w:rsidRDefault="0076469E">
            <w:pPr>
              <w:spacing w:before="120" w:after="120"/>
              <w:jc w:val="right"/>
              <w:rPr>
                <w:rFonts w:ascii="Times New Roman" w:hAnsi="Times New Roman" w:cs="Times New Roman"/>
                <w:i/>
                <w:noProof/>
                <w:sz w:val="18"/>
                <w:szCs w:val="18"/>
              </w:rPr>
            </w:pPr>
            <w:r>
              <w:rPr>
                <w:rFonts w:ascii="Times New Roman" w:hAnsi="Times New Roman"/>
                <w:i/>
                <w:noProof/>
                <w:sz w:val="18"/>
                <w:szCs w:val="18"/>
              </w:rPr>
              <w:t>24,5</w:t>
            </w:r>
          </w:p>
        </w:tc>
        <w:tc>
          <w:tcPr>
            <w:tcW w:w="678" w:type="dxa"/>
            <w:shd w:val="clear" w:color="auto" w:fill="E2EFD9" w:themeFill="accent6" w:themeFillTint="33"/>
            <w:noWrap/>
            <w:vAlign w:val="center"/>
            <w:hideMark/>
          </w:tcPr>
          <w:p w:rsidR="00737A53" w:rsidRDefault="0076469E">
            <w:pPr>
              <w:spacing w:before="120" w:after="120"/>
              <w:jc w:val="right"/>
              <w:rPr>
                <w:rFonts w:ascii="Times New Roman" w:hAnsi="Times New Roman" w:cs="Times New Roman"/>
                <w:noProof/>
                <w:sz w:val="18"/>
                <w:szCs w:val="18"/>
              </w:rPr>
            </w:pPr>
            <w:r>
              <w:rPr>
                <w:rFonts w:ascii="Times New Roman" w:hAnsi="Times New Roman"/>
                <w:noProof/>
                <w:sz w:val="18"/>
                <w:szCs w:val="18"/>
              </w:rPr>
              <w:t>800</w:t>
            </w:r>
          </w:p>
        </w:tc>
        <w:tc>
          <w:tcPr>
            <w:tcW w:w="819" w:type="dxa"/>
            <w:noWrap/>
            <w:vAlign w:val="center"/>
            <w:hideMark/>
          </w:tcPr>
          <w:p w:rsidR="00737A53" w:rsidRDefault="0076469E">
            <w:pPr>
              <w:spacing w:before="120" w:after="120"/>
              <w:jc w:val="right"/>
              <w:rPr>
                <w:rFonts w:ascii="Times New Roman" w:hAnsi="Times New Roman" w:cs="Times New Roman"/>
                <w:i/>
                <w:noProof/>
                <w:sz w:val="18"/>
                <w:szCs w:val="18"/>
              </w:rPr>
            </w:pPr>
            <w:r>
              <w:rPr>
                <w:rFonts w:ascii="Times New Roman" w:hAnsi="Times New Roman"/>
                <w:i/>
                <w:noProof/>
                <w:sz w:val="18"/>
                <w:szCs w:val="18"/>
              </w:rPr>
              <w:t>19,1</w:t>
            </w:r>
          </w:p>
        </w:tc>
        <w:tc>
          <w:tcPr>
            <w:tcW w:w="741" w:type="dxa"/>
            <w:shd w:val="clear" w:color="auto" w:fill="E2EFD9" w:themeFill="accent6" w:themeFillTint="33"/>
            <w:noWrap/>
            <w:vAlign w:val="center"/>
          </w:tcPr>
          <w:p w:rsidR="00737A53" w:rsidRDefault="0076469E">
            <w:pPr>
              <w:spacing w:before="120" w:after="120"/>
              <w:jc w:val="right"/>
              <w:rPr>
                <w:rFonts w:ascii="Times New Roman" w:hAnsi="Times New Roman" w:cs="Times New Roman"/>
                <w:noProof/>
                <w:sz w:val="18"/>
                <w:szCs w:val="18"/>
              </w:rPr>
            </w:pPr>
            <w:r>
              <w:rPr>
                <w:rFonts w:ascii="Times New Roman" w:hAnsi="Times New Roman"/>
                <w:noProof/>
                <w:sz w:val="18"/>
                <w:szCs w:val="18"/>
              </w:rPr>
              <w:t>1 148</w:t>
            </w:r>
          </w:p>
        </w:tc>
        <w:tc>
          <w:tcPr>
            <w:tcW w:w="756" w:type="dxa"/>
            <w:noWrap/>
            <w:vAlign w:val="center"/>
          </w:tcPr>
          <w:p w:rsidR="00737A53" w:rsidRDefault="0076469E">
            <w:pPr>
              <w:spacing w:before="120" w:after="120"/>
              <w:jc w:val="right"/>
              <w:rPr>
                <w:rFonts w:ascii="Times New Roman" w:hAnsi="Times New Roman" w:cs="Times New Roman"/>
                <w:i/>
                <w:iCs/>
                <w:noProof/>
                <w:sz w:val="18"/>
                <w:szCs w:val="18"/>
              </w:rPr>
            </w:pPr>
            <w:r>
              <w:rPr>
                <w:rFonts w:ascii="Times New Roman" w:hAnsi="Times New Roman"/>
                <w:i/>
                <w:iCs/>
                <w:noProof/>
                <w:sz w:val="18"/>
                <w:szCs w:val="18"/>
              </w:rPr>
              <w:t>22,8</w:t>
            </w:r>
          </w:p>
        </w:tc>
        <w:tc>
          <w:tcPr>
            <w:tcW w:w="803" w:type="dxa"/>
            <w:shd w:val="clear" w:color="auto" w:fill="E2EFD9" w:themeFill="accent6" w:themeFillTint="33"/>
            <w:noWrap/>
            <w:vAlign w:val="center"/>
          </w:tcPr>
          <w:p w:rsidR="00737A53" w:rsidRDefault="0076469E">
            <w:pPr>
              <w:spacing w:before="120" w:after="120"/>
              <w:jc w:val="right"/>
              <w:rPr>
                <w:rFonts w:ascii="Times New Roman" w:hAnsi="Times New Roman" w:cs="Times New Roman"/>
                <w:noProof/>
                <w:sz w:val="18"/>
                <w:szCs w:val="18"/>
              </w:rPr>
            </w:pPr>
            <w:r>
              <w:rPr>
                <w:rFonts w:ascii="Times New Roman" w:hAnsi="Times New Roman"/>
                <w:noProof/>
                <w:sz w:val="18"/>
                <w:szCs w:val="18"/>
              </w:rPr>
              <w:t>380</w:t>
            </w:r>
          </w:p>
        </w:tc>
        <w:tc>
          <w:tcPr>
            <w:tcW w:w="793" w:type="dxa"/>
            <w:noWrap/>
            <w:vAlign w:val="center"/>
          </w:tcPr>
          <w:p w:rsidR="00737A53" w:rsidRDefault="0076469E">
            <w:pPr>
              <w:spacing w:before="120" w:after="120"/>
              <w:jc w:val="right"/>
              <w:rPr>
                <w:rFonts w:ascii="Times New Roman" w:hAnsi="Times New Roman" w:cs="Times New Roman"/>
                <w:i/>
                <w:iCs/>
                <w:noProof/>
                <w:sz w:val="18"/>
                <w:szCs w:val="18"/>
              </w:rPr>
            </w:pPr>
            <w:r>
              <w:rPr>
                <w:rFonts w:ascii="Times New Roman" w:hAnsi="Times New Roman"/>
                <w:i/>
                <w:iCs/>
                <w:noProof/>
                <w:sz w:val="18"/>
                <w:szCs w:val="18"/>
              </w:rPr>
              <w:t>23,4</w:t>
            </w:r>
          </w:p>
        </w:tc>
      </w:tr>
      <w:tr w:rsidR="00737A53">
        <w:trPr>
          <w:trHeight w:val="288"/>
        </w:trPr>
        <w:tc>
          <w:tcPr>
            <w:tcW w:w="1436" w:type="dxa"/>
            <w:noWrap/>
            <w:vAlign w:val="center"/>
            <w:hideMark/>
          </w:tcPr>
          <w:p w:rsidR="00737A53" w:rsidRDefault="0076469E">
            <w:pPr>
              <w:spacing w:before="120" w:after="120"/>
              <w:rPr>
                <w:rFonts w:ascii="Times New Roman" w:hAnsi="Times New Roman" w:cs="Times New Roman"/>
                <w:b/>
                <w:noProof/>
                <w:sz w:val="18"/>
                <w:szCs w:val="18"/>
              </w:rPr>
            </w:pPr>
            <w:r>
              <w:rPr>
                <w:rFonts w:ascii="Times New Roman" w:hAnsi="Times New Roman"/>
                <w:b/>
                <w:noProof/>
                <w:sz w:val="18"/>
                <w:szCs w:val="18"/>
              </w:rPr>
              <w:t>Todas as regiões</w:t>
            </w:r>
          </w:p>
        </w:tc>
        <w:tc>
          <w:tcPr>
            <w:tcW w:w="680" w:type="dxa"/>
            <w:shd w:val="clear" w:color="auto" w:fill="E2EFD9" w:themeFill="accent6" w:themeFillTint="33"/>
            <w:noWrap/>
            <w:vAlign w:val="center"/>
            <w:hideMark/>
          </w:tcPr>
          <w:p w:rsidR="00737A53" w:rsidRDefault="0076469E">
            <w:pPr>
              <w:spacing w:before="120" w:after="120"/>
              <w:jc w:val="right"/>
              <w:rPr>
                <w:rFonts w:ascii="Times New Roman" w:hAnsi="Times New Roman" w:cs="Times New Roman"/>
                <w:b/>
                <w:noProof/>
                <w:sz w:val="18"/>
                <w:szCs w:val="18"/>
              </w:rPr>
            </w:pPr>
            <w:r>
              <w:rPr>
                <w:rFonts w:ascii="Times New Roman" w:hAnsi="Times New Roman"/>
                <w:b/>
                <w:noProof/>
                <w:sz w:val="18"/>
                <w:szCs w:val="18"/>
              </w:rPr>
              <w:t>3 366</w:t>
            </w:r>
          </w:p>
        </w:tc>
        <w:tc>
          <w:tcPr>
            <w:tcW w:w="807" w:type="dxa"/>
            <w:noWrap/>
            <w:vAlign w:val="center"/>
            <w:hideMark/>
          </w:tcPr>
          <w:p w:rsidR="00737A53" w:rsidRDefault="0076469E">
            <w:pPr>
              <w:spacing w:before="120" w:after="120"/>
              <w:jc w:val="right"/>
              <w:rPr>
                <w:rFonts w:ascii="Times New Roman" w:hAnsi="Times New Roman" w:cs="Times New Roman"/>
                <w:i/>
                <w:noProof/>
                <w:sz w:val="18"/>
                <w:szCs w:val="18"/>
              </w:rPr>
            </w:pPr>
            <w:r>
              <w:rPr>
                <w:rFonts w:ascii="Times New Roman" w:hAnsi="Times New Roman"/>
                <w:i/>
                <w:noProof/>
                <w:sz w:val="18"/>
                <w:szCs w:val="18"/>
              </w:rPr>
              <w:t>100</w:t>
            </w:r>
          </w:p>
        </w:tc>
        <w:tc>
          <w:tcPr>
            <w:tcW w:w="758" w:type="dxa"/>
            <w:shd w:val="clear" w:color="auto" w:fill="E2EFD9" w:themeFill="accent6" w:themeFillTint="33"/>
            <w:noWrap/>
            <w:vAlign w:val="center"/>
            <w:hideMark/>
          </w:tcPr>
          <w:p w:rsidR="00737A53" w:rsidRDefault="0076469E">
            <w:pPr>
              <w:spacing w:before="120" w:after="120"/>
              <w:jc w:val="right"/>
              <w:rPr>
                <w:rFonts w:ascii="Times New Roman" w:hAnsi="Times New Roman" w:cs="Times New Roman"/>
                <w:b/>
                <w:noProof/>
                <w:sz w:val="18"/>
                <w:szCs w:val="18"/>
              </w:rPr>
            </w:pPr>
            <w:r>
              <w:rPr>
                <w:rFonts w:ascii="Times New Roman" w:hAnsi="Times New Roman"/>
                <w:b/>
                <w:noProof/>
                <w:sz w:val="18"/>
                <w:szCs w:val="18"/>
              </w:rPr>
              <w:t>3 659</w:t>
            </w:r>
          </w:p>
        </w:tc>
        <w:tc>
          <w:tcPr>
            <w:tcW w:w="739" w:type="dxa"/>
            <w:noWrap/>
            <w:vAlign w:val="center"/>
            <w:hideMark/>
          </w:tcPr>
          <w:p w:rsidR="00737A53" w:rsidRDefault="0076469E">
            <w:pPr>
              <w:spacing w:before="120" w:after="120"/>
              <w:jc w:val="right"/>
              <w:rPr>
                <w:rFonts w:ascii="Times New Roman" w:hAnsi="Times New Roman" w:cs="Times New Roman"/>
                <w:i/>
                <w:noProof/>
                <w:sz w:val="18"/>
                <w:szCs w:val="18"/>
              </w:rPr>
            </w:pPr>
            <w:r>
              <w:rPr>
                <w:rFonts w:ascii="Times New Roman" w:hAnsi="Times New Roman"/>
                <w:i/>
                <w:noProof/>
                <w:sz w:val="18"/>
                <w:szCs w:val="18"/>
              </w:rPr>
              <w:t>100</w:t>
            </w:r>
          </w:p>
        </w:tc>
        <w:tc>
          <w:tcPr>
            <w:tcW w:w="678" w:type="dxa"/>
            <w:shd w:val="clear" w:color="auto" w:fill="E2EFD9" w:themeFill="accent6" w:themeFillTint="33"/>
            <w:noWrap/>
            <w:vAlign w:val="center"/>
            <w:hideMark/>
          </w:tcPr>
          <w:p w:rsidR="00737A53" w:rsidRDefault="0076469E">
            <w:pPr>
              <w:spacing w:before="120" w:after="120"/>
              <w:jc w:val="right"/>
              <w:rPr>
                <w:rFonts w:ascii="Times New Roman" w:hAnsi="Times New Roman" w:cs="Times New Roman"/>
                <w:b/>
                <w:noProof/>
                <w:sz w:val="18"/>
                <w:szCs w:val="18"/>
              </w:rPr>
            </w:pPr>
            <w:r>
              <w:rPr>
                <w:rFonts w:ascii="Times New Roman" w:hAnsi="Times New Roman"/>
                <w:b/>
                <w:noProof/>
                <w:sz w:val="18"/>
                <w:szCs w:val="18"/>
              </w:rPr>
              <w:t>4 200</w:t>
            </w:r>
          </w:p>
        </w:tc>
        <w:tc>
          <w:tcPr>
            <w:tcW w:w="819" w:type="dxa"/>
            <w:noWrap/>
            <w:vAlign w:val="center"/>
            <w:hideMark/>
          </w:tcPr>
          <w:p w:rsidR="00737A53" w:rsidRDefault="0076469E">
            <w:pPr>
              <w:spacing w:before="120" w:after="120"/>
              <w:jc w:val="right"/>
              <w:rPr>
                <w:rFonts w:ascii="Times New Roman" w:hAnsi="Times New Roman" w:cs="Times New Roman"/>
                <w:i/>
                <w:noProof/>
                <w:sz w:val="18"/>
                <w:szCs w:val="18"/>
              </w:rPr>
            </w:pPr>
            <w:r>
              <w:rPr>
                <w:rFonts w:ascii="Times New Roman" w:hAnsi="Times New Roman"/>
                <w:i/>
                <w:noProof/>
                <w:sz w:val="18"/>
                <w:szCs w:val="18"/>
              </w:rPr>
              <w:t>100</w:t>
            </w:r>
          </w:p>
        </w:tc>
        <w:tc>
          <w:tcPr>
            <w:tcW w:w="741" w:type="dxa"/>
            <w:shd w:val="clear" w:color="auto" w:fill="E2EFD9" w:themeFill="accent6" w:themeFillTint="33"/>
            <w:noWrap/>
            <w:vAlign w:val="center"/>
          </w:tcPr>
          <w:p w:rsidR="00737A53" w:rsidRDefault="0076469E">
            <w:pPr>
              <w:spacing w:before="120" w:after="120"/>
              <w:jc w:val="right"/>
              <w:rPr>
                <w:rFonts w:ascii="Times New Roman" w:hAnsi="Times New Roman" w:cs="Times New Roman"/>
                <w:b/>
                <w:bCs/>
                <w:noProof/>
                <w:sz w:val="18"/>
                <w:szCs w:val="18"/>
              </w:rPr>
            </w:pPr>
            <w:r>
              <w:rPr>
                <w:rFonts w:ascii="Times New Roman" w:hAnsi="Times New Roman"/>
                <w:b/>
                <w:bCs/>
                <w:noProof/>
                <w:sz w:val="18"/>
                <w:szCs w:val="18"/>
              </w:rPr>
              <w:t>5 027</w:t>
            </w:r>
          </w:p>
        </w:tc>
        <w:tc>
          <w:tcPr>
            <w:tcW w:w="756" w:type="dxa"/>
            <w:noWrap/>
            <w:vAlign w:val="center"/>
          </w:tcPr>
          <w:p w:rsidR="00737A53" w:rsidRDefault="0076469E">
            <w:pPr>
              <w:spacing w:before="120" w:after="120"/>
              <w:jc w:val="right"/>
              <w:rPr>
                <w:rFonts w:ascii="Times New Roman" w:hAnsi="Times New Roman" w:cs="Times New Roman"/>
                <w:i/>
                <w:iCs/>
                <w:noProof/>
                <w:sz w:val="18"/>
                <w:szCs w:val="18"/>
              </w:rPr>
            </w:pPr>
            <w:r>
              <w:rPr>
                <w:rFonts w:ascii="Times New Roman" w:hAnsi="Times New Roman"/>
                <w:i/>
                <w:iCs/>
                <w:noProof/>
                <w:sz w:val="18"/>
                <w:szCs w:val="18"/>
              </w:rPr>
              <w:t>100,0</w:t>
            </w:r>
          </w:p>
        </w:tc>
        <w:tc>
          <w:tcPr>
            <w:tcW w:w="803" w:type="dxa"/>
            <w:shd w:val="clear" w:color="auto" w:fill="E2EFD9" w:themeFill="accent6" w:themeFillTint="33"/>
            <w:noWrap/>
            <w:vAlign w:val="center"/>
          </w:tcPr>
          <w:p w:rsidR="00737A53" w:rsidRDefault="0076469E">
            <w:pPr>
              <w:spacing w:before="120" w:after="120"/>
              <w:jc w:val="right"/>
              <w:rPr>
                <w:rFonts w:ascii="Times New Roman" w:hAnsi="Times New Roman" w:cs="Times New Roman"/>
                <w:b/>
                <w:bCs/>
                <w:noProof/>
                <w:sz w:val="18"/>
                <w:szCs w:val="18"/>
              </w:rPr>
            </w:pPr>
            <w:r>
              <w:rPr>
                <w:rFonts w:ascii="Times New Roman" w:hAnsi="Times New Roman"/>
                <w:b/>
                <w:bCs/>
                <w:noProof/>
                <w:sz w:val="18"/>
                <w:szCs w:val="18"/>
              </w:rPr>
              <w:t>16 251</w:t>
            </w:r>
          </w:p>
        </w:tc>
        <w:tc>
          <w:tcPr>
            <w:tcW w:w="793" w:type="dxa"/>
            <w:noWrap/>
            <w:vAlign w:val="center"/>
          </w:tcPr>
          <w:p w:rsidR="00737A53" w:rsidRDefault="0076469E">
            <w:pPr>
              <w:spacing w:before="120" w:after="120"/>
              <w:jc w:val="right"/>
              <w:rPr>
                <w:rFonts w:ascii="Times New Roman" w:hAnsi="Times New Roman" w:cs="Times New Roman"/>
                <w:i/>
                <w:iCs/>
                <w:noProof/>
                <w:sz w:val="18"/>
                <w:szCs w:val="18"/>
              </w:rPr>
            </w:pPr>
            <w:r>
              <w:rPr>
                <w:rFonts w:ascii="Times New Roman" w:hAnsi="Times New Roman"/>
                <w:i/>
                <w:iCs/>
                <w:noProof/>
                <w:sz w:val="18"/>
                <w:szCs w:val="18"/>
              </w:rPr>
              <w:t>100</w:t>
            </w:r>
          </w:p>
        </w:tc>
      </w:tr>
    </w:tbl>
    <w:p w:rsidR="00737A53" w:rsidRDefault="00737A53">
      <w:pPr>
        <w:spacing w:after="120"/>
        <w:jc w:val="both"/>
        <w:rPr>
          <w:rFonts w:ascii="Times New Roman" w:hAnsi="Times New Roman" w:cs="Times New Roman"/>
          <w:noProof/>
        </w:rPr>
      </w:pPr>
    </w:p>
    <w:p w:rsidR="00737A53" w:rsidRDefault="0076469E">
      <w:pPr>
        <w:spacing w:after="120"/>
        <w:jc w:val="both"/>
        <w:rPr>
          <w:rFonts w:ascii="Times New Roman" w:eastAsia="Times New Roman" w:hAnsi="Times New Roman" w:cs="Times New Roman"/>
          <w:noProof/>
        </w:rPr>
      </w:pPr>
      <w:r>
        <w:rPr>
          <w:rFonts w:ascii="Times New Roman" w:hAnsi="Times New Roman"/>
          <w:noProof/>
        </w:rPr>
        <w:t xml:space="preserve">O quadro 2 fornece uma imagem global da ajuda em matéria de segurança alimentar e nutricional para as prioridades estratégicas da UE. Os desembolsos para a </w:t>
      </w:r>
      <w:r>
        <w:rPr>
          <w:rFonts w:ascii="Times New Roman" w:hAnsi="Times New Roman"/>
          <w:i/>
          <w:iCs/>
          <w:noProof/>
        </w:rPr>
        <w:t>melhoria da resiliência e dos meios de subsistência dos pequenos agricultores</w:t>
      </w:r>
      <w:r>
        <w:rPr>
          <w:rFonts w:ascii="Times New Roman" w:hAnsi="Times New Roman"/>
          <w:noProof/>
        </w:rPr>
        <w:t xml:space="preserve"> (prioridade 1) constit</w:t>
      </w:r>
      <w:r>
        <w:rPr>
          <w:rFonts w:ascii="Times New Roman" w:hAnsi="Times New Roman"/>
          <w:noProof/>
        </w:rPr>
        <w:t xml:space="preserve">uíram a maior parte dos fluxos totais em matéria de segurança alimentar e nutricional. O apoio para </w:t>
      </w:r>
      <w:r>
        <w:rPr>
          <w:rFonts w:ascii="Times New Roman" w:hAnsi="Times New Roman"/>
          <w:i/>
          <w:iCs/>
          <w:noProof/>
        </w:rPr>
        <w:t>mecanismos de proteção social</w:t>
      </w:r>
      <w:r>
        <w:rPr>
          <w:rFonts w:ascii="Times New Roman" w:hAnsi="Times New Roman"/>
          <w:noProof/>
        </w:rPr>
        <w:t xml:space="preserve"> </w:t>
      </w:r>
      <w:r>
        <w:rPr>
          <w:rFonts w:ascii="Times New Roman" w:hAnsi="Times New Roman"/>
          <w:i/>
          <w:noProof/>
        </w:rPr>
        <w:t>em matéria de segurança alimentar e nutricional</w:t>
      </w:r>
      <w:r>
        <w:rPr>
          <w:rFonts w:ascii="Times New Roman" w:hAnsi="Times New Roman"/>
          <w:noProof/>
        </w:rPr>
        <w:t xml:space="preserve"> (prioridade 4) diminuiu ligeiramente quando comparado com 2016. Em contraparti</w:t>
      </w:r>
      <w:r>
        <w:rPr>
          <w:rFonts w:ascii="Times New Roman" w:hAnsi="Times New Roman"/>
          <w:noProof/>
        </w:rPr>
        <w:t>da, a UE e os seus Estados-Membros aumentaram consideravelmente o seu apoio para reforçar a resiliência a nível individual e nacional (prioridades 1 e 6), afetando 62 % do aumento líquido desde 2016. Em termos globais, o aumento líquido significativo no to</w:t>
      </w:r>
      <w:r>
        <w:rPr>
          <w:rFonts w:ascii="Times New Roman" w:hAnsi="Times New Roman"/>
          <w:noProof/>
        </w:rPr>
        <w:t>tal de desembolsos para segurança alimentar e nutricional em 2018 deveu-se ao facto de terem sido executados mais programas e de o apoio médio ter sido superior.</w:t>
      </w:r>
    </w:p>
    <w:p w:rsidR="00737A53" w:rsidRDefault="0076469E">
      <w:pPr>
        <w:spacing w:after="120"/>
        <w:jc w:val="both"/>
        <w:rPr>
          <w:rFonts w:ascii="Times New Roman" w:hAnsi="Times New Roman" w:cs="Times New Roman"/>
          <w:noProof/>
        </w:rPr>
      </w:pPr>
      <w:r>
        <w:rPr>
          <w:rFonts w:ascii="Times New Roman" w:hAnsi="Times New Roman"/>
          <w:noProof/>
        </w:rPr>
        <w:t>O empoderamento das mulheres e raparigas e a promoção da igualdade de género têm sido cada vez</w:t>
      </w:r>
      <w:r>
        <w:rPr>
          <w:rFonts w:ascii="Times New Roman" w:hAnsi="Times New Roman"/>
          <w:noProof/>
        </w:rPr>
        <w:t xml:space="preserve"> mais integrados nos programas de segurança alimentar e nutricional. O quadro 2 mostra que este objetivo constituiu uma parte significativa (64 %) do apoio total em matéria de segurança alimentar e nutricional em 2018 (face a 53 % em 2016). Observou-se uma</w:t>
      </w:r>
      <w:r>
        <w:rPr>
          <w:rFonts w:ascii="Times New Roman" w:hAnsi="Times New Roman"/>
          <w:noProof/>
        </w:rPr>
        <w:t xml:space="preserve"> tendência similar nos objetivos ambientais: 51 % dos desembolsos relacionados com a segurança alimentar e nutricional diziam respeito à adaptação e/ou atenuação das alterações climáticas. Os investimentos em investigação em setores relacionados com a segu</w:t>
      </w:r>
      <w:r>
        <w:rPr>
          <w:rFonts w:ascii="Times New Roman" w:hAnsi="Times New Roman"/>
          <w:noProof/>
        </w:rPr>
        <w:t>rança alimentar e nutricional mantiveram-se relativamente estáveis: 10 % em 2018 face a 12 % em 2016. Além disso, as iniciativas de desenvolvimento no domínio da segurança alimentar e nutricional em 2018 beneficiaram (ACCY) mais parceiros (130 países benef</w:t>
      </w:r>
      <w:r>
        <w:rPr>
          <w:rFonts w:ascii="Times New Roman" w:hAnsi="Times New Roman"/>
          <w:noProof/>
        </w:rPr>
        <w:t>iciários).</w:t>
      </w:r>
    </w:p>
    <w:p w:rsidR="00737A53" w:rsidRDefault="00737A53">
      <w:pPr>
        <w:spacing w:after="120"/>
        <w:rPr>
          <w:rFonts w:ascii="Times New Roman" w:hAnsi="Times New Roman" w:cs="Times New Roman"/>
          <w:b/>
          <w:noProof/>
        </w:rPr>
      </w:pPr>
    </w:p>
    <w:p w:rsidR="00737A53" w:rsidRDefault="00737A53">
      <w:pPr>
        <w:spacing w:after="120"/>
        <w:outlineLvl w:val="0"/>
        <w:rPr>
          <w:rFonts w:ascii="Times New Roman" w:hAnsi="Times New Roman" w:cs="Times New Roman"/>
          <w:b/>
          <w:noProof/>
        </w:rPr>
        <w:sectPr w:rsidR="00737A53">
          <w:headerReference w:type="even" r:id="rId18"/>
          <w:headerReference w:type="default" r:id="rId19"/>
          <w:footerReference w:type="even" r:id="rId20"/>
          <w:footerReference w:type="default" r:id="rId21"/>
          <w:headerReference w:type="first" r:id="rId22"/>
          <w:footerReference w:type="first" r:id="rId23"/>
          <w:pgSz w:w="11900" w:h="16840" w:code="9"/>
          <w:pgMar w:top="1440" w:right="1440" w:bottom="1440" w:left="1440" w:header="709" w:footer="709" w:gutter="0"/>
          <w:cols w:space="720"/>
          <w:docGrid w:linePitch="360"/>
        </w:sectPr>
      </w:pPr>
    </w:p>
    <w:p w:rsidR="00737A53" w:rsidRDefault="0076469E">
      <w:pPr>
        <w:keepNext/>
        <w:keepLines/>
        <w:spacing w:after="120"/>
        <w:outlineLvl w:val="0"/>
        <w:rPr>
          <w:rFonts w:ascii="Times New Roman" w:hAnsi="Times New Roman" w:cs="Times New Roman"/>
          <w:b/>
          <w:noProof/>
        </w:rPr>
      </w:pPr>
      <w:r>
        <w:rPr>
          <w:rFonts w:ascii="Times New Roman" w:hAnsi="Times New Roman"/>
          <w:b/>
          <w:noProof/>
        </w:rPr>
        <w:t>Quadro 2: Progressos realizados em matéria de prioridades estratégicas</w:t>
      </w:r>
      <w:r>
        <w:rPr>
          <w:rStyle w:val="FootnoteReference"/>
          <w:rFonts w:ascii="Times New Roman" w:hAnsi="Times New Roman" w:cs="Times New Roman"/>
          <w:b/>
          <w:noProof/>
        </w:rPr>
        <w:footnoteReference w:id="19"/>
      </w:r>
    </w:p>
    <w:tbl>
      <w:tblPr>
        <w:tblW w:w="5000" w:type="pct"/>
        <w:tblLook w:val="04A0" w:firstRow="1" w:lastRow="0" w:firstColumn="1" w:lastColumn="0" w:noHBand="0" w:noVBand="1"/>
      </w:tblPr>
      <w:tblGrid>
        <w:gridCol w:w="3408"/>
        <w:gridCol w:w="729"/>
        <w:gridCol w:w="729"/>
        <w:gridCol w:w="729"/>
        <w:gridCol w:w="731"/>
        <w:gridCol w:w="785"/>
        <w:gridCol w:w="729"/>
        <w:gridCol w:w="729"/>
        <w:gridCol w:w="729"/>
        <w:gridCol w:w="731"/>
        <w:gridCol w:w="785"/>
        <w:gridCol w:w="672"/>
        <w:gridCol w:w="672"/>
        <w:gridCol w:w="672"/>
        <w:gridCol w:w="561"/>
        <w:gridCol w:w="785"/>
      </w:tblGrid>
      <w:tr w:rsidR="00737A53">
        <w:trPr>
          <w:trHeight w:val="384"/>
        </w:trPr>
        <w:tc>
          <w:tcPr>
            <w:tcW w:w="1202" w:type="pct"/>
            <w:tcBorders>
              <w:top w:val="single" w:sz="8" w:space="0" w:color="auto"/>
              <w:left w:val="single" w:sz="8" w:space="0" w:color="auto"/>
              <w:bottom w:val="single" w:sz="8" w:space="0" w:color="auto"/>
              <w:right w:val="nil"/>
            </w:tcBorders>
            <w:shd w:val="clear" w:color="000000" w:fill="FFFFFF"/>
            <w:noWrap/>
            <w:vAlign w:val="center"/>
            <w:hideMark/>
          </w:tcPr>
          <w:p w:rsidR="00737A53" w:rsidRDefault="0076469E">
            <w:pPr>
              <w:jc w:val="center"/>
              <w:rPr>
                <w:rFonts w:ascii="Times New Roman" w:eastAsia="Times New Roman" w:hAnsi="Times New Roman" w:cs="Times New Roman"/>
                <w:b/>
                <w:bCs/>
                <w:noProof/>
                <w:sz w:val="20"/>
                <w:szCs w:val="20"/>
              </w:rPr>
            </w:pPr>
            <w:r>
              <w:rPr>
                <w:rFonts w:ascii="Times New Roman" w:hAnsi="Times New Roman"/>
                <w:b/>
                <w:bCs/>
                <w:noProof/>
                <w:sz w:val="20"/>
                <w:szCs w:val="20"/>
              </w:rPr>
              <w:t>Critérios de desempenho</w:t>
            </w:r>
          </w:p>
        </w:tc>
        <w:tc>
          <w:tcPr>
            <w:tcW w:w="1306" w:type="pct"/>
            <w:gridSpan w:val="5"/>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737A53" w:rsidRDefault="0076469E">
            <w:pPr>
              <w:jc w:val="center"/>
              <w:rPr>
                <w:rFonts w:ascii="Times New Roman" w:eastAsia="Times New Roman" w:hAnsi="Times New Roman" w:cs="Times New Roman"/>
                <w:b/>
                <w:bCs/>
                <w:noProof/>
                <w:sz w:val="20"/>
                <w:szCs w:val="20"/>
              </w:rPr>
            </w:pPr>
            <w:r>
              <w:rPr>
                <w:rFonts w:ascii="Times New Roman" w:hAnsi="Times New Roman"/>
                <w:b/>
                <w:bCs/>
                <w:noProof/>
                <w:sz w:val="20"/>
                <w:szCs w:val="20"/>
              </w:rPr>
              <w:t>Número de programas</w:t>
            </w:r>
          </w:p>
        </w:tc>
        <w:tc>
          <w:tcPr>
            <w:tcW w:w="1306" w:type="pct"/>
            <w:gridSpan w:val="5"/>
            <w:tcBorders>
              <w:top w:val="single" w:sz="8" w:space="0" w:color="auto"/>
              <w:left w:val="nil"/>
              <w:bottom w:val="single" w:sz="8" w:space="0" w:color="auto"/>
              <w:right w:val="single" w:sz="8" w:space="0" w:color="auto"/>
            </w:tcBorders>
            <w:shd w:val="clear" w:color="000000" w:fill="FFFFFF"/>
            <w:noWrap/>
            <w:vAlign w:val="center"/>
            <w:hideMark/>
          </w:tcPr>
          <w:p w:rsidR="00737A53" w:rsidRDefault="0076469E">
            <w:pPr>
              <w:jc w:val="center"/>
              <w:rPr>
                <w:rFonts w:ascii="Times New Roman" w:eastAsia="Times New Roman" w:hAnsi="Times New Roman" w:cs="Times New Roman"/>
                <w:b/>
                <w:bCs/>
                <w:noProof/>
                <w:sz w:val="20"/>
                <w:szCs w:val="20"/>
              </w:rPr>
            </w:pPr>
            <w:r>
              <w:rPr>
                <w:rFonts w:ascii="Times New Roman" w:hAnsi="Times New Roman"/>
                <w:b/>
                <w:bCs/>
                <w:noProof/>
                <w:sz w:val="20"/>
                <w:szCs w:val="20"/>
              </w:rPr>
              <w:t>Ajuda recebida, milhões de EUR</w:t>
            </w:r>
          </w:p>
        </w:tc>
        <w:tc>
          <w:tcPr>
            <w:tcW w:w="1186" w:type="pct"/>
            <w:gridSpan w:val="5"/>
            <w:tcBorders>
              <w:top w:val="single" w:sz="8" w:space="0" w:color="auto"/>
              <w:left w:val="nil"/>
              <w:bottom w:val="single" w:sz="8" w:space="0" w:color="auto"/>
              <w:right w:val="single" w:sz="8" w:space="0" w:color="auto"/>
            </w:tcBorders>
            <w:shd w:val="clear" w:color="000000" w:fill="FFFFFF"/>
            <w:noWrap/>
            <w:vAlign w:val="center"/>
            <w:hideMark/>
          </w:tcPr>
          <w:p w:rsidR="00737A53" w:rsidRDefault="0076469E">
            <w:pPr>
              <w:jc w:val="center"/>
              <w:rPr>
                <w:rFonts w:ascii="Times New Roman" w:eastAsia="Times New Roman" w:hAnsi="Times New Roman" w:cs="Times New Roman"/>
                <w:noProof/>
                <w:color w:val="000000"/>
                <w:sz w:val="20"/>
                <w:szCs w:val="20"/>
              </w:rPr>
            </w:pPr>
            <w:r>
              <w:rPr>
                <w:rFonts w:ascii="Times New Roman" w:hAnsi="Times New Roman"/>
                <w:b/>
                <w:bCs/>
                <w:noProof/>
                <w:sz w:val="20"/>
                <w:szCs w:val="20"/>
              </w:rPr>
              <w:t>Número de países</w:t>
            </w:r>
          </w:p>
        </w:tc>
      </w:tr>
      <w:tr w:rsidR="00737A53">
        <w:trPr>
          <w:trHeight w:val="288"/>
        </w:trPr>
        <w:tc>
          <w:tcPr>
            <w:tcW w:w="1202" w:type="pct"/>
            <w:tcBorders>
              <w:top w:val="nil"/>
              <w:left w:val="single" w:sz="8" w:space="0" w:color="auto"/>
              <w:bottom w:val="single" w:sz="4" w:space="0" w:color="auto"/>
              <w:right w:val="nil"/>
            </w:tcBorders>
            <w:shd w:val="clear" w:color="000000" w:fill="FFFFFF"/>
            <w:vAlign w:val="center"/>
            <w:hideMark/>
          </w:tcPr>
          <w:p w:rsidR="00737A53" w:rsidRDefault="00737A53">
            <w:pPr>
              <w:jc w:val="center"/>
              <w:rPr>
                <w:rFonts w:ascii="Times New Roman" w:eastAsia="Times New Roman" w:hAnsi="Times New Roman" w:cs="Times New Roman"/>
                <w:b/>
                <w:bCs/>
                <w:noProof/>
                <w:sz w:val="20"/>
                <w:szCs w:val="20"/>
              </w:rPr>
            </w:pPr>
          </w:p>
        </w:tc>
        <w:tc>
          <w:tcPr>
            <w:tcW w:w="257" w:type="pct"/>
            <w:tcBorders>
              <w:top w:val="nil"/>
              <w:left w:val="single" w:sz="8" w:space="0" w:color="auto"/>
              <w:bottom w:val="single" w:sz="4" w:space="0" w:color="auto"/>
              <w:right w:val="dotted" w:sz="4" w:space="0" w:color="auto"/>
            </w:tcBorders>
            <w:shd w:val="clear" w:color="auto" w:fill="auto"/>
            <w:vAlign w:val="center"/>
            <w:hideMark/>
          </w:tcPr>
          <w:p w:rsidR="00737A53" w:rsidRDefault="0076469E">
            <w:pPr>
              <w:jc w:val="center"/>
              <w:rPr>
                <w:rFonts w:ascii="Times New Roman" w:eastAsia="Times New Roman" w:hAnsi="Times New Roman" w:cs="Times New Roman"/>
                <w:b/>
                <w:bCs/>
                <w:noProof/>
                <w:sz w:val="20"/>
                <w:szCs w:val="20"/>
              </w:rPr>
            </w:pPr>
            <w:r>
              <w:rPr>
                <w:rFonts w:ascii="Times New Roman" w:hAnsi="Times New Roman"/>
                <w:b/>
                <w:bCs/>
                <w:noProof/>
                <w:sz w:val="20"/>
                <w:szCs w:val="20"/>
              </w:rPr>
              <w:t>2012</w:t>
            </w:r>
          </w:p>
        </w:tc>
        <w:tc>
          <w:tcPr>
            <w:tcW w:w="257" w:type="pct"/>
            <w:tcBorders>
              <w:top w:val="nil"/>
              <w:left w:val="nil"/>
              <w:bottom w:val="single" w:sz="4" w:space="0" w:color="auto"/>
              <w:right w:val="dotted" w:sz="4" w:space="0" w:color="auto"/>
            </w:tcBorders>
            <w:shd w:val="clear" w:color="auto" w:fill="auto"/>
            <w:vAlign w:val="center"/>
            <w:hideMark/>
          </w:tcPr>
          <w:p w:rsidR="00737A53" w:rsidRDefault="0076469E">
            <w:pPr>
              <w:jc w:val="center"/>
              <w:rPr>
                <w:rFonts w:ascii="Times New Roman" w:eastAsia="Times New Roman" w:hAnsi="Times New Roman" w:cs="Times New Roman"/>
                <w:b/>
                <w:bCs/>
                <w:noProof/>
                <w:sz w:val="20"/>
                <w:szCs w:val="20"/>
              </w:rPr>
            </w:pPr>
            <w:r>
              <w:rPr>
                <w:rFonts w:ascii="Times New Roman" w:hAnsi="Times New Roman"/>
                <w:b/>
                <w:bCs/>
                <w:noProof/>
                <w:sz w:val="20"/>
                <w:szCs w:val="20"/>
              </w:rPr>
              <w:t>2014</w:t>
            </w:r>
          </w:p>
        </w:tc>
        <w:tc>
          <w:tcPr>
            <w:tcW w:w="257" w:type="pct"/>
            <w:tcBorders>
              <w:top w:val="nil"/>
              <w:left w:val="nil"/>
              <w:bottom w:val="single" w:sz="4" w:space="0" w:color="auto"/>
              <w:right w:val="dotted" w:sz="4" w:space="0" w:color="auto"/>
            </w:tcBorders>
            <w:shd w:val="clear" w:color="auto" w:fill="auto"/>
            <w:vAlign w:val="center"/>
            <w:hideMark/>
          </w:tcPr>
          <w:p w:rsidR="00737A53" w:rsidRDefault="0076469E">
            <w:pPr>
              <w:jc w:val="center"/>
              <w:rPr>
                <w:rFonts w:ascii="Times New Roman" w:eastAsia="Times New Roman" w:hAnsi="Times New Roman" w:cs="Times New Roman"/>
                <w:b/>
                <w:bCs/>
                <w:noProof/>
                <w:sz w:val="20"/>
                <w:szCs w:val="20"/>
              </w:rPr>
            </w:pPr>
            <w:r>
              <w:rPr>
                <w:rFonts w:ascii="Times New Roman" w:hAnsi="Times New Roman"/>
                <w:b/>
                <w:bCs/>
                <w:noProof/>
                <w:sz w:val="20"/>
                <w:szCs w:val="20"/>
              </w:rPr>
              <w:t>2016</w:t>
            </w:r>
          </w:p>
        </w:tc>
        <w:tc>
          <w:tcPr>
            <w:tcW w:w="535" w:type="pct"/>
            <w:gridSpan w:val="2"/>
            <w:tcBorders>
              <w:top w:val="single" w:sz="8" w:space="0" w:color="auto"/>
              <w:left w:val="nil"/>
              <w:bottom w:val="single" w:sz="4" w:space="0" w:color="auto"/>
              <w:right w:val="single" w:sz="8" w:space="0" w:color="000000"/>
            </w:tcBorders>
            <w:shd w:val="clear" w:color="auto" w:fill="auto"/>
            <w:vAlign w:val="center"/>
            <w:hideMark/>
          </w:tcPr>
          <w:p w:rsidR="00737A53" w:rsidRDefault="0076469E">
            <w:pPr>
              <w:jc w:val="center"/>
              <w:rPr>
                <w:rFonts w:ascii="Times New Roman" w:eastAsia="Times New Roman" w:hAnsi="Times New Roman" w:cs="Times New Roman"/>
                <w:b/>
                <w:bCs/>
                <w:noProof/>
                <w:sz w:val="20"/>
                <w:szCs w:val="20"/>
              </w:rPr>
            </w:pPr>
            <w:r>
              <w:rPr>
                <w:rFonts w:ascii="Times New Roman" w:hAnsi="Times New Roman"/>
                <w:b/>
                <w:bCs/>
                <w:noProof/>
                <w:sz w:val="20"/>
                <w:szCs w:val="20"/>
              </w:rPr>
              <w:t>2018</w:t>
            </w:r>
          </w:p>
        </w:tc>
        <w:tc>
          <w:tcPr>
            <w:tcW w:w="257" w:type="pct"/>
            <w:tcBorders>
              <w:top w:val="nil"/>
              <w:left w:val="nil"/>
              <w:bottom w:val="single" w:sz="4" w:space="0" w:color="auto"/>
              <w:right w:val="dotted" w:sz="4" w:space="0" w:color="auto"/>
            </w:tcBorders>
            <w:shd w:val="clear" w:color="auto" w:fill="auto"/>
            <w:vAlign w:val="center"/>
            <w:hideMark/>
          </w:tcPr>
          <w:p w:rsidR="00737A53" w:rsidRDefault="0076469E">
            <w:pPr>
              <w:jc w:val="center"/>
              <w:rPr>
                <w:rFonts w:ascii="Times New Roman" w:eastAsia="Times New Roman" w:hAnsi="Times New Roman" w:cs="Times New Roman"/>
                <w:b/>
                <w:bCs/>
                <w:noProof/>
                <w:sz w:val="20"/>
                <w:szCs w:val="20"/>
              </w:rPr>
            </w:pPr>
            <w:r>
              <w:rPr>
                <w:rFonts w:ascii="Times New Roman" w:hAnsi="Times New Roman"/>
                <w:b/>
                <w:bCs/>
                <w:noProof/>
                <w:sz w:val="20"/>
                <w:szCs w:val="20"/>
              </w:rPr>
              <w:t>2012</w:t>
            </w:r>
          </w:p>
        </w:tc>
        <w:tc>
          <w:tcPr>
            <w:tcW w:w="257" w:type="pct"/>
            <w:tcBorders>
              <w:top w:val="nil"/>
              <w:left w:val="nil"/>
              <w:bottom w:val="single" w:sz="4" w:space="0" w:color="auto"/>
              <w:right w:val="dotted" w:sz="4" w:space="0" w:color="auto"/>
            </w:tcBorders>
            <w:shd w:val="clear" w:color="auto" w:fill="auto"/>
            <w:vAlign w:val="center"/>
            <w:hideMark/>
          </w:tcPr>
          <w:p w:rsidR="00737A53" w:rsidRDefault="0076469E">
            <w:pPr>
              <w:jc w:val="center"/>
              <w:rPr>
                <w:rFonts w:ascii="Times New Roman" w:eastAsia="Times New Roman" w:hAnsi="Times New Roman" w:cs="Times New Roman"/>
                <w:b/>
                <w:bCs/>
                <w:noProof/>
                <w:sz w:val="20"/>
                <w:szCs w:val="20"/>
              </w:rPr>
            </w:pPr>
            <w:r>
              <w:rPr>
                <w:rFonts w:ascii="Times New Roman" w:hAnsi="Times New Roman"/>
                <w:b/>
                <w:bCs/>
                <w:noProof/>
                <w:sz w:val="20"/>
                <w:szCs w:val="20"/>
              </w:rPr>
              <w:t>2014</w:t>
            </w:r>
          </w:p>
        </w:tc>
        <w:tc>
          <w:tcPr>
            <w:tcW w:w="257" w:type="pct"/>
            <w:tcBorders>
              <w:top w:val="nil"/>
              <w:left w:val="nil"/>
              <w:bottom w:val="single" w:sz="4" w:space="0" w:color="auto"/>
              <w:right w:val="dotted" w:sz="4" w:space="0" w:color="auto"/>
            </w:tcBorders>
            <w:shd w:val="clear" w:color="auto" w:fill="auto"/>
            <w:vAlign w:val="center"/>
            <w:hideMark/>
          </w:tcPr>
          <w:p w:rsidR="00737A53" w:rsidRDefault="0076469E">
            <w:pPr>
              <w:jc w:val="center"/>
              <w:rPr>
                <w:rFonts w:ascii="Times New Roman" w:eastAsia="Times New Roman" w:hAnsi="Times New Roman" w:cs="Times New Roman"/>
                <w:b/>
                <w:bCs/>
                <w:noProof/>
                <w:sz w:val="20"/>
                <w:szCs w:val="20"/>
              </w:rPr>
            </w:pPr>
            <w:r>
              <w:rPr>
                <w:rFonts w:ascii="Times New Roman" w:hAnsi="Times New Roman"/>
                <w:b/>
                <w:bCs/>
                <w:noProof/>
                <w:sz w:val="20"/>
                <w:szCs w:val="20"/>
              </w:rPr>
              <w:t>2016</w:t>
            </w:r>
          </w:p>
        </w:tc>
        <w:tc>
          <w:tcPr>
            <w:tcW w:w="535" w:type="pct"/>
            <w:gridSpan w:val="2"/>
            <w:tcBorders>
              <w:top w:val="single" w:sz="8" w:space="0" w:color="auto"/>
              <w:left w:val="nil"/>
              <w:bottom w:val="single" w:sz="4" w:space="0" w:color="auto"/>
              <w:right w:val="single" w:sz="8" w:space="0" w:color="000000"/>
            </w:tcBorders>
            <w:shd w:val="clear" w:color="auto" w:fill="auto"/>
            <w:vAlign w:val="center"/>
            <w:hideMark/>
          </w:tcPr>
          <w:p w:rsidR="00737A53" w:rsidRDefault="0076469E">
            <w:pPr>
              <w:jc w:val="center"/>
              <w:rPr>
                <w:rFonts w:ascii="Times New Roman" w:eastAsia="Times New Roman" w:hAnsi="Times New Roman" w:cs="Times New Roman"/>
                <w:b/>
                <w:bCs/>
                <w:noProof/>
                <w:sz w:val="20"/>
                <w:szCs w:val="20"/>
              </w:rPr>
            </w:pPr>
            <w:r>
              <w:rPr>
                <w:rFonts w:ascii="Times New Roman" w:hAnsi="Times New Roman"/>
                <w:b/>
                <w:bCs/>
                <w:noProof/>
                <w:sz w:val="20"/>
                <w:szCs w:val="20"/>
              </w:rPr>
              <w:t>2018</w:t>
            </w:r>
          </w:p>
        </w:tc>
        <w:tc>
          <w:tcPr>
            <w:tcW w:w="237" w:type="pct"/>
            <w:tcBorders>
              <w:top w:val="nil"/>
              <w:left w:val="nil"/>
              <w:bottom w:val="single" w:sz="4" w:space="0" w:color="auto"/>
              <w:right w:val="dotted" w:sz="4" w:space="0" w:color="auto"/>
            </w:tcBorders>
            <w:shd w:val="clear" w:color="auto" w:fill="auto"/>
            <w:vAlign w:val="center"/>
            <w:hideMark/>
          </w:tcPr>
          <w:p w:rsidR="00737A53" w:rsidRDefault="0076469E">
            <w:pPr>
              <w:jc w:val="center"/>
              <w:rPr>
                <w:rFonts w:ascii="Times New Roman" w:eastAsia="Times New Roman" w:hAnsi="Times New Roman" w:cs="Times New Roman"/>
                <w:b/>
                <w:bCs/>
                <w:noProof/>
                <w:sz w:val="20"/>
                <w:szCs w:val="20"/>
              </w:rPr>
            </w:pPr>
            <w:r>
              <w:rPr>
                <w:rFonts w:ascii="Times New Roman" w:hAnsi="Times New Roman"/>
                <w:b/>
                <w:bCs/>
                <w:noProof/>
                <w:sz w:val="20"/>
                <w:szCs w:val="20"/>
              </w:rPr>
              <w:t>2012</w:t>
            </w:r>
          </w:p>
        </w:tc>
        <w:tc>
          <w:tcPr>
            <w:tcW w:w="237" w:type="pct"/>
            <w:tcBorders>
              <w:top w:val="nil"/>
              <w:left w:val="nil"/>
              <w:bottom w:val="single" w:sz="4" w:space="0" w:color="auto"/>
              <w:right w:val="dotted" w:sz="4" w:space="0" w:color="auto"/>
            </w:tcBorders>
            <w:shd w:val="clear" w:color="auto" w:fill="auto"/>
            <w:vAlign w:val="center"/>
            <w:hideMark/>
          </w:tcPr>
          <w:p w:rsidR="00737A53" w:rsidRDefault="0076469E">
            <w:pPr>
              <w:jc w:val="center"/>
              <w:rPr>
                <w:rFonts w:ascii="Times New Roman" w:eastAsia="Times New Roman" w:hAnsi="Times New Roman" w:cs="Times New Roman"/>
                <w:b/>
                <w:bCs/>
                <w:noProof/>
                <w:sz w:val="20"/>
                <w:szCs w:val="20"/>
              </w:rPr>
            </w:pPr>
            <w:r>
              <w:rPr>
                <w:rFonts w:ascii="Times New Roman" w:hAnsi="Times New Roman"/>
                <w:b/>
                <w:bCs/>
                <w:noProof/>
                <w:sz w:val="20"/>
                <w:szCs w:val="20"/>
              </w:rPr>
              <w:t>2014</w:t>
            </w:r>
          </w:p>
        </w:tc>
        <w:tc>
          <w:tcPr>
            <w:tcW w:w="237" w:type="pct"/>
            <w:tcBorders>
              <w:top w:val="nil"/>
              <w:left w:val="nil"/>
              <w:bottom w:val="single" w:sz="4" w:space="0" w:color="auto"/>
              <w:right w:val="dotted" w:sz="4" w:space="0" w:color="auto"/>
            </w:tcBorders>
            <w:shd w:val="clear" w:color="auto" w:fill="auto"/>
            <w:vAlign w:val="center"/>
            <w:hideMark/>
          </w:tcPr>
          <w:p w:rsidR="00737A53" w:rsidRDefault="0076469E">
            <w:pPr>
              <w:jc w:val="center"/>
              <w:rPr>
                <w:rFonts w:ascii="Times New Roman" w:eastAsia="Times New Roman" w:hAnsi="Times New Roman" w:cs="Times New Roman"/>
                <w:b/>
                <w:bCs/>
                <w:noProof/>
                <w:sz w:val="20"/>
                <w:szCs w:val="20"/>
              </w:rPr>
            </w:pPr>
            <w:r>
              <w:rPr>
                <w:rFonts w:ascii="Times New Roman" w:hAnsi="Times New Roman"/>
                <w:b/>
                <w:bCs/>
                <w:noProof/>
                <w:sz w:val="20"/>
                <w:szCs w:val="20"/>
              </w:rPr>
              <w:t>2016</w:t>
            </w:r>
          </w:p>
        </w:tc>
        <w:tc>
          <w:tcPr>
            <w:tcW w:w="475" w:type="pct"/>
            <w:gridSpan w:val="2"/>
            <w:tcBorders>
              <w:top w:val="single" w:sz="8" w:space="0" w:color="auto"/>
              <w:left w:val="nil"/>
              <w:bottom w:val="single" w:sz="4" w:space="0" w:color="auto"/>
              <w:right w:val="single" w:sz="8" w:space="0" w:color="000000"/>
            </w:tcBorders>
            <w:shd w:val="clear" w:color="auto" w:fill="auto"/>
            <w:vAlign w:val="center"/>
            <w:hideMark/>
          </w:tcPr>
          <w:p w:rsidR="00737A53" w:rsidRDefault="0076469E">
            <w:pPr>
              <w:jc w:val="center"/>
              <w:rPr>
                <w:rFonts w:ascii="Times New Roman" w:eastAsia="Times New Roman" w:hAnsi="Times New Roman" w:cs="Times New Roman"/>
                <w:b/>
                <w:bCs/>
                <w:noProof/>
                <w:sz w:val="20"/>
                <w:szCs w:val="20"/>
              </w:rPr>
            </w:pPr>
            <w:r>
              <w:rPr>
                <w:rFonts w:ascii="Times New Roman" w:hAnsi="Times New Roman"/>
                <w:b/>
                <w:bCs/>
                <w:noProof/>
                <w:sz w:val="20"/>
                <w:szCs w:val="20"/>
              </w:rPr>
              <w:t>2018</w:t>
            </w:r>
          </w:p>
        </w:tc>
      </w:tr>
      <w:tr w:rsidR="00737A53">
        <w:trPr>
          <w:trHeight w:val="300"/>
        </w:trPr>
        <w:tc>
          <w:tcPr>
            <w:tcW w:w="1202" w:type="pct"/>
            <w:tcBorders>
              <w:top w:val="nil"/>
              <w:left w:val="single" w:sz="8" w:space="0" w:color="auto"/>
              <w:bottom w:val="single" w:sz="4" w:space="0" w:color="auto"/>
              <w:right w:val="nil"/>
            </w:tcBorders>
            <w:shd w:val="clear" w:color="000000" w:fill="FFFFFF"/>
            <w:vAlign w:val="center"/>
            <w:hideMark/>
          </w:tcPr>
          <w:p w:rsidR="00737A53" w:rsidRDefault="0076469E">
            <w:pPr>
              <w:rPr>
                <w:rFonts w:ascii="Times New Roman" w:eastAsia="Times New Roman" w:hAnsi="Times New Roman" w:cs="Times New Roman"/>
                <w:noProof/>
                <w:color w:val="000000"/>
                <w:sz w:val="20"/>
                <w:szCs w:val="20"/>
              </w:rPr>
            </w:pPr>
            <w:r>
              <w:rPr>
                <w:rFonts w:ascii="Times New Roman" w:hAnsi="Times New Roman"/>
                <w:noProof/>
                <w:sz w:val="20"/>
                <w:szCs w:val="20"/>
              </w:rPr>
              <w:t>1. Melhorar a resiliência e os meios de subsistência dos pequenos agricultores</w:t>
            </w:r>
          </w:p>
        </w:tc>
        <w:tc>
          <w:tcPr>
            <w:tcW w:w="257" w:type="pct"/>
            <w:tcBorders>
              <w:top w:val="nil"/>
              <w:left w:val="single" w:sz="8" w:space="0" w:color="auto"/>
              <w:bottom w:val="single" w:sz="4" w:space="0" w:color="auto"/>
              <w:right w:val="dotted" w:sz="4" w:space="0" w:color="auto"/>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1 560</w:t>
            </w:r>
          </w:p>
        </w:tc>
        <w:tc>
          <w:tcPr>
            <w:tcW w:w="257" w:type="pct"/>
            <w:tcBorders>
              <w:top w:val="nil"/>
              <w:left w:val="nil"/>
              <w:bottom w:val="single" w:sz="4" w:space="0" w:color="auto"/>
              <w:right w:val="dotted" w:sz="4" w:space="0" w:color="auto"/>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1 822</w:t>
            </w:r>
          </w:p>
        </w:tc>
        <w:tc>
          <w:tcPr>
            <w:tcW w:w="257" w:type="pct"/>
            <w:tcBorders>
              <w:top w:val="nil"/>
              <w:left w:val="nil"/>
              <w:bottom w:val="single" w:sz="4" w:space="0" w:color="auto"/>
              <w:right w:val="dotted" w:sz="4" w:space="0" w:color="auto"/>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1 863</w:t>
            </w:r>
          </w:p>
        </w:tc>
        <w:tc>
          <w:tcPr>
            <w:tcW w:w="535" w:type="pct"/>
            <w:gridSpan w:val="2"/>
            <w:tcBorders>
              <w:top w:val="single" w:sz="4" w:space="0" w:color="auto"/>
              <w:left w:val="nil"/>
              <w:bottom w:val="single" w:sz="4" w:space="0" w:color="auto"/>
              <w:right w:val="single" w:sz="8" w:space="0" w:color="000000"/>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4 471</w:t>
            </w:r>
          </w:p>
        </w:tc>
        <w:tc>
          <w:tcPr>
            <w:tcW w:w="257" w:type="pct"/>
            <w:tcBorders>
              <w:top w:val="nil"/>
              <w:left w:val="nil"/>
              <w:bottom w:val="single" w:sz="4" w:space="0" w:color="auto"/>
              <w:right w:val="dotted" w:sz="4" w:space="0" w:color="auto"/>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2 022</w:t>
            </w:r>
          </w:p>
        </w:tc>
        <w:tc>
          <w:tcPr>
            <w:tcW w:w="257" w:type="pct"/>
            <w:tcBorders>
              <w:top w:val="nil"/>
              <w:left w:val="nil"/>
              <w:bottom w:val="single" w:sz="4" w:space="0" w:color="auto"/>
              <w:right w:val="dotted" w:sz="4" w:space="0" w:color="auto"/>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2 137</w:t>
            </w:r>
          </w:p>
        </w:tc>
        <w:tc>
          <w:tcPr>
            <w:tcW w:w="257" w:type="pct"/>
            <w:tcBorders>
              <w:top w:val="nil"/>
              <w:left w:val="nil"/>
              <w:bottom w:val="single" w:sz="4" w:space="0" w:color="auto"/>
              <w:right w:val="dotted" w:sz="4" w:space="0" w:color="auto"/>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2 120</w:t>
            </w:r>
          </w:p>
        </w:tc>
        <w:tc>
          <w:tcPr>
            <w:tcW w:w="535" w:type="pct"/>
            <w:gridSpan w:val="2"/>
            <w:tcBorders>
              <w:top w:val="single" w:sz="4" w:space="0" w:color="auto"/>
              <w:left w:val="nil"/>
              <w:bottom w:val="single" w:sz="4" w:space="0" w:color="auto"/>
              <w:right w:val="single" w:sz="8" w:space="0" w:color="000000"/>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2 377</w:t>
            </w:r>
          </w:p>
        </w:tc>
        <w:tc>
          <w:tcPr>
            <w:tcW w:w="237" w:type="pct"/>
            <w:tcBorders>
              <w:top w:val="nil"/>
              <w:left w:val="nil"/>
              <w:bottom w:val="single" w:sz="4" w:space="0" w:color="auto"/>
              <w:right w:val="dotted" w:sz="4" w:space="0" w:color="auto"/>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108</w:t>
            </w:r>
          </w:p>
        </w:tc>
        <w:tc>
          <w:tcPr>
            <w:tcW w:w="237" w:type="pct"/>
            <w:tcBorders>
              <w:top w:val="nil"/>
              <w:left w:val="nil"/>
              <w:bottom w:val="single" w:sz="4" w:space="0" w:color="auto"/>
              <w:right w:val="dotted" w:sz="4" w:space="0" w:color="auto"/>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103</w:t>
            </w:r>
          </w:p>
        </w:tc>
        <w:tc>
          <w:tcPr>
            <w:tcW w:w="237" w:type="pct"/>
            <w:tcBorders>
              <w:top w:val="nil"/>
              <w:left w:val="nil"/>
              <w:bottom w:val="single" w:sz="4" w:space="0" w:color="auto"/>
              <w:right w:val="dotted" w:sz="4" w:space="0" w:color="auto"/>
            </w:tcBorders>
            <w:shd w:val="clear" w:color="auto" w:fill="auto"/>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108</w:t>
            </w:r>
          </w:p>
        </w:tc>
        <w:tc>
          <w:tcPr>
            <w:tcW w:w="475" w:type="pct"/>
            <w:gridSpan w:val="2"/>
            <w:tcBorders>
              <w:top w:val="single" w:sz="4" w:space="0" w:color="auto"/>
              <w:left w:val="nil"/>
              <w:bottom w:val="single" w:sz="4" w:space="0" w:color="auto"/>
              <w:right w:val="single" w:sz="8" w:space="0" w:color="000000"/>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126</w:t>
            </w:r>
          </w:p>
        </w:tc>
      </w:tr>
      <w:tr w:rsidR="00737A53">
        <w:trPr>
          <w:trHeight w:val="300"/>
        </w:trPr>
        <w:tc>
          <w:tcPr>
            <w:tcW w:w="1202" w:type="pct"/>
            <w:tcBorders>
              <w:top w:val="nil"/>
              <w:left w:val="single" w:sz="8" w:space="0" w:color="auto"/>
              <w:bottom w:val="single" w:sz="4" w:space="0" w:color="auto"/>
              <w:right w:val="nil"/>
            </w:tcBorders>
            <w:shd w:val="clear" w:color="000000" w:fill="FFFFFF"/>
            <w:vAlign w:val="center"/>
            <w:hideMark/>
          </w:tcPr>
          <w:p w:rsidR="00737A53" w:rsidRDefault="0076469E">
            <w:pPr>
              <w:rPr>
                <w:rFonts w:ascii="Times New Roman" w:eastAsia="Times New Roman" w:hAnsi="Times New Roman" w:cs="Times New Roman"/>
                <w:noProof/>
                <w:color w:val="000000"/>
                <w:sz w:val="20"/>
                <w:szCs w:val="20"/>
              </w:rPr>
            </w:pPr>
            <w:r>
              <w:rPr>
                <w:rFonts w:ascii="Times New Roman" w:hAnsi="Times New Roman"/>
                <w:noProof/>
                <w:sz w:val="20"/>
                <w:szCs w:val="20"/>
              </w:rPr>
              <w:t>2. Apoiar uma governação eficaz</w:t>
            </w:r>
          </w:p>
        </w:tc>
        <w:tc>
          <w:tcPr>
            <w:tcW w:w="257" w:type="pct"/>
            <w:tcBorders>
              <w:top w:val="nil"/>
              <w:left w:val="single" w:sz="8" w:space="0" w:color="auto"/>
              <w:bottom w:val="single" w:sz="4" w:space="0" w:color="auto"/>
              <w:right w:val="dotted" w:sz="4" w:space="0" w:color="auto"/>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410</w:t>
            </w:r>
          </w:p>
        </w:tc>
        <w:tc>
          <w:tcPr>
            <w:tcW w:w="257" w:type="pct"/>
            <w:tcBorders>
              <w:top w:val="nil"/>
              <w:left w:val="nil"/>
              <w:bottom w:val="single" w:sz="4" w:space="0" w:color="auto"/>
              <w:right w:val="dotted" w:sz="4" w:space="0" w:color="auto"/>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588</w:t>
            </w:r>
          </w:p>
        </w:tc>
        <w:tc>
          <w:tcPr>
            <w:tcW w:w="257" w:type="pct"/>
            <w:tcBorders>
              <w:top w:val="nil"/>
              <w:left w:val="nil"/>
              <w:bottom w:val="single" w:sz="4" w:space="0" w:color="auto"/>
              <w:right w:val="dotted" w:sz="4" w:space="0" w:color="auto"/>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632</w:t>
            </w:r>
          </w:p>
        </w:tc>
        <w:tc>
          <w:tcPr>
            <w:tcW w:w="535" w:type="pct"/>
            <w:gridSpan w:val="2"/>
            <w:tcBorders>
              <w:top w:val="single" w:sz="4" w:space="0" w:color="auto"/>
              <w:left w:val="nil"/>
              <w:bottom w:val="single" w:sz="4" w:space="0" w:color="auto"/>
              <w:right w:val="single" w:sz="8" w:space="0" w:color="000000"/>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1 160</w:t>
            </w:r>
          </w:p>
        </w:tc>
        <w:tc>
          <w:tcPr>
            <w:tcW w:w="257" w:type="pct"/>
            <w:tcBorders>
              <w:top w:val="nil"/>
              <w:left w:val="nil"/>
              <w:bottom w:val="single" w:sz="4" w:space="0" w:color="auto"/>
              <w:right w:val="dotted" w:sz="4" w:space="0" w:color="auto"/>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395</w:t>
            </w:r>
          </w:p>
        </w:tc>
        <w:tc>
          <w:tcPr>
            <w:tcW w:w="257" w:type="pct"/>
            <w:tcBorders>
              <w:top w:val="nil"/>
              <w:left w:val="nil"/>
              <w:bottom w:val="single" w:sz="4" w:space="0" w:color="auto"/>
              <w:right w:val="dotted" w:sz="4" w:space="0" w:color="auto"/>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535</w:t>
            </w:r>
          </w:p>
        </w:tc>
        <w:tc>
          <w:tcPr>
            <w:tcW w:w="257" w:type="pct"/>
            <w:tcBorders>
              <w:top w:val="nil"/>
              <w:left w:val="nil"/>
              <w:bottom w:val="single" w:sz="4" w:space="0" w:color="auto"/>
              <w:right w:val="dotted" w:sz="4" w:space="0" w:color="auto"/>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698</w:t>
            </w:r>
          </w:p>
        </w:tc>
        <w:tc>
          <w:tcPr>
            <w:tcW w:w="535" w:type="pct"/>
            <w:gridSpan w:val="2"/>
            <w:tcBorders>
              <w:top w:val="single" w:sz="4" w:space="0" w:color="auto"/>
              <w:left w:val="nil"/>
              <w:bottom w:val="single" w:sz="4" w:space="0" w:color="auto"/>
              <w:right w:val="single" w:sz="8" w:space="0" w:color="000000"/>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802</w:t>
            </w:r>
          </w:p>
        </w:tc>
        <w:tc>
          <w:tcPr>
            <w:tcW w:w="237" w:type="pct"/>
            <w:tcBorders>
              <w:top w:val="nil"/>
              <w:left w:val="nil"/>
              <w:bottom w:val="single" w:sz="4" w:space="0" w:color="auto"/>
              <w:right w:val="dotted" w:sz="4" w:space="0" w:color="auto"/>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84</w:t>
            </w:r>
          </w:p>
        </w:tc>
        <w:tc>
          <w:tcPr>
            <w:tcW w:w="237" w:type="pct"/>
            <w:tcBorders>
              <w:top w:val="nil"/>
              <w:left w:val="nil"/>
              <w:bottom w:val="single" w:sz="4" w:space="0" w:color="auto"/>
              <w:right w:val="dotted" w:sz="4" w:space="0" w:color="auto"/>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92</w:t>
            </w:r>
          </w:p>
        </w:tc>
        <w:tc>
          <w:tcPr>
            <w:tcW w:w="237" w:type="pct"/>
            <w:tcBorders>
              <w:top w:val="nil"/>
              <w:left w:val="nil"/>
              <w:bottom w:val="single" w:sz="4" w:space="0" w:color="auto"/>
              <w:right w:val="dotted" w:sz="4" w:space="0" w:color="auto"/>
            </w:tcBorders>
            <w:shd w:val="clear" w:color="auto" w:fill="auto"/>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87</w:t>
            </w:r>
          </w:p>
        </w:tc>
        <w:tc>
          <w:tcPr>
            <w:tcW w:w="475" w:type="pct"/>
            <w:gridSpan w:val="2"/>
            <w:tcBorders>
              <w:top w:val="single" w:sz="4" w:space="0" w:color="auto"/>
              <w:left w:val="nil"/>
              <w:bottom w:val="single" w:sz="4" w:space="0" w:color="auto"/>
              <w:right w:val="single" w:sz="8" w:space="0" w:color="000000"/>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97</w:t>
            </w:r>
          </w:p>
        </w:tc>
      </w:tr>
      <w:tr w:rsidR="00737A53">
        <w:trPr>
          <w:trHeight w:val="576"/>
        </w:trPr>
        <w:tc>
          <w:tcPr>
            <w:tcW w:w="1202" w:type="pct"/>
            <w:tcBorders>
              <w:top w:val="nil"/>
              <w:left w:val="single" w:sz="8" w:space="0" w:color="auto"/>
              <w:bottom w:val="single" w:sz="4" w:space="0" w:color="auto"/>
              <w:right w:val="nil"/>
            </w:tcBorders>
            <w:shd w:val="clear" w:color="000000" w:fill="FFFFFF"/>
            <w:vAlign w:val="center"/>
            <w:hideMark/>
          </w:tcPr>
          <w:p w:rsidR="00737A53" w:rsidRDefault="0076469E">
            <w:pPr>
              <w:rPr>
                <w:rFonts w:ascii="Times New Roman" w:eastAsia="Times New Roman" w:hAnsi="Times New Roman" w:cs="Times New Roman"/>
                <w:noProof/>
                <w:color w:val="000000"/>
                <w:sz w:val="20"/>
                <w:szCs w:val="20"/>
              </w:rPr>
            </w:pPr>
            <w:r>
              <w:rPr>
                <w:rFonts w:ascii="Times New Roman" w:hAnsi="Times New Roman"/>
                <w:noProof/>
                <w:sz w:val="20"/>
                <w:szCs w:val="20"/>
              </w:rPr>
              <w:t>3. Apoiar as políticas regionais nos domínios da agricultura e da segurança alimentar e nutricional</w:t>
            </w:r>
          </w:p>
        </w:tc>
        <w:tc>
          <w:tcPr>
            <w:tcW w:w="257" w:type="pct"/>
            <w:tcBorders>
              <w:top w:val="nil"/>
              <w:left w:val="single" w:sz="8" w:space="0" w:color="auto"/>
              <w:bottom w:val="single" w:sz="4" w:space="0" w:color="auto"/>
              <w:right w:val="dotted" w:sz="4" w:space="0" w:color="auto"/>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98</w:t>
            </w:r>
          </w:p>
        </w:tc>
        <w:tc>
          <w:tcPr>
            <w:tcW w:w="257" w:type="pct"/>
            <w:tcBorders>
              <w:top w:val="nil"/>
              <w:left w:val="nil"/>
              <w:bottom w:val="single" w:sz="4" w:space="0" w:color="auto"/>
              <w:right w:val="dotted" w:sz="4" w:space="0" w:color="auto"/>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188</w:t>
            </w:r>
          </w:p>
        </w:tc>
        <w:tc>
          <w:tcPr>
            <w:tcW w:w="257" w:type="pct"/>
            <w:tcBorders>
              <w:top w:val="nil"/>
              <w:left w:val="nil"/>
              <w:bottom w:val="single" w:sz="4" w:space="0" w:color="auto"/>
              <w:right w:val="dotted" w:sz="4" w:space="0" w:color="auto"/>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228</w:t>
            </w:r>
          </w:p>
        </w:tc>
        <w:tc>
          <w:tcPr>
            <w:tcW w:w="535" w:type="pct"/>
            <w:gridSpan w:val="2"/>
            <w:tcBorders>
              <w:top w:val="single" w:sz="4" w:space="0" w:color="auto"/>
              <w:left w:val="nil"/>
              <w:bottom w:val="single" w:sz="4" w:space="0" w:color="auto"/>
              <w:right w:val="single" w:sz="8" w:space="0" w:color="000000"/>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333</w:t>
            </w:r>
          </w:p>
        </w:tc>
        <w:tc>
          <w:tcPr>
            <w:tcW w:w="257" w:type="pct"/>
            <w:tcBorders>
              <w:top w:val="nil"/>
              <w:left w:val="nil"/>
              <w:bottom w:val="single" w:sz="4" w:space="0" w:color="auto"/>
              <w:right w:val="dotted" w:sz="4" w:space="0" w:color="auto"/>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151</w:t>
            </w:r>
          </w:p>
        </w:tc>
        <w:tc>
          <w:tcPr>
            <w:tcW w:w="257" w:type="pct"/>
            <w:tcBorders>
              <w:top w:val="nil"/>
              <w:left w:val="nil"/>
              <w:bottom w:val="single" w:sz="4" w:space="0" w:color="auto"/>
              <w:right w:val="dotted" w:sz="4" w:space="0" w:color="auto"/>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191</w:t>
            </w:r>
          </w:p>
        </w:tc>
        <w:tc>
          <w:tcPr>
            <w:tcW w:w="257" w:type="pct"/>
            <w:tcBorders>
              <w:top w:val="nil"/>
              <w:left w:val="nil"/>
              <w:bottom w:val="single" w:sz="4" w:space="0" w:color="auto"/>
              <w:right w:val="dotted" w:sz="4" w:space="0" w:color="auto"/>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226</w:t>
            </w:r>
          </w:p>
        </w:tc>
        <w:tc>
          <w:tcPr>
            <w:tcW w:w="535" w:type="pct"/>
            <w:gridSpan w:val="2"/>
            <w:tcBorders>
              <w:top w:val="single" w:sz="4" w:space="0" w:color="auto"/>
              <w:left w:val="nil"/>
              <w:bottom w:val="single" w:sz="4" w:space="0" w:color="auto"/>
              <w:right w:val="single" w:sz="8" w:space="0" w:color="000000"/>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409</w:t>
            </w:r>
          </w:p>
        </w:tc>
        <w:tc>
          <w:tcPr>
            <w:tcW w:w="237" w:type="pct"/>
            <w:tcBorders>
              <w:top w:val="nil"/>
              <w:left w:val="nil"/>
              <w:bottom w:val="single" w:sz="4" w:space="0" w:color="auto"/>
              <w:right w:val="dotted" w:sz="4" w:space="0" w:color="auto"/>
            </w:tcBorders>
            <w:shd w:val="clear" w:color="auto" w:fill="auto"/>
            <w:vAlign w:val="center"/>
            <w:hideMark/>
          </w:tcPr>
          <w:p w:rsidR="00737A53" w:rsidRDefault="00737A53">
            <w:pPr>
              <w:jc w:val="right"/>
              <w:rPr>
                <w:rFonts w:ascii="Times New Roman" w:eastAsia="Times New Roman" w:hAnsi="Times New Roman" w:cs="Times New Roman"/>
                <w:noProof/>
                <w:color w:val="000000"/>
                <w:sz w:val="20"/>
                <w:szCs w:val="20"/>
              </w:rPr>
            </w:pPr>
          </w:p>
        </w:tc>
        <w:tc>
          <w:tcPr>
            <w:tcW w:w="237" w:type="pct"/>
            <w:tcBorders>
              <w:top w:val="nil"/>
              <w:left w:val="nil"/>
              <w:bottom w:val="single" w:sz="4" w:space="0" w:color="auto"/>
              <w:right w:val="dotted" w:sz="4" w:space="0" w:color="auto"/>
            </w:tcBorders>
            <w:shd w:val="clear" w:color="auto" w:fill="auto"/>
            <w:vAlign w:val="center"/>
            <w:hideMark/>
          </w:tcPr>
          <w:p w:rsidR="00737A53" w:rsidRDefault="00737A53">
            <w:pPr>
              <w:jc w:val="right"/>
              <w:rPr>
                <w:rFonts w:ascii="Times New Roman" w:eastAsia="Times New Roman" w:hAnsi="Times New Roman" w:cs="Times New Roman"/>
                <w:noProof/>
                <w:color w:val="000000"/>
                <w:sz w:val="20"/>
                <w:szCs w:val="20"/>
              </w:rPr>
            </w:pPr>
          </w:p>
        </w:tc>
        <w:tc>
          <w:tcPr>
            <w:tcW w:w="237" w:type="pct"/>
            <w:tcBorders>
              <w:top w:val="nil"/>
              <w:left w:val="nil"/>
              <w:bottom w:val="single" w:sz="4" w:space="0" w:color="auto"/>
              <w:right w:val="dotted" w:sz="4" w:space="0" w:color="auto"/>
            </w:tcBorders>
            <w:shd w:val="clear" w:color="auto" w:fill="auto"/>
            <w:noWrap/>
            <w:vAlign w:val="center"/>
            <w:hideMark/>
          </w:tcPr>
          <w:p w:rsidR="00737A53" w:rsidRDefault="00737A53">
            <w:pPr>
              <w:jc w:val="right"/>
              <w:rPr>
                <w:rFonts w:ascii="Times New Roman" w:eastAsia="Times New Roman" w:hAnsi="Times New Roman" w:cs="Times New Roman"/>
                <w:noProof/>
                <w:color w:val="000000"/>
                <w:sz w:val="20"/>
                <w:szCs w:val="20"/>
              </w:rPr>
            </w:pPr>
          </w:p>
        </w:tc>
        <w:tc>
          <w:tcPr>
            <w:tcW w:w="475" w:type="pct"/>
            <w:gridSpan w:val="2"/>
            <w:tcBorders>
              <w:top w:val="single" w:sz="4" w:space="0" w:color="auto"/>
              <w:left w:val="nil"/>
              <w:bottom w:val="single" w:sz="4" w:space="0" w:color="auto"/>
              <w:right w:val="single" w:sz="8" w:space="0" w:color="000000"/>
            </w:tcBorders>
            <w:shd w:val="clear" w:color="auto" w:fill="auto"/>
            <w:vAlign w:val="center"/>
            <w:hideMark/>
          </w:tcPr>
          <w:p w:rsidR="00737A53" w:rsidRDefault="00737A53">
            <w:pPr>
              <w:jc w:val="right"/>
              <w:rPr>
                <w:rFonts w:ascii="Times New Roman" w:eastAsia="Times New Roman" w:hAnsi="Times New Roman" w:cs="Times New Roman"/>
                <w:noProof/>
                <w:color w:val="000000"/>
                <w:sz w:val="20"/>
                <w:szCs w:val="20"/>
              </w:rPr>
            </w:pPr>
          </w:p>
        </w:tc>
      </w:tr>
      <w:tr w:rsidR="00737A53">
        <w:trPr>
          <w:trHeight w:val="576"/>
        </w:trPr>
        <w:tc>
          <w:tcPr>
            <w:tcW w:w="1202" w:type="pct"/>
            <w:tcBorders>
              <w:top w:val="nil"/>
              <w:left w:val="single" w:sz="8" w:space="0" w:color="auto"/>
              <w:bottom w:val="single" w:sz="4" w:space="0" w:color="auto"/>
              <w:right w:val="nil"/>
            </w:tcBorders>
            <w:shd w:val="clear" w:color="000000" w:fill="FFFFFF"/>
            <w:vAlign w:val="center"/>
            <w:hideMark/>
          </w:tcPr>
          <w:p w:rsidR="00737A53" w:rsidRDefault="0076469E">
            <w:pPr>
              <w:rPr>
                <w:rFonts w:ascii="Times New Roman" w:eastAsia="Times New Roman" w:hAnsi="Times New Roman" w:cs="Times New Roman"/>
                <w:noProof/>
                <w:color w:val="000000"/>
                <w:sz w:val="20"/>
                <w:szCs w:val="20"/>
              </w:rPr>
            </w:pPr>
            <w:r>
              <w:rPr>
                <w:rFonts w:ascii="Times New Roman" w:hAnsi="Times New Roman"/>
                <w:noProof/>
                <w:sz w:val="20"/>
                <w:szCs w:val="20"/>
              </w:rPr>
              <w:t>4. Reforçar os mecanismos de proteção</w:t>
            </w:r>
            <w:r>
              <w:rPr>
                <w:rFonts w:ascii="Times New Roman" w:hAnsi="Times New Roman"/>
                <w:noProof/>
                <w:sz w:val="20"/>
                <w:szCs w:val="20"/>
              </w:rPr>
              <w:t xml:space="preserve"> social em matéria de segurança alimentar e nutricional</w:t>
            </w:r>
          </w:p>
        </w:tc>
        <w:tc>
          <w:tcPr>
            <w:tcW w:w="257" w:type="pct"/>
            <w:tcBorders>
              <w:top w:val="nil"/>
              <w:left w:val="single" w:sz="8" w:space="0" w:color="auto"/>
              <w:bottom w:val="single" w:sz="4" w:space="0" w:color="auto"/>
              <w:right w:val="dotted" w:sz="4" w:space="0" w:color="auto"/>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94</w:t>
            </w:r>
          </w:p>
        </w:tc>
        <w:tc>
          <w:tcPr>
            <w:tcW w:w="257" w:type="pct"/>
            <w:tcBorders>
              <w:top w:val="nil"/>
              <w:left w:val="nil"/>
              <w:bottom w:val="single" w:sz="4" w:space="0" w:color="auto"/>
              <w:right w:val="dotted" w:sz="4" w:space="0" w:color="auto"/>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102</w:t>
            </w:r>
          </w:p>
        </w:tc>
        <w:tc>
          <w:tcPr>
            <w:tcW w:w="257" w:type="pct"/>
            <w:tcBorders>
              <w:top w:val="nil"/>
              <w:left w:val="nil"/>
              <w:bottom w:val="single" w:sz="4" w:space="0" w:color="auto"/>
              <w:right w:val="dotted" w:sz="4" w:space="0" w:color="auto"/>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123</w:t>
            </w:r>
          </w:p>
        </w:tc>
        <w:tc>
          <w:tcPr>
            <w:tcW w:w="535" w:type="pct"/>
            <w:gridSpan w:val="2"/>
            <w:tcBorders>
              <w:top w:val="single" w:sz="4" w:space="0" w:color="auto"/>
              <w:left w:val="nil"/>
              <w:bottom w:val="single" w:sz="4" w:space="0" w:color="auto"/>
              <w:right w:val="single" w:sz="8" w:space="0" w:color="000000"/>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124</w:t>
            </w:r>
          </w:p>
        </w:tc>
        <w:tc>
          <w:tcPr>
            <w:tcW w:w="257" w:type="pct"/>
            <w:tcBorders>
              <w:top w:val="nil"/>
              <w:left w:val="nil"/>
              <w:bottom w:val="single" w:sz="4" w:space="0" w:color="auto"/>
              <w:right w:val="dotted" w:sz="4" w:space="0" w:color="auto"/>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209</w:t>
            </w:r>
          </w:p>
        </w:tc>
        <w:tc>
          <w:tcPr>
            <w:tcW w:w="257" w:type="pct"/>
            <w:tcBorders>
              <w:top w:val="nil"/>
              <w:left w:val="nil"/>
              <w:bottom w:val="single" w:sz="4" w:space="0" w:color="auto"/>
              <w:right w:val="dotted" w:sz="4" w:space="0" w:color="auto"/>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133</w:t>
            </w:r>
          </w:p>
        </w:tc>
        <w:tc>
          <w:tcPr>
            <w:tcW w:w="257" w:type="pct"/>
            <w:tcBorders>
              <w:top w:val="nil"/>
              <w:left w:val="nil"/>
              <w:bottom w:val="single" w:sz="4" w:space="0" w:color="auto"/>
              <w:right w:val="dotted" w:sz="4" w:space="0" w:color="auto"/>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254</w:t>
            </w:r>
          </w:p>
        </w:tc>
        <w:tc>
          <w:tcPr>
            <w:tcW w:w="535" w:type="pct"/>
            <w:gridSpan w:val="2"/>
            <w:tcBorders>
              <w:top w:val="single" w:sz="4" w:space="0" w:color="auto"/>
              <w:left w:val="nil"/>
              <w:bottom w:val="single" w:sz="4" w:space="0" w:color="auto"/>
              <w:right w:val="single" w:sz="8" w:space="0" w:color="000000"/>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238</w:t>
            </w:r>
          </w:p>
        </w:tc>
        <w:tc>
          <w:tcPr>
            <w:tcW w:w="237" w:type="pct"/>
            <w:tcBorders>
              <w:top w:val="nil"/>
              <w:left w:val="nil"/>
              <w:bottom w:val="single" w:sz="4" w:space="0" w:color="auto"/>
              <w:right w:val="dotted" w:sz="4" w:space="0" w:color="auto"/>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40</w:t>
            </w:r>
          </w:p>
        </w:tc>
        <w:tc>
          <w:tcPr>
            <w:tcW w:w="237" w:type="pct"/>
            <w:tcBorders>
              <w:top w:val="nil"/>
              <w:left w:val="nil"/>
              <w:bottom w:val="single" w:sz="4" w:space="0" w:color="auto"/>
              <w:right w:val="dotted" w:sz="4" w:space="0" w:color="auto"/>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40</w:t>
            </w:r>
          </w:p>
        </w:tc>
        <w:tc>
          <w:tcPr>
            <w:tcW w:w="237" w:type="pct"/>
            <w:tcBorders>
              <w:top w:val="nil"/>
              <w:left w:val="nil"/>
              <w:bottom w:val="single" w:sz="4" w:space="0" w:color="auto"/>
              <w:right w:val="dotted" w:sz="4" w:space="0" w:color="auto"/>
            </w:tcBorders>
            <w:shd w:val="clear" w:color="auto" w:fill="auto"/>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44</w:t>
            </w:r>
          </w:p>
        </w:tc>
        <w:tc>
          <w:tcPr>
            <w:tcW w:w="475" w:type="pct"/>
            <w:gridSpan w:val="2"/>
            <w:tcBorders>
              <w:top w:val="single" w:sz="4" w:space="0" w:color="auto"/>
              <w:left w:val="nil"/>
              <w:bottom w:val="single" w:sz="4" w:space="0" w:color="auto"/>
              <w:right w:val="single" w:sz="8" w:space="0" w:color="000000"/>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48</w:t>
            </w:r>
          </w:p>
        </w:tc>
      </w:tr>
      <w:tr w:rsidR="00737A53">
        <w:trPr>
          <w:trHeight w:val="300"/>
        </w:trPr>
        <w:tc>
          <w:tcPr>
            <w:tcW w:w="1202" w:type="pct"/>
            <w:tcBorders>
              <w:top w:val="nil"/>
              <w:left w:val="single" w:sz="8" w:space="0" w:color="auto"/>
              <w:bottom w:val="single" w:sz="4" w:space="0" w:color="auto"/>
              <w:right w:val="nil"/>
            </w:tcBorders>
            <w:shd w:val="clear" w:color="000000" w:fill="FFFFFF"/>
            <w:vAlign w:val="center"/>
            <w:hideMark/>
          </w:tcPr>
          <w:p w:rsidR="00737A53" w:rsidRDefault="0076469E">
            <w:pPr>
              <w:rPr>
                <w:rFonts w:ascii="Times New Roman" w:eastAsia="Times New Roman" w:hAnsi="Times New Roman" w:cs="Times New Roman"/>
                <w:noProof/>
                <w:color w:val="000000"/>
                <w:sz w:val="20"/>
                <w:szCs w:val="20"/>
              </w:rPr>
            </w:pPr>
            <w:r>
              <w:rPr>
                <w:rFonts w:ascii="Times New Roman" w:hAnsi="Times New Roman"/>
                <w:noProof/>
                <w:sz w:val="20"/>
                <w:szCs w:val="20"/>
              </w:rPr>
              <w:t>5. Melhorar a nutrição</w:t>
            </w:r>
          </w:p>
        </w:tc>
        <w:tc>
          <w:tcPr>
            <w:tcW w:w="257" w:type="pct"/>
            <w:tcBorders>
              <w:top w:val="nil"/>
              <w:left w:val="single" w:sz="8" w:space="0" w:color="auto"/>
              <w:bottom w:val="single" w:sz="4" w:space="0" w:color="auto"/>
              <w:right w:val="dotted" w:sz="4" w:space="0" w:color="auto"/>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278</w:t>
            </w:r>
          </w:p>
        </w:tc>
        <w:tc>
          <w:tcPr>
            <w:tcW w:w="257" w:type="pct"/>
            <w:tcBorders>
              <w:top w:val="nil"/>
              <w:left w:val="nil"/>
              <w:bottom w:val="single" w:sz="4" w:space="0" w:color="auto"/>
              <w:right w:val="dotted" w:sz="4" w:space="0" w:color="auto"/>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341</w:t>
            </w:r>
          </w:p>
        </w:tc>
        <w:tc>
          <w:tcPr>
            <w:tcW w:w="257" w:type="pct"/>
            <w:tcBorders>
              <w:top w:val="nil"/>
              <w:left w:val="nil"/>
              <w:bottom w:val="single" w:sz="4" w:space="0" w:color="auto"/>
              <w:right w:val="dotted" w:sz="4" w:space="0" w:color="auto"/>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455</w:t>
            </w:r>
          </w:p>
        </w:tc>
        <w:tc>
          <w:tcPr>
            <w:tcW w:w="535" w:type="pct"/>
            <w:gridSpan w:val="2"/>
            <w:tcBorders>
              <w:top w:val="single" w:sz="4" w:space="0" w:color="auto"/>
              <w:left w:val="nil"/>
              <w:bottom w:val="single" w:sz="4" w:space="0" w:color="auto"/>
              <w:right w:val="single" w:sz="8" w:space="0" w:color="000000"/>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935</w:t>
            </w:r>
          </w:p>
        </w:tc>
        <w:tc>
          <w:tcPr>
            <w:tcW w:w="257" w:type="pct"/>
            <w:tcBorders>
              <w:top w:val="nil"/>
              <w:left w:val="nil"/>
              <w:bottom w:val="single" w:sz="4" w:space="0" w:color="auto"/>
              <w:right w:val="dotted" w:sz="4" w:space="0" w:color="auto"/>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467</w:t>
            </w:r>
          </w:p>
        </w:tc>
        <w:tc>
          <w:tcPr>
            <w:tcW w:w="257" w:type="pct"/>
            <w:tcBorders>
              <w:top w:val="nil"/>
              <w:left w:val="nil"/>
              <w:bottom w:val="single" w:sz="4" w:space="0" w:color="auto"/>
              <w:right w:val="dotted" w:sz="4" w:space="0" w:color="auto"/>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504</w:t>
            </w:r>
          </w:p>
        </w:tc>
        <w:tc>
          <w:tcPr>
            <w:tcW w:w="257" w:type="pct"/>
            <w:tcBorders>
              <w:top w:val="nil"/>
              <w:left w:val="nil"/>
              <w:bottom w:val="single" w:sz="4" w:space="0" w:color="auto"/>
              <w:right w:val="dotted" w:sz="4" w:space="0" w:color="auto"/>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638</w:t>
            </w:r>
          </w:p>
        </w:tc>
        <w:tc>
          <w:tcPr>
            <w:tcW w:w="535" w:type="pct"/>
            <w:gridSpan w:val="2"/>
            <w:tcBorders>
              <w:top w:val="single" w:sz="4" w:space="0" w:color="auto"/>
              <w:left w:val="nil"/>
              <w:bottom w:val="single" w:sz="4" w:space="0" w:color="auto"/>
              <w:right w:val="single" w:sz="8" w:space="0" w:color="000000"/>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683</w:t>
            </w:r>
          </w:p>
        </w:tc>
        <w:tc>
          <w:tcPr>
            <w:tcW w:w="237" w:type="pct"/>
            <w:tcBorders>
              <w:top w:val="nil"/>
              <w:left w:val="nil"/>
              <w:bottom w:val="single" w:sz="4" w:space="0" w:color="auto"/>
              <w:right w:val="dotted" w:sz="4" w:space="0" w:color="auto"/>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63</w:t>
            </w:r>
          </w:p>
        </w:tc>
        <w:tc>
          <w:tcPr>
            <w:tcW w:w="237" w:type="pct"/>
            <w:tcBorders>
              <w:top w:val="nil"/>
              <w:left w:val="nil"/>
              <w:bottom w:val="single" w:sz="4" w:space="0" w:color="auto"/>
              <w:right w:val="dotted" w:sz="4" w:space="0" w:color="auto"/>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64</w:t>
            </w:r>
          </w:p>
        </w:tc>
        <w:tc>
          <w:tcPr>
            <w:tcW w:w="237" w:type="pct"/>
            <w:tcBorders>
              <w:top w:val="nil"/>
              <w:left w:val="nil"/>
              <w:bottom w:val="single" w:sz="4" w:space="0" w:color="auto"/>
              <w:right w:val="dotted" w:sz="4" w:space="0" w:color="auto"/>
            </w:tcBorders>
            <w:shd w:val="clear" w:color="auto" w:fill="auto"/>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71</w:t>
            </w:r>
          </w:p>
        </w:tc>
        <w:tc>
          <w:tcPr>
            <w:tcW w:w="475" w:type="pct"/>
            <w:gridSpan w:val="2"/>
            <w:tcBorders>
              <w:top w:val="single" w:sz="4" w:space="0" w:color="auto"/>
              <w:left w:val="nil"/>
              <w:bottom w:val="single" w:sz="4" w:space="0" w:color="auto"/>
              <w:right w:val="single" w:sz="8" w:space="0" w:color="000000"/>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92</w:t>
            </w:r>
          </w:p>
        </w:tc>
      </w:tr>
      <w:tr w:rsidR="00737A53">
        <w:trPr>
          <w:trHeight w:val="588"/>
        </w:trPr>
        <w:tc>
          <w:tcPr>
            <w:tcW w:w="1202" w:type="pct"/>
            <w:tcBorders>
              <w:top w:val="nil"/>
              <w:left w:val="single" w:sz="8" w:space="0" w:color="auto"/>
              <w:bottom w:val="single" w:sz="4" w:space="0" w:color="auto"/>
              <w:right w:val="nil"/>
            </w:tcBorders>
            <w:shd w:val="clear" w:color="000000" w:fill="FFFFFF"/>
            <w:vAlign w:val="center"/>
            <w:hideMark/>
          </w:tcPr>
          <w:p w:rsidR="00737A53" w:rsidRDefault="0076469E">
            <w:pPr>
              <w:rPr>
                <w:rFonts w:ascii="Times New Roman" w:eastAsia="Times New Roman" w:hAnsi="Times New Roman" w:cs="Times New Roman"/>
                <w:noProof/>
                <w:color w:val="000000"/>
                <w:sz w:val="20"/>
                <w:szCs w:val="20"/>
              </w:rPr>
            </w:pPr>
            <w:r>
              <w:rPr>
                <w:rFonts w:ascii="Times New Roman" w:hAnsi="Times New Roman"/>
                <w:noProof/>
                <w:sz w:val="20"/>
                <w:szCs w:val="20"/>
              </w:rPr>
              <w:t>6. Melhorar a coordenação entre os intervenientes na ajuda humanitária e os intervenientes na ajuda ao de</w:t>
            </w:r>
            <w:r>
              <w:rPr>
                <w:rFonts w:ascii="Times New Roman" w:hAnsi="Times New Roman"/>
                <w:noProof/>
                <w:sz w:val="20"/>
                <w:szCs w:val="20"/>
              </w:rPr>
              <w:t>senvolvimento para aumentar a resiliência</w:t>
            </w:r>
          </w:p>
        </w:tc>
        <w:tc>
          <w:tcPr>
            <w:tcW w:w="257" w:type="pct"/>
            <w:tcBorders>
              <w:top w:val="nil"/>
              <w:left w:val="single" w:sz="8" w:space="0" w:color="auto"/>
              <w:bottom w:val="single" w:sz="4" w:space="0" w:color="auto"/>
              <w:right w:val="dotted" w:sz="4" w:space="0" w:color="auto"/>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63</w:t>
            </w:r>
          </w:p>
        </w:tc>
        <w:tc>
          <w:tcPr>
            <w:tcW w:w="257" w:type="pct"/>
            <w:tcBorders>
              <w:top w:val="nil"/>
              <w:left w:val="nil"/>
              <w:bottom w:val="single" w:sz="4" w:space="0" w:color="auto"/>
              <w:right w:val="dotted" w:sz="4" w:space="0" w:color="auto"/>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148</w:t>
            </w:r>
          </w:p>
        </w:tc>
        <w:tc>
          <w:tcPr>
            <w:tcW w:w="257" w:type="pct"/>
            <w:tcBorders>
              <w:top w:val="nil"/>
              <w:left w:val="nil"/>
              <w:bottom w:val="single" w:sz="4" w:space="0" w:color="auto"/>
              <w:right w:val="dotted" w:sz="4" w:space="0" w:color="auto"/>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161</w:t>
            </w:r>
          </w:p>
        </w:tc>
        <w:tc>
          <w:tcPr>
            <w:tcW w:w="535" w:type="pct"/>
            <w:gridSpan w:val="2"/>
            <w:tcBorders>
              <w:top w:val="single" w:sz="4" w:space="0" w:color="auto"/>
              <w:left w:val="nil"/>
              <w:bottom w:val="single" w:sz="4" w:space="0" w:color="auto"/>
              <w:right w:val="single" w:sz="8" w:space="0" w:color="000000"/>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423</w:t>
            </w:r>
          </w:p>
        </w:tc>
        <w:tc>
          <w:tcPr>
            <w:tcW w:w="257" w:type="pct"/>
            <w:tcBorders>
              <w:top w:val="nil"/>
              <w:left w:val="nil"/>
              <w:bottom w:val="single" w:sz="4" w:space="0" w:color="auto"/>
              <w:right w:val="dotted" w:sz="4" w:space="0" w:color="auto"/>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122</w:t>
            </w:r>
          </w:p>
        </w:tc>
        <w:tc>
          <w:tcPr>
            <w:tcW w:w="257" w:type="pct"/>
            <w:tcBorders>
              <w:top w:val="nil"/>
              <w:left w:val="nil"/>
              <w:bottom w:val="single" w:sz="4" w:space="0" w:color="auto"/>
              <w:right w:val="dotted" w:sz="4" w:space="0" w:color="auto"/>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159</w:t>
            </w:r>
          </w:p>
        </w:tc>
        <w:tc>
          <w:tcPr>
            <w:tcW w:w="257" w:type="pct"/>
            <w:tcBorders>
              <w:top w:val="nil"/>
              <w:left w:val="nil"/>
              <w:bottom w:val="single" w:sz="4" w:space="0" w:color="auto"/>
              <w:right w:val="dotted" w:sz="4" w:space="0" w:color="auto"/>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265</w:t>
            </w:r>
          </w:p>
        </w:tc>
        <w:tc>
          <w:tcPr>
            <w:tcW w:w="535" w:type="pct"/>
            <w:gridSpan w:val="2"/>
            <w:tcBorders>
              <w:top w:val="single" w:sz="4" w:space="0" w:color="auto"/>
              <w:left w:val="nil"/>
              <w:bottom w:val="single" w:sz="4" w:space="0" w:color="auto"/>
              <w:right w:val="single" w:sz="8" w:space="0" w:color="000000"/>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517</w:t>
            </w:r>
          </w:p>
        </w:tc>
        <w:tc>
          <w:tcPr>
            <w:tcW w:w="237" w:type="pct"/>
            <w:tcBorders>
              <w:top w:val="nil"/>
              <w:left w:val="nil"/>
              <w:bottom w:val="single" w:sz="4" w:space="0" w:color="auto"/>
              <w:right w:val="dotted" w:sz="4" w:space="0" w:color="auto"/>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18</w:t>
            </w:r>
          </w:p>
        </w:tc>
        <w:tc>
          <w:tcPr>
            <w:tcW w:w="237" w:type="pct"/>
            <w:tcBorders>
              <w:top w:val="nil"/>
              <w:left w:val="nil"/>
              <w:bottom w:val="single" w:sz="4" w:space="0" w:color="auto"/>
              <w:right w:val="dotted" w:sz="4" w:space="0" w:color="auto"/>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37</w:t>
            </w:r>
          </w:p>
        </w:tc>
        <w:tc>
          <w:tcPr>
            <w:tcW w:w="237" w:type="pct"/>
            <w:tcBorders>
              <w:top w:val="nil"/>
              <w:left w:val="nil"/>
              <w:bottom w:val="single" w:sz="4" w:space="0" w:color="auto"/>
              <w:right w:val="dotted" w:sz="4" w:space="0" w:color="auto"/>
            </w:tcBorders>
            <w:shd w:val="clear" w:color="auto" w:fill="auto"/>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37</w:t>
            </w:r>
          </w:p>
        </w:tc>
        <w:tc>
          <w:tcPr>
            <w:tcW w:w="475" w:type="pct"/>
            <w:gridSpan w:val="2"/>
            <w:tcBorders>
              <w:top w:val="single" w:sz="4" w:space="0" w:color="auto"/>
              <w:left w:val="nil"/>
              <w:bottom w:val="single" w:sz="4" w:space="0" w:color="auto"/>
              <w:right w:val="single" w:sz="8" w:space="0" w:color="000000"/>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70</w:t>
            </w:r>
          </w:p>
        </w:tc>
      </w:tr>
      <w:tr w:rsidR="00737A53">
        <w:trPr>
          <w:trHeight w:val="300"/>
        </w:trPr>
        <w:tc>
          <w:tcPr>
            <w:tcW w:w="1202" w:type="pct"/>
            <w:tcBorders>
              <w:top w:val="single" w:sz="8" w:space="0" w:color="auto"/>
              <w:left w:val="single" w:sz="8" w:space="0" w:color="auto"/>
              <w:bottom w:val="single" w:sz="8" w:space="0" w:color="auto"/>
              <w:right w:val="nil"/>
            </w:tcBorders>
            <w:shd w:val="clear" w:color="000000" w:fill="A9D08E"/>
            <w:vAlign w:val="center"/>
            <w:hideMark/>
          </w:tcPr>
          <w:p w:rsidR="00737A53" w:rsidRDefault="0076469E">
            <w:pPr>
              <w:rPr>
                <w:rFonts w:ascii="Times New Roman" w:eastAsia="Times New Roman" w:hAnsi="Times New Roman" w:cs="Times New Roman"/>
                <w:b/>
                <w:bCs/>
                <w:noProof/>
                <w:color w:val="000000"/>
                <w:sz w:val="20"/>
                <w:szCs w:val="20"/>
              </w:rPr>
            </w:pPr>
            <w:r>
              <w:rPr>
                <w:rFonts w:ascii="Times New Roman" w:hAnsi="Times New Roman"/>
                <w:b/>
                <w:bCs/>
                <w:noProof/>
                <w:sz w:val="20"/>
                <w:szCs w:val="20"/>
              </w:rPr>
              <w:t>Total</w:t>
            </w:r>
          </w:p>
        </w:tc>
        <w:tc>
          <w:tcPr>
            <w:tcW w:w="257" w:type="pct"/>
            <w:tcBorders>
              <w:top w:val="single" w:sz="8" w:space="0" w:color="auto"/>
              <w:left w:val="single" w:sz="8" w:space="0" w:color="auto"/>
              <w:bottom w:val="single" w:sz="8" w:space="0" w:color="auto"/>
              <w:right w:val="dotted" w:sz="4" w:space="0" w:color="auto"/>
            </w:tcBorders>
            <w:shd w:val="clear" w:color="000000" w:fill="A9D08E"/>
            <w:noWrap/>
            <w:vAlign w:val="center"/>
            <w:hideMark/>
          </w:tcPr>
          <w:p w:rsidR="00737A53" w:rsidRDefault="0076469E">
            <w:pPr>
              <w:jc w:val="right"/>
              <w:rPr>
                <w:rFonts w:ascii="Times New Roman" w:eastAsia="Times New Roman" w:hAnsi="Times New Roman" w:cs="Times New Roman"/>
                <w:b/>
                <w:bCs/>
                <w:noProof/>
                <w:color w:val="000000"/>
                <w:sz w:val="20"/>
                <w:szCs w:val="20"/>
              </w:rPr>
            </w:pPr>
            <w:r>
              <w:rPr>
                <w:rFonts w:ascii="Times New Roman" w:hAnsi="Times New Roman"/>
                <w:b/>
                <w:bCs/>
                <w:noProof/>
                <w:sz w:val="20"/>
                <w:szCs w:val="20"/>
              </w:rPr>
              <w:t>2 503</w:t>
            </w:r>
          </w:p>
        </w:tc>
        <w:tc>
          <w:tcPr>
            <w:tcW w:w="257" w:type="pct"/>
            <w:tcBorders>
              <w:top w:val="single" w:sz="8" w:space="0" w:color="auto"/>
              <w:left w:val="nil"/>
              <w:bottom w:val="single" w:sz="8" w:space="0" w:color="auto"/>
              <w:right w:val="dotted" w:sz="4" w:space="0" w:color="auto"/>
            </w:tcBorders>
            <w:shd w:val="clear" w:color="000000" w:fill="A9D08E"/>
            <w:noWrap/>
            <w:vAlign w:val="center"/>
            <w:hideMark/>
          </w:tcPr>
          <w:p w:rsidR="00737A53" w:rsidRDefault="0076469E">
            <w:pPr>
              <w:jc w:val="right"/>
              <w:rPr>
                <w:rFonts w:ascii="Times New Roman" w:eastAsia="Times New Roman" w:hAnsi="Times New Roman" w:cs="Times New Roman"/>
                <w:b/>
                <w:bCs/>
                <w:noProof/>
                <w:color w:val="000000"/>
                <w:sz w:val="20"/>
                <w:szCs w:val="20"/>
              </w:rPr>
            </w:pPr>
            <w:r>
              <w:rPr>
                <w:rFonts w:ascii="Times New Roman" w:hAnsi="Times New Roman"/>
                <w:b/>
                <w:bCs/>
                <w:noProof/>
                <w:sz w:val="20"/>
                <w:szCs w:val="20"/>
              </w:rPr>
              <w:t>3 189</w:t>
            </w:r>
          </w:p>
        </w:tc>
        <w:tc>
          <w:tcPr>
            <w:tcW w:w="257" w:type="pct"/>
            <w:tcBorders>
              <w:top w:val="single" w:sz="8" w:space="0" w:color="auto"/>
              <w:left w:val="nil"/>
              <w:bottom w:val="single" w:sz="8" w:space="0" w:color="auto"/>
              <w:right w:val="dotted" w:sz="4" w:space="0" w:color="auto"/>
            </w:tcBorders>
            <w:shd w:val="clear" w:color="000000" w:fill="A9D08E"/>
            <w:noWrap/>
            <w:vAlign w:val="center"/>
            <w:hideMark/>
          </w:tcPr>
          <w:p w:rsidR="00737A53" w:rsidRDefault="0076469E">
            <w:pPr>
              <w:jc w:val="right"/>
              <w:rPr>
                <w:rFonts w:ascii="Times New Roman" w:eastAsia="Times New Roman" w:hAnsi="Times New Roman" w:cs="Times New Roman"/>
                <w:b/>
                <w:bCs/>
                <w:noProof/>
                <w:color w:val="000000"/>
                <w:sz w:val="20"/>
                <w:szCs w:val="20"/>
              </w:rPr>
            </w:pPr>
            <w:r>
              <w:rPr>
                <w:rFonts w:ascii="Times New Roman" w:hAnsi="Times New Roman"/>
                <w:b/>
                <w:bCs/>
                <w:noProof/>
                <w:sz w:val="20"/>
                <w:szCs w:val="20"/>
              </w:rPr>
              <w:t>3 462</w:t>
            </w:r>
          </w:p>
        </w:tc>
        <w:tc>
          <w:tcPr>
            <w:tcW w:w="535" w:type="pct"/>
            <w:gridSpan w:val="2"/>
            <w:tcBorders>
              <w:top w:val="single" w:sz="8" w:space="0" w:color="auto"/>
              <w:left w:val="nil"/>
              <w:bottom w:val="single" w:sz="8" w:space="0" w:color="auto"/>
              <w:right w:val="single" w:sz="8" w:space="0" w:color="auto"/>
            </w:tcBorders>
            <w:shd w:val="clear" w:color="000000" w:fill="A9D08E"/>
            <w:noWrap/>
            <w:vAlign w:val="center"/>
            <w:hideMark/>
          </w:tcPr>
          <w:p w:rsidR="00737A53" w:rsidRDefault="0076469E">
            <w:pPr>
              <w:jc w:val="right"/>
              <w:rPr>
                <w:rFonts w:ascii="Times New Roman" w:eastAsia="Times New Roman" w:hAnsi="Times New Roman" w:cs="Times New Roman"/>
                <w:b/>
                <w:bCs/>
                <w:noProof/>
                <w:color w:val="000000"/>
                <w:sz w:val="20"/>
                <w:szCs w:val="20"/>
              </w:rPr>
            </w:pPr>
            <w:r>
              <w:rPr>
                <w:rFonts w:ascii="Times New Roman" w:hAnsi="Times New Roman"/>
                <w:b/>
                <w:bCs/>
                <w:noProof/>
                <w:sz w:val="20"/>
                <w:szCs w:val="20"/>
              </w:rPr>
              <w:t>7 446</w:t>
            </w:r>
          </w:p>
        </w:tc>
        <w:tc>
          <w:tcPr>
            <w:tcW w:w="257" w:type="pct"/>
            <w:tcBorders>
              <w:top w:val="single" w:sz="8" w:space="0" w:color="auto"/>
              <w:left w:val="nil"/>
              <w:bottom w:val="single" w:sz="8" w:space="0" w:color="auto"/>
              <w:right w:val="dotted" w:sz="4" w:space="0" w:color="auto"/>
            </w:tcBorders>
            <w:shd w:val="clear" w:color="000000" w:fill="A9D08E"/>
            <w:noWrap/>
            <w:vAlign w:val="center"/>
            <w:hideMark/>
          </w:tcPr>
          <w:p w:rsidR="00737A53" w:rsidRDefault="0076469E">
            <w:pPr>
              <w:jc w:val="right"/>
              <w:rPr>
                <w:rFonts w:ascii="Times New Roman" w:eastAsia="Times New Roman" w:hAnsi="Times New Roman" w:cs="Times New Roman"/>
                <w:b/>
                <w:bCs/>
                <w:noProof/>
                <w:color w:val="000000"/>
                <w:sz w:val="20"/>
                <w:szCs w:val="20"/>
              </w:rPr>
            </w:pPr>
            <w:r>
              <w:rPr>
                <w:rFonts w:ascii="Times New Roman" w:hAnsi="Times New Roman"/>
                <w:b/>
                <w:bCs/>
                <w:noProof/>
                <w:sz w:val="20"/>
                <w:szCs w:val="20"/>
              </w:rPr>
              <w:t>3 366</w:t>
            </w:r>
          </w:p>
        </w:tc>
        <w:tc>
          <w:tcPr>
            <w:tcW w:w="257" w:type="pct"/>
            <w:tcBorders>
              <w:top w:val="single" w:sz="8" w:space="0" w:color="auto"/>
              <w:left w:val="nil"/>
              <w:bottom w:val="single" w:sz="8" w:space="0" w:color="auto"/>
              <w:right w:val="dotted" w:sz="4" w:space="0" w:color="auto"/>
            </w:tcBorders>
            <w:shd w:val="clear" w:color="000000" w:fill="A9D08E"/>
            <w:noWrap/>
            <w:vAlign w:val="center"/>
            <w:hideMark/>
          </w:tcPr>
          <w:p w:rsidR="00737A53" w:rsidRDefault="0076469E">
            <w:pPr>
              <w:jc w:val="right"/>
              <w:rPr>
                <w:rFonts w:ascii="Times New Roman" w:eastAsia="Times New Roman" w:hAnsi="Times New Roman" w:cs="Times New Roman"/>
                <w:b/>
                <w:bCs/>
                <w:noProof/>
                <w:color w:val="000000"/>
                <w:sz w:val="20"/>
                <w:szCs w:val="20"/>
              </w:rPr>
            </w:pPr>
            <w:r>
              <w:rPr>
                <w:rFonts w:ascii="Times New Roman" w:hAnsi="Times New Roman"/>
                <w:b/>
                <w:bCs/>
                <w:noProof/>
                <w:sz w:val="20"/>
                <w:szCs w:val="20"/>
              </w:rPr>
              <w:t>3 659</w:t>
            </w:r>
          </w:p>
        </w:tc>
        <w:tc>
          <w:tcPr>
            <w:tcW w:w="257" w:type="pct"/>
            <w:tcBorders>
              <w:top w:val="single" w:sz="8" w:space="0" w:color="auto"/>
              <w:left w:val="nil"/>
              <w:bottom w:val="single" w:sz="8" w:space="0" w:color="auto"/>
              <w:right w:val="dotted" w:sz="4" w:space="0" w:color="auto"/>
            </w:tcBorders>
            <w:shd w:val="clear" w:color="000000" w:fill="A9D08E"/>
            <w:noWrap/>
            <w:vAlign w:val="center"/>
            <w:hideMark/>
          </w:tcPr>
          <w:p w:rsidR="00737A53" w:rsidRDefault="0076469E">
            <w:pPr>
              <w:jc w:val="right"/>
              <w:rPr>
                <w:rFonts w:ascii="Times New Roman" w:eastAsia="Times New Roman" w:hAnsi="Times New Roman" w:cs="Times New Roman"/>
                <w:b/>
                <w:bCs/>
                <w:noProof/>
                <w:color w:val="000000"/>
                <w:sz w:val="20"/>
                <w:szCs w:val="20"/>
              </w:rPr>
            </w:pPr>
            <w:r>
              <w:rPr>
                <w:rFonts w:ascii="Times New Roman" w:hAnsi="Times New Roman"/>
                <w:b/>
                <w:bCs/>
                <w:noProof/>
                <w:sz w:val="20"/>
                <w:szCs w:val="20"/>
              </w:rPr>
              <w:t>4 200</w:t>
            </w:r>
          </w:p>
        </w:tc>
        <w:tc>
          <w:tcPr>
            <w:tcW w:w="535" w:type="pct"/>
            <w:gridSpan w:val="2"/>
            <w:tcBorders>
              <w:top w:val="single" w:sz="8" w:space="0" w:color="auto"/>
              <w:left w:val="nil"/>
              <w:bottom w:val="single" w:sz="8" w:space="0" w:color="auto"/>
              <w:right w:val="single" w:sz="8" w:space="0" w:color="000000"/>
            </w:tcBorders>
            <w:shd w:val="clear" w:color="000000" w:fill="A9D08E"/>
            <w:noWrap/>
            <w:vAlign w:val="center"/>
            <w:hideMark/>
          </w:tcPr>
          <w:p w:rsidR="00737A53" w:rsidRDefault="0076469E">
            <w:pPr>
              <w:jc w:val="right"/>
              <w:rPr>
                <w:rFonts w:ascii="Times New Roman" w:eastAsia="Times New Roman" w:hAnsi="Times New Roman" w:cs="Times New Roman"/>
                <w:b/>
                <w:bCs/>
                <w:noProof/>
                <w:color w:val="000000"/>
                <w:sz w:val="20"/>
                <w:szCs w:val="20"/>
              </w:rPr>
            </w:pPr>
            <w:r>
              <w:rPr>
                <w:rFonts w:ascii="Times New Roman" w:hAnsi="Times New Roman"/>
                <w:b/>
                <w:bCs/>
                <w:noProof/>
                <w:sz w:val="20"/>
                <w:szCs w:val="20"/>
              </w:rPr>
              <w:t>5 027</w:t>
            </w:r>
          </w:p>
        </w:tc>
        <w:tc>
          <w:tcPr>
            <w:tcW w:w="237" w:type="pct"/>
            <w:tcBorders>
              <w:top w:val="single" w:sz="8" w:space="0" w:color="auto"/>
              <w:left w:val="nil"/>
              <w:bottom w:val="single" w:sz="8" w:space="0" w:color="auto"/>
              <w:right w:val="dotted" w:sz="4" w:space="0" w:color="auto"/>
            </w:tcBorders>
            <w:shd w:val="clear" w:color="000000" w:fill="A9D08E"/>
            <w:noWrap/>
            <w:vAlign w:val="center"/>
            <w:hideMark/>
          </w:tcPr>
          <w:p w:rsidR="00737A53" w:rsidRDefault="0076469E">
            <w:pPr>
              <w:jc w:val="right"/>
              <w:rPr>
                <w:rFonts w:ascii="Times New Roman" w:eastAsia="Times New Roman" w:hAnsi="Times New Roman" w:cs="Times New Roman"/>
                <w:b/>
                <w:bCs/>
                <w:noProof/>
                <w:color w:val="000000"/>
                <w:sz w:val="20"/>
                <w:szCs w:val="20"/>
              </w:rPr>
            </w:pPr>
            <w:r>
              <w:rPr>
                <w:rFonts w:ascii="Times New Roman" w:hAnsi="Times New Roman"/>
                <w:b/>
                <w:bCs/>
                <w:noProof/>
                <w:sz w:val="20"/>
                <w:szCs w:val="20"/>
              </w:rPr>
              <w:t> </w:t>
            </w:r>
          </w:p>
        </w:tc>
        <w:tc>
          <w:tcPr>
            <w:tcW w:w="237" w:type="pct"/>
            <w:tcBorders>
              <w:top w:val="single" w:sz="8" w:space="0" w:color="auto"/>
              <w:left w:val="nil"/>
              <w:bottom w:val="single" w:sz="8" w:space="0" w:color="auto"/>
              <w:right w:val="dotted" w:sz="4" w:space="0" w:color="auto"/>
            </w:tcBorders>
            <w:shd w:val="clear" w:color="000000" w:fill="A9D08E"/>
            <w:noWrap/>
            <w:vAlign w:val="center"/>
            <w:hideMark/>
          </w:tcPr>
          <w:p w:rsidR="00737A53" w:rsidRDefault="0076469E">
            <w:pPr>
              <w:jc w:val="right"/>
              <w:rPr>
                <w:rFonts w:ascii="Times New Roman" w:eastAsia="Times New Roman" w:hAnsi="Times New Roman" w:cs="Times New Roman"/>
                <w:b/>
                <w:bCs/>
                <w:noProof/>
                <w:color w:val="000000"/>
                <w:sz w:val="20"/>
                <w:szCs w:val="20"/>
              </w:rPr>
            </w:pPr>
            <w:r>
              <w:rPr>
                <w:rFonts w:ascii="Times New Roman" w:hAnsi="Times New Roman"/>
                <w:b/>
                <w:bCs/>
                <w:noProof/>
                <w:sz w:val="20"/>
                <w:szCs w:val="20"/>
              </w:rPr>
              <w:t> </w:t>
            </w:r>
          </w:p>
        </w:tc>
        <w:tc>
          <w:tcPr>
            <w:tcW w:w="237" w:type="pct"/>
            <w:tcBorders>
              <w:top w:val="single" w:sz="8" w:space="0" w:color="auto"/>
              <w:left w:val="nil"/>
              <w:bottom w:val="single" w:sz="8" w:space="0" w:color="auto"/>
              <w:right w:val="dotted" w:sz="4" w:space="0" w:color="auto"/>
            </w:tcBorders>
            <w:shd w:val="clear" w:color="000000" w:fill="A9D08E"/>
            <w:noWrap/>
            <w:vAlign w:val="center"/>
            <w:hideMark/>
          </w:tcPr>
          <w:p w:rsidR="00737A53" w:rsidRDefault="0076469E">
            <w:pPr>
              <w:jc w:val="right"/>
              <w:rPr>
                <w:rFonts w:ascii="Times New Roman" w:eastAsia="Times New Roman" w:hAnsi="Times New Roman" w:cs="Times New Roman"/>
                <w:b/>
                <w:bCs/>
                <w:noProof/>
                <w:sz w:val="20"/>
                <w:szCs w:val="20"/>
              </w:rPr>
            </w:pPr>
            <w:r>
              <w:rPr>
                <w:rFonts w:ascii="Times New Roman" w:hAnsi="Times New Roman"/>
                <w:b/>
                <w:bCs/>
                <w:noProof/>
                <w:sz w:val="20"/>
                <w:szCs w:val="20"/>
              </w:rPr>
              <w:t>114</w:t>
            </w:r>
          </w:p>
        </w:tc>
        <w:tc>
          <w:tcPr>
            <w:tcW w:w="475" w:type="pct"/>
            <w:gridSpan w:val="2"/>
            <w:tcBorders>
              <w:top w:val="single" w:sz="8" w:space="0" w:color="auto"/>
              <w:left w:val="nil"/>
              <w:bottom w:val="single" w:sz="8" w:space="0" w:color="auto"/>
              <w:right w:val="single" w:sz="8" w:space="0" w:color="000000"/>
            </w:tcBorders>
            <w:shd w:val="clear" w:color="000000" w:fill="A9D08E"/>
            <w:noWrap/>
            <w:vAlign w:val="center"/>
            <w:hideMark/>
          </w:tcPr>
          <w:p w:rsidR="00737A53" w:rsidRDefault="0076469E">
            <w:pPr>
              <w:jc w:val="right"/>
              <w:rPr>
                <w:rFonts w:ascii="Times New Roman" w:eastAsia="Times New Roman" w:hAnsi="Times New Roman" w:cs="Times New Roman"/>
                <w:b/>
                <w:bCs/>
                <w:noProof/>
                <w:sz w:val="20"/>
                <w:szCs w:val="20"/>
              </w:rPr>
            </w:pPr>
            <w:r>
              <w:rPr>
                <w:rFonts w:ascii="Times New Roman" w:hAnsi="Times New Roman"/>
                <w:b/>
                <w:bCs/>
                <w:noProof/>
                <w:sz w:val="20"/>
                <w:szCs w:val="20"/>
              </w:rPr>
              <w:t>130</w:t>
            </w:r>
          </w:p>
        </w:tc>
      </w:tr>
      <w:tr w:rsidR="00737A53">
        <w:trPr>
          <w:trHeight w:val="279"/>
        </w:trPr>
        <w:tc>
          <w:tcPr>
            <w:tcW w:w="1202" w:type="pct"/>
            <w:tcBorders>
              <w:top w:val="single" w:sz="4" w:space="0" w:color="auto"/>
              <w:left w:val="single" w:sz="8" w:space="0" w:color="auto"/>
              <w:bottom w:val="single" w:sz="4" w:space="0" w:color="auto"/>
              <w:right w:val="nil"/>
            </w:tcBorders>
            <w:shd w:val="clear" w:color="auto" w:fill="auto"/>
            <w:vAlign w:val="center"/>
            <w:hideMark/>
          </w:tcPr>
          <w:p w:rsidR="00737A53" w:rsidRDefault="0076469E">
            <w:pPr>
              <w:rPr>
                <w:rFonts w:ascii="Times New Roman" w:eastAsia="Times New Roman" w:hAnsi="Times New Roman" w:cs="Times New Roman"/>
                <w:b/>
                <w:bCs/>
                <w:noProof/>
                <w:color w:val="000000"/>
                <w:sz w:val="20"/>
                <w:szCs w:val="20"/>
              </w:rPr>
            </w:pPr>
            <w:r>
              <w:rPr>
                <w:rFonts w:ascii="Times New Roman" w:hAnsi="Times New Roman"/>
                <w:b/>
                <w:bCs/>
                <w:noProof/>
                <w:sz w:val="20"/>
                <w:szCs w:val="20"/>
              </w:rPr>
              <w:t>Dos quais…</w:t>
            </w:r>
          </w:p>
        </w:tc>
        <w:tc>
          <w:tcPr>
            <w:tcW w:w="257" w:type="pct"/>
            <w:tcBorders>
              <w:top w:val="single" w:sz="4" w:space="0" w:color="auto"/>
              <w:left w:val="single" w:sz="8" w:space="0" w:color="auto"/>
              <w:bottom w:val="single" w:sz="4" w:space="0" w:color="auto"/>
              <w:right w:val="dotted" w:sz="4" w:space="0" w:color="auto"/>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 </w:t>
            </w:r>
          </w:p>
        </w:tc>
        <w:tc>
          <w:tcPr>
            <w:tcW w:w="257" w:type="pct"/>
            <w:tcBorders>
              <w:top w:val="single" w:sz="4" w:space="0" w:color="auto"/>
              <w:left w:val="nil"/>
              <w:bottom w:val="single" w:sz="4" w:space="0" w:color="auto"/>
              <w:right w:val="dotted" w:sz="4" w:space="0" w:color="auto"/>
            </w:tcBorders>
            <w:shd w:val="clear" w:color="auto" w:fill="auto"/>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 </w:t>
            </w:r>
          </w:p>
        </w:tc>
        <w:tc>
          <w:tcPr>
            <w:tcW w:w="257" w:type="pct"/>
            <w:tcBorders>
              <w:top w:val="single" w:sz="4" w:space="0" w:color="auto"/>
              <w:left w:val="nil"/>
              <w:bottom w:val="single" w:sz="4" w:space="0" w:color="auto"/>
              <w:right w:val="dotted" w:sz="4" w:space="0" w:color="auto"/>
            </w:tcBorders>
            <w:shd w:val="clear" w:color="auto" w:fill="auto"/>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 </w:t>
            </w:r>
          </w:p>
        </w:tc>
        <w:tc>
          <w:tcPr>
            <w:tcW w:w="258" w:type="pct"/>
            <w:tcBorders>
              <w:top w:val="single" w:sz="4" w:space="0" w:color="auto"/>
              <w:left w:val="nil"/>
              <w:bottom w:val="single" w:sz="4" w:space="0" w:color="auto"/>
              <w:right w:val="dotted" w:sz="4" w:space="0" w:color="auto"/>
            </w:tcBorders>
            <w:shd w:val="clear" w:color="auto" w:fill="auto"/>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 </w:t>
            </w:r>
          </w:p>
        </w:tc>
        <w:tc>
          <w:tcPr>
            <w:tcW w:w="277" w:type="pct"/>
            <w:tcBorders>
              <w:top w:val="single" w:sz="4" w:space="0" w:color="auto"/>
              <w:left w:val="nil"/>
              <w:bottom w:val="single" w:sz="4" w:space="0" w:color="auto"/>
              <w:right w:val="single" w:sz="8" w:space="0" w:color="auto"/>
            </w:tcBorders>
            <w:shd w:val="clear" w:color="auto" w:fill="auto"/>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 </w:t>
            </w:r>
          </w:p>
        </w:tc>
        <w:tc>
          <w:tcPr>
            <w:tcW w:w="257" w:type="pct"/>
            <w:tcBorders>
              <w:top w:val="single" w:sz="4" w:space="0" w:color="auto"/>
              <w:left w:val="nil"/>
              <w:bottom w:val="single" w:sz="4" w:space="0" w:color="auto"/>
              <w:right w:val="dotted" w:sz="4" w:space="0" w:color="auto"/>
            </w:tcBorders>
            <w:shd w:val="clear" w:color="auto" w:fill="auto"/>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 </w:t>
            </w:r>
          </w:p>
        </w:tc>
        <w:tc>
          <w:tcPr>
            <w:tcW w:w="257" w:type="pct"/>
            <w:tcBorders>
              <w:top w:val="single" w:sz="4" w:space="0" w:color="auto"/>
              <w:left w:val="nil"/>
              <w:bottom w:val="single" w:sz="4" w:space="0" w:color="auto"/>
              <w:right w:val="dotted" w:sz="4" w:space="0" w:color="auto"/>
            </w:tcBorders>
            <w:shd w:val="clear" w:color="auto" w:fill="auto"/>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 </w:t>
            </w:r>
          </w:p>
        </w:tc>
        <w:tc>
          <w:tcPr>
            <w:tcW w:w="257" w:type="pct"/>
            <w:tcBorders>
              <w:top w:val="single" w:sz="4" w:space="0" w:color="auto"/>
              <w:left w:val="nil"/>
              <w:bottom w:val="single" w:sz="4" w:space="0" w:color="auto"/>
              <w:right w:val="dotted" w:sz="4" w:space="0" w:color="auto"/>
            </w:tcBorders>
            <w:shd w:val="clear" w:color="auto" w:fill="auto"/>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 </w:t>
            </w:r>
          </w:p>
        </w:tc>
        <w:tc>
          <w:tcPr>
            <w:tcW w:w="258" w:type="pct"/>
            <w:tcBorders>
              <w:top w:val="single" w:sz="4" w:space="0" w:color="auto"/>
              <w:left w:val="nil"/>
              <w:bottom w:val="single" w:sz="4" w:space="0" w:color="auto"/>
              <w:right w:val="dotted" w:sz="4" w:space="0" w:color="auto"/>
            </w:tcBorders>
            <w:shd w:val="clear" w:color="auto" w:fill="auto"/>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 </w:t>
            </w:r>
          </w:p>
        </w:tc>
        <w:tc>
          <w:tcPr>
            <w:tcW w:w="277" w:type="pct"/>
            <w:tcBorders>
              <w:top w:val="single" w:sz="4" w:space="0" w:color="auto"/>
              <w:left w:val="nil"/>
              <w:bottom w:val="single" w:sz="4" w:space="0" w:color="auto"/>
              <w:right w:val="single" w:sz="8" w:space="0" w:color="auto"/>
            </w:tcBorders>
            <w:shd w:val="clear" w:color="auto" w:fill="auto"/>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 </w:t>
            </w:r>
          </w:p>
        </w:tc>
        <w:tc>
          <w:tcPr>
            <w:tcW w:w="237" w:type="pct"/>
            <w:tcBorders>
              <w:top w:val="single" w:sz="4" w:space="0" w:color="auto"/>
              <w:left w:val="nil"/>
              <w:bottom w:val="single" w:sz="4" w:space="0" w:color="auto"/>
              <w:right w:val="dotted" w:sz="4" w:space="0" w:color="auto"/>
            </w:tcBorders>
            <w:shd w:val="clear" w:color="auto" w:fill="auto"/>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 </w:t>
            </w:r>
          </w:p>
        </w:tc>
        <w:tc>
          <w:tcPr>
            <w:tcW w:w="237" w:type="pct"/>
            <w:tcBorders>
              <w:top w:val="single" w:sz="4" w:space="0" w:color="auto"/>
              <w:left w:val="nil"/>
              <w:bottom w:val="single" w:sz="4" w:space="0" w:color="auto"/>
              <w:right w:val="dotted" w:sz="4" w:space="0" w:color="auto"/>
            </w:tcBorders>
            <w:shd w:val="clear" w:color="auto" w:fill="auto"/>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 </w:t>
            </w:r>
          </w:p>
        </w:tc>
        <w:tc>
          <w:tcPr>
            <w:tcW w:w="237" w:type="pct"/>
            <w:tcBorders>
              <w:top w:val="single" w:sz="4" w:space="0" w:color="auto"/>
              <w:left w:val="nil"/>
              <w:bottom w:val="single" w:sz="4" w:space="0" w:color="auto"/>
              <w:right w:val="dotted" w:sz="4" w:space="0" w:color="auto"/>
            </w:tcBorders>
            <w:shd w:val="clear" w:color="auto" w:fill="auto"/>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 </w:t>
            </w:r>
          </w:p>
        </w:tc>
        <w:tc>
          <w:tcPr>
            <w:tcW w:w="198" w:type="pct"/>
            <w:tcBorders>
              <w:top w:val="single" w:sz="4" w:space="0" w:color="auto"/>
              <w:left w:val="nil"/>
              <w:bottom w:val="single" w:sz="4" w:space="0" w:color="auto"/>
              <w:right w:val="dotted" w:sz="4" w:space="0" w:color="auto"/>
            </w:tcBorders>
            <w:shd w:val="clear" w:color="auto" w:fill="auto"/>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 </w:t>
            </w:r>
          </w:p>
        </w:tc>
        <w:tc>
          <w:tcPr>
            <w:tcW w:w="277" w:type="pct"/>
            <w:tcBorders>
              <w:top w:val="single" w:sz="4" w:space="0" w:color="auto"/>
              <w:left w:val="nil"/>
              <w:bottom w:val="single" w:sz="4" w:space="0" w:color="auto"/>
              <w:right w:val="single" w:sz="8" w:space="0" w:color="auto"/>
            </w:tcBorders>
            <w:shd w:val="clear" w:color="auto" w:fill="auto"/>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 </w:t>
            </w:r>
          </w:p>
        </w:tc>
      </w:tr>
      <w:tr w:rsidR="00737A53">
        <w:trPr>
          <w:trHeight w:val="279"/>
        </w:trPr>
        <w:tc>
          <w:tcPr>
            <w:tcW w:w="1202" w:type="pct"/>
            <w:tcBorders>
              <w:top w:val="nil"/>
              <w:left w:val="single" w:sz="8" w:space="0" w:color="auto"/>
              <w:bottom w:val="single" w:sz="4" w:space="0" w:color="auto"/>
              <w:right w:val="nil"/>
            </w:tcBorders>
            <w:shd w:val="clear" w:color="000000" w:fill="C6E0B4"/>
            <w:noWrap/>
            <w:vAlign w:val="center"/>
            <w:hideMark/>
          </w:tcPr>
          <w:p w:rsidR="00737A53" w:rsidRDefault="0076469E">
            <w:pPr>
              <w:rPr>
                <w:rFonts w:ascii="Times New Roman" w:eastAsia="Times New Roman" w:hAnsi="Times New Roman" w:cs="Times New Roman"/>
                <w:noProof/>
                <w:color w:val="000000"/>
                <w:sz w:val="20"/>
                <w:szCs w:val="20"/>
              </w:rPr>
            </w:pPr>
            <w:r>
              <w:rPr>
                <w:rFonts w:ascii="Times New Roman" w:hAnsi="Times New Roman"/>
                <w:noProof/>
                <w:sz w:val="20"/>
                <w:szCs w:val="20"/>
              </w:rPr>
              <w:t>Programas de investigação</w:t>
            </w:r>
          </w:p>
        </w:tc>
        <w:tc>
          <w:tcPr>
            <w:tcW w:w="257" w:type="pct"/>
            <w:tcBorders>
              <w:top w:val="nil"/>
              <w:left w:val="single" w:sz="8" w:space="0" w:color="auto"/>
              <w:bottom w:val="single" w:sz="4" w:space="0" w:color="auto"/>
              <w:right w:val="dotted" w:sz="4" w:space="0" w:color="auto"/>
            </w:tcBorders>
            <w:shd w:val="clear" w:color="000000" w:fill="C6E0B4"/>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149</w:t>
            </w:r>
          </w:p>
        </w:tc>
        <w:tc>
          <w:tcPr>
            <w:tcW w:w="257" w:type="pct"/>
            <w:tcBorders>
              <w:top w:val="nil"/>
              <w:left w:val="nil"/>
              <w:bottom w:val="single" w:sz="4" w:space="0" w:color="auto"/>
              <w:right w:val="dotted" w:sz="4" w:space="0" w:color="auto"/>
            </w:tcBorders>
            <w:shd w:val="clear" w:color="000000" w:fill="C6E0B4"/>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154</w:t>
            </w:r>
          </w:p>
        </w:tc>
        <w:tc>
          <w:tcPr>
            <w:tcW w:w="257" w:type="pct"/>
            <w:tcBorders>
              <w:top w:val="nil"/>
              <w:left w:val="nil"/>
              <w:bottom w:val="single" w:sz="4" w:space="0" w:color="auto"/>
              <w:right w:val="dotted" w:sz="4" w:space="0" w:color="auto"/>
            </w:tcBorders>
            <w:shd w:val="clear" w:color="000000" w:fill="C6E0B4"/>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463</w:t>
            </w:r>
          </w:p>
        </w:tc>
        <w:tc>
          <w:tcPr>
            <w:tcW w:w="258" w:type="pct"/>
            <w:tcBorders>
              <w:top w:val="nil"/>
              <w:left w:val="nil"/>
              <w:bottom w:val="single" w:sz="4" w:space="0" w:color="auto"/>
              <w:right w:val="dotted" w:sz="4" w:space="0" w:color="auto"/>
            </w:tcBorders>
            <w:shd w:val="clear" w:color="000000" w:fill="C6E0B4"/>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1189</w:t>
            </w:r>
          </w:p>
        </w:tc>
        <w:tc>
          <w:tcPr>
            <w:tcW w:w="277" w:type="pct"/>
            <w:tcBorders>
              <w:top w:val="nil"/>
              <w:left w:val="nil"/>
              <w:bottom w:val="single" w:sz="4" w:space="0" w:color="auto"/>
              <w:right w:val="single" w:sz="8" w:space="0" w:color="auto"/>
            </w:tcBorders>
            <w:shd w:val="clear" w:color="000000" w:fill="C6E0B4"/>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(16 %)</w:t>
            </w:r>
          </w:p>
        </w:tc>
        <w:tc>
          <w:tcPr>
            <w:tcW w:w="257" w:type="pct"/>
            <w:tcBorders>
              <w:top w:val="nil"/>
              <w:left w:val="nil"/>
              <w:bottom w:val="single" w:sz="4" w:space="0" w:color="auto"/>
              <w:right w:val="dotted" w:sz="4" w:space="0" w:color="auto"/>
            </w:tcBorders>
            <w:shd w:val="clear" w:color="000000" w:fill="C6E0B4"/>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379</w:t>
            </w:r>
          </w:p>
        </w:tc>
        <w:tc>
          <w:tcPr>
            <w:tcW w:w="257" w:type="pct"/>
            <w:tcBorders>
              <w:top w:val="nil"/>
              <w:left w:val="nil"/>
              <w:bottom w:val="single" w:sz="4" w:space="0" w:color="auto"/>
              <w:right w:val="dotted" w:sz="4" w:space="0" w:color="auto"/>
            </w:tcBorders>
            <w:shd w:val="clear" w:color="000000" w:fill="C6E0B4"/>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300</w:t>
            </w:r>
          </w:p>
        </w:tc>
        <w:tc>
          <w:tcPr>
            <w:tcW w:w="257" w:type="pct"/>
            <w:tcBorders>
              <w:top w:val="nil"/>
              <w:left w:val="nil"/>
              <w:bottom w:val="single" w:sz="4" w:space="0" w:color="auto"/>
              <w:right w:val="dotted" w:sz="4" w:space="0" w:color="auto"/>
            </w:tcBorders>
            <w:shd w:val="clear" w:color="000000" w:fill="C6E0B4"/>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493</w:t>
            </w:r>
          </w:p>
        </w:tc>
        <w:tc>
          <w:tcPr>
            <w:tcW w:w="258" w:type="pct"/>
            <w:tcBorders>
              <w:top w:val="nil"/>
              <w:left w:val="nil"/>
              <w:bottom w:val="single" w:sz="4" w:space="0" w:color="auto"/>
              <w:right w:val="dotted" w:sz="4" w:space="0" w:color="auto"/>
            </w:tcBorders>
            <w:shd w:val="clear" w:color="000000" w:fill="C6E0B4"/>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491</w:t>
            </w:r>
          </w:p>
        </w:tc>
        <w:tc>
          <w:tcPr>
            <w:tcW w:w="277" w:type="pct"/>
            <w:tcBorders>
              <w:top w:val="nil"/>
              <w:left w:val="nil"/>
              <w:bottom w:val="single" w:sz="4" w:space="0" w:color="auto"/>
              <w:right w:val="single" w:sz="8" w:space="0" w:color="auto"/>
            </w:tcBorders>
            <w:shd w:val="clear" w:color="000000" w:fill="C6E0B4"/>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(10 %)</w:t>
            </w:r>
          </w:p>
        </w:tc>
        <w:tc>
          <w:tcPr>
            <w:tcW w:w="237" w:type="pct"/>
            <w:tcBorders>
              <w:top w:val="nil"/>
              <w:left w:val="nil"/>
              <w:bottom w:val="single" w:sz="4" w:space="0" w:color="auto"/>
              <w:right w:val="dotted" w:sz="4" w:space="0" w:color="auto"/>
            </w:tcBorders>
            <w:shd w:val="clear" w:color="000000" w:fill="C6E0B4"/>
            <w:noWrap/>
            <w:vAlign w:val="center"/>
            <w:hideMark/>
          </w:tcPr>
          <w:p w:rsidR="00737A53" w:rsidRDefault="0076469E">
            <w:pPr>
              <w:jc w:val="right"/>
              <w:rPr>
                <w:rFonts w:ascii="Times New Roman" w:eastAsia="Times New Roman" w:hAnsi="Times New Roman" w:cs="Times New Roman"/>
                <w:noProof/>
                <w:color w:val="FF0000"/>
                <w:sz w:val="20"/>
                <w:szCs w:val="20"/>
              </w:rPr>
            </w:pPr>
            <w:r>
              <w:rPr>
                <w:rFonts w:ascii="Times New Roman" w:hAnsi="Times New Roman"/>
                <w:noProof/>
                <w:color w:val="FF0000"/>
                <w:sz w:val="20"/>
                <w:szCs w:val="20"/>
              </w:rPr>
              <w:t> </w:t>
            </w:r>
          </w:p>
        </w:tc>
        <w:tc>
          <w:tcPr>
            <w:tcW w:w="237" w:type="pct"/>
            <w:tcBorders>
              <w:top w:val="nil"/>
              <w:left w:val="nil"/>
              <w:bottom w:val="single" w:sz="4" w:space="0" w:color="auto"/>
              <w:right w:val="dotted" w:sz="4" w:space="0" w:color="auto"/>
            </w:tcBorders>
            <w:shd w:val="clear" w:color="000000" w:fill="C6E0B4"/>
            <w:noWrap/>
            <w:vAlign w:val="center"/>
            <w:hideMark/>
          </w:tcPr>
          <w:p w:rsidR="00737A53" w:rsidRDefault="0076469E">
            <w:pPr>
              <w:jc w:val="right"/>
              <w:rPr>
                <w:rFonts w:ascii="Times New Roman" w:eastAsia="Times New Roman" w:hAnsi="Times New Roman" w:cs="Times New Roman"/>
                <w:noProof/>
                <w:color w:val="FF0000"/>
                <w:sz w:val="20"/>
                <w:szCs w:val="20"/>
              </w:rPr>
            </w:pPr>
            <w:r>
              <w:rPr>
                <w:rFonts w:ascii="Times New Roman" w:hAnsi="Times New Roman"/>
                <w:noProof/>
                <w:color w:val="FF0000"/>
                <w:sz w:val="20"/>
                <w:szCs w:val="20"/>
              </w:rPr>
              <w:t> </w:t>
            </w:r>
          </w:p>
        </w:tc>
        <w:tc>
          <w:tcPr>
            <w:tcW w:w="237" w:type="pct"/>
            <w:tcBorders>
              <w:top w:val="nil"/>
              <w:left w:val="nil"/>
              <w:bottom w:val="single" w:sz="4" w:space="0" w:color="auto"/>
              <w:right w:val="dotted" w:sz="4" w:space="0" w:color="auto"/>
            </w:tcBorders>
            <w:shd w:val="clear" w:color="000000" w:fill="C6E0B4"/>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69</w:t>
            </w:r>
          </w:p>
        </w:tc>
        <w:tc>
          <w:tcPr>
            <w:tcW w:w="198" w:type="pct"/>
            <w:tcBorders>
              <w:top w:val="nil"/>
              <w:left w:val="nil"/>
              <w:bottom w:val="single" w:sz="4" w:space="0" w:color="auto"/>
              <w:right w:val="dotted" w:sz="4" w:space="0" w:color="auto"/>
            </w:tcBorders>
            <w:shd w:val="clear" w:color="000000" w:fill="C6E0B4"/>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92</w:t>
            </w:r>
          </w:p>
        </w:tc>
        <w:tc>
          <w:tcPr>
            <w:tcW w:w="277" w:type="pct"/>
            <w:tcBorders>
              <w:top w:val="nil"/>
              <w:left w:val="nil"/>
              <w:bottom w:val="single" w:sz="4" w:space="0" w:color="auto"/>
              <w:right w:val="single" w:sz="8" w:space="0" w:color="auto"/>
            </w:tcBorders>
            <w:shd w:val="clear" w:color="000000" w:fill="C6E0B4"/>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(71 %)</w:t>
            </w:r>
          </w:p>
        </w:tc>
      </w:tr>
      <w:tr w:rsidR="00737A53">
        <w:trPr>
          <w:trHeight w:val="279"/>
        </w:trPr>
        <w:tc>
          <w:tcPr>
            <w:tcW w:w="1202" w:type="pct"/>
            <w:tcBorders>
              <w:top w:val="nil"/>
              <w:left w:val="single" w:sz="8" w:space="0" w:color="auto"/>
              <w:bottom w:val="single" w:sz="4" w:space="0" w:color="auto"/>
              <w:right w:val="nil"/>
            </w:tcBorders>
            <w:shd w:val="clear" w:color="000000" w:fill="C6E0B4"/>
            <w:vAlign w:val="center"/>
            <w:hideMark/>
          </w:tcPr>
          <w:p w:rsidR="00737A53" w:rsidRDefault="0076469E">
            <w:pPr>
              <w:rPr>
                <w:rFonts w:ascii="Times New Roman" w:eastAsia="Times New Roman" w:hAnsi="Times New Roman" w:cs="Times New Roman"/>
                <w:noProof/>
                <w:color w:val="000000"/>
                <w:sz w:val="20"/>
                <w:szCs w:val="20"/>
              </w:rPr>
            </w:pPr>
            <w:r>
              <w:rPr>
                <w:rFonts w:ascii="Times New Roman" w:hAnsi="Times New Roman"/>
                <w:noProof/>
                <w:sz w:val="20"/>
                <w:szCs w:val="20"/>
              </w:rPr>
              <w:t>Programas sensíveis à questão do género</w:t>
            </w:r>
          </w:p>
        </w:tc>
        <w:tc>
          <w:tcPr>
            <w:tcW w:w="257" w:type="pct"/>
            <w:tcBorders>
              <w:top w:val="nil"/>
              <w:left w:val="single" w:sz="8" w:space="0" w:color="auto"/>
              <w:bottom w:val="single" w:sz="4" w:space="0" w:color="auto"/>
              <w:right w:val="dotted" w:sz="4" w:space="0" w:color="auto"/>
            </w:tcBorders>
            <w:shd w:val="clear" w:color="000000" w:fill="C6E0B4"/>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 </w:t>
            </w:r>
          </w:p>
        </w:tc>
        <w:tc>
          <w:tcPr>
            <w:tcW w:w="257" w:type="pct"/>
            <w:tcBorders>
              <w:top w:val="nil"/>
              <w:left w:val="nil"/>
              <w:bottom w:val="single" w:sz="4" w:space="0" w:color="auto"/>
              <w:right w:val="dotted" w:sz="4" w:space="0" w:color="auto"/>
            </w:tcBorders>
            <w:shd w:val="clear" w:color="000000" w:fill="C6E0B4"/>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 </w:t>
            </w:r>
          </w:p>
        </w:tc>
        <w:tc>
          <w:tcPr>
            <w:tcW w:w="257" w:type="pct"/>
            <w:tcBorders>
              <w:top w:val="nil"/>
              <w:left w:val="nil"/>
              <w:bottom w:val="single" w:sz="4" w:space="0" w:color="auto"/>
              <w:right w:val="dotted" w:sz="4" w:space="0" w:color="auto"/>
            </w:tcBorders>
            <w:shd w:val="clear" w:color="000000" w:fill="C6E0B4"/>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1 879</w:t>
            </w:r>
          </w:p>
        </w:tc>
        <w:tc>
          <w:tcPr>
            <w:tcW w:w="258" w:type="pct"/>
            <w:tcBorders>
              <w:top w:val="nil"/>
              <w:left w:val="nil"/>
              <w:bottom w:val="single" w:sz="4" w:space="0" w:color="auto"/>
              <w:right w:val="dotted" w:sz="4" w:space="0" w:color="auto"/>
            </w:tcBorders>
            <w:shd w:val="clear" w:color="000000" w:fill="C6E0B4"/>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4 251</w:t>
            </w:r>
          </w:p>
        </w:tc>
        <w:tc>
          <w:tcPr>
            <w:tcW w:w="277" w:type="pct"/>
            <w:tcBorders>
              <w:top w:val="nil"/>
              <w:left w:val="nil"/>
              <w:bottom w:val="single" w:sz="4" w:space="0" w:color="auto"/>
              <w:right w:val="single" w:sz="8" w:space="0" w:color="auto"/>
            </w:tcBorders>
            <w:shd w:val="clear" w:color="000000" w:fill="C6E0B4"/>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(57 %)</w:t>
            </w:r>
          </w:p>
        </w:tc>
        <w:tc>
          <w:tcPr>
            <w:tcW w:w="257" w:type="pct"/>
            <w:tcBorders>
              <w:top w:val="nil"/>
              <w:left w:val="nil"/>
              <w:bottom w:val="single" w:sz="4" w:space="0" w:color="auto"/>
              <w:right w:val="dotted" w:sz="4" w:space="0" w:color="auto"/>
            </w:tcBorders>
            <w:shd w:val="clear" w:color="000000" w:fill="C6E0B4"/>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 </w:t>
            </w:r>
          </w:p>
        </w:tc>
        <w:tc>
          <w:tcPr>
            <w:tcW w:w="257" w:type="pct"/>
            <w:tcBorders>
              <w:top w:val="nil"/>
              <w:left w:val="nil"/>
              <w:bottom w:val="single" w:sz="4" w:space="0" w:color="auto"/>
              <w:right w:val="dotted" w:sz="4" w:space="0" w:color="auto"/>
            </w:tcBorders>
            <w:shd w:val="clear" w:color="000000" w:fill="C6E0B4"/>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 </w:t>
            </w:r>
          </w:p>
        </w:tc>
        <w:tc>
          <w:tcPr>
            <w:tcW w:w="257" w:type="pct"/>
            <w:tcBorders>
              <w:top w:val="nil"/>
              <w:left w:val="nil"/>
              <w:bottom w:val="single" w:sz="4" w:space="0" w:color="auto"/>
              <w:right w:val="dotted" w:sz="4" w:space="0" w:color="auto"/>
            </w:tcBorders>
            <w:shd w:val="clear" w:color="000000" w:fill="C6E0B4"/>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2 404</w:t>
            </w:r>
          </w:p>
        </w:tc>
        <w:tc>
          <w:tcPr>
            <w:tcW w:w="258" w:type="pct"/>
            <w:tcBorders>
              <w:top w:val="nil"/>
              <w:left w:val="nil"/>
              <w:bottom w:val="single" w:sz="4" w:space="0" w:color="auto"/>
              <w:right w:val="dotted" w:sz="4" w:space="0" w:color="auto"/>
            </w:tcBorders>
            <w:shd w:val="clear" w:color="000000" w:fill="C6E0B4"/>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3 382</w:t>
            </w:r>
          </w:p>
        </w:tc>
        <w:tc>
          <w:tcPr>
            <w:tcW w:w="277" w:type="pct"/>
            <w:tcBorders>
              <w:top w:val="nil"/>
              <w:left w:val="nil"/>
              <w:bottom w:val="single" w:sz="4" w:space="0" w:color="auto"/>
              <w:right w:val="single" w:sz="8" w:space="0" w:color="auto"/>
            </w:tcBorders>
            <w:shd w:val="clear" w:color="000000" w:fill="C6E0B4"/>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(67 %)</w:t>
            </w:r>
          </w:p>
        </w:tc>
        <w:tc>
          <w:tcPr>
            <w:tcW w:w="237" w:type="pct"/>
            <w:tcBorders>
              <w:top w:val="nil"/>
              <w:left w:val="nil"/>
              <w:bottom w:val="single" w:sz="4" w:space="0" w:color="auto"/>
              <w:right w:val="dotted" w:sz="4" w:space="0" w:color="auto"/>
            </w:tcBorders>
            <w:shd w:val="clear" w:color="000000" w:fill="C6E0B4"/>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 </w:t>
            </w:r>
          </w:p>
        </w:tc>
        <w:tc>
          <w:tcPr>
            <w:tcW w:w="237" w:type="pct"/>
            <w:tcBorders>
              <w:top w:val="nil"/>
              <w:left w:val="nil"/>
              <w:bottom w:val="single" w:sz="4" w:space="0" w:color="auto"/>
              <w:right w:val="dotted" w:sz="4" w:space="0" w:color="auto"/>
            </w:tcBorders>
            <w:shd w:val="clear" w:color="000000" w:fill="C6E0B4"/>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 </w:t>
            </w:r>
          </w:p>
        </w:tc>
        <w:tc>
          <w:tcPr>
            <w:tcW w:w="237" w:type="pct"/>
            <w:tcBorders>
              <w:top w:val="nil"/>
              <w:left w:val="nil"/>
              <w:bottom w:val="single" w:sz="4" w:space="0" w:color="auto"/>
              <w:right w:val="dotted" w:sz="4" w:space="0" w:color="auto"/>
            </w:tcBorders>
            <w:shd w:val="clear" w:color="000000" w:fill="C6E0B4"/>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97</w:t>
            </w:r>
          </w:p>
        </w:tc>
        <w:tc>
          <w:tcPr>
            <w:tcW w:w="198" w:type="pct"/>
            <w:tcBorders>
              <w:top w:val="nil"/>
              <w:left w:val="nil"/>
              <w:bottom w:val="single" w:sz="4" w:space="0" w:color="auto"/>
              <w:right w:val="dotted" w:sz="4" w:space="0" w:color="auto"/>
            </w:tcBorders>
            <w:shd w:val="clear" w:color="000000" w:fill="C6E0B4"/>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114</w:t>
            </w:r>
          </w:p>
        </w:tc>
        <w:tc>
          <w:tcPr>
            <w:tcW w:w="277" w:type="pct"/>
            <w:tcBorders>
              <w:top w:val="nil"/>
              <w:left w:val="nil"/>
              <w:bottom w:val="single" w:sz="4" w:space="0" w:color="auto"/>
              <w:right w:val="single" w:sz="8" w:space="0" w:color="auto"/>
            </w:tcBorders>
            <w:shd w:val="clear" w:color="000000" w:fill="C6E0B4"/>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(88 %)</w:t>
            </w:r>
          </w:p>
        </w:tc>
      </w:tr>
      <w:tr w:rsidR="00737A53">
        <w:trPr>
          <w:trHeight w:val="279"/>
        </w:trPr>
        <w:tc>
          <w:tcPr>
            <w:tcW w:w="1202" w:type="pct"/>
            <w:tcBorders>
              <w:top w:val="nil"/>
              <w:left w:val="single" w:sz="8" w:space="0" w:color="auto"/>
              <w:bottom w:val="single" w:sz="4" w:space="0" w:color="auto"/>
              <w:right w:val="nil"/>
            </w:tcBorders>
            <w:shd w:val="clear" w:color="000000" w:fill="FFFFFF"/>
            <w:vAlign w:val="center"/>
            <w:hideMark/>
          </w:tcPr>
          <w:p w:rsidR="00737A53" w:rsidRDefault="0076469E">
            <w:pPr>
              <w:rPr>
                <w:rFonts w:ascii="Times New Roman" w:eastAsia="Times New Roman" w:hAnsi="Times New Roman" w:cs="Times New Roman"/>
                <w:i/>
                <w:iCs/>
                <w:noProof/>
                <w:color w:val="000000"/>
                <w:sz w:val="20"/>
                <w:szCs w:val="20"/>
              </w:rPr>
            </w:pPr>
            <w:r>
              <w:rPr>
                <w:rFonts w:ascii="Times New Roman" w:hAnsi="Times New Roman"/>
                <w:i/>
                <w:iCs/>
                <w:noProof/>
                <w:sz w:val="20"/>
                <w:szCs w:val="20"/>
              </w:rPr>
              <w:t xml:space="preserve"> Objetivo principal</w:t>
            </w:r>
          </w:p>
        </w:tc>
        <w:tc>
          <w:tcPr>
            <w:tcW w:w="257" w:type="pct"/>
            <w:tcBorders>
              <w:top w:val="nil"/>
              <w:left w:val="single" w:sz="8" w:space="0" w:color="auto"/>
              <w:bottom w:val="single" w:sz="4" w:space="0" w:color="auto"/>
              <w:right w:val="dotted" w:sz="4" w:space="0" w:color="auto"/>
            </w:tcBorders>
            <w:shd w:val="clear" w:color="000000" w:fill="FFFFFF"/>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 </w:t>
            </w:r>
          </w:p>
        </w:tc>
        <w:tc>
          <w:tcPr>
            <w:tcW w:w="257" w:type="pct"/>
            <w:tcBorders>
              <w:top w:val="nil"/>
              <w:left w:val="nil"/>
              <w:bottom w:val="single" w:sz="4" w:space="0" w:color="auto"/>
              <w:right w:val="dotted" w:sz="4" w:space="0" w:color="auto"/>
            </w:tcBorders>
            <w:shd w:val="clear" w:color="000000" w:fill="FFFFFF"/>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 </w:t>
            </w:r>
          </w:p>
        </w:tc>
        <w:tc>
          <w:tcPr>
            <w:tcW w:w="257" w:type="pct"/>
            <w:tcBorders>
              <w:top w:val="nil"/>
              <w:left w:val="nil"/>
              <w:bottom w:val="single" w:sz="4" w:space="0" w:color="auto"/>
              <w:right w:val="dotted" w:sz="4"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155</w:t>
            </w:r>
          </w:p>
        </w:tc>
        <w:tc>
          <w:tcPr>
            <w:tcW w:w="258" w:type="pct"/>
            <w:tcBorders>
              <w:top w:val="nil"/>
              <w:left w:val="nil"/>
              <w:bottom w:val="single" w:sz="4" w:space="0" w:color="auto"/>
              <w:right w:val="dotted" w:sz="4"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575</w:t>
            </w:r>
          </w:p>
        </w:tc>
        <w:tc>
          <w:tcPr>
            <w:tcW w:w="277" w:type="pct"/>
            <w:tcBorders>
              <w:top w:val="nil"/>
              <w:left w:val="nil"/>
              <w:bottom w:val="single" w:sz="4" w:space="0" w:color="auto"/>
              <w:right w:val="single" w:sz="8"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(8 %)</w:t>
            </w:r>
          </w:p>
        </w:tc>
        <w:tc>
          <w:tcPr>
            <w:tcW w:w="257" w:type="pct"/>
            <w:tcBorders>
              <w:top w:val="nil"/>
              <w:left w:val="nil"/>
              <w:bottom w:val="single" w:sz="4" w:space="0" w:color="auto"/>
              <w:right w:val="dotted" w:sz="4"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 </w:t>
            </w:r>
          </w:p>
        </w:tc>
        <w:tc>
          <w:tcPr>
            <w:tcW w:w="257" w:type="pct"/>
            <w:tcBorders>
              <w:top w:val="nil"/>
              <w:left w:val="nil"/>
              <w:bottom w:val="single" w:sz="4" w:space="0" w:color="auto"/>
              <w:right w:val="dotted" w:sz="4"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 </w:t>
            </w:r>
          </w:p>
        </w:tc>
        <w:tc>
          <w:tcPr>
            <w:tcW w:w="257" w:type="pct"/>
            <w:tcBorders>
              <w:top w:val="nil"/>
              <w:left w:val="nil"/>
              <w:bottom w:val="single" w:sz="4" w:space="0" w:color="auto"/>
              <w:right w:val="dotted" w:sz="4"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171</w:t>
            </w:r>
          </w:p>
        </w:tc>
        <w:tc>
          <w:tcPr>
            <w:tcW w:w="258" w:type="pct"/>
            <w:tcBorders>
              <w:top w:val="nil"/>
              <w:left w:val="nil"/>
              <w:bottom w:val="single" w:sz="4" w:space="0" w:color="auto"/>
              <w:right w:val="dotted" w:sz="4"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168</w:t>
            </w:r>
          </w:p>
        </w:tc>
        <w:tc>
          <w:tcPr>
            <w:tcW w:w="277" w:type="pct"/>
            <w:tcBorders>
              <w:top w:val="nil"/>
              <w:left w:val="nil"/>
              <w:bottom w:val="single" w:sz="4" w:space="0" w:color="auto"/>
              <w:right w:val="single" w:sz="8"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(3 %)</w:t>
            </w:r>
          </w:p>
        </w:tc>
        <w:tc>
          <w:tcPr>
            <w:tcW w:w="237" w:type="pct"/>
            <w:tcBorders>
              <w:top w:val="nil"/>
              <w:left w:val="nil"/>
              <w:bottom w:val="single" w:sz="4" w:space="0" w:color="auto"/>
              <w:right w:val="dotted" w:sz="4"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 </w:t>
            </w:r>
          </w:p>
        </w:tc>
        <w:tc>
          <w:tcPr>
            <w:tcW w:w="237" w:type="pct"/>
            <w:tcBorders>
              <w:top w:val="nil"/>
              <w:left w:val="nil"/>
              <w:bottom w:val="single" w:sz="4" w:space="0" w:color="auto"/>
              <w:right w:val="dotted" w:sz="4"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 </w:t>
            </w:r>
          </w:p>
        </w:tc>
        <w:tc>
          <w:tcPr>
            <w:tcW w:w="237" w:type="pct"/>
            <w:tcBorders>
              <w:top w:val="nil"/>
              <w:left w:val="nil"/>
              <w:bottom w:val="single" w:sz="4" w:space="0" w:color="auto"/>
              <w:right w:val="dotted" w:sz="4"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51</w:t>
            </w:r>
          </w:p>
        </w:tc>
        <w:tc>
          <w:tcPr>
            <w:tcW w:w="198" w:type="pct"/>
            <w:tcBorders>
              <w:top w:val="nil"/>
              <w:left w:val="nil"/>
              <w:bottom w:val="single" w:sz="4" w:space="0" w:color="auto"/>
              <w:right w:val="dotted" w:sz="4" w:space="0" w:color="auto"/>
            </w:tcBorders>
            <w:shd w:val="clear" w:color="auto" w:fill="auto"/>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77</w:t>
            </w:r>
          </w:p>
        </w:tc>
        <w:tc>
          <w:tcPr>
            <w:tcW w:w="277" w:type="pct"/>
            <w:tcBorders>
              <w:top w:val="nil"/>
              <w:left w:val="nil"/>
              <w:bottom w:val="single" w:sz="4" w:space="0" w:color="auto"/>
              <w:right w:val="single" w:sz="8" w:space="0" w:color="auto"/>
            </w:tcBorders>
            <w:shd w:val="clear" w:color="auto" w:fill="auto"/>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(59 %)</w:t>
            </w:r>
          </w:p>
        </w:tc>
      </w:tr>
      <w:tr w:rsidR="00737A53">
        <w:trPr>
          <w:trHeight w:val="279"/>
        </w:trPr>
        <w:tc>
          <w:tcPr>
            <w:tcW w:w="1202" w:type="pct"/>
            <w:tcBorders>
              <w:top w:val="nil"/>
              <w:left w:val="single" w:sz="8" w:space="0" w:color="auto"/>
              <w:bottom w:val="single" w:sz="4" w:space="0" w:color="auto"/>
              <w:right w:val="nil"/>
            </w:tcBorders>
            <w:shd w:val="clear" w:color="000000" w:fill="FFFFFF"/>
            <w:vAlign w:val="center"/>
            <w:hideMark/>
          </w:tcPr>
          <w:p w:rsidR="00737A53" w:rsidRDefault="0076469E">
            <w:pPr>
              <w:rPr>
                <w:rFonts w:ascii="Times New Roman" w:eastAsia="Times New Roman" w:hAnsi="Times New Roman" w:cs="Times New Roman"/>
                <w:i/>
                <w:iCs/>
                <w:noProof/>
                <w:color w:val="000000"/>
                <w:sz w:val="20"/>
                <w:szCs w:val="20"/>
              </w:rPr>
            </w:pPr>
            <w:r>
              <w:rPr>
                <w:rFonts w:ascii="Times New Roman" w:hAnsi="Times New Roman"/>
                <w:i/>
                <w:iCs/>
                <w:noProof/>
                <w:sz w:val="20"/>
                <w:szCs w:val="20"/>
              </w:rPr>
              <w:t xml:space="preserve"> Objetivo importante</w:t>
            </w:r>
          </w:p>
        </w:tc>
        <w:tc>
          <w:tcPr>
            <w:tcW w:w="257" w:type="pct"/>
            <w:tcBorders>
              <w:top w:val="nil"/>
              <w:left w:val="single" w:sz="8" w:space="0" w:color="auto"/>
              <w:bottom w:val="single" w:sz="4" w:space="0" w:color="auto"/>
              <w:right w:val="dotted" w:sz="4" w:space="0" w:color="auto"/>
            </w:tcBorders>
            <w:shd w:val="clear" w:color="000000" w:fill="FFFFFF"/>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 </w:t>
            </w:r>
          </w:p>
        </w:tc>
        <w:tc>
          <w:tcPr>
            <w:tcW w:w="257" w:type="pct"/>
            <w:tcBorders>
              <w:top w:val="nil"/>
              <w:left w:val="nil"/>
              <w:bottom w:val="single" w:sz="4" w:space="0" w:color="auto"/>
              <w:right w:val="dotted" w:sz="4" w:space="0" w:color="auto"/>
            </w:tcBorders>
            <w:shd w:val="clear" w:color="000000" w:fill="FFFFFF"/>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 </w:t>
            </w:r>
          </w:p>
        </w:tc>
        <w:tc>
          <w:tcPr>
            <w:tcW w:w="257" w:type="pct"/>
            <w:tcBorders>
              <w:top w:val="nil"/>
              <w:left w:val="nil"/>
              <w:bottom w:val="single" w:sz="4" w:space="0" w:color="auto"/>
              <w:right w:val="dotted" w:sz="4"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1 724</w:t>
            </w:r>
          </w:p>
        </w:tc>
        <w:tc>
          <w:tcPr>
            <w:tcW w:w="258" w:type="pct"/>
            <w:tcBorders>
              <w:top w:val="nil"/>
              <w:left w:val="nil"/>
              <w:bottom w:val="single" w:sz="4" w:space="0" w:color="auto"/>
              <w:right w:val="dotted" w:sz="4"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3 676</w:t>
            </w:r>
          </w:p>
        </w:tc>
        <w:tc>
          <w:tcPr>
            <w:tcW w:w="277" w:type="pct"/>
            <w:tcBorders>
              <w:top w:val="nil"/>
              <w:left w:val="nil"/>
              <w:bottom w:val="single" w:sz="4" w:space="0" w:color="auto"/>
              <w:right w:val="single" w:sz="8"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(49 %)</w:t>
            </w:r>
          </w:p>
        </w:tc>
        <w:tc>
          <w:tcPr>
            <w:tcW w:w="257" w:type="pct"/>
            <w:tcBorders>
              <w:top w:val="nil"/>
              <w:left w:val="nil"/>
              <w:bottom w:val="single" w:sz="4" w:space="0" w:color="auto"/>
              <w:right w:val="dotted" w:sz="4"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 </w:t>
            </w:r>
          </w:p>
        </w:tc>
        <w:tc>
          <w:tcPr>
            <w:tcW w:w="257" w:type="pct"/>
            <w:tcBorders>
              <w:top w:val="nil"/>
              <w:left w:val="nil"/>
              <w:bottom w:val="single" w:sz="4" w:space="0" w:color="auto"/>
              <w:right w:val="dotted" w:sz="4"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 </w:t>
            </w:r>
          </w:p>
        </w:tc>
        <w:tc>
          <w:tcPr>
            <w:tcW w:w="257" w:type="pct"/>
            <w:tcBorders>
              <w:top w:val="nil"/>
              <w:left w:val="nil"/>
              <w:bottom w:val="single" w:sz="4" w:space="0" w:color="auto"/>
              <w:right w:val="dotted" w:sz="4"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2 233</w:t>
            </w:r>
          </w:p>
        </w:tc>
        <w:tc>
          <w:tcPr>
            <w:tcW w:w="258" w:type="pct"/>
            <w:tcBorders>
              <w:top w:val="nil"/>
              <w:left w:val="nil"/>
              <w:bottom w:val="single" w:sz="4" w:space="0" w:color="auto"/>
              <w:right w:val="dotted" w:sz="4"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3 214</w:t>
            </w:r>
          </w:p>
        </w:tc>
        <w:tc>
          <w:tcPr>
            <w:tcW w:w="277" w:type="pct"/>
            <w:tcBorders>
              <w:top w:val="nil"/>
              <w:left w:val="nil"/>
              <w:bottom w:val="single" w:sz="4" w:space="0" w:color="auto"/>
              <w:right w:val="single" w:sz="8"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(64 %)</w:t>
            </w:r>
          </w:p>
        </w:tc>
        <w:tc>
          <w:tcPr>
            <w:tcW w:w="237" w:type="pct"/>
            <w:tcBorders>
              <w:top w:val="nil"/>
              <w:left w:val="nil"/>
              <w:bottom w:val="single" w:sz="4" w:space="0" w:color="auto"/>
              <w:right w:val="dotted" w:sz="4"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 </w:t>
            </w:r>
          </w:p>
        </w:tc>
        <w:tc>
          <w:tcPr>
            <w:tcW w:w="237" w:type="pct"/>
            <w:tcBorders>
              <w:top w:val="nil"/>
              <w:left w:val="nil"/>
              <w:bottom w:val="single" w:sz="4" w:space="0" w:color="auto"/>
              <w:right w:val="dotted" w:sz="4"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 </w:t>
            </w:r>
          </w:p>
        </w:tc>
        <w:tc>
          <w:tcPr>
            <w:tcW w:w="237" w:type="pct"/>
            <w:tcBorders>
              <w:top w:val="nil"/>
              <w:left w:val="nil"/>
              <w:bottom w:val="single" w:sz="4" w:space="0" w:color="auto"/>
              <w:right w:val="dotted" w:sz="4"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97</w:t>
            </w:r>
          </w:p>
        </w:tc>
        <w:tc>
          <w:tcPr>
            <w:tcW w:w="198" w:type="pct"/>
            <w:tcBorders>
              <w:top w:val="nil"/>
              <w:left w:val="nil"/>
              <w:bottom w:val="single" w:sz="4" w:space="0" w:color="auto"/>
              <w:right w:val="dotted" w:sz="4" w:space="0" w:color="auto"/>
            </w:tcBorders>
            <w:shd w:val="clear" w:color="auto" w:fill="auto"/>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113</w:t>
            </w:r>
          </w:p>
        </w:tc>
        <w:tc>
          <w:tcPr>
            <w:tcW w:w="277" w:type="pct"/>
            <w:tcBorders>
              <w:top w:val="nil"/>
              <w:left w:val="nil"/>
              <w:bottom w:val="single" w:sz="4" w:space="0" w:color="auto"/>
              <w:right w:val="single" w:sz="8" w:space="0" w:color="auto"/>
            </w:tcBorders>
            <w:shd w:val="clear" w:color="auto" w:fill="auto"/>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(87 %)</w:t>
            </w:r>
          </w:p>
        </w:tc>
      </w:tr>
      <w:tr w:rsidR="00737A53">
        <w:trPr>
          <w:trHeight w:val="279"/>
        </w:trPr>
        <w:tc>
          <w:tcPr>
            <w:tcW w:w="1202" w:type="pct"/>
            <w:tcBorders>
              <w:top w:val="nil"/>
              <w:left w:val="single" w:sz="8" w:space="0" w:color="auto"/>
              <w:bottom w:val="single" w:sz="4" w:space="0" w:color="auto"/>
              <w:right w:val="nil"/>
            </w:tcBorders>
            <w:shd w:val="clear" w:color="000000" w:fill="C6E0B4"/>
            <w:vAlign w:val="center"/>
            <w:hideMark/>
          </w:tcPr>
          <w:p w:rsidR="00737A53" w:rsidRDefault="0076469E">
            <w:pPr>
              <w:rPr>
                <w:rFonts w:ascii="Times New Roman" w:eastAsia="Times New Roman" w:hAnsi="Times New Roman" w:cs="Times New Roman"/>
                <w:noProof/>
                <w:color w:val="000000"/>
                <w:sz w:val="20"/>
                <w:szCs w:val="20"/>
              </w:rPr>
            </w:pPr>
            <w:r>
              <w:rPr>
                <w:rFonts w:ascii="Times New Roman" w:hAnsi="Times New Roman"/>
                <w:noProof/>
                <w:sz w:val="20"/>
                <w:szCs w:val="20"/>
              </w:rPr>
              <w:t>Programas de adaptação às alterações climáticas</w:t>
            </w:r>
          </w:p>
        </w:tc>
        <w:tc>
          <w:tcPr>
            <w:tcW w:w="257" w:type="pct"/>
            <w:tcBorders>
              <w:top w:val="nil"/>
              <w:left w:val="single" w:sz="8" w:space="0" w:color="auto"/>
              <w:bottom w:val="single" w:sz="4" w:space="0" w:color="auto"/>
              <w:right w:val="dotted" w:sz="4" w:space="0" w:color="auto"/>
            </w:tcBorders>
            <w:shd w:val="clear" w:color="000000" w:fill="C6E0B4"/>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 </w:t>
            </w:r>
          </w:p>
        </w:tc>
        <w:tc>
          <w:tcPr>
            <w:tcW w:w="257" w:type="pct"/>
            <w:tcBorders>
              <w:top w:val="nil"/>
              <w:left w:val="nil"/>
              <w:bottom w:val="single" w:sz="4" w:space="0" w:color="auto"/>
              <w:right w:val="dotted" w:sz="4" w:space="0" w:color="auto"/>
            </w:tcBorders>
            <w:shd w:val="clear" w:color="000000" w:fill="C6E0B4"/>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 </w:t>
            </w:r>
          </w:p>
        </w:tc>
        <w:tc>
          <w:tcPr>
            <w:tcW w:w="257" w:type="pct"/>
            <w:tcBorders>
              <w:top w:val="nil"/>
              <w:left w:val="nil"/>
              <w:bottom w:val="single" w:sz="4" w:space="0" w:color="auto"/>
              <w:right w:val="dotted" w:sz="4" w:space="0" w:color="auto"/>
            </w:tcBorders>
            <w:shd w:val="clear" w:color="000000" w:fill="C6E0B4"/>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1344</w:t>
            </w:r>
          </w:p>
        </w:tc>
        <w:tc>
          <w:tcPr>
            <w:tcW w:w="258" w:type="pct"/>
            <w:tcBorders>
              <w:top w:val="nil"/>
              <w:left w:val="nil"/>
              <w:bottom w:val="single" w:sz="4" w:space="0" w:color="auto"/>
              <w:right w:val="dotted" w:sz="4" w:space="0" w:color="auto"/>
            </w:tcBorders>
            <w:shd w:val="clear" w:color="000000" w:fill="C6E0B4"/>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2 976</w:t>
            </w:r>
          </w:p>
        </w:tc>
        <w:tc>
          <w:tcPr>
            <w:tcW w:w="277" w:type="pct"/>
            <w:tcBorders>
              <w:top w:val="nil"/>
              <w:left w:val="nil"/>
              <w:bottom w:val="single" w:sz="4" w:space="0" w:color="auto"/>
              <w:right w:val="single" w:sz="8" w:space="0" w:color="auto"/>
            </w:tcBorders>
            <w:shd w:val="clear" w:color="000000" w:fill="C6E0B4"/>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(40 %)</w:t>
            </w:r>
          </w:p>
        </w:tc>
        <w:tc>
          <w:tcPr>
            <w:tcW w:w="257" w:type="pct"/>
            <w:tcBorders>
              <w:top w:val="nil"/>
              <w:left w:val="nil"/>
              <w:bottom w:val="single" w:sz="4" w:space="0" w:color="auto"/>
              <w:right w:val="dotted" w:sz="4" w:space="0" w:color="auto"/>
            </w:tcBorders>
            <w:shd w:val="clear" w:color="000000" w:fill="C6E0B4"/>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 </w:t>
            </w:r>
          </w:p>
        </w:tc>
        <w:tc>
          <w:tcPr>
            <w:tcW w:w="257" w:type="pct"/>
            <w:tcBorders>
              <w:top w:val="nil"/>
              <w:left w:val="nil"/>
              <w:bottom w:val="single" w:sz="4" w:space="0" w:color="auto"/>
              <w:right w:val="dotted" w:sz="4" w:space="0" w:color="auto"/>
            </w:tcBorders>
            <w:shd w:val="clear" w:color="000000" w:fill="C6E0B4"/>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 </w:t>
            </w:r>
          </w:p>
        </w:tc>
        <w:tc>
          <w:tcPr>
            <w:tcW w:w="257" w:type="pct"/>
            <w:tcBorders>
              <w:top w:val="nil"/>
              <w:left w:val="nil"/>
              <w:bottom w:val="single" w:sz="4" w:space="0" w:color="auto"/>
              <w:right w:val="dotted" w:sz="4" w:space="0" w:color="auto"/>
            </w:tcBorders>
            <w:shd w:val="clear" w:color="000000" w:fill="C6E0B4"/>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1 826</w:t>
            </w:r>
          </w:p>
        </w:tc>
        <w:tc>
          <w:tcPr>
            <w:tcW w:w="258" w:type="pct"/>
            <w:tcBorders>
              <w:top w:val="nil"/>
              <w:left w:val="nil"/>
              <w:bottom w:val="single" w:sz="4" w:space="0" w:color="auto"/>
              <w:right w:val="dotted" w:sz="4" w:space="0" w:color="auto"/>
            </w:tcBorders>
            <w:shd w:val="clear" w:color="000000" w:fill="C6E0B4"/>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2 407</w:t>
            </w:r>
          </w:p>
        </w:tc>
        <w:tc>
          <w:tcPr>
            <w:tcW w:w="277" w:type="pct"/>
            <w:tcBorders>
              <w:top w:val="nil"/>
              <w:left w:val="nil"/>
              <w:bottom w:val="single" w:sz="4" w:space="0" w:color="auto"/>
              <w:right w:val="single" w:sz="8" w:space="0" w:color="auto"/>
            </w:tcBorders>
            <w:shd w:val="clear" w:color="000000" w:fill="C6E0B4"/>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(48 %)</w:t>
            </w:r>
          </w:p>
        </w:tc>
        <w:tc>
          <w:tcPr>
            <w:tcW w:w="237" w:type="pct"/>
            <w:tcBorders>
              <w:top w:val="nil"/>
              <w:left w:val="nil"/>
              <w:bottom w:val="single" w:sz="4" w:space="0" w:color="auto"/>
              <w:right w:val="dotted" w:sz="4" w:space="0" w:color="auto"/>
            </w:tcBorders>
            <w:shd w:val="clear" w:color="000000" w:fill="C6E0B4"/>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 </w:t>
            </w:r>
          </w:p>
        </w:tc>
        <w:tc>
          <w:tcPr>
            <w:tcW w:w="237" w:type="pct"/>
            <w:tcBorders>
              <w:top w:val="nil"/>
              <w:left w:val="nil"/>
              <w:bottom w:val="single" w:sz="4" w:space="0" w:color="auto"/>
              <w:right w:val="dotted" w:sz="4" w:space="0" w:color="auto"/>
            </w:tcBorders>
            <w:shd w:val="clear" w:color="000000" w:fill="C6E0B4"/>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 </w:t>
            </w:r>
          </w:p>
        </w:tc>
        <w:tc>
          <w:tcPr>
            <w:tcW w:w="237" w:type="pct"/>
            <w:tcBorders>
              <w:top w:val="nil"/>
              <w:left w:val="nil"/>
              <w:bottom w:val="single" w:sz="4" w:space="0" w:color="auto"/>
              <w:right w:val="dotted" w:sz="4" w:space="0" w:color="auto"/>
            </w:tcBorders>
            <w:shd w:val="clear" w:color="000000" w:fill="C6E0B4"/>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95</w:t>
            </w:r>
          </w:p>
        </w:tc>
        <w:tc>
          <w:tcPr>
            <w:tcW w:w="198" w:type="pct"/>
            <w:tcBorders>
              <w:top w:val="nil"/>
              <w:left w:val="nil"/>
              <w:bottom w:val="single" w:sz="4" w:space="0" w:color="auto"/>
              <w:right w:val="dotted" w:sz="4" w:space="0" w:color="auto"/>
            </w:tcBorders>
            <w:shd w:val="clear" w:color="000000" w:fill="C6E0B4"/>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116</w:t>
            </w:r>
          </w:p>
        </w:tc>
        <w:tc>
          <w:tcPr>
            <w:tcW w:w="277" w:type="pct"/>
            <w:tcBorders>
              <w:top w:val="nil"/>
              <w:left w:val="nil"/>
              <w:bottom w:val="single" w:sz="4" w:space="0" w:color="auto"/>
              <w:right w:val="single" w:sz="8" w:space="0" w:color="auto"/>
            </w:tcBorders>
            <w:shd w:val="clear" w:color="000000" w:fill="C6E0B4"/>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(89 %)</w:t>
            </w:r>
          </w:p>
        </w:tc>
      </w:tr>
      <w:tr w:rsidR="00737A53">
        <w:trPr>
          <w:trHeight w:val="279"/>
        </w:trPr>
        <w:tc>
          <w:tcPr>
            <w:tcW w:w="1202" w:type="pct"/>
            <w:tcBorders>
              <w:top w:val="nil"/>
              <w:left w:val="single" w:sz="8" w:space="0" w:color="auto"/>
              <w:bottom w:val="single" w:sz="4" w:space="0" w:color="auto"/>
              <w:right w:val="nil"/>
            </w:tcBorders>
            <w:shd w:val="clear" w:color="000000" w:fill="FFFFFF"/>
            <w:vAlign w:val="center"/>
            <w:hideMark/>
          </w:tcPr>
          <w:p w:rsidR="00737A53" w:rsidRDefault="0076469E">
            <w:pPr>
              <w:rPr>
                <w:rFonts w:ascii="Times New Roman" w:eastAsia="Times New Roman" w:hAnsi="Times New Roman" w:cs="Times New Roman"/>
                <w:i/>
                <w:iCs/>
                <w:noProof/>
                <w:color w:val="000000"/>
                <w:sz w:val="20"/>
                <w:szCs w:val="20"/>
              </w:rPr>
            </w:pPr>
            <w:r>
              <w:rPr>
                <w:rFonts w:ascii="Times New Roman" w:hAnsi="Times New Roman"/>
                <w:i/>
                <w:iCs/>
                <w:noProof/>
                <w:sz w:val="20"/>
                <w:szCs w:val="20"/>
              </w:rPr>
              <w:t xml:space="preserve"> Objetivo principal</w:t>
            </w:r>
          </w:p>
        </w:tc>
        <w:tc>
          <w:tcPr>
            <w:tcW w:w="257" w:type="pct"/>
            <w:tcBorders>
              <w:top w:val="nil"/>
              <w:left w:val="single" w:sz="8" w:space="0" w:color="auto"/>
              <w:bottom w:val="single" w:sz="4" w:space="0" w:color="auto"/>
              <w:right w:val="dotted" w:sz="4" w:space="0" w:color="auto"/>
            </w:tcBorders>
            <w:shd w:val="clear" w:color="000000" w:fill="FFFFFF"/>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 </w:t>
            </w:r>
          </w:p>
        </w:tc>
        <w:tc>
          <w:tcPr>
            <w:tcW w:w="257" w:type="pct"/>
            <w:tcBorders>
              <w:top w:val="nil"/>
              <w:left w:val="nil"/>
              <w:bottom w:val="single" w:sz="4" w:space="0" w:color="auto"/>
              <w:right w:val="dotted" w:sz="4" w:space="0" w:color="auto"/>
            </w:tcBorders>
            <w:shd w:val="clear" w:color="000000" w:fill="FFFFFF"/>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 </w:t>
            </w:r>
          </w:p>
        </w:tc>
        <w:tc>
          <w:tcPr>
            <w:tcW w:w="257" w:type="pct"/>
            <w:tcBorders>
              <w:top w:val="nil"/>
              <w:left w:val="nil"/>
              <w:bottom w:val="single" w:sz="4" w:space="0" w:color="auto"/>
              <w:right w:val="dotted" w:sz="4"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308</w:t>
            </w:r>
          </w:p>
        </w:tc>
        <w:tc>
          <w:tcPr>
            <w:tcW w:w="258" w:type="pct"/>
            <w:tcBorders>
              <w:top w:val="nil"/>
              <w:left w:val="nil"/>
              <w:bottom w:val="single" w:sz="4" w:space="0" w:color="auto"/>
              <w:right w:val="dotted" w:sz="4"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691</w:t>
            </w:r>
          </w:p>
        </w:tc>
        <w:tc>
          <w:tcPr>
            <w:tcW w:w="277" w:type="pct"/>
            <w:tcBorders>
              <w:top w:val="nil"/>
              <w:left w:val="nil"/>
              <w:bottom w:val="single" w:sz="4" w:space="0" w:color="auto"/>
              <w:right w:val="single" w:sz="8"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(9 %)</w:t>
            </w:r>
          </w:p>
        </w:tc>
        <w:tc>
          <w:tcPr>
            <w:tcW w:w="257" w:type="pct"/>
            <w:tcBorders>
              <w:top w:val="nil"/>
              <w:left w:val="nil"/>
              <w:bottom w:val="single" w:sz="4" w:space="0" w:color="auto"/>
              <w:right w:val="dotted" w:sz="4"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 </w:t>
            </w:r>
          </w:p>
        </w:tc>
        <w:tc>
          <w:tcPr>
            <w:tcW w:w="257" w:type="pct"/>
            <w:tcBorders>
              <w:top w:val="nil"/>
              <w:left w:val="nil"/>
              <w:bottom w:val="single" w:sz="4" w:space="0" w:color="auto"/>
              <w:right w:val="dotted" w:sz="4"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 </w:t>
            </w:r>
          </w:p>
        </w:tc>
        <w:tc>
          <w:tcPr>
            <w:tcW w:w="257" w:type="pct"/>
            <w:tcBorders>
              <w:top w:val="nil"/>
              <w:left w:val="nil"/>
              <w:bottom w:val="single" w:sz="4" w:space="0" w:color="auto"/>
              <w:right w:val="dotted" w:sz="4"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342</w:t>
            </w:r>
          </w:p>
        </w:tc>
        <w:tc>
          <w:tcPr>
            <w:tcW w:w="258" w:type="pct"/>
            <w:tcBorders>
              <w:top w:val="nil"/>
              <w:left w:val="nil"/>
              <w:bottom w:val="single" w:sz="4" w:space="0" w:color="auto"/>
              <w:right w:val="dotted" w:sz="4"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381</w:t>
            </w:r>
          </w:p>
        </w:tc>
        <w:tc>
          <w:tcPr>
            <w:tcW w:w="277" w:type="pct"/>
            <w:tcBorders>
              <w:top w:val="nil"/>
              <w:left w:val="nil"/>
              <w:bottom w:val="single" w:sz="4" w:space="0" w:color="auto"/>
              <w:right w:val="single" w:sz="8"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(8 %)</w:t>
            </w:r>
          </w:p>
        </w:tc>
        <w:tc>
          <w:tcPr>
            <w:tcW w:w="237" w:type="pct"/>
            <w:tcBorders>
              <w:top w:val="nil"/>
              <w:left w:val="nil"/>
              <w:bottom w:val="single" w:sz="4" w:space="0" w:color="auto"/>
              <w:right w:val="dotted" w:sz="4"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 </w:t>
            </w:r>
          </w:p>
        </w:tc>
        <w:tc>
          <w:tcPr>
            <w:tcW w:w="237" w:type="pct"/>
            <w:tcBorders>
              <w:top w:val="nil"/>
              <w:left w:val="nil"/>
              <w:bottom w:val="single" w:sz="4" w:space="0" w:color="auto"/>
              <w:right w:val="dotted" w:sz="4"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 </w:t>
            </w:r>
          </w:p>
        </w:tc>
        <w:tc>
          <w:tcPr>
            <w:tcW w:w="237" w:type="pct"/>
            <w:tcBorders>
              <w:top w:val="nil"/>
              <w:left w:val="nil"/>
              <w:bottom w:val="single" w:sz="4" w:space="0" w:color="auto"/>
              <w:right w:val="dotted" w:sz="4"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67</w:t>
            </w:r>
          </w:p>
        </w:tc>
        <w:tc>
          <w:tcPr>
            <w:tcW w:w="198" w:type="pct"/>
            <w:tcBorders>
              <w:top w:val="nil"/>
              <w:left w:val="nil"/>
              <w:bottom w:val="single" w:sz="4" w:space="0" w:color="auto"/>
              <w:right w:val="dotted" w:sz="4" w:space="0" w:color="auto"/>
            </w:tcBorders>
            <w:shd w:val="clear" w:color="auto" w:fill="auto"/>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93</w:t>
            </w:r>
          </w:p>
        </w:tc>
        <w:tc>
          <w:tcPr>
            <w:tcW w:w="277" w:type="pct"/>
            <w:tcBorders>
              <w:top w:val="nil"/>
              <w:left w:val="nil"/>
              <w:bottom w:val="single" w:sz="4" w:space="0" w:color="auto"/>
              <w:right w:val="single" w:sz="8" w:space="0" w:color="auto"/>
            </w:tcBorders>
            <w:shd w:val="clear" w:color="auto" w:fill="auto"/>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(72 %)</w:t>
            </w:r>
          </w:p>
        </w:tc>
      </w:tr>
      <w:tr w:rsidR="00737A53">
        <w:trPr>
          <w:trHeight w:val="279"/>
        </w:trPr>
        <w:tc>
          <w:tcPr>
            <w:tcW w:w="1202" w:type="pct"/>
            <w:tcBorders>
              <w:top w:val="nil"/>
              <w:left w:val="single" w:sz="8" w:space="0" w:color="auto"/>
              <w:bottom w:val="single" w:sz="4" w:space="0" w:color="auto"/>
              <w:right w:val="nil"/>
            </w:tcBorders>
            <w:shd w:val="clear" w:color="000000" w:fill="FFFFFF"/>
            <w:vAlign w:val="center"/>
            <w:hideMark/>
          </w:tcPr>
          <w:p w:rsidR="00737A53" w:rsidRDefault="0076469E">
            <w:pPr>
              <w:rPr>
                <w:rFonts w:ascii="Times New Roman" w:eastAsia="Times New Roman" w:hAnsi="Times New Roman" w:cs="Times New Roman"/>
                <w:i/>
                <w:iCs/>
                <w:noProof/>
                <w:color w:val="000000"/>
                <w:sz w:val="20"/>
                <w:szCs w:val="20"/>
              </w:rPr>
            </w:pPr>
            <w:r>
              <w:rPr>
                <w:rFonts w:ascii="Times New Roman" w:hAnsi="Times New Roman"/>
                <w:i/>
                <w:iCs/>
                <w:noProof/>
                <w:sz w:val="20"/>
                <w:szCs w:val="20"/>
              </w:rPr>
              <w:t xml:space="preserve"> Objetivo importante</w:t>
            </w:r>
          </w:p>
        </w:tc>
        <w:tc>
          <w:tcPr>
            <w:tcW w:w="257" w:type="pct"/>
            <w:tcBorders>
              <w:top w:val="nil"/>
              <w:left w:val="single" w:sz="8" w:space="0" w:color="auto"/>
              <w:bottom w:val="single" w:sz="4" w:space="0" w:color="auto"/>
              <w:right w:val="dotted" w:sz="4" w:space="0" w:color="auto"/>
            </w:tcBorders>
            <w:shd w:val="clear" w:color="000000" w:fill="FFFFFF"/>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 </w:t>
            </w:r>
          </w:p>
        </w:tc>
        <w:tc>
          <w:tcPr>
            <w:tcW w:w="257" w:type="pct"/>
            <w:tcBorders>
              <w:top w:val="nil"/>
              <w:left w:val="nil"/>
              <w:bottom w:val="single" w:sz="4" w:space="0" w:color="auto"/>
              <w:right w:val="dotted" w:sz="4" w:space="0" w:color="auto"/>
            </w:tcBorders>
            <w:shd w:val="clear" w:color="000000" w:fill="FFFFFF"/>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 </w:t>
            </w:r>
          </w:p>
        </w:tc>
        <w:tc>
          <w:tcPr>
            <w:tcW w:w="257" w:type="pct"/>
            <w:tcBorders>
              <w:top w:val="nil"/>
              <w:left w:val="nil"/>
              <w:bottom w:val="single" w:sz="4" w:space="0" w:color="auto"/>
              <w:right w:val="dotted" w:sz="4"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1 036</w:t>
            </w:r>
          </w:p>
        </w:tc>
        <w:tc>
          <w:tcPr>
            <w:tcW w:w="258" w:type="pct"/>
            <w:tcBorders>
              <w:top w:val="nil"/>
              <w:left w:val="nil"/>
              <w:bottom w:val="single" w:sz="4" w:space="0" w:color="auto"/>
              <w:right w:val="dotted" w:sz="4"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2 285</w:t>
            </w:r>
          </w:p>
        </w:tc>
        <w:tc>
          <w:tcPr>
            <w:tcW w:w="277" w:type="pct"/>
            <w:tcBorders>
              <w:top w:val="nil"/>
              <w:left w:val="nil"/>
              <w:bottom w:val="single" w:sz="4" w:space="0" w:color="auto"/>
              <w:right w:val="single" w:sz="8"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(31 %)</w:t>
            </w:r>
          </w:p>
        </w:tc>
        <w:tc>
          <w:tcPr>
            <w:tcW w:w="257" w:type="pct"/>
            <w:tcBorders>
              <w:top w:val="nil"/>
              <w:left w:val="nil"/>
              <w:bottom w:val="single" w:sz="4" w:space="0" w:color="auto"/>
              <w:right w:val="dotted" w:sz="4"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 </w:t>
            </w:r>
          </w:p>
        </w:tc>
        <w:tc>
          <w:tcPr>
            <w:tcW w:w="257" w:type="pct"/>
            <w:tcBorders>
              <w:top w:val="nil"/>
              <w:left w:val="nil"/>
              <w:bottom w:val="single" w:sz="4" w:space="0" w:color="auto"/>
              <w:right w:val="dotted" w:sz="4"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 </w:t>
            </w:r>
          </w:p>
        </w:tc>
        <w:tc>
          <w:tcPr>
            <w:tcW w:w="257" w:type="pct"/>
            <w:tcBorders>
              <w:top w:val="nil"/>
              <w:left w:val="nil"/>
              <w:bottom w:val="single" w:sz="4" w:space="0" w:color="auto"/>
              <w:right w:val="dotted" w:sz="4"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1 484</w:t>
            </w:r>
          </w:p>
        </w:tc>
        <w:tc>
          <w:tcPr>
            <w:tcW w:w="258" w:type="pct"/>
            <w:tcBorders>
              <w:top w:val="nil"/>
              <w:left w:val="nil"/>
              <w:bottom w:val="single" w:sz="4" w:space="0" w:color="auto"/>
              <w:right w:val="dotted" w:sz="4"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2 026</w:t>
            </w:r>
          </w:p>
        </w:tc>
        <w:tc>
          <w:tcPr>
            <w:tcW w:w="277" w:type="pct"/>
            <w:tcBorders>
              <w:top w:val="nil"/>
              <w:left w:val="nil"/>
              <w:bottom w:val="single" w:sz="4" w:space="0" w:color="auto"/>
              <w:right w:val="single" w:sz="8"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(40 %)</w:t>
            </w:r>
          </w:p>
        </w:tc>
        <w:tc>
          <w:tcPr>
            <w:tcW w:w="237" w:type="pct"/>
            <w:tcBorders>
              <w:top w:val="nil"/>
              <w:left w:val="nil"/>
              <w:bottom w:val="single" w:sz="4" w:space="0" w:color="auto"/>
              <w:right w:val="dotted" w:sz="4"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 </w:t>
            </w:r>
          </w:p>
        </w:tc>
        <w:tc>
          <w:tcPr>
            <w:tcW w:w="237" w:type="pct"/>
            <w:tcBorders>
              <w:top w:val="nil"/>
              <w:left w:val="nil"/>
              <w:bottom w:val="single" w:sz="4" w:space="0" w:color="auto"/>
              <w:right w:val="dotted" w:sz="4"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 </w:t>
            </w:r>
          </w:p>
        </w:tc>
        <w:tc>
          <w:tcPr>
            <w:tcW w:w="237" w:type="pct"/>
            <w:tcBorders>
              <w:top w:val="nil"/>
              <w:left w:val="nil"/>
              <w:bottom w:val="single" w:sz="4" w:space="0" w:color="auto"/>
              <w:right w:val="dotted" w:sz="4"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91</w:t>
            </w:r>
          </w:p>
        </w:tc>
        <w:tc>
          <w:tcPr>
            <w:tcW w:w="198" w:type="pct"/>
            <w:tcBorders>
              <w:top w:val="nil"/>
              <w:left w:val="nil"/>
              <w:bottom w:val="single" w:sz="4" w:space="0" w:color="auto"/>
              <w:right w:val="dotted" w:sz="4" w:space="0" w:color="auto"/>
            </w:tcBorders>
            <w:shd w:val="clear" w:color="auto" w:fill="auto"/>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100</w:t>
            </w:r>
          </w:p>
        </w:tc>
        <w:tc>
          <w:tcPr>
            <w:tcW w:w="277" w:type="pct"/>
            <w:tcBorders>
              <w:top w:val="nil"/>
              <w:left w:val="nil"/>
              <w:bottom w:val="single" w:sz="4" w:space="0" w:color="auto"/>
              <w:right w:val="single" w:sz="8" w:space="0" w:color="auto"/>
            </w:tcBorders>
            <w:shd w:val="clear" w:color="auto" w:fill="auto"/>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(77 %)</w:t>
            </w:r>
          </w:p>
        </w:tc>
      </w:tr>
      <w:tr w:rsidR="00737A53">
        <w:trPr>
          <w:trHeight w:val="279"/>
        </w:trPr>
        <w:tc>
          <w:tcPr>
            <w:tcW w:w="1202" w:type="pct"/>
            <w:tcBorders>
              <w:top w:val="nil"/>
              <w:left w:val="single" w:sz="8" w:space="0" w:color="auto"/>
              <w:bottom w:val="single" w:sz="4" w:space="0" w:color="auto"/>
              <w:right w:val="nil"/>
            </w:tcBorders>
            <w:shd w:val="clear" w:color="000000" w:fill="C6E0B4"/>
            <w:vAlign w:val="center"/>
            <w:hideMark/>
          </w:tcPr>
          <w:p w:rsidR="00737A53" w:rsidRDefault="0076469E">
            <w:pPr>
              <w:rPr>
                <w:rFonts w:ascii="Times New Roman" w:eastAsia="Times New Roman" w:hAnsi="Times New Roman" w:cs="Times New Roman"/>
                <w:noProof/>
                <w:color w:val="000000"/>
                <w:sz w:val="20"/>
                <w:szCs w:val="20"/>
              </w:rPr>
            </w:pPr>
            <w:r>
              <w:rPr>
                <w:rFonts w:ascii="Times New Roman" w:hAnsi="Times New Roman"/>
                <w:noProof/>
                <w:sz w:val="20"/>
                <w:szCs w:val="20"/>
              </w:rPr>
              <w:t>Programas de atenuação das alterações climáticas</w:t>
            </w:r>
          </w:p>
        </w:tc>
        <w:tc>
          <w:tcPr>
            <w:tcW w:w="257" w:type="pct"/>
            <w:tcBorders>
              <w:top w:val="nil"/>
              <w:left w:val="single" w:sz="8" w:space="0" w:color="auto"/>
              <w:bottom w:val="single" w:sz="4" w:space="0" w:color="auto"/>
              <w:right w:val="dotted" w:sz="4" w:space="0" w:color="auto"/>
            </w:tcBorders>
            <w:shd w:val="clear" w:color="000000" w:fill="C6E0B4"/>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 </w:t>
            </w:r>
          </w:p>
        </w:tc>
        <w:tc>
          <w:tcPr>
            <w:tcW w:w="257" w:type="pct"/>
            <w:tcBorders>
              <w:top w:val="nil"/>
              <w:left w:val="nil"/>
              <w:bottom w:val="single" w:sz="4" w:space="0" w:color="auto"/>
              <w:right w:val="dotted" w:sz="4" w:space="0" w:color="auto"/>
            </w:tcBorders>
            <w:shd w:val="clear" w:color="000000" w:fill="C6E0B4"/>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 </w:t>
            </w:r>
          </w:p>
        </w:tc>
        <w:tc>
          <w:tcPr>
            <w:tcW w:w="257" w:type="pct"/>
            <w:tcBorders>
              <w:top w:val="nil"/>
              <w:left w:val="nil"/>
              <w:bottom w:val="single" w:sz="4" w:space="0" w:color="auto"/>
              <w:right w:val="dotted" w:sz="4" w:space="0" w:color="auto"/>
            </w:tcBorders>
            <w:shd w:val="clear" w:color="000000" w:fill="C6E0B4"/>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598</w:t>
            </w:r>
          </w:p>
        </w:tc>
        <w:tc>
          <w:tcPr>
            <w:tcW w:w="258" w:type="pct"/>
            <w:tcBorders>
              <w:top w:val="nil"/>
              <w:left w:val="nil"/>
              <w:bottom w:val="single" w:sz="4" w:space="0" w:color="auto"/>
              <w:right w:val="dotted" w:sz="4" w:space="0" w:color="auto"/>
            </w:tcBorders>
            <w:shd w:val="clear" w:color="000000" w:fill="C6E0B4"/>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1 315</w:t>
            </w:r>
          </w:p>
        </w:tc>
        <w:tc>
          <w:tcPr>
            <w:tcW w:w="277" w:type="pct"/>
            <w:tcBorders>
              <w:top w:val="nil"/>
              <w:left w:val="nil"/>
              <w:bottom w:val="single" w:sz="4" w:space="0" w:color="auto"/>
              <w:right w:val="single" w:sz="8" w:space="0" w:color="auto"/>
            </w:tcBorders>
            <w:shd w:val="clear" w:color="000000" w:fill="C6E0B4"/>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(18 %)</w:t>
            </w:r>
          </w:p>
        </w:tc>
        <w:tc>
          <w:tcPr>
            <w:tcW w:w="257" w:type="pct"/>
            <w:tcBorders>
              <w:top w:val="nil"/>
              <w:left w:val="nil"/>
              <w:bottom w:val="single" w:sz="4" w:space="0" w:color="auto"/>
              <w:right w:val="dotted" w:sz="4" w:space="0" w:color="auto"/>
            </w:tcBorders>
            <w:shd w:val="clear" w:color="000000" w:fill="C6E0B4"/>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 </w:t>
            </w:r>
          </w:p>
        </w:tc>
        <w:tc>
          <w:tcPr>
            <w:tcW w:w="257" w:type="pct"/>
            <w:tcBorders>
              <w:top w:val="nil"/>
              <w:left w:val="nil"/>
              <w:bottom w:val="single" w:sz="4" w:space="0" w:color="auto"/>
              <w:right w:val="dotted" w:sz="4" w:space="0" w:color="auto"/>
            </w:tcBorders>
            <w:shd w:val="clear" w:color="000000" w:fill="C6E0B4"/>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 </w:t>
            </w:r>
          </w:p>
        </w:tc>
        <w:tc>
          <w:tcPr>
            <w:tcW w:w="257" w:type="pct"/>
            <w:tcBorders>
              <w:top w:val="nil"/>
              <w:left w:val="nil"/>
              <w:bottom w:val="single" w:sz="4" w:space="0" w:color="auto"/>
              <w:right w:val="dotted" w:sz="4" w:space="0" w:color="auto"/>
            </w:tcBorders>
            <w:shd w:val="clear" w:color="000000" w:fill="C6E0B4"/>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693</w:t>
            </w:r>
          </w:p>
        </w:tc>
        <w:tc>
          <w:tcPr>
            <w:tcW w:w="258" w:type="pct"/>
            <w:tcBorders>
              <w:top w:val="nil"/>
              <w:left w:val="nil"/>
              <w:bottom w:val="single" w:sz="4" w:space="0" w:color="auto"/>
              <w:right w:val="dotted" w:sz="4" w:space="0" w:color="auto"/>
            </w:tcBorders>
            <w:shd w:val="clear" w:color="000000" w:fill="C6E0B4"/>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946</w:t>
            </w:r>
          </w:p>
        </w:tc>
        <w:tc>
          <w:tcPr>
            <w:tcW w:w="277" w:type="pct"/>
            <w:tcBorders>
              <w:top w:val="nil"/>
              <w:left w:val="nil"/>
              <w:bottom w:val="single" w:sz="4" w:space="0" w:color="auto"/>
              <w:right w:val="single" w:sz="8" w:space="0" w:color="auto"/>
            </w:tcBorders>
            <w:shd w:val="clear" w:color="000000" w:fill="C6E0B4"/>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(19 %)</w:t>
            </w:r>
          </w:p>
        </w:tc>
        <w:tc>
          <w:tcPr>
            <w:tcW w:w="237" w:type="pct"/>
            <w:tcBorders>
              <w:top w:val="nil"/>
              <w:left w:val="nil"/>
              <w:bottom w:val="single" w:sz="4" w:space="0" w:color="auto"/>
              <w:right w:val="dotted" w:sz="4" w:space="0" w:color="auto"/>
            </w:tcBorders>
            <w:shd w:val="clear" w:color="000000" w:fill="C6E0B4"/>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 </w:t>
            </w:r>
          </w:p>
        </w:tc>
        <w:tc>
          <w:tcPr>
            <w:tcW w:w="237" w:type="pct"/>
            <w:tcBorders>
              <w:top w:val="nil"/>
              <w:left w:val="nil"/>
              <w:bottom w:val="single" w:sz="4" w:space="0" w:color="auto"/>
              <w:right w:val="dotted" w:sz="4" w:space="0" w:color="auto"/>
            </w:tcBorders>
            <w:shd w:val="clear" w:color="000000" w:fill="C6E0B4"/>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 </w:t>
            </w:r>
          </w:p>
        </w:tc>
        <w:tc>
          <w:tcPr>
            <w:tcW w:w="237" w:type="pct"/>
            <w:tcBorders>
              <w:top w:val="nil"/>
              <w:left w:val="nil"/>
              <w:bottom w:val="single" w:sz="4" w:space="0" w:color="auto"/>
              <w:right w:val="dotted" w:sz="4" w:space="0" w:color="auto"/>
            </w:tcBorders>
            <w:shd w:val="clear" w:color="000000" w:fill="C6E0B4"/>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89</w:t>
            </w:r>
          </w:p>
        </w:tc>
        <w:tc>
          <w:tcPr>
            <w:tcW w:w="198" w:type="pct"/>
            <w:tcBorders>
              <w:top w:val="nil"/>
              <w:left w:val="nil"/>
              <w:bottom w:val="single" w:sz="4" w:space="0" w:color="auto"/>
              <w:right w:val="dotted" w:sz="4" w:space="0" w:color="auto"/>
            </w:tcBorders>
            <w:shd w:val="clear" w:color="000000" w:fill="C6E0B4"/>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108</w:t>
            </w:r>
          </w:p>
        </w:tc>
        <w:tc>
          <w:tcPr>
            <w:tcW w:w="277" w:type="pct"/>
            <w:tcBorders>
              <w:top w:val="nil"/>
              <w:left w:val="nil"/>
              <w:bottom w:val="single" w:sz="4" w:space="0" w:color="auto"/>
              <w:right w:val="single" w:sz="8" w:space="0" w:color="auto"/>
            </w:tcBorders>
            <w:shd w:val="clear" w:color="000000" w:fill="C6E0B4"/>
            <w:noWrap/>
            <w:vAlign w:val="center"/>
            <w:hideMark/>
          </w:tcPr>
          <w:p w:rsidR="00737A53" w:rsidRDefault="0076469E">
            <w:pPr>
              <w:jc w:val="right"/>
              <w:rPr>
                <w:rFonts w:ascii="Times New Roman" w:eastAsia="Times New Roman" w:hAnsi="Times New Roman" w:cs="Times New Roman"/>
                <w:noProof/>
                <w:color w:val="000000"/>
                <w:sz w:val="20"/>
                <w:szCs w:val="20"/>
              </w:rPr>
            </w:pPr>
            <w:r>
              <w:rPr>
                <w:rFonts w:ascii="Times New Roman" w:hAnsi="Times New Roman"/>
                <w:noProof/>
                <w:sz w:val="20"/>
                <w:szCs w:val="20"/>
              </w:rPr>
              <w:t>(83 %)</w:t>
            </w:r>
          </w:p>
        </w:tc>
      </w:tr>
      <w:tr w:rsidR="00737A53">
        <w:trPr>
          <w:trHeight w:val="279"/>
        </w:trPr>
        <w:tc>
          <w:tcPr>
            <w:tcW w:w="1202" w:type="pct"/>
            <w:tcBorders>
              <w:top w:val="nil"/>
              <w:left w:val="single" w:sz="8" w:space="0" w:color="auto"/>
              <w:bottom w:val="single" w:sz="4" w:space="0" w:color="auto"/>
              <w:right w:val="nil"/>
            </w:tcBorders>
            <w:shd w:val="clear" w:color="000000" w:fill="FFFFFF"/>
            <w:vAlign w:val="center"/>
            <w:hideMark/>
          </w:tcPr>
          <w:p w:rsidR="00737A53" w:rsidRDefault="0076469E">
            <w:pPr>
              <w:rPr>
                <w:rFonts w:ascii="Times New Roman" w:eastAsia="Times New Roman" w:hAnsi="Times New Roman" w:cs="Times New Roman"/>
                <w:i/>
                <w:iCs/>
                <w:noProof/>
                <w:color w:val="000000"/>
                <w:sz w:val="20"/>
                <w:szCs w:val="20"/>
              </w:rPr>
            </w:pPr>
            <w:r>
              <w:rPr>
                <w:rFonts w:ascii="Times New Roman" w:hAnsi="Times New Roman"/>
                <w:i/>
                <w:iCs/>
                <w:noProof/>
                <w:sz w:val="20"/>
                <w:szCs w:val="20"/>
              </w:rPr>
              <w:t xml:space="preserve"> Objetivo principal</w:t>
            </w:r>
          </w:p>
        </w:tc>
        <w:tc>
          <w:tcPr>
            <w:tcW w:w="257" w:type="pct"/>
            <w:tcBorders>
              <w:top w:val="nil"/>
              <w:left w:val="single" w:sz="8" w:space="0" w:color="auto"/>
              <w:bottom w:val="single" w:sz="4" w:space="0" w:color="auto"/>
              <w:right w:val="dotted" w:sz="4" w:space="0" w:color="auto"/>
            </w:tcBorders>
            <w:shd w:val="clear" w:color="000000" w:fill="FFFFFF"/>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 </w:t>
            </w:r>
          </w:p>
        </w:tc>
        <w:tc>
          <w:tcPr>
            <w:tcW w:w="257" w:type="pct"/>
            <w:tcBorders>
              <w:top w:val="nil"/>
              <w:left w:val="nil"/>
              <w:bottom w:val="single" w:sz="4" w:space="0" w:color="auto"/>
              <w:right w:val="dotted" w:sz="4" w:space="0" w:color="auto"/>
            </w:tcBorders>
            <w:shd w:val="clear" w:color="000000" w:fill="FFFFFF"/>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 </w:t>
            </w:r>
          </w:p>
        </w:tc>
        <w:tc>
          <w:tcPr>
            <w:tcW w:w="257" w:type="pct"/>
            <w:tcBorders>
              <w:top w:val="nil"/>
              <w:left w:val="nil"/>
              <w:bottom w:val="single" w:sz="4" w:space="0" w:color="auto"/>
              <w:right w:val="dotted" w:sz="4"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82</w:t>
            </w:r>
          </w:p>
        </w:tc>
        <w:tc>
          <w:tcPr>
            <w:tcW w:w="258" w:type="pct"/>
            <w:tcBorders>
              <w:top w:val="nil"/>
              <w:left w:val="nil"/>
              <w:bottom w:val="single" w:sz="4" w:space="0" w:color="auto"/>
              <w:right w:val="dotted" w:sz="4"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192</w:t>
            </w:r>
          </w:p>
        </w:tc>
        <w:tc>
          <w:tcPr>
            <w:tcW w:w="277" w:type="pct"/>
            <w:tcBorders>
              <w:top w:val="nil"/>
              <w:left w:val="nil"/>
              <w:bottom w:val="single" w:sz="4" w:space="0" w:color="auto"/>
              <w:right w:val="single" w:sz="8"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(3 %)</w:t>
            </w:r>
          </w:p>
        </w:tc>
        <w:tc>
          <w:tcPr>
            <w:tcW w:w="257" w:type="pct"/>
            <w:tcBorders>
              <w:top w:val="nil"/>
              <w:left w:val="nil"/>
              <w:bottom w:val="single" w:sz="4" w:space="0" w:color="auto"/>
              <w:right w:val="dotted" w:sz="4"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 </w:t>
            </w:r>
          </w:p>
        </w:tc>
        <w:tc>
          <w:tcPr>
            <w:tcW w:w="257" w:type="pct"/>
            <w:tcBorders>
              <w:top w:val="nil"/>
              <w:left w:val="nil"/>
              <w:bottom w:val="single" w:sz="4" w:space="0" w:color="auto"/>
              <w:right w:val="dotted" w:sz="4"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 </w:t>
            </w:r>
          </w:p>
        </w:tc>
        <w:tc>
          <w:tcPr>
            <w:tcW w:w="257" w:type="pct"/>
            <w:tcBorders>
              <w:top w:val="nil"/>
              <w:left w:val="nil"/>
              <w:bottom w:val="single" w:sz="4" w:space="0" w:color="auto"/>
              <w:right w:val="dotted" w:sz="4"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75</w:t>
            </w:r>
          </w:p>
        </w:tc>
        <w:tc>
          <w:tcPr>
            <w:tcW w:w="258" w:type="pct"/>
            <w:tcBorders>
              <w:top w:val="nil"/>
              <w:left w:val="nil"/>
              <w:bottom w:val="single" w:sz="4" w:space="0" w:color="auto"/>
              <w:right w:val="dotted" w:sz="4"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85</w:t>
            </w:r>
          </w:p>
        </w:tc>
        <w:tc>
          <w:tcPr>
            <w:tcW w:w="277" w:type="pct"/>
            <w:tcBorders>
              <w:top w:val="nil"/>
              <w:left w:val="nil"/>
              <w:bottom w:val="single" w:sz="4" w:space="0" w:color="auto"/>
              <w:right w:val="single" w:sz="8"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(2 %)</w:t>
            </w:r>
          </w:p>
        </w:tc>
        <w:tc>
          <w:tcPr>
            <w:tcW w:w="237" w:type="pct"/>
            <w:tcBorders>
              <w:top w:val="nil"/>
              <w:left w:val="nil"/>
              <w:bottom w:val="single" w:sz="4" w:space="0" w:color="auto"/>
              <w:right w:val="dotted" w:sz="4"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 </w:t>
            </w:r>
          </w:p>
        </w:tc>
        <w:tc>
          <w:tcPr>
            <w:tcW w:w="237" w:type="pct"/>
            <w:tcBorders>
              <w:top w:val="nil"/>
              <w:left w:val="nil"/>
              <w:bottom w:val="single" w:sz="4" w:space="0" w:color="auto"/>
              <w:right w:val="dotted" w:sz="4"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 </w:t>
            </w:r>
          </w:p>
        </w:tc>
        <w:tc>
          <w:tcPr>
            <w:tcW w:w="237" w:type="pct"/>
            <w:tcBorders>
              <w:top w:val="nil"/>
              <w:left w:val="nil"/>
              <w:bottom w:val="single" w:sz="4" w:space="0" w:color="auto"/>
              <w:right w:val="dotted" w:sz="4"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40</w:t>
            </w:r>
          </w:p>
        </w:tc>
        <w:tc>
          <w:tcPr>
            <w:tcW w:w="198" w:type="pct"/>
            <w:tcBorders>
              <w:top w:val="nil"/>
              <w:left w:val="nil"/>
              <w:bottom w:val="single" w:sz="4" w:space="0" w:color="auto"/>
              <w:right w:val="dotted" w:sz="4" w:space="0" w:color="auto"/>
            </w:tcBorders>
            <w:shd w:val="clear" w:color="auto" w:fill="auto"/>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56</w:t>
            </w:r>
          </w:p>
        </w:tc>
        <w:tc>
          <w:tcPr>
            <w:tcW w:w="277" w:type="pct"/>
            <w:tcBorders>
              <w:top w:val="nil"/>
              <w:left w:val="nil"/>
              <w:bottom w:val="single" w:sz="4" w:space="0" w:color="auto"/>
              <w:right w:val="single" w:sz="8" w:space="0" w:color="auto"/>
            </w:tcBorders>
            <w:shd w:val="clear" w:color="auto" w:fill="auto"/>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(43 %)</w:t>
            </w:r>
          </w:p>
        </w:tc>
      </w:tr>
      <w:tr w:rsidR="00737A53">
        <w:trPr>
          <w:trHeight w:val="279"/>
        </w:trPr>
        <w:tc>
          <w:tcPr>
            <w:tcW w:w="1202" w:type="pct"/>
            <w:tcBorders>
              <w:top w:val="nil"/>
              <w:left w:val="single" w:sz="8" w:space="0" w:color="auto"/>
              <w:bottom w:val="single" w:sz="4" w:space="0" w:color="auto"/>
              <w:right w:val="nil"/>
            </w:tcBorders>
            <w:shd w:val="clear" w:color="000000" w:fill="FFFFFF"/>
            <w:vAlign w:val="center"/>
            <w:hideMark/>
          </w:tcPr>
          <w:p w:rsidR="00737A53" w:rsidRDefault="0076469E">
            <w:pPr>
              <w:rPr>
                <w:rFonts w:ascii="Times New Roman" w:eastAsia="Times New Roman" w:hAnsi="Times New Roman" w:cs="Times New Roman"/>
                <w:i/>
                <w:iCs/>
                <w:noProof/>
                <w:color w:val="000000"/>
                <w:sz w:val="20"/>
                <w:szCs w:val="20"/>
              </w:rPr>
            </w:pPr>
            <w:r>
              <w:rPr>
                <w:rFonts w:ascii="Times New Roman" w:hAnsi="Times New Roman"/>
                <w:i/>
                <w:iCs/>
                <w:noProof/>
                <w:sz w:val="20"/>
                <w:szCs w:val="20"/>
              </w:rPr>
              <w:t xml:space="preserve"> Objetivo importante</w:t>
            </w:r>
          </w:p>
        </w:tc>
        <w:tc>
          <w:tcPr>
            <w:tcW w:w="257" w:type="pct"/>
            <w:tcBorders>
              <w:top w:val="nil"/>
              <w:left w:val="single" w:sz="8" w:space="0" w:color="auto"/>
              <w:bottom w:val="single" w:sz="4" w:space="0" w:color="auto"/>
              <w:right w:val="dotted" w:sz="4" w:space="0" w:color="auto"/>
            </w:tcBorders>
            <w:shd w:val="clear" w:color="000000" w:fill="FFFFFF"/>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 </w:t>
            </w:r>
          </w:p>
        </w:tc>
        <w:tc>
          <w:tcPr>
            <w:tcW w:w="257" w:type="pct"/>
            <w:tcBorders>
              <w:top w:val="nil"/>
              <w:left w:val="nil"/>
              <w:bottom w:val="single" w:sz="4" w:space="0" w:color="auto"/>
              <w:right w:val="dotted" w:sz="4" w:space="0" w:color="auto"/>
            </w:tcBorders>
            <w:shd w:val="clear" w:color="000000" w:fill="FFFFFF"/>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 </w:t>
            </w:r>
          </w:p>
        </w:tc>
        <w:tc>
          <w:tcPr>
            <w:tcW w:w="257" w:type="pct"/>
            <w:tcBorders>
              <w:top w:val="nil"/>
              <w:left w:val="nil"/>
              <w:bottom w:val="single" w:sz="4" w:space="0" w:color="auto"/>
              <w:right w:val="dotted" w:sz="4"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516</w:t>
            </w:r>
          </w:p>
        </w:tc>
        <w:tc>
          <w:tcPr>
            <w:tcW w:w="258" w:type="pct"/>
            <w:tcBorders>
              <w:top w:val="nil"/>
              <w:left w:val="nil"/>
              <w:bottom w:val="single" w:sz="4" w:space="0" w:color="auto"/>
              <w:right w:val="dotted" w:sz="4"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1123</w:t>
            </w:r>
          </w:p>
        </w:tc>
        <w:tc>
          <w:tcPr>
            <w:tcW w:w="277" w:type="pct"/>
            <w:tcBorders>
              <w:top w:val="nil"/>
              <w:left w:val="nil"/>
              <w:bottom w:val="single" w:sz="4" w:space="0" w:color="auto"/>
              <w:right w:val="single" w:sz="8"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(15 %)</w:t>
            </w:r>
          </w:p>
        </w:tc>
        <w:tc>
          <w:tcPr>
            <w:tcW w:w="257" w:type="pct"/>
            <w:tcBorders>
              <w:top w:val="nil"/>
              <w:left w:val="nil"/>
              <w:bottom w:val="single" w:sz="4" w:space="0" w:color="auto"/>
              <w:right w:val="dotted" w:sz="4"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 </w:t>
            </w:r>
          </w:p>
        </w:tc>
        <w:tc>
          <w:tcPr>
            <w:tcW w:w="257" w:type="pct"/>
            <w:tcBorders>
              <w:top w:val="nil"/>
              <w:left w:val="nil"/>
              <w:bottom w:val="single" w:sz="4" w:space="0" w:color="auto"/>
              <w:right w:val="dotted" w:sz="4"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 </w:t>
            </w:r>
          </w:p>
        </w:tc>
        <w:tc>
          <w:tcPr>
            <w:tcW w:w="257" w:type="pct"/>
            <w:tcBorders>
              <w:top w:val="nil"/>
              <w:left w:val="nil"/>
              <w:bottom w:val="single" w:sz="4" w:space="0" w:color="auto"/>
              <w:right w:val="dotted" w:sz="4"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618</w:t>
            </w:r>
          </w:p>
        </w:tc>
        <w:tc>
          <w:tcPr>
            <w:tcW w:w="258" w:type="pct"/>
            <w:tcBorders>
              <w:top w:val="nil"/>
              <w:left w:val="nil"/>
              <w:bottom w:val="single" w:sz="4" w:space="0" w:color="auto"/>
              <w:right w:val="dotted" w:sz="4"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861</w:t>
            </w:r>
          </w:p>
        </w:tc>
        <w:tc>
          <w:tcPr>
            <w:tcW w:w="277" w:type="pct"/>
            <w:tcBorders>
              <w:top w:val="nil"/>
              <w:left w:val="nil"/>
              <w:bottom w:val="single" w:sz="4" w:space="0" w:color="auto"/>
              <w:right w:val="single" w:sz="8"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(17 %)</w:t>
            </w:r>
          </w:p>
        </w:tc>
        <w:tc>
          <w:tcPr>
            <w:tcW w:w="237" w:type="pct"/>
            <w:tcBorders>
              <w:top w:val="nil"/>
              <w:left w:val="nil"/>
              <w:bottom w:val="single" w:sz="4" w:space="0" w:color="auto"/>
              <w:right w:val="dotted" w:sz="4"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 </w:t>
            </w:r>
          </w:p>
        </w:tc>
        <w:tc>
          <w:tcPr>
            <w:tcW w:w="237" w:type="pct"/>
            <w:tcBorders>
              <w:top w:val="nil"/>
              <w:left w:val="nil"/>
              <w:bottom w:val="single" w:sz="4" w:space="0" w:color="auto"/>
              <w:right w:val="dotted" w:sz="4"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 </w:t>
            </w:r>
          </w:p>
        </w:tc>
        <w:tc>
          <w:tcPr>
            <w:tcW w:w="237" w:type="pct"/>
            <w:tcBorders>
              <w:top w:val="nil"/>
              <w:left w:val="nil"/>
              <w:bottom w:val="single" w:sz="4" w:space="0" w:color="auto"/>
              <w:right w:val="dotted" w:sz="4" w:space="0" w:color="auto"/>
            </w:tcBorders>
            <w:shd w:val="clear" w:color="000000" w:fill="FFFFFF"/>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86</w:t>
            </w:r>
          </w:p>
        </w:tc>
        <w:tc>
          <w:tcPr>
            <w:tcW w:w="198" w:type="pct"/>
            <w:tcBorders>
              <w:top w:val="nil"/>
              <w:left w:val="nil"/>
              <w:bottom w:val="single" w:sz="4" w:space="0" w:color="auto"/>
              <w:right w:val="dotted" w:sz="4" w:space="0" w:color="auto"/>
            </w:tcBorders>
            <w:shd w:val="clear" w:color="auto" w:fill="auto"/>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105</w:t>
            </w:r>
          </w:p>
        </w:tc>
        <w:tc>
          <w:tcPr>
            <w:tcW w:w="277" w:type="pct"/>
            <w:tcBorders>
              <w:top w:val="nil"/>
              <w:left w:val="nil"/>
              <w:bottom w:val="single" w:sz="4" w:space="0" w:color="auto"/>
              <w:right w:val="single" w:sz="8" w:space="0" w:color="auto"/>
            </w:tcBorders>
            <w:shd w:val="clear" w:color="auto" w:fill="auto"/>
            <w:noWrap/>
            <w:vAlign w:val="center"/>
            <w:hideMark/>
          </w:tcPr>
          <w:p w:rsidR="00737A53" w:rsidRDefault="0076469E">
            <w:pPr>
              <w:jc w:val="right"/>
              <w:rPr>
                <w:rFonts w:ascii="Times New Roman" w:eastAsia="Times New Roman" w:hAnsi="Times New Roman" w:cs="Times New Roman"/>
                <w:i/>
                <w:iCs/>
                <w:noProof/>
                <w:color w:val="000000"/>
                <w:sz w:val="20"/>
                <w:szCs w:val="20"/>
              </w:rPr>
            </w:pPr>
            <w:r>
              <w:rPr>
                <w:rFonts w:ascii="Times New Roman" w:hAnsi="Times New Roman"/>
                <w:i/>
                <w:iCs/>
                <w:noProof/>
                <w:sz w:val="20"/>
                <w:szCs w:val="20"/>
              </w:rPr>
              <w:t>(81 %)</w:t>
            </w:r>
          </w:p>
        </w:tc>
      </w:tr>
    </w:tbl>
    <w:p w:rsidR="00737A53" w:rsidRDefault="00737A53">
      <w:pPr>
        <w:spacing w:after="120"/>
        <w:jc w:val="center"/>
        <w:rPr>
          <w:rFonts w:ascii="Times New Roman" w:hAnsi="Times New Roman" w:cs="Times New Roman"/>
          <w:noProof/>
        </w:rPr>
      </w:pPr>
    </w:p>
    <w:p w:rsidR="00737A53" w:rsidRDefault="00737A53">
      <w:pPr>
        <w:spacing w:after="120"/>
        <w:rPr>
          <w:rFonts w:ascii="Times New Roman" w:hAnsi="Times New Roman" w:cs="Times New Roman"/>
          <w:b/>
          <w:noProof/>
        </w:rPr>
        <w:sectPr w:rsidR="00737A53">
          <w:headerReference w:type="even" r:id="rId24"/>
          <w:headerReference w:type="default" r:id="rId25"/>
          <w:footerReference w:type="even" r:id="rId26"/>
          <w:footerReference w:type="default" r:id="rId27"/>
          <w:headerReference w:type="first" r:id="rId28"/>
          <w:footerReference w:type="first" r:id="rId29"/>
          <w:pgSz w:w="16840" w:h="11900" w:orient="landscape"/>
          <w:pgMar w:top="1440" w:right="1440" w:bottom="1440" w:left="1440" w:header="709" w:footer="709" w:gutter="0"/>
          <w:cols w:space="708"/>
          <w:docGrid w:linePitch="360"/>
        </w:sectPr>
      </w:pPr>
    </w:p>
    <w:p w:rsidR="00737A53" w:rsidRDefault="0076469E">
      <w:pPr>
        <w:keepNext/>
        <w:keepLines/>
        <w:spacing w:after="120"/>
        <w:jc w:val="both"/>
        <w:outlineLvl w:val="0"/>
        <w:rPr>
          <w:rFonts w:ascii="Times New Roman" w:hAnsi="Times New Roman" w:cs="Times New Roman"/>
          <w:b/>
          <w:noProof/>
        </w:rPr>
      </w:pPr>
      <w:r>
        <w:rPr>
          <w:rFonts w:ascii="Times New Roman" w:hAnsi="Times New Roman"/>
          <w:b/>
          <w:noProof/>
        </w:rPr>
        <w:t xml:space="preserve">Progressos realizados em matéria de prioridades estratégicas </w:t>
      </w:r>
    </w:p>
    <w:p w:rsidR="00737A53" w:rsidRDefault="0076469E">
      <w:pPr>
        <w:spacing w:after="120"/>
        <w:jc w:val="both"/>
        <w:rPr>
          <w:rFonts w:ascii="Times New Roman" w:hAnsi="Times New Roman" w:cs="Times New Roman"/>
          <w:noProof/>
        </w:rPr>
      </w:pPr>
      <w:r>
        <w:rPr>
          <w:rFonts w:ascii="Times New Roman" w:hAnsi="Times New Roman"/>
          <w:noProof/>
        </w:rPr>
        <w:t xml:space="preserve">Esta secção </w:t>
      </w:r>
      <w:r>
        <w:rPr>
          <w:rFonts w:ascii="Times New Roman" w:hAnsi="Times New Roman"/>
          <w:noProof/>
          <w:color w:val="000000" w:themeColor="text1"/>
        </w:rPr>
        <w:t>apresenta</w:t>
      </w:r>
      <w:r>
        <w:rPr>
          <w:rFonts w:ascii="Times New Roman" w:hAnsi="Times New Roman"/>
          <w:noProof/>
        </w:rPr>
        <w:t xml:space="preserve"> uma visão geral das atividades realizadas para apoiar as seis prioridades estratégicas em matéria de segurança alimen</w:t>
      </w:r>
      <w:r>
        <w:rPr>
          <w:rFonts w:ascii="Times New Roman" w:hAnsi="Times New Roman"/>
          <w:noProof/>
        </w:rPr>
        <w:t>tar e nutricional. Para informações mais detalhadas e exemplos específicos, consultar o documento de trabalho dos serviços da Comissão que acompanha o relatório.</w:t>
      </w:r>
    </w:p>
    <w:p w:rsidR="00737A53" w:rsidRDefault="0076469E">
      <w:pPr>
        <w:spacing w:after="120"/>
        <w:jc w:val="both"/>
        <w:rPr>
          <w:rFonts w:ascii="Times New Roman" w:hAnsi="Times New Roman" w:cs="Times New Roman"/>
          <w:noProof/>
          <w:color w:val="000000" w:themeColor="text1"/>
        </w:rPr>
      </w:pPr>
      <w:r>
        <w:rPr>
          <w:rFonts w:ascii="Times New Roman" w:hAnsi="Times New Roman"/>
          <w:noProof/>
        </w:rPr>
        <w:t xml:space="preserve">As </w:t>
      </w:r>
      <w:r>
        <w:rPr>
          <w:rFonts w:ascii="Times New Roman" w:hAnsi="Times New Roman"/>
          <w:b/>
          <w:noProof/>
          <w:color w:val="000000" w:themeColor="text1"/>
        </w:rPr>
        <w:t>prioridades estratégicas 1 e 6</w:t>
      </w:r>
      <w:r>
        <w:rPr>
          <w:rFonts w:ascii="Times New Roman" w:hAnsi="Times New Roman"/>
          <w:noProof/>
          <w:color w:val="000000" w:themeColor="text1"/>
        </w:rPr>
        <w:t>, «Melhorar a resiliência e os meios de subsistência dos pequ</w:t>
      </w:r>
      <w:r>
        <w:rPr>
          <w:rFonts w:ascii="Times New Roman" w:hAnsi="Times New Roman"/>
          <w:noProof/>
          <w:color w:val="000000" w:themeColor="text1"/>
        </w:rPr>
        <w:t>enos agricultores» e «Melhorar a coordenação entre os intervenientes na ajuda humanitária e os intervenientes na ajuda ao desenvolvimento para aumentar a resiliência», continuam a ser a parte mais importante da carteira de cooperação para o desenvolvimento</w:t>
      </w:r>
      <w:r>
        <w:rPr>
          <w:rFonts w:ascii="Times New Roman" w:hAnsi="Times New Roman"/>
          <w:noProof/>
          <w:color w:val="000000" w:themeColor="text1"/>
        </w:rPr>
        <w:t xml:space="preserve"> da UE e dos seus </w:t>
      </w:r>
      <w:r>
        <w:rPr>
          <w:rFonts w:ascii="Times New Roman" w:hAnsi="Times New Roman"/>
          <w:noProof/>
        </w:rPr>
        <w:t>Estados-Membros</w:t>
      </w:r>
      <w:r>
        <w:rPr>
          <w:rFonts w:ascii="Times New Roman" w:hAnsi="Times New Roman"/>
          <w:noProof/>
          <w:color w:val="000000" w:themeColor="text1"/>
        </w:rPr>
        <w:t>.</w:t>
      </w:r>
      <w:r>
        <w:rPr>
          <w:rFonts w:ascii="Times New Roman" w:hAnsi="Times New Roman"/>
          <w:noProof/>
        </w:rPr>
        <w:t xml:space="preserve"> Este apoio aborda cada vez mais as dinâmicas socioeconómicas, ambientais e de segurança subjacentes a sistemas alimentares sustentáveis, resilientes e saudáveis. O desenvolvimento desses sistemas alimentares reforçaria o </w:t>
      </w:r>
      <w:r>
        <w:rPr>
          <w:rFonts w:ascii="Times New Roman" w:hAnsi="Times New Roman"/>
          <w:noProof/>
        </w:rPr>
        <w:t>desenvolvimento rural sustentável, bem como ajudaria a prevenir as crises alimentares. A UE intensificou o seu apoio à Rede Mundial contra Crises Alimentares, que desempenha um papel crítico na transformação dos sistemas agroalimentares com ênfase em infor</w:t>
      </w:r>
      <w:r>
        <w:rPr>
          <w:rFonts w:ascii="Times New Roman" w:hAnsi="Times New Roman"/>
          <w:noProof/>
        </w:rPr>
        <w:t>mações baseadas em consensos, na mobilização de investimentos estratégicos e na ação coordenada e integrada em todo o trinómio ajuda humanitária-desenvolvimento-paz .</w:t>
      </w:r>
    </w:p>
    <w:p w:rsidR="00737A53" w:rsidRDefault="0076469E">
      <w:pPr>
        <w:spacing w:after="120"/>
        <w:jc w:val="both"/>
        <w:rPr>
          <w:rFonts w:ascii="Times New Roman" w:hAnsi="Times New Roman" w:cs="Times New Roman"/>
          <w:noProof/>
          <w:color w:val="000000" w:themeColor="text1"/>
        </w:rPr>
      </w:pPr>
      <w:r>
        <w:rPr>
          <w:rFonts w:ascii="Times New Roman" w:hAnsi="Times New Roman" w:cs="Times New Roman"/>
          <w:b/>
          <w:noProof/>
        </w:rPr>
        <w:t>Prioridades estratégicas 2 e 3:</w:t>
      </w:r>
      <w:r>
        <w:rPr>
          <w:rFonts w:ascii="Times New Roman" w:hAnsi="Times New Roman" w:cs="Times New Roman"/>
          <w:noProof/>
        </w:rPr>
        <w:t xml:space="preserve"> </w:t>
      </w:r>
      <w:r>
        <w:rPr>
          <w:rFonts w:ascii="Times New Roman" w:hAnsi="Times New Roman" w:cs="Times New Roman"/>
          <w:bCs/>
          <w:noProof/>
          <w:color w:val="000000" w:themeColor="text1"/>
        </w:rPr>
        <w:t xml:space="preserve">a UE e os seus </w:t>
      </w:r>
      <w:r>
        <w:rPr>
          <w:rFonts w:ascii="Times New Roman" w:hAnsi="Times New Roman" w:cs="Times New Roman"/>
          <w:noProof/>
        </w:rPr>
        <w:t xml:space="preserve">Estados-Membros </w:t>
      </w:r>
      <w:r>
        <w:rPr>
          <w:rFonts w:ascii="Times New Roman" w:hAnsi="Times New Roman" w:cs="Times New Roman"/>
          <w:noProof/>
          <w:color w:val="000000" w:themeColor="text1"/>
        </w:rPr>
        <w:t>investiram na</w:t>
      </w:r>
      <w:r>
        <w:rPr>
          <w:rFonts w:ascii="Times New Roman" w:hAnsi="Times New Roman" w:cs="Times New Roman"/>
          <w:bCs/>
          <w:noProof/>
          <w:color w:val="000000" w:themeColor="text1"/>
        </w:rPr>
        <w:t xml:space="preserve"> </w:t>
      </w:r>
      <w:r>
        <w:rPr>
          <w:rFonts w:ascii="Times New Roman" w:hAnsi="Times New Roman" w:cs="Times New Roman"/>
          <w:i/>
          <w:noProof/>
          <w:color w:val="000000" w:themeColor="text1"/>
        </w:rPr>
        <w:t xml:space="preserve">governação fundiária </w:t>
      </w:r>
      <w:r>
        <w:rPr>
          <w:rFonts w:ascii="Times New Roman" w:hAnsi="Times New Roman" w:cs="Times New Roman"/>
          <w:bCs/>
          <w:noProof/>
          <w:color w:val="000000" w:themeColor="text1"/>
        </w:rPr>
        <w:t>em cerca de 40 países</w:t>
      </w:r>
      <w:r>
        <w:rPr>
          <w:rFonts w:ascii="Times New Roman" w:hAnsi="Times New Roman" w:cs="Times New Roman"/>
          <w:b/>
          <w:bCs/>
          <w:noProof/>
          <w:color w:val="000000" w:themeColor="text1"/>
        </w:rPr>
        <w:t xml:space="preserve"> </w:t>
      </w:r>
      <w:r>
        <w:rPr>
          <w:rFonts w:ascii="Times New Roman" w:hAnsi="Times New Roman" w:cs="Times New Roman"/>
          <w:bCs/>
          <w:noProof/>
          <w:color w:val="000000" w:themeColor="text1"/>
        </w:rPr>
        <w:t xml:space="preserve">e aumentaram significativamente os </w:t>
      </w:r>
      <w:r>
        <w:rPr>
          <w:rFonts w:ascii="Times New Roman" w:hAnsi="Times New Roman" w:cs="Times New Roman"/>
          <w:i/>
          <w:noProof/>
          <w:color w:val="000000" w:themeColor="text1"/>
        </w:rPr>
        <w:t>investimentos responsáveis em agronegócios,</w:t>
      </w:r>
      <w:r>
        <w:rPr>
          <w:rFonts w:ascii="Times New Roman" w:hAnsi="Times New Roman" w:cs="Times New Roman"/>
          <w:bCs/>
          <w:noProof/>
          <w:color w:val="000000" w:themeColor="text1"/>
        </w:rPr>
        <w:t xml:space="preserve"> nomeadamente através de iniciativas de financiamento misto </w:t>
      </w:r>
      <w:r>
        <w:rPr>
          <w:rFonts w:ascii="Times New Roman" w:hAnsi="Times New Roman" w:cs="Times New Roman"/>
          <w:noProof/>
          <w:color w:val="000000" w:themeColor="text1"/>
        </w:rPr>
        <w:t>para</w:t>
      </w:r>
      <w:r>
        <w:rPr>
          <w:rFonts w:ascii="Times New Roman" w:hAnsi="Times New Roman" w:cs="Times New Roman"/>
          <w:bCs/>
          <w:noProof/>
          <w:color w:val="000000" w:themeColor="text1"/>
        </w:rPr>
        <w:t xml:space="preserve"> cadeias de valor agroalimentares sustentáveis.</w:t>
      </w:r>
      <w:r>
        <w:rPr>
          <w:rFonts w:ascii="Times New Roman" w:hAnsi="Times New Roman" w:cs="Times New Roman"/>
          <w:bCs/>
          <w:noProof/>
        </w:rPr>
        <w:t xml:space="preserve"> A UE também desenvolveu</w:t>
      </w:r>
      <w:r>
        <w:rPr>
          <w:rFonts w:ascii="Times New Roman" w:hAnsi="Times New Roman" w:cs="Times New Roman"/>
          <w:bCs/>
          <w:noProof/>
        </w:rPr>
        <w:t xml:space="preserve"> a pesca e a aquicultura sustentáveis,</w:t>
      </w:r>
      <w:r>
        <w:rPr>
          <w:rFonts w:ascii="Times New Roman" w:hAnsi="Times New Roman" w:cs="Times New Roman"/>
          <w:noProof/>
        </w:rPr>
        <w:t xml:space="preserve"> com</w:t>
      </w:r>
      <w:r>
        <w:rPr>
          <w:rFonts w:ascii="Times New Roman" w:hAnsi="Times New Roman" w:cs="Times New Roman"/>
          <w:bCs/>
          <w:noProof/>
        </w:rPr>
        <w:t xml:space="preserve"> especial ênfase na pesca de pequena escala devido ao seu potencial para criar benefícios económicos e sociais, particularmente para as mulheres. </w:t>
      </w:r>
      <w:r>
        <w:rPr>
          <w:rFonts w:ascii="Times New Roman" w:hAnsi="Times New Roman" w:cs="Times New Roman"/>
          <w:bCs/>
          <w:noProof/>
          <w:color w:val="000000" w:themeColor="text1"/>
        </w:rPr>
        <w:t xml:space="preserve">Além disso, a UE e os seus </w:t>
      </w:r>
      <w:r>
        <w:rPr>
          <w:rFonts w:ascii="Times New Roman" w:hAnsi="Times New Roman" w:cs="Times New Roman"/>
          <w:noProof/>
        </w:rPr>
        <w:t xml:space="preserve">Estados-Membros </w:t>
      </w:r>
      <w:r>
        <w:rPr>
          <w:rFonts w:ascii="Times New Roman" w:hAnsi="Times New Roman" w:cs="Times New Roman"/>
          <w:noProof/>
          <w:color w:val="000000" w:themeColor="text1"/>
        </w:rPr>
        <w:t>intensificaram o seu apoi</w:t>
      </w:r>
      <w:r>
        <w:rPr>
          <w:rFonts w:ascii="Times New Roman" w:hAnsi="Times New Roman" w:cs="Times New Roman"/>
          <w:noProof/>
          <w:color w:val="000000" w:themeColor="text1"/>
        </w:rPr>
        <w:t>o à governação e arquitetura global para a investigação e inovação agrícola e melhoraram significativamente as capacidades nacionais de investigação para a inovação no âmbito dos sistemas nacionais de investigação e inovação.</w:t>
      </w:r>
      <w:r>
        <w:rPr>
          <w:rFonts w:ascii="Times New Roman" w:hAnsi="Times New Roman" w:cs="Times New Roman"/>
          <w:bCs/>
          <w:noProof/>
        </w:rPr>
        <w:t xml:space="preserve"> </w:t>
      </w:r>
    </w:p>
    <w:p w:rsidR="00737A53" w:rsidRDefault="0076469E">
      <w:pPr>
        <w:spacing w:after="120"/>
        <w:jc w:val="both"/>
        <w:rPr>
          <w:rFonts w:ascii="Times New Roman" w:hAnsi="Times New Roman" w:cs="Times New Roman"/>
          <w:noProof/>
          <w:color w:val="000000" w:themeColor="text1"/>
        </w:rPr>
      </w:pPr>
      <w:r>
        <w:rPr>
          <w:rFonts w:ascii="Times New Roman" w:hAnsi="Times New Roman" w:cs="Times New Roman"/>
          <w:b/>
          <w:bCs/>
          <w:noProof/>
        </w:rPr>
        <w:t>Prioridade estratégica 4</w:t>
      </w:r>
      <w:r>
        <w:rPr>
          <w:rFonts w:ascii="Times New Roman" w:hAnsi="Times New Roman" w:cs="Times New Roman"/>
          <w:noProof/>
        </w:rPr>
        <w:t xml:space="preserve">: O apoio da UE a </w:t>
      </w:r>
      <w:r>
        <w:rPr>
          <w:rFonts w:ascii="Times New Roman" w:hAnsi="Times New Roman" w:cs="Times New Roman"/>
          <w:i/>
          <w:iCs/>
          <w:noProof/>
        </w:rPr>
        <w:t>mecanismos de proteção social</w:t>
      </w:r>
      <w:r>
        <w:rPr>
          <w:rFonts w:ascii="Times New Roman" w:hAnsi="Times New Roman" w:cs="Times New Roman"/>
          <w:noProof/>
        </w:rPr>
        <w:t xml:space="preserve"> manteve-se no mesmo nível: 237 milhões de EUR em 2018. A UE elaborou um pacote de orientação, incluindo princípios orientadores, lições adquiridas e práticas promissoras para apoiar programas de proteção soci</w:t>
      </w:r>
      <w:r>
        <w:rPr>
          <w:rFonts w:ascii="Times New Roman" w:hAnsi="Times New Roman" w:cs="Times New Roman"/>
          <w:noProof/>
        </w:rPr>
        <w:t>al em situações de impactos e crises prolongadas</w:t>
      </w:r>
      <w:r>
        <w:rPr>
          <w:rStyle w:val="FootnoteReference"/>
          <w:rFonts w:ascii="Times New Roman" w:hAnsi="Times New Roman" w:cs="Times New Roman"/>
          <w:noProof/>
        </w:rPr>
        <w:footnoteReference w:id="20"/>
      </w:r>
      <w:r>
        <w:rPr>
          <w:noProof/>
        </w:rPr>
        <w:t>.</w:t>
      </w:r>
    </w:p>
    <w:p w:rsidR="00737A53" w:rsidRDefault="0076469E">
      <w:pPr>
        <w:spacing w:after="120"/>
        <w:jc w:val="both"/>
        <w:rPr>
          <w:rFonts w:ascii="Times New Roman" w:hAnsi="Times New Roman" w:cs="Times New Roman"/>
          <w:noProof/>
          <w:color w:val="000000" w:themeColor="text1"/>
        </w:rPr>
      </w:pPr>
      <w:r>
        <w:rPr>
          <w:rFonts w:ascii="Times New Roman" w:hAnsi="Times New Roman"/>
          <w:noProof/>
          <w:color w:val="000000" w:themeColor="text1"/>
        </w:rPr>
        <w:t xml:space="preserve">No âmbito da </w:t>
      </w:r>
      <w:r>
        <w:rPr>
          <w:rFonts w:ascii="Times New Roman" w:hAnsi="Times New Roman"/>
          <w:b/>
          <w:noProof/>
          <w:color w:val="000000" w:themeColor="text1"/>
        </w:rPr>
        <w:t>prioridade estratégica 5</w:t>
      </w:r>
      <w:r>
        <w:rPr>
          <w:rFonts w:ascii="Times New Roman" w:hAnsi="Times New Roman"/>
          <w:noProof/>
          <w:color w:val="000000" w:themeColor="text1"/>
        </w:rPr>
        <w:t>, a UE</w:t>
      </w:r>
      <w:r>
        <w:rPr>
          <w:rFonts w:ascii="Times New Roman" w:hAnsi="Times New Roman"/>
          <w:noProof/>
        </w:rPr>
        <w:t xml:space="preserve"> </w:t>
      </w:r>
      <w:r>
        <w:rPr>
          <w:rFonts w:ascii="Times New Roman" w:hAnsi="Times New Roman"/>
          <w:noProof/>
          <w:color w:val="000000" w:themeColor="text1"/>
        </w:rPr>
        <w:t xml:space="preserve">já cumpriu em 2019 (um ano antes do previsto) o seu compromisso de investir 3,5 mil milhões de EUR em </w:t>
      </w:r>
      <w:r>
        <w:rPr>
          <w:rFonts w:ascii="Times New Roman" w:hAnsi="Times New Roman"/>
          <w:i/>
          <w:noProof/>
          <w:color w:val="000000" w:themeColor="text1"/>
        </w:rPr>
        <w:t>nutrição</w:t>
      </w:r>
      <w:r>
        <w:rPr>
          <w:rFonts w:ascii="Times New Roman" w:hAnsi="Times New Roman"/>
          <w:noProof/>
          <w:color w:val="000000" w:themeColor="text1"/>
        </w:rPr>
        <w:t xml:space="preserve"> até 2020 e intensificou os esforços para analisar de que forma a sua ajuda contribui para prevenir atrasos de crescimento.</w:t>
      </w:r>
      <w:r>
        <w:rPr>
          <w:rFonts w:ascii="Times New Roman" w:hAnsi="Times New Roman"/>
          <w:noProof/>
        </w:rPr>
        <w:t xml:space="preserve"> </w:t>
      </w:r>
      <w:r>
        <w:rPr>
          <w:rFonts w:ascii="Times New Roman" w:hAnsi="Times New Roman"/>
          <w:noProof/>
          <w:color w:val="000000" w:themeColor="text1"/>
        </w:rPr>
        <w:t xml:space="preserve">A UE e os seus </w:t>
      </w:r>
      <w:r>
        <w:rPr>
          <w:rFonts w:ascii="Times New Roman" w:hAnsi="Times New Roman"/>
          <w:noProof/>
        </w:rPr>
        <w:t xml:space="preserve">Estados-Membros </w:t>
      </w:r>
      <w:r>
        <w:rPr>
          <w:rFonts w:ascii="Times New Roman" w:hAnsi="Times New Roman"/>
          <w:noProof/>
          <w:color w:val="000000" w:themeColor="text1"/>
        </w:rPr>
        <w:t>continuam a reforçar os mecanismos de governação e responsabilização global e a lutar contra as diver</w:t>
      </w:r>
      <w:r>
        <w:rPr>
          <w:rFonts w:ascii="Times New Roman" w:hAnsi="Times New Roman"/>
          <w:noProof/>
          <w:color w:val="000000" w:themeColor="text1"/>
        </w:rPr>
        <w:t>sas formas de subnutrição nos seus programas de apoio para alcançar o objetivo mundial de redução dos atrasos de crescimento até 2025.</w:t>
      </w:r>
    </w:p>
    <w:p w:rsidR="00737A53" w:rsidRDefault="00737A53">
      <w:pPr>
        <w:spacing w:after="120"/>
        <w:jc w:val="both"/>
        <w:rPr>
          <w:rFonts w:ascii="Times New Roman" w:hAnsi="Times New Roman" w:cs="Times New Roman"/>
          <w:noProof/>
        </w:rPr>
      </w:pPr>
    </w:p>
    <w:p w:rsidR="00737A53" w:rsidRDefault="0076469E">
      <w:pPr>
        <w:spacing w:after="120"/>
        <w:jc w:val="both"/>
        <w:outlineLvl w:val="0"/>
        <w:rPr>
          <w:rFonts w:ascii="Times New Roman" w:hAnsi="Times New Roman" w:cs="Times New Roman"/>
          <w:b/>
          <w:noProof/>
        </w:rPr>
      </w:pPr>
      <w:r>
        <w:rPr>
          <w:rFonts w:ascii="Times New Roman" w:hAnsi="Times New Roman"/>
          <w:b/>
          <w:noProof/>
        </w:rPr>
        <w:t>Quadro 3: Exemplos de projetos com resultados notáveis</w:t>
      </w:r>
    </w:p>
    <w:tbl>
      <w:tblPr>
        <w:tblStyle w:val="TableGrid"/>
        <w:tblW w:w="0" w:type="auto"/>
        <w:tblLook w:val="04A0" w:firstRow="1" w:lastRow="0" w:firstColumn="1" w:lastColumn="0" w:noHBand="0" w:noVBand="1"/>
      </w:tblPr>
      <w:tblGrid>
        <w:gridCol w:w="1580"/>
        <w:gridCol w:w="7656"/>
      </w:tblGrid>
      <w:tr w:rsidR="00737A53">
        <w:tc>
          <w:tcPr>
            <w:tcW w:w="0" w:type="auto"/>
            <w:shd w:val="clear" w:color="auto" w:fill="FFFFFF" w:themeFill="background1"/>
          </w:tcPr>
          <w:p w:rsidR="00737A53" w:rsidRDefault="0076469E">
            <w:pPr>
              <w:spacing w:after="120"/>
              <w:jc w:val="both"/>
              <w:rPr>
                <w:rFonts w:ascii="Times New Roman" w:hAnsi="Times New Roman" w:cs="Times New Roman"/>
                <w:b/>
                <w:noProof/>
              </w:rPr>
            </w:pPr>
            <w:r>
              <w:rPr>
                <w:rFonts w:ascii="Times New Roman" w:hAnsi="Times New Roman"/>
                <w:b/>
                <w:noProof/>
              </w:rPr>
              <w:t>Prioridade estratégica 1</w:t>
            </w:r>
          </w:p>
        </w:tc>
        <w:tc>
          <w:tcPr>
            <w:tcW w:w="0" w:type="auto"/>
            <w:shd w:val="clear" w:color="auto" w:fill="FFFFFF" w:themeFill="background1"/>
          </w:tcPr>
          <w:p w:rsidR="00737A53" w:rsidRDefault="0076469E">
            <w:pPr>
              <w:spacing w:after="120"/>
              <w:jc w:val="both"/>
              <w:rPr>
                <w:rFonts w:ascii="Times New Roman" w:hAnsi="Times New Roman" w:cs="Times New Roman"/>
                <w:noProof/>
              </w:rPr>
            </w:pPr>
            <w:r>
              <w:rPr>
                <w:rFonts w:ascii="Times New Roman" w:hAnsi="Times New Roman"/>
                <w:noProof/>
              </w:rPr>
              <w:t xml:space="preserve">Os </w:t>
            </w:r>
            <w:r>
              <w:rPr>
                <w:rFonts w:ascii="Times New Roman" w:hAnsi="Times New Roman"/>
                <w:b/>
                <w:bCs/>
                <w:noProof/>
              </w:rPr>
              <w:t xml:space="preserve">Países Baixos </w:t>
            </w:r>
            <w:r>
              <w:rPr>
                <w:rFonts w:ascii="Times New Roman" w:hAnsi="Times New Roman"/>
                <w:noProof/>
              </w:rPr>
              <w:t>apoiam o projeto intitu</w:t>
            </w:r>
            <w:r>
              <w:rPr>
                <w:rFonts w:ascii="Times New Roman" w:hAnsi="Times New Roman"/>
                <w:noProof/>
              </w:rPr>
              <w:t>lado «</w:t>
            </w:r>
            <w:r>
              <w:rPr>
                <w:rFonts w:ascii="Times New Roman" w:hAnsi="Times New Roman"/>
                <w:i/>
                <w:iCs/>
                <w:noProof/>
              </w:rPr>
              <w:t>Projet d’Appui à la Production Agricole au Burundi (PAPAB)»</w:t>
            </w:r>
            <w:r>
              <w:rPr>
                <w:rFonts w:ascii="Times New Roman" w:hAnsi="Times New Roman"/>
                <w:noProof/>
              </w:rPr>
              <w:t xml:space="preserve"> [Projeto de apoio à produção agrícola no Burundi (PAPAB)], aplicando a abordagem PIP </w:t>
            </w:r>
            <w:r>
              <w:rPr>
                <w:rFonts w:ascii="Times New Roman" w:hAnsi="Times New Roman"/>
                <w:i/>
                <w:noProof/>
              </w:rPr>
              <w:t>(Plan Intégré Paysan ou planeamento integrado das explorações)</w:t>
            </w:r>
            <w:r>
              <w:rPr>
                <w:rFonts w:ascii="Times New Roman" w:hAnsi="Times New Roman"/>
                <w:noProof/>
              </w:rPr>
              <w:t xml:space="preserve">. Se tiverem por base um plano de negócios </w:t>
            </w:r>
            <w:r>
              <w:rPr>
                <w:rFonts w:ascii="Times New Roman" w:hAnsi="Times New Roman"/>
                <w:noProof/>
              </w:rPr>
              <w:t>para a exploração agrícola, os produtores alimentares de pequena dimensão podem investir melhor na gestão da fertilidade dos solos, na resiliência dos sistemas agrícolas e, por conseguinte, no aumento da segurança alimentar. Através desta abordagem, 37 400</w:t>
            </w:r>
            <w:r>
              <w:rPr>
                <w:rFonts w:ascii="Times New Roman" w:hAnsi="Times New Roman"/>
                <w:noProof/>
              </w:rPr>
              <w:t xml:space="preserve"> famílias aumentaram comprovadamente a sua produtividade e rendimento, enquanto 18 700 hectares de terrenos agrícolas foram geridos de forma mais sustentável. Um outro programa neerlandês «</w:t>
            </w:r>
            <w:r>
              <w:rPr>
                <w:rFonts w:ascii="Times New Roman" w:hAnsi="Times New Roman"/>
                <w:i/>
                <w:iCs/>
                <w:noProof/>
              </w:rPr>
              <w:t>Geodata for Agriculture and Water (G4AW)»</w:t>
            </w:r>
            <w:r>
              <w:rPr>
                <w:rFonts w:ascii="Times New Roman" w:hAnsi="Times New Roman"/>
                <w:noProof/>
              </w:rPr>
              <w:t xml:space="preserve"> [Geodados para agricultur</w:t>
            </w:r>
            <w:r>
              <w:rPr>
                <w:rFonts w:ascii="Times New Roman" w:hAnsi="Times New Roman"/>
                <w:noProof/>
              </w:rPr>
              <w:t xml:space="preserve">a e água (G4AW)] utiliza dados de satélites para melhorar a segurança alimentar. O programa, que abarca 23 projetos em 14 países, tem por objetivo  abranger 4,5 milhões de agricultores de pequena escala até 2022. </w:t>
            </w:r>
          </w:p>
          <w:p w:rsidR="00737A53" w:rsidRDefault="0076469E">
            <w:pPr>
              <w:spacing w:after="120"/>
              <w:jc w:val="both"/>
              <w:rPr>
                <w:rFonts w:ascii="Times New Roman" w:hAnsi="Times New Roman" w:cs="Times New Roman"/>
                <w:noProof/>
              </w:rPr>
            </w:pPr>
            <w:r>
              <w:rPr>
                <w:rFonts w:ascii="Times New Roman" w:hAnsi="Times New Roman"/>
                <w:noProof/>
              </w:rPr>
              <w:t xml:space="preserve">Em 2018, a </w:t>
            </w:r>
            <w:r>
              <w:rPr>
                <w:rFonts w:ascii="Times New Roman" w:hAnsi="Times New Roman"/>
                <w:b/>
                <w:noProof/>
              </w:rPr>
              <w:t>Irlanda</w:t>
            </w:r>
            <w:r>
              <w:rPr>
                <w:rFonts w:ascii="Times New Roman" w:hAnsi="Times New Roman"/>
                <w:noProof/>
              </w:rPr>
              <w:t xml:space="preserve"> lançou 13 variedades no</w:t>
            </w:r>
            <w:r>
              <w:rPr>
                <w:rFonts w:ascii="Times New Roman" w:hAnsi="Times New Roman"/>
                <w:noProof/>
              </w:rPr>
              <w:t>vas e melhoradas de leguminosas (ACCURACY major), cereais, raízes e tubérculos no Maláui, incluindo feijões biologicamente enriquecidos com ferro e zinco e uma batata doce de polpa laranja rica em vitamina A.</w:t>
            </w:r>
          </w:p>
        </w:tc>
      </w:tr>
      <w:tr w:rsidR="00737A53">
        <w:tc>
          <w:tcPr>
            <w:tcW w:w="0" w:type="auto"/>
            <w:shd w:val="clear" w:color="auto" w:fill="FFFFFF" w:themeFill="background1"/>
          </w:tcPr>
          <w:p w:rsidR="00737A53" w:rsidRDefault="0076469E">
            <w:pPr>
              <w:spacing w:after="120"/>
              <w:jc w:val="both"/>
              <w:rPr>
                <w:rFonts w:ascii="Times New Roman" w:hAnsi="Times New Roman" w:cs="Times New Roman"/>
                <w:b/>
                <w:noProof/>
              </w:rPr>
            </w:pPr>
            <w:r>
              <w:rPr>
                <w:rFonts w:ascii="Times New Roman" w:hAnsi="Times New Roman"/>
                <w:b/>
                <w:noProof/>
              </w:rPr>
              <w:t>Prioridade estratégica 2</w:t>
            </w:r>
          </w:p>
        </w:tc>
        <w:tc>
          <w:tcPr>
            <w:tcW w:w="0" w:type="auto"/>
            <w:shd w:val="clear" w:color="auto" w:fill="FFFFFF" w:themeFill="background1"/>
          </w:tcPr>
          <w:p w:rsidR="00737A53" w:rsidRDefault="0076469E">
            <w:pPr>
              <w:spacing w:after="120"/>
              <w:jc w:val="both"/>
              <w:rPr>
                <w:rFonts w:ascii="Times New Roman" w:hAnsi="Times New Roman" w:cs="Times New Roman"/>
                <w:noProof/>
              </w:rPr>
            </w:pPr>
            <w:r>
              <w:rPr>
                <w:rFonts w:ascii="Times New Roman" w:hAnsi="Times New Roman"/>
                <w:noProof/>
              </w:rPr>
              <w:t xml:space="preserve">A </w:t>
            </w:r>
            <w:r>
              <w:rPr>
                <w:rFonts w:ascii="Times New Roman" w:hAnsi="Times New Roman"/>
                <w:b/>
                <w:bCs/>
                <w:noProof/>
              </w:rPr>
              <w:t>Finlândia</w:t>
            </w:r>
            <w:r>
              <w:rPr>
                <w:rFonts w:ascii="Times New Roman" w:hAnsi="Times New Roman"/>
                <w:noProof/>
              </w:rPr>
              <w:t xml:space="preserve"> realiza o</w:t>
            </w:r>
            <w:r>
              <w:rPr>
                <w:rFonts w:ascii="Times New Roman" w:hAnsi="Times New Roman"/>
                <w:noProof/>
              </w:rPr>
              <w:t xml:space="preserve"> projeto «</w:t>
            </w:r>
            <w:r>
              <w:rPr>
                <w:rFonts w:ascii="Times New Roman" w:hAnsi="Times New Roman"/>
                <w:i/>
                <w:iCs/>
                <w:noProof/>
              </w:rPr>
              <w:t>Responsible and Innovative Land Administration»</w:t>
            </w:r>
            <w:r>
              <w:rPr>
                <w:rFonts w:ascii="Times New Roman" w:hAnsi="Times New Roman"/>
                <w:noProof/>
              </w:rPr>
              <w:t xml:space="preserve"> [Administração fundiária responsável e inovadora] na Etiópia, para desenvolver o Sistema Nacional de Informação Fundiária, que gere todos os dados de registo fundiário e todas as transações relativa</w:t>
            </w:r>
            <w:r>
              <w:rPr>
                <w:rFonts w:ascii="Times New Roman" w:hAnsi="Times New Roman"/>
                <w:noProof/>
              </w:rPr>
              <w:t>s a terras (herança, divórcio, doação, etc.). Até 2019, já tinham sido registadas 14,5 milhões de parcelas de terreno.</w:t>
            </w:r>
          </w:p>
        </w:tc>
      </w:tr>
      <w:tr w:rsidR="00737A53">
        <w:tc>
          <w:tcPr>
            <w:tcW w:w="0" w:type="auto"/>
            <w:shd w:val="clear" w:color="auto" w:fill="FFFFFF" w:themeFill="background1"/>
          </w:tcPr>
          <w:p w:rsidR="00737A53" w:rsidRDefault="0076469E">
            <w:pPr>
              <w:spacing w:after="120"/>
              <w:jc w:val="both"/>
              <w:rPr>
                <w:rFonts w:ascii="Times New Roman" w:hAnsi="Times New Roman" w:cs="Times New Roman"/>
                <w:noProof/>
              </w:rPr>
            </w:pPr>
            <w:r>
              <w:rPr>
                <w:rFonts w:ascii="Times New Roman" w:hAnsi="Times New Roman"/>
                <w:b/>
                <w:bCs/>
                <w:noProof/>
              </w:rPr>
              <w:t>Prioridade estratégica 3</w:t>
            </w:r>
          </w:p>
        </w:tc>
        <w:tc>
          <w:tcPr>
            <w:tcW w:w="0" w:type="auto"/>
            <w:shd w:val="clear" w:color="auto" w:fill="FFFFFF" w:themeFill="background1"/>
          </w:tcPr>
          <w:p w:rsidR="00737A53" w:rsidRDefault="0076469E">
            <w:pPr>
              <w:spacing w:after="120"/>
              <w:jc w:val="both"/>
              <w:rPr>
                <w:rFonts w:ascii="Times New Roman" w:hAnsi="Times New Roman" w:cs="Times New Roman"/>
                <w:noProof/>
              </w:rPr>
            </w:pPr>
            <w:r>
              <w:rPr>
                <w:rFonts w:ascii="Times New Roman" w:hAnsi="Times New Roman"/>
                <w:noProof/>
              </w:rPr>
              <w:t xml:space="preserve">A </w:t>
            </w:r>
            <w:r>
              <w:rPr>
                <w:rFonts w:ascii="Times New Roman" w:hAnsi="Times New Roman"/>
                <w:b/>
                <w:bCs/>
                <w:noProof/>
              </w:rPr>
              <w:t>Alemanha</w:t>
            </w:r>
            <w:r>
              <w:rPr>
                <w:rFonts w:ascii="Times New Roman" w:hAnsi="Times New Roman"/>
                <w:noProof/>
              </w:rPr>
              <w:t xml:space="preserve"> financiou o projeto regional intitulado </w:t>
            </w:r>
            <w:r>
              <w:rPr>
                <w:rFonts w:ascii="Times New Roman" w:hAnsi="Times New Roman"/>
                <w:i/>
                <w:iCs/>
                <w:noProof/>
              </w:rPr>
              <w:t>«Agricultural Technical Vocational Education and Training fo</w:t>
            </w:r>
            <w:r>
              <w:rPr>
                <w:rFonts w:ascii="Times New Roman" w:hAnsi="Times New Roman"/>
                <w:i/>
                <w:iCs/>
                <w:noProof/>
              </w:rPr>
              <w:t>r Women»</w:t>
            </w:r>
            <w:r>
              <w:rPr>
                <w:rFonts w:ascii="Times New Roman" w:hAnsi="Times New Roman"/>
                <w:noProof/>
              </w:rPr>
              <w:t xml:space="preserve"> [Ensino e formação técnico-profissional agrícola para as mulheres], que promove o desenvolvimento das competências das mulheres no setor agrícola. Realizou o projeto em conjunto com a Agência de Desenvolvimento da União Africana (AUDA-NEPAD) em se</w:t>
            </w:r>
            <w:r>
              <w:rPr>
                <w:rFonts w:ascii="Times New Roman" w:hAnsi="Times New Roman"/>
                <w:noProof/>
              </w:rPr>
              <w:t>is países: Benim, Burquina Fasso, Gana, Quénia, Maláui e Togo.</w:t>
            </w:r>
          </w:p>
        </w:tc>
      </w:tr>
      <w:tr w:rsidR="00737A53">
        <w:tc>
          <w:tcPr>
            <w:tcW w:w="0" w:type="auto"/>
            <w:shd w:val="clear" w:color="auto" w:fill="FFFFFF" w:themeFill="background1"/>
          </w:tcPr>
          <w:p w:rsidR="00737A53" w:rsidRDefault="0076469E">
            <w:pPr>
              <w:spacing w:after="120"/>
              <w:jc w:val="both"/>
              <w:rPr>
                <w:rFonts w:ascii="Times New Roman" w:hAnsi="Times New Roman" w:cs="Times New Roman"/>
                <w:b/>
                <w:noProof/>
              </w:rPr>
            </w:pPr>
            <w:r>
              <w:rPr>
                <w:rFonts w:ascii="Times New Roman" w:hAnsi="Times New Roman"/>
                <w:b/>
                <w:bCs/>
                <w:noProof/>
              </w:rPr>
              <w:t>Prioridade estratégica 4</w:t>
            </w:r>
          </w:p>
        </w:tc>
        <w:tc>
          <w:tcPr>
            <w:tcW w:w="0" w:type="auto"/>
            <w:shd w:val="clear" w:color="auto" w:fill="FFFFFF" w:themeFill="background1"/>
          </w:tcPr>
          <w:p w:rsidR="00737A53" w:rsidRDefault="0076469E">
            <w:pPr>
              <w:spacing w:after="120"/>
              <w:jc w:val="both"/>
              <w:rPr>
                <w:rFonts w:ascii="Times New Roman" w:hAnsi="Times New Roman" w:cs="Times New Roman"/>
                <w:noProof/>
              </w:rPr>
            </w:pPr>
            <w:r>
              <w:rPr>
                <w:rFonts w:ascii="Times New Roman" w:hAnsi="Times New Roman"/>
                <w:noProof/>
              </w:rPr>
              <w:t xml:space="preserve">O apoio do </w:t>
            </w:r>
            <w:r>
              <w:rPr>
                <w:rFonts w:ascii="Times New Roman" w:hAnsi="Times New Roman"/>
                <w:b/>
                <w:noProof/>
              </w:rPr>
              <w:t>Reino Unido</w:t>
            </w:r>
            <w:r>
              <w:rPr>
                <w:rStyle w:val="FootnoteReference"/>
                <w:rFonts w:ascii="Times New Roman" w:hAnsi="Times New Roman" w:cs="Times New Roman"/>
                <w:b/>
                <w:noProof/>
              </w:rPr>
              <w:footnoteReference w:id="21"/>
            </w:r>
            <w:r>
              <w:rPr>
                <w:rFonts w:ascii="Times New Roman" w:hAnsi="Times New Roman"/>
                <w:noProof/>
              </w:rPr>
              <w:t xml:space="preserve"> a sistemas de proteção social em 23 países em desenvolvimento ajudou as pessoas pobres e vulneráveis a construírem meios de subsistência mais p</w:t>
            </w:r>
            <w:r>
              <w:rPr>
                <w:rFonts w:ascii="Times New Roman" w:hAnsi="Times New Roman"/>
                <w:noProof/>
              </w:rPr>
              <w:t>rodutivos e resilientes. Também ajudou os governos a criar sistemas resistentes a choques, nomeadamente através de programas de transferências pecuniárias em países como o Quénia e a Etiópia. Na sequência de eventos climáticos extremos, como secas e cheias</w:t>
            </w:r>
            <w:r>
              <w:rPr>
                <w:rFonts w:ascii="Times New Roman" w:hAnsi="Times New Roman"/>
                <w:noProof/>
              </w:rPr>
              <w:t xml:space="preserve">, estes programas ajudaram as pessoas a assegurar alimentos suficientes, reduzindo a fome e o risco de fome. </w:t>
            </w:r>
          </w:p>
        </w:tc>
      </w:tr>
      <w:tr w:rsidR="00737A53">
        <w:tc>
          <w:tcPr>
            <w:tcW w:w="0" w:type="auto"/>
            <w:shd w:val="clear" w:color="auto" w:fill="FFFFFF" w:themeFill="background1"/>
          </w:tcPr>
          <w:p w:rsidR="00737A53" w:rsidRDefault="0076469E">
            <w:pPr>
              <w:spacing w:after="120"/>
              <w:jc w:val="both"/>
              <w:rPr>
                <w:rFonts w:ascii="Times New Roman" w:hAnsi="Times New Roman" w:cs="Times New Roman"/>
                <w:noProof/>
              </w:rPr>
            </w:pPr>
            <w:r>
              <w:rPr>
                <w:rFonts w:ascii="Times New Roman" w:hAnsi="Times New Roman"/>
                <w:b/>
                <w:bCs/>
                <w:noProof/>
              </w:rPr>
              <w:t>Prioridade estratégica 5</w:t>
            </w:r>
          </w:p>
        </w:tc>
        <w:tc>
          <w:tcPr>
            <w:tcW w:w="0" w:type="auto"/>
            <w:shd w:val="clear" w:color="auto" w:fill="FFFFFF" w:themeFill="background1"/>
          </w:tcPr>
          <w:p w:rsidR="00737A53" w:rsidRDefault="0076469E">
            <w:pPr>
              <w:spacing w:after="120"/>
              <w:jc w:val="both"/>
              <w:rPr>
                <w:rFonts w:ascii="Times New Roman" w:hAnsi="Times New Roman" w:cs="Times New Roman"/>
                <w:noProof/>
              </w:rPr>
            </w:pPr>
            <w:r>
              <w:rPr>
                <w:rFonts w:ascii="Times New Roman" w:hAnsi="Times New Roman"/>
                <w:noProof/>
              </w:rPr>
              <w:t xml:space="preserve">O projeto da </w:t>
            </w:r>
            <w:r>
              <w:rPr>
                <w:rFonts w:ascii="Times New Roman" w:hAnsi="Times New Roman"/>
                <w:b/>
                <w:bCs/>
                <w:noProof/>
              </w:rPr>
              <w:t>Itália</w:t>
            </w:r>
            <w:r>
              <w:rPr>
                <w:rFonts w:ascii="Times New Roman" w:hAnsi="Times New Roman"/>
                <w:noProof/>
              </w:rPr>
              <w:t xml:space="preserve"> </w:t>
            </w:r>
            <w:r>
              <w:rPr>
                <w:rFonts w:ascii="Times New Roman" w:hAnsi="Times New Roman"/>
                <w:i/>
                <w:iCs/>
                <w:noProof/>
              </w:rPr>
              <w:t xml:space="preserve">«SA.NI – Food Security, Nutrition and Hygiene for Equatorial band’s communities in South Sudan» </w:t>
            </w:r>
            <w:r>
              <w:rPr>
                <w:rFonts w:ascii="Times New Roman" w:hAnsi="Times New Roman"/>
                <w:i/>
                <w:iCs/>
                <w:noProof/>
              </w:rPr>
              <w:t>[SA.NI - Segurança, nutrição e higiene alimentar para as comunidades da parte equatorial do Sudão do Sul]</w:t>
            </w:r>
            <w:r>
              <w:rPr>
                <w:rFonts w:ascii="Times New Roman" w:hAnsi="Times New Roman"/>
                <w:noProof/>
              </w:rPr>
              <w:t xml:space="preserve"> proporcionou acesso à água a 1 550 pessoas, bem como a formação «Safe Water Champion» para 450 mulheres e serviços pré-natais a 5 000 mulheres grávida</w:t>
            </w:r>
            <w:r>
              <w:rPr>
                <w:rFonts w:ascii="Times New Roman" w:hAnsi="Times New Roman"/>
                <w:noProof/>
              </w:rPr>
              <w:t>s e/ou lactantes.</w:t>
            </w:r>
          </w:p>
        </w:tc>
      </w:tr>
      <w:tr w:rsidR="00737A53">
        <w:trPr>
          <w:trHeight w:val="1286"/>
        </w:trPr>
        <w:tc>
          <w:tcPr>
            <w:tcW w:w="0" w:type="auto"/>
            <w:shd w:val="clear" w:color="auto" w:fill="FFFFFF" w:themeFill="background1"/>
          </w:tcPr>
          <w:p w:rsidR="00737A53" w:rsidRDefault="0076469E">
            <w:pPr>
              <w:spacing w:after="120"/>
              <w:jc w:val="both"/>
              <w:rPr>
                <w:rFonts w:ascii="Times New Roman" w:hAnsi="Times New Roman" w:cs="Times New Roman"/>
                <w:b/>
                <w:noProof/>
              </w:rPr>
            </w:pPr>
            <w:r>
              <w:rPr>
                <w:rFonts w:ascii="Times New Roman" w:hAnsi="Times New Roman"/>
                <w:b/>
                <w:bCs/>
                <w:noProof/>
              </w:rPr>
              <w:t>Prioridade estratégica 6</w:t>
            </w:r>
          </w:p>
        </w:tc>
        <w:tc>
          <w:tcPr>
            <w:tcW w:w="0" w:type="auto"/>
            <w:shd w:val="clear" w:color="auto" w:fill="FFFFFF" w:themeFill="background1"/>
          </w:tcPr>
          <w:p w:rsidR="00737A53" w:rsidRDefault="0076469E">
            <w:pPr>
              <w:spacing w:after="120"/>
              <w:jc w:val="both"/>
              <w:rPr>
                <w:rFonts w:ascii="Times New Roman" w:hAnsi="Times New Roman" w:cs="Times New Roman"/>
                <w:noProof/>
              </w:rPr>
            </w:pPr>
            <w:r>
              <w:rPr>
                <w:rFonts w:ascii="Times New Roman" w:hAnsi="Times New Roman"/>
                <w:noProof/>
              </w:rPr>
              <w:t>A UE financiou o projeto «</w:t>
            </w:r>
            <w:r>
              <w:rPr>
                <w:rFonts w:ascii="Times New Roman" w:hAnsi="Times New Roman"/>
                <w:i/>
                <w:noProof/>
              </w:rPr>
              <w:t>Rapid City Profiling Towards Early Recovery in Yemen» [Elaboração de perfis de cidades para uma recuperação rápida no Iémen]</w:t>
            </w:r>
            <w:r>
              <w:rPr>
                <w:rFonts w:ascii="Times New Roman" w:hAnsi="Times New Roman"/>
                <w:noProof/>
              </w:rPr>
              <w:t xml:space="preserve">, para melhor canalizar e coordenar os investimentos </w:t>
            </w:r>
            <w:r>
              <w:rPr>
                <w:rFonts w:ascii="Times New Roman" w:hAnsi="Times New Roman"/>
                <w:noProof/>
              </w:rPr>
              <w:t>humanitários, de recuperação e de desenvolvimento, bem como para reforçar a resiliência das partes interessadas e das populações afetadas em cidades selecionadas face aos conflitos.</w:t>
            </w:r>
          </w:p>
        </w:tc>
      </w:tr>
    </w:tbl>
    <w:p w:rsidR="00737A53" w:rsidRDefault="00737A53">
      <w:pPr>
        <w:spacing w:after="120"/>
        <w:jc w:val="both"/>
        <w:rPr>
          <w:rFonts w:ascii="Times New Roman" w:hAnsi="Times New Roman" w:cs="Times New Roman"/>
          <w:noProof/>
        </w:rPr>
      </w:pPr>
    </w:p>
    <w:p w:rsidR="00737A53" w:rsidRDefault="0076469E">
      <w:pPr>
        <w:keepNext/>
        <w:keepLines/>
        <w:spacing w:after="120"/>
        <w:jc w:val="both"/>
        <w:outlineLvl w:val="0"/>
        <w:rPr>
          <w:rFonts w:ascii="Times New Roman" w:hAnsi="Times New Roman" w:cs="Times New Roman"/>
          <w:b/>
          <w:noProof/>
        </w:rPr>
      </w:pPr>
      <w:r>
        <w:rPr>
          <w:rFonts w:ascii="Times New Roman" w:hAnsi="Times New Roman"/>
          <w:b/>
          <w:noProof/>
        </w:rPr>
        <w:t xml:space="preserve">Programação conjunta </w:t>
      </w:r>
    </w:p>
    <w:p w:rsidR="00737A53" w:rsidRDefault="0076469E">
      <w:pPr>
        <w:spacing w:after="120"/>
        <w:jc w:val="both"/>
        <w:rPr>
          <w:rFonts w:ascii="Times New Roman" w:hAnsi="Times New Roman" w:cs="Times New Roman"/>
          <w:noProof/>
        </w:rPr>
      </w:pPr>
      <w:r>
        <w:rPr>
          <w:rFonts w:ascii="Times New Roman" w:hAnsi="Times New Roman"/>
          <w:noProof/>
        </w:rPr>
        <w:t>A UE e os seus Estados-Membros alcançaram progress</w:t>
      </w:r>
      <w:r>
        <w:rPr>
          <w:rFonts w:ascii="Times New Roman" w:hAnsi="Times New Roman"/>
          <w:noProof/>
        </w:rPr>
        <w:t>os significativos na programação conjunta. Esta abordagem foi adotada em 23 países (LÍNGUA e a implementação já começou. Para apoiar o processo, a UE elaborou novas orientações em matéria de programação conjunta e documentos de orientação para Estados frág</w:t>
      </w:r>
      <w:r>
        <w:rPr>
          <w:rFonts w:ascii="Times New Roman" w:hAnsi="Times New Roman"/>
          <w:noProof/>
        </w:rPr>
        <w:t>eis e afetados por conflitos e para países em desenvolvimento mais avançados e de rendimentos médios</w:t>
      </w:r>
      <w:r>
        <w:rPr>
          <w:rStyle w:val="FootnoteReference"/>
          <w:rFonts w:ascii="Times New Roman" w:hAnsi="Times New Roman" w:cs="Times New Roman"/>
          <w:noProof/>
        </w:rPr>
        <w:footnoteReference w:id="22"/>
      </w:r>
      <w:r>
        <w:rPr>
          <w:rFonts w:ascii="Times New Roman" w:hAnsi="Times New Roman"/>
          <w:noProof/>
        </w:rPr>
        <w:t xml:space="preserve">. Foram também organizados dois eventos mundiais de aprendizagem entre pares no Camboja e no Uganda, em dezembro de 2018 e novembro de 2019, </w:t>
      </w:r>
      <w:r>
        <w:rPr>
          <w:rFonts w:ascii="Times New Roman" w:hAnsi="Times New Roman"/>
          <w:noProof/>
          <w:color w:val="000000" w:themeColor="text1"/>
        </w:rPr>
        <w:t>respetivamente</w:t>
      </w:r>
      <w:r>
        <w:rPr>
          <w:rFonts w:ascii="Times New Roman" w:hAnsi="Times New Roman"/>
          <w:noProof/>
        </w:rPr>
        <w:t>. Ambos os eventos reuniram um conjunto alargado de representantes de países parceiros, a UE e representantes de 16 Estados-Membros, que identificaram instrumentos e medidas práticas para formalizar abordagens conjuntas e aumentar o impacto, a voz e a visi</w:t>
      </w:r>
      <w:r>
        <w:rPr>
          <w:rFonts w:ascii="Times New Roman" w:hAnsi="Times New Roman"/>
          <w:noProof/>
        </w:rPr>
        <w:t xml:space="preserve">bilidade da UE ao nível de cada país. </w:t>
      </w:r>
    </w:p>
    <w:p w:rsidR="00737A53" w:rsidRDefault="00737A53">
      <w:pPr>
        <w:spacing w:after="120"/>
        <w:jc w:val="both"/>
        <w:rPr>
          <w:rFonts w:ascii="Times New Roman" w:hAnsi="Times New Roman" w:cs="Times New Roman"/>
          <w:noProof/>
        </w:rPr>
      </w:pPr>
    </w:p>
    <w:tbl>
      <w:tblPr>
        <w:tblStyle w:val="TableGrid"/>
        <w:tblW w:w="5000" w:type="pct"/>
        <w:tblLook w:val="04A0" w:firstRow="1" w:lastRow="0" w:firstColumn="1" w:lastColumn="0" w:noHBand="0" w:noVBand="1"/>
      </w:tblPr>
      <w:tblGrid>
        <w:gridCol w:w="9236"/>
      </w:tblGrid>
      <w:tr w:rsidR="00737A53">
        <w:tc>
          <w:tcPr>
            <w:tcW w:w="5000" w:type="pct"/>
          </w:tcPr>
          <w:p w:rsidR="00737A53" w:rsidRDefault="0076469E">
            <w:pPr>
              <w:keepNext/>
              <w:keepLines/>
              <w:spacing w:after="120"/>
              <w:jc w:val="both"/>
              <w:outlineLvl w:val="0"/>
              <w:rPr>
                <w:rFonts w:ascii="Times New Roman" w:hAnsi="Times New Roman" w:cs="Times New Roman"/>
                <w:b/>
                <w:noProof/>
              </w:rPr>
            </w:pPr>
            <w:r>
              <w:rPr>
                <w:rFonts w:ascii="Times New Roman" w:hAnsi="Times New Roman"/>
                <w:b/>
                <w:noProof/>
              </w:rPr>
              <w:t>Caixa 1: Programação conjunta da UE na Bolívia</w:t>
            </w:r>
          </w:p>
          <w:p w:rsidR="00737A53" w:rsidRDefault="0076469E">
            <w:pPr>
              <w:spacing w:after="120"/>
              <w:jc w:val="both"/>
              <w:rPr>
                <w:rFonts w:ascii="Times New Roman" w:hAnsi="Times New Roman" w:cs="Times New Roman"/>
                <w:noProof/>
              </w:rPr>
            </w:pPr>
            <w:r>
              <w:rPr>
                <w:rFonts w:ascii="Times New Roman" w:hAnsi="Times New Roman"/>
                <w:noProof/>
              </w:rPr>
              <w:t>A Bolívia foi dos primeiros países a aderir à programação conjunta com a UE, oito Estados-Membros e a Suíça. A estratégia europeia conjunta para o período 2017-2020 está</w:t>
            </w:r>
            <w:r>
              <w:rPr>
                <w:rFonts w:ascii="Times New Roman" w:hAnsi="Times New Roman"/>
                <w:noProof/>
              </w:rPr>
              <w:t xml:space="preserve"> alinhada com a Agenda Patriótica para 2025 e o plano de desenvolvimento socioeconómico para 2016-2020 da Bolívia. A programação conjunta fomentou a colaboração e a coordenação em diversos setores, entre o grupo UE+. No domínio da segurança alimentar e nut</w:t>
            </w:r>
            <w:r>
              <w:rPr>
                <w:rFonts w:ascii="Times New Roman" w:hAnsi="Times New Roman"/>
                <w:noProof/>
              </w:rPr>
              <w:t>ricional, está comprovado que um diálogo regular e atividades conjuntas são iniciativas cruciais para unir os parceiros da UE desde a programação conjunta até à execução conjunta.</w:t>
            </w:r>
          </w:p>
        </w:tc>
      </w:tr>
    </w:tbl>
    <w:p w:rsidR="00737A53" w:rsidRDefault="00737A53">
      <w:pPr>
        <w:spacing w:after="120"/>
        <w:jc w:val="both"/>
        <w:rPr>
          <w:rFonts w:ascii="Times New Roman" w:hAnsi="Times New Roman" w:cs="Times New Roman"/>
          <w:noProof/>
        </w:rPr>
      </w:pPr>
    </w:p>
    <w:tbl>
      <w:tblPr>
        <w:tblStyle w:val="TableGrid"/>
        <w:tblW w:w="5000" w:type="pct"/>
        <w:tblLook w:val="04A0" w:firstRow="1" w:lastRow="0" w:firstColumn="1" w:lastColumn="0" w:noHBand="0" w:noVBand="1"/>
      </w:tblPr>
      <w:tblGrid>
        <w:gridCol w:w="9236"/>
      </w:tblGrid>
      <w:tr w:rsidR="00737A53">
        <w:tc>
          <w:tcPr>
            <w:tcW w:w="5000" w:type="pct"/>
          </w:tcPr>
          <w:p w:rsidR="00737A53" w:rsidRDefault="0076469E">
            <w:pPr>
              <w:keepNext/>
              <w:keepLines/>
              <w:spacing w:after="120"/>
              <w:jc w:val="both"/>
              <w:rPr>
                <w:rFonts w:ascii="Times New Roman" w:hAnsi="Times New Roman" w:cs="Times New Roman"/>
                <w:b/>
                <w:noProof/>
              </w:rPr>
            </w:pPr>
            <w:r>
              <w:rPr>
                <w:rFonts w:ascii="Times New Roman" w:hAnsi="Times New Roman"/>
                <w:b/>
                <w:noProof/>
              </w:rPr>
              <w:t xml:space="preserve">Caixa 2: Programação conjunta da UE em Madagáscar </w:t>
            </w:r>
          </w:p>
          <w:p w:rsidR="00737A53" w:rsidRDefault="0076469E">
            <w:pPr>
              <w:spacing w:after="120"/>
              <w:jc w:val="both"/>
              <w:rPr>
                <w:rFonts w:ascii="Times New Roman" w:hAnsi="Times New Roman" w:cs="Times New Roman"/>
                <w:noProof/>
              </w:rPr>
            </w:pPr>
            <w:r>
              <w:rPr>
                <w:rFonts w:ascii="Times New Roman" w:hAnsi="Times New Roman"/>
                <w:noProof/>
              </w:rPr>
              <w:t xml:space="preserve">Em 2018, a UE, a </w:t>
            </w:r>
            <w:r>
              <w:rPr>
                <w:rFonts w:ascii="Times New Roman" w:hAnsi="Times New Roman"/>
                <w:noProof/>
              </w:rPr>
              <w:t>Alemanha e a França aderiram à programação conjunta e desenvolveram uma análise conjunta. Na sequência das eleições presidenciais de janeiro de 2019, que assinalaram a primeira alternância de poder no país, o governo malgaxe preparou o</w:t>
            </w:r>
            <w:r>
              <w:rPr>
                <w:rFonts w:ascii="Times New Roman" w:hAnsi="Times New Roman"/>
                <w:i/>
                <w:iCs/>
                <w:noProof/>
              </w:rPr>
              <w:t xml:space="preserve"> Plano de Emergência </w:t>
            </w:r>
            <w:r>
              <w:rPr>
                <w:rFonts w:ascii="Times New Roman" w:hAnsi="Times New Roman"/>
                <w:i/>
                <w:iCs/>
                <w:noProof/>
              </w:rPr>
              <w:t>de Madagáscar</w:t>
            </w:r>
            <w:r>
              <w:rPr>
                <w:rFonts w:ascii="Times New Roman" w:hAnsi="Times New Roman"/>
                <w:iCs/>
                <w:noProof/>
              </w:rPr>
              <w:t xml:space="preserve"> 2019-2023,</w:t>
            </w:r>
            <w:r>
              <w:rPr>
                <w:rFonts w:ascii="Times New Roman" w:hAnsi="Times New Roman"/>
                <w:i/>
                <w:iCs/>
                <w:noProof/>
              </w:rPr>
              <w:t xml:space="preserve"> </w:t>
            </w:r>
            <w:r>
              <w:rPr>
                <w:rFonts w:ascii="Times New Roman" w:hAnsi="Times New Roman"/>
                <w:noProof/>
              </w:rPr>
              <w:t>que definiria a estratégia para a programação conjunta planeada em 2020. Os parceiros da UE têm vindo cada vez mais a executar programas e projetos conjuntos em diversos setores. Esta ampla colaboração melhorou a sincronização e co</w:t>
            </w:r>
            <w:r>
              <w:rPr>
                <w:rFonts w:ascii="Times New Roman" w:hAnsi="Times New Roman"/>
                <w:noProof/>
              </w:rPr>
              <w:t xml:space="preserve">mplementaridade das intervenções, incluindo em termos de apoio à sociedade civil. No domínio da segurança alimentar e nutricional, a cultura de </w:t>
            </w:r>
            <w:r>
              <w:rPr>
                <w:rFonts w:ascii="Times New Roman" w:hAnsi="Times New Roman"/>
                <w:i/>
                <w:iCs/>
                <w:noProof/>
              </w:rPr>
              <w:t>fazer melhor em conjunto</w:t>
            </w:r>
            <w:r>
              <w:rPr>
                <w:rFonts w:ascii="Times New Roman" w:hAnsi="Times New Roman"/>
                <w:noProof/>
              </w:rPr>
              <w:t xml:space="preserve"> tem acelerado claramente os progressos alcançados na execução conjunta e permitiu um di</w:t>
            </w:r>
            <w:r>
              <w:rPr>
                <w:rFonts w:ascii="Times New Roman" w:hAnsi="Times New Roman"/>
                <w:noProof/>
              </w:rPr>
              <w:t xml:space="preserve">álogo estruturado com o governo em diversas plataformas de coordenação. </w:t>
            </w:r>
          </w:p>
        </w:tc>
      </w:tr>
    </w:tbl>
    <w:p w:rsidR="00737A53" w:rsidRDefault="00737A53">
      <w:pPr>
        <w:spacing w:after="120"/>
        <w:jc w:val="both"/>
        <w:rPr>
          <w:rFonts w:ascii="Times New Roman" w:hAnsi="Times New Roman" w:cs="Times New Roman"/>
          <w:noProof/>
        </w:rPr>
      </w:pPr>
    </w:p>
    <w:p w:rsidR="00737A53" w:rsidRPr="0076469E" w:rsidRDefault="0076469E">
      <w:pPr>
        <w:pStyle w:val="Heading1"/>
        <w:spacing w:after="120"/>
        <w:rPr>
          <w:rFonts w:ascii="Times New Roman" w:hAnsi="Times New Roman" w:cs="Times New Roman"/>
          <w:b/>
          <w:noProof/>
          <w:color w:val="auto"/>
          <w:sz w:val="24"/>
          <w:szCs w:val="24"/>
        </w:rPr>
      </w:pPr>
      <w:r w:rsidRPr="0076469E">
        <w:rPr>
          <w:rFonts w:ascii="Times New Roman" w:hAnsi="Times New Roman"/>
          <w:b/>
          <w:noProof/>
          <w:color w:val="auto"/>
          <w:sz w:val="24"/>
          <w:szCs w:val="24"/>
        </w:rPr>
        <w:t>4. COMUNICAÇÃO DOS RESULTADOS</w:t>
      </w:r>
    </w:p>
    <w:p w:rsidR="00737A53" w:rsidRDefault="0076469E">
      <w:pPr>
        <w:spacing w:after="120"/>
        <w:jc w:val="both"/>
        <w:rPr>
          <w:rFonts w:ascii="Times New Roman" w:hAnsi="Times New Roman" w:cs="Times New Roman"/>
          <w:noProof/>
          <w:color w:val="000000" w:themeColor="text1"/>
        </w:rPr>
      </w:pPr>
      <w:r>
        <w:rPr>
          <w:rFonts w:ascii="Times New Roman" w:hAnsi="Times New Roman"/>
          <w:noProof/>
        </w:rPr>
        <w:t xml:space="preserve">A natureza multidimensional das questões de segurança alimentar e nutricional, a diversidade de projetos, os diferentes sistemas e canais de execução, </w:t>
      </w:r>
      <w:r>
        <w:rPr>
          <w:rFonts w:ascii="Times New Roman" w:hAnsi="Times New Roman"/>
          <w:noProof/>
        </w:rPr>
        <w:t>os objetivos específicos das políticas de desenvolvimento e as práticas estatísticas individuais dos Estados-Membros, todos constituem um desafio para a comunicação de indicadores agregados normalizados que mostrem o impacto no terreno. Ainda assim, a UE e</w:t>
      </w:r>
      <w:r>
        <w:rPr>
          <w:rFonts w:ascii="Times New Roman" w:hAnsi="Times New Roman"/>
          <w:noProof/>
        </w:rPr>
        <w:t xml:space="preserve"> os seus Estados-Membros estão a intensificar os seus esforços de harmonização na comunicação de resultados no âmbito do Eurostat e dos ODS</w:t>
      </w:r>
      <w:r>
        <w:rPr>
          <w:rStyle w:val="FootnoteReference"/>
          <w:rFonts w:ascii="Times New Roman" w:hAnsi="Times New Roman" w:cs="Times New Roman"/>
          <w:noProof/>
        </w:rPr>
        <w:footnoteReference w:id="23"/>
      </w:r>
      <w:r>
        <w:rPr>
          <w:rFonts w:ascii="Times New Roman" w:hAnsi="Times New Roman"/>
          <w:noProof/>
        </w:rPr>
        <w:t xml:space="preserve">. </w:t>
      </w:r>
    </w:p>
    <w:p w:rsidR="00737A53" w:rsidRDefault="0076469E">
      <w:pPr>
        <w:spacing w:after="120"/>
        <w:jc w:val="both"/>
        <w:rPr>
          <w:rFonts w:ascii="Times New Roman" w:hAnsi="Times New Roman" w:cs="Times New Roman"/>
          <w:noProof/>
          <w:color w:val="000000" w:themeColor="text1"/>
        </w:rPr>
      </w:pPr>
      <w:r>
        <w:rPr>
          <w:rFonts w:ascii="Times New Roman" w:hAnsi="Times New Roman"/>
          <w:noProof/>
        </w:rPr>
        <w:t>O quadro 4 apresenta os resultados quantificados no que respeita a alguns temas selecionados, nomeadamente a assi</w:t>
      </w:r>
      <w:r>
        <w:rPr>
          <w:rFonts w:ascii="Times New Roman" w:hAnsi="Times New Roman"/>
          <w:noProof/>
        </w:rPr>
        <w:t>stência a pessoas em situação de insegurança alimentar, nutrição, desenvolvimento sustentável em ecossistemas agrícolas e de pastorícia e apoio a pequenos agricultores para aumentar a produção sustentável e melhorar o acesso a mercados, terras e financiame</w:t>
      </w:r>
      <w:r>
        <w:rPr>
          <w:rFonts w:ascii="Times New Roman" w:hAnsi="Times New Roman"/>
          <w:noProof/>
        </w:rPr>
        <w:t>nto. Contudo, quaisquer comparações devem ser efetuadas com cautela, na medida em que os métodos de cálculo podem diferir entre países e o quadro não fornece uma imagem completa dos esforços em cada área, mas apenas o que foi recolhido através das ferramen</w:t>
      </w:r>
      <w:r>
        <w:rPr>
          <w:rFonts w:ascii="Times New Roman" w:hAnsi="Times New Roman"/>
          <w:noProof/>
        </w:rPr>
        <w:t>tas disponíveis.</w:t>
      </w:r>
    </w:p>
    <w:p w:rsidR="00737A53" w:rsidRDefault="00737A53">
      <w:pPr>
        <w:spacing w:after="120"/>
        <w:jc w:val="both"/>
        <w:rPr>
          <w:rFonts w:ascii="Times New Roman" w:hAnsi="Times New Roman" w:cs="Times New Roman"/>
          <w:noProof/>
          <w:color w:val="000000" w:themeColor="text1"/>
        </w:rPr>
      </w:pPr>
    </w:p>
    <w:p w:rsidR="00737A53" w:rsidRDefault="0076469E">
      <w:pPr>
        <w:keepNext/>
        <w:keepLines/>
        <w:spacing w:after="120"/>
        <w:jc w:val="both"/>
        <w:outlineLvl w:val="0"/>
        <w:rPr>
          <w:rFonts w:ascii="Times New Roman" w:hAnsi="Times New Roman" w:cs="Times New Roman"/>
          <w:b/>
          <w:noProof/>
        </w:rPr>
      </w:pPr>
      <w:r>
        <w:rPr>
          <w:rFonts w:ascii="Times New Roman" w:hAnsi="Times New Roman"/>
          <w:b/>
          <w:noProof/>
        </w:rPr>
        <w:t>Quadro 4: Resultados e impacto no terreno</w:t>
      </w:r>
    </w:p>
    <w:tbl>
      <w:tblPr>
        <w:tblStyle w:val="TableGrid"/>
        <w:tblW w:w="5000" w:type="pct"/>
        <w:tblLook w:val="04A0" w:firstRow="1" w:lastRow="0" w:firstColumn="1" w:lastColumn="0" w:noHBand="0" w:noVBand="1"/>
      </w:tblPr>
      <w:tblGrid>
        <w:gridCol w:w="1672"/>
        <w:gridCol w:w="7564"/>
      </w:tblGrid>
      <w:tr w:rsidR="00737A53">
        <w:tc>
          <w:tcPr>
            <w:tcW w:w="905" w:type="pct"/>
          </w:tcPr>
          <w:p w:rsidR="00737A53" w:rsidRDefault="0076469E">
            <w:pPr>
              <w:spacing w:after="120"/>
              <w:jc w:val="both"/>
              <w:rPr>
                <w:rFonts w:ascii="Times New Roman" w:hAnsi="Times New Roman" w:cs="Times New Roman"/>
                <w:noProof/>
              </w:rPr>
            </w:pPr>
            <w:r>
              <w:rPr>
                <w:rFonts w:ascii="Times New Roman" w:hAnsi="Times New Roman"/>
                <w:noProof/>
              </w:rPr>
              <w:t>Áustria</w:t>
            </w:r>
          </w:p>
        </w:tc>
        <w:tc>
          <w:tcPr>
            <w:tcW w:w="4095" w:type="pct"/>
          </w:tcPr>
          <w:p w:rsidR="00737A53" w:rsidRDefault="0076469E">
            <w:pPr>
              <w:spacing w:after="120"/>
              <w:jc w:val="both"/>
              <w:rPr>
                <w:rFonts w:ascii="Times New Roman" w:hAnsi="Times New Roman" w:cs="Times New Roman"/>
                <w:noProof/>
              </w:rPr>
            </w:pPr>
            <w:r>
              <w:rPr>
                <w:rFonts w:ascii="Times New Roman" w:hAnsi="Times New Roman"/>
                <w:noProof/>
              </w:rPr>
              <w:t>Em 2017-2018, 1 327 983 pequenos agricultores foram abrangidos por medidas financiadas pela Agência de Desenvolvimento Austríaca, concebidas para aumentar a produção agrícola sustentável e</w:t>
            </w:r>
            <w:r>
              <w:rPr>
                <w:rFonts w:ascii="Times New Roman" w:hAnsi="Times New Roman"/>
                <w:noProof/>
              </w:rPr>
              <w:t>/ou melhorar o acesso às terras e a outros recursos naturais, a serviços financeiros e/ou aos mercados. Destes, 399 217 estavam em situação de insegurança alimentar.</w:t>
            </w:r>
          </w:p>
        </w:tc>
      </w:tr>
      <w:tr w:rsidR="00737A53">
        <w:tc>
          <w:tcPr>
            <w:tcW w:w="905" w:type="pct"/>
          </w:tcPr>
          <w:p w:rsidR="00737A53" w:rsidRDefault="0076469E">
            <w:pPr>
              <w:spacing w:after="120"/>
              <w:jc w:val="both"/>
              <w:rPr>
                <w:rFonts w:ascii="Times New Roman" w:hAnsi="Times New Roman" w:cs="Times New Roman"/>
                <w:noProof/>
              </w:rPr>
            </w:pPr>
            <w:r>
              <w:rPr>
                <w:rFonts w:ascii="Times New Roman" w:hAnsi="Times New Roman"/>
                <w:noProof/>
              </w:rPr>
              <w:t>Comissão Europeia (2013-2018)</w:t>
            </w:r>
          </w:p>
        </w:tc>
        <w:tc>
          <w:tcPr>
            <w:tcW w:w="4095" w:type="pct"/>
          </w:tcPr>
          <w:p w:rsidR="00737A53" w:rsidRDefault="0076469E">
            <w:pPr>
              <w:spacing w:after="120"/>
              <w:jc w:val="both"/>
              <w:rPr>
                <w:rFonts w:ascii="Times New Roman" w:hAnsi="Times New Roman" w:cs="Times New Roman"/>
                <w:noProof/>
              </w:rPr>
            </w:pPr>
            <w:r>
              <w:rPr>
                <w:rFonts w:ascii="Times New Roman" w:hAnsi="Times New Roman"/>
                <w:noProof/>
              </w:rPr>
              <w:t>17 787 000 mulheres em idade fértil e crianças com menos de</w:t>
            </w:r>
            <w:r>
              <w:rPr>
                <w:rFonts w:ascii="Times New Roman" w:hAnsi="Times New Roman"/>
                <w:noProof/>
              </w:rPr>
              <w:t xml:space="preserve"> cinco anos, das quais 1 381 000 estavam em situação de insegurança alimentar, beneficiaram de programas de nutrição (2018); </w:t>
            </w:r>
          </w:p>
          <w:p w:rsidR="00737A53" w:rsidRDefault="0076469E">
            <w:pPr>
              <w:spacing w:after="120"/>
              <w:jc w:val="both"/>
              <w:rPr>
                <w:rFonts w:ascii="Times New Roman" w:hAnsi="Times New Roman" w:cs="Times New Roman"/>
                <w:noProof/>
              </w:rPr>
            </w:pPr>
            <w:r>
              <w:rPr>
                <w:rFonts w:ascii="Times New Roman" w:hAnsi="Times New Roman"/>
                <w:noProof/>
              </w:rPr>
              <w:t>26 197 000 pessoas em situação de insegurança alimentar receberam assistência da UE;</w:t>
            </w:r>
          </w:p>
          <w:p w:rsidR="00737A53" w:rsidRDefault="0076469E">
            <w:pPr>
              <w:spacing w:after="120"/>
              <w:jc w:val="both"/>
              <w:rPr>
                <w:rFonts w:ascii="Times New Roman" w:hAnsi="Times New Roman" w:cs="Times New Roman"/>
                <w:noProof/>
              </w:rPr>
            </w:pPr>
            <w:r>
              <w:rPr>
                <w:rFonts w:ascii="Times New Roman" w:hAnsi="Times New Roman"/>
                <w:noProof/>
              </w:rPr>
              <w:t xml:space="preserve">foram introduzidas práticas de gestão </w:t>
            </w:r>
            <w:r>
              <w:rPr>
                <w:rFonts w:ascii="Times New Roman" w:hAnsi="Times New Roman"/>
                <w:noProof/>
              </w:rPr>
              <w:t>sustentável dos solos em 4 152 000 hectares;</w:t>
            </w:r>
          </w:p>
          <w:p w:rsidR="00737A53" w:rsidRDefault="0076469E">
            <w:pPr>
              <w:spacing w:after="120"/>
              <w:jc w:val="both"/>
              <w:rPr>
                <w:rFonts w:ascii="Times New Roman" w:hAnsi="Times New Roman" w:cs="Times New Roman"/>
                <w:noProof/>
              </w:rPr>
            </w:pPr>
            <w:r>
              <w:rPr>
                <w:rFonts w:ascii="Times New Roman" w:hAnsi="Times New Roman"/>
                <w:noProof/>
              </w:rPr>
              <w:t>6 985 000 pequenos agricultores, dos quais 828 000 estavam em situação de insegurança alimentar, beneficiaram de medidas apoiadas pela UE concebidas para aumentar a sua produção sustentável, o acesso aos mercado</w:t>
            </w:r>
            <w:r>
              <w:rPr>
                <w:rFonts w:ascii="Times New Roman" w:hAnsi="Times New Roman"/>
                <w:noProof/>
              </w:rPr>
              <w:t>s e/ou a segurança das terras(2018).</w:t>
            </w:r>
          </w:p>
        </w:tc>
      </w:tr>
      <w:tr w:rsidR="00737A53">
        <w:tc>
          <w:tcPr>
            <w:tcW w:w="905" w:type="pct"/>
          </w:tcPr>
          <w:p w:rsidR="00737A53" w:rsidRDefault="0076469E">
            <w:pPr>
              <w:spacing w:after="120"/>
              <w:jc w:val="both"/>
              <w:rPr>
                <w:rFonts w:ascii="Times New Roman" w:hAnsi="Times New Roman" w:cs="Times New Roman"/>
                <w:noProof/>
              </w:rPr>
            </w:pPr>
            <w:r>
              <w:rPr>
                <w:rFonts w:ascii="Times New Roman" w:hAnsi="Times New Roman"/>
                <w:noProof/>
              </w:rPr>
              <w:t>Finlândia</w:t>
            </w:r>
          </w:p>
        </w:tc>
        <w:tc>
          <w:tcPr>
            <w:tcW w:w="4095" w:type="pct"/>
          </w:tcPr>
          <w:p w:rsidR="00737A53" w:rsidRDefault="0076469E">
            <w:pPr>
              <w:spacing w:after="120"/>
              <w:jc w:val="both"/>
              <w:rPr>
                <w:rFonts w:ascii="Times New Roman" w:hAnsi="Times New Roman" w:cs="Times New Roman"/>
                <w:noProof/>
              </w:rPr>
            </w:pPr>
            <w:r>
              <w:rPr>
                <w:rFonts w:ascii="Times New Roman" w:hAnsi="Times New Roman"/>
                <w:noProof/>
              </w:rPr>
              <w:t>Em 2015-2017, no âmbito de projetos bilaterais e de apoio à sociedade civil foi possível ajudar cerca de 3 106 000 agricultores, dos quais 41 % eram mulheres,a aumentar a sua produção sustentável, o acesso ao</w:t>
            </w:r>
            <w:r>
              <w:rPr>
                <w:rFonts w:ascii="Times New Roman" w:hAnsi="Times New Roman"/>
                <w:noProof/>
              </w:rPr>
              <w:t>s mercados e/ou a segurança fundiária. A cooperação com o setor privado apoiou mais de 2 200 000 agricultores. 120 000 famílias asseguraram a propriedade de terras – 64 % dos certificados de propriedade de terras foram obtidos por pessoas casadas e 19 % po</w:t>
            </w:r>
            <w:r>
              <w:rPr>
                <w:rFonts w:ascii="Times New Roman" w:hAnsi="Times New Roman"/>
                <w:noProof/>
              </w:rPr>
              <w:t>r mulheres. Além disso, 3 245 400 hectares de floresta foram afetados a uma utilização mais sustentável através de operações bilaterais, da sociedade civil e do setor privado.</w:t>
            </w:r>
          </w:p>
        </w:tc>
      </w:tr>
      <w:tr w:rsidR="00737A53">
        <w:tc>
          <w:tcPr>
            <w:tcW w:w="905" w:type="pct"/>
          </w:tcPr>
          <w:p w:rsidR="00737A53" w:rsidRDefault="0076469E">
            <w:pPr>
              <w:spacing w:after="120"/>
              <w:jc w:val="both"/>
              <w:rPr>
                <w:rFonts w:ascii="Times New Roman" w:hAnsi="Times New Roman" w:cs="Times New Roman"/>
                <w:noProof/>
              </w:rPr>
            </w:pPr>
            <w:r>
              <w:rPr>
                <w:rFonts w:ascii="Times New Roman" w:hAnsi="Times New Roman"/>
                <w:noProof/>
              </w:rPr>
              <w:t>França</w:t>
            </w:r>
          </w:p>
        </w:tc>
        <w:tc>
          <w:tcPr>
            <w:tcW w:w="4095" w:type="pct"/>
          </w:tcPr>
          <w:p w:rsidR="00737A53" w:rsidRDefault="0076469E">
            <w:pPr>
              <w:spacing w:after="120"/>
              <w:jc w:val="both"/>
              <w:rPr>
                <w:rFonts w:ascii="Times New Roman" w:hAnsi="Times New Roman" w:cs="Times New Roman"/>
                <w:noProof/>
              </w:rPr>
            </w:pPr>
            <w:r>
              <w:rPr>
                <w:rFonts w:ascii="Times New Roman" w:hAnsi="Times New Roman"/>
                <w:noProof/>
              </w:rPr>
              <w:t>Em 2016-2018, 9 086 289 explorações agrícolas foram apoiadas por projeto</w:t>
            </w:r>
            <w:r>
              <w:rPr>
                <w:rFonts w:ascii="Times New Roman" w:hAnsi="Times New Roman"/>
                <w:noProof/>
              </w:rPr>
              <w:t>s financiados pela Agência Francesa para o Desenvolvimento (AFD), concebidos para aumentar a sua competitividade, adaptar as suas práticas agrícolas às alterações climáticas e facilitar o seu acesso a terras e a serviços financeiros.</w:t>
            </w:r>
          </w:p>
          <w:p w:rsidR="00737A53" w:rsidRDefault="0076469E">
            <w:pPr>
              <w:spacing w:after="120"/>
              <w:jc w:val="both"/>
              <w:rPr>
                <w:rFonts w:ascii="Times New Roman" w:hAnsi="Times New Roman" w:cs="Times New Roman"/>
                <w:noProof/>
              </w:rPr>
            </w:pPr>
            <w:r>
              <w:rPr>
                <w:rFonts w:ascii="Times New Roman" w:hAnsi="Times New Roman"/>
                <w:noProof/>
              </w:rPr>
              <w:t>57 621 mil hectares be</w:t>
            </w:r>
            <w:r>
              <w:rPr>
                <w:rFonts w:ascii="Times New Roman" w:hAnsi="Times New Roman"/>
                <w:noProof/>
              </w:rPr>
              <w:t>neficiaram de programas de conservação, restauro e gestão sustentável da biodiversidade (2016-2018). Em 2017-2019, 5,4 milhões de pessoas em situação de insegurança alimentar beneficiaram do programa de ajuda alimentar do Ministério da Europa e dos Negócio</w:t>
            </w:r>
            <w:r>
              <w:rPr>
                <w:rFonts w:ascii="Times New Roman" w:hAnsi="Times New Roman"/>
                <w:noProof/>
              </w:rPr>
              <w:t>s Estrangeiros.</w:t>
            </w:r>
          </w:p>
        </w:tc>
      </w:tr>
      <w:tr w:rsidR="00737A53">
        <w:tc>
          <w:tcPr>
            <w:tcW w:w="905" w:type="pct"/>
          </w:tcPr>
          <w:p w:rsidR="00737A53" w:rsidRDefault="0076469E">
            <w:pPr>
              <w:spacing w:after="120"/>
              <w:jc w:val="both"/>
              <w:rPr>
                <w:rFonts w:ascii="Times New Roman" w:hAnsi="Times New Roman" w:cs="Times New Roman"/>
                <w:noProof/>
              </w:rPr>
            </w:pPr>
            <w:r>
              <w:rPr>
                <w:rFonts w:ascii="Times New Roman" w:hAnsi="Times New Roman"/>
                <w:noProof/>
              </w:rPr>
              <w:t>Alemanha</w:t>
            </w:r>
          </w:p>
        </w:tc>
        <w:tc>
          <w:tcPr>
            <w:tcW w:w="4095" w:type="pct"/>
          </w:tcPr>
          <w:p w:rsidR="00737A53" w:rsidRDefault="0076469E">
            <w:pPr>
              <w:spacing w:after="120"/>
              <w:jc w:val="both"/>
              <w:rPr>
                <w:rFonts w:ascii="Times New Roman" w:hAnsi="Times New Roman" w:cs="Times New Roman"/>
                <w:noProof/>
              </w:rPr>
            </w:pPr>
            <w:r>
              <w:rPr>
                <w:rFonts w:ascii="Times New Roman" w:hAnsi="Times New Roman"/>
                <w:noProof/>
              </w:rPr>
              <w:t>178 600 mulheres em idade fértil e 67 400 crianças com menos de dois anos, visadas pelo programa mundial de segurança alimentar e nutricional e de melhoria da nutrição (parte da iniciativa alemã «One World – No Hunger» [Um Mundo s</w:t>
            </w:r>
            <w:r>
              <w:rPr>
                <w:rFonts w:ascii="Times New Roman" w:hAnsi="Times New Roman"/>
                <w:noProof/>
              </w:rPr>
              <w:t>em Fome]) do Ministério Alemão para a Cooperação e Desenvolvimento Económico (BMZ), registaram melhorias comprovadas na sua nutrição em 2018. Pelo menos 16 000 000 pessoas em situação de insegurança alimentar beneficiaram das medidas de melhoria da seguran</w:t>
            </w:r>
            <w:r>
              <w:rPr>
                <w:rFonts w:ascii="Times New Roman" w:hAnsi="Times New Roman"/>
                <w:noProof/>
              </w:rPr>
              <w:t>ça alimentar e nutricional implementadas pelo governo alemão</w:t>
            </w:r>
            <w:r>
              <w:rPr>
                <w:rStyle w:val="FootnoteReference"/>
                <w:rFonts w:ascii="Times New Roman" w:hAnsi="Times New Roman" w:cs="Times New Roman"/>
                <w:noProof/>
              </w:rPr>
              <w:footnoteReference w:id="24"/>
            </w:r>
            <w:r>
              <w:rPr>
                <w:rFonts w:ascii="Times New Roman" w:hAnsi="Times New Roman"/>
                <w:noProof/>
              </w:rPr>
              <w:t>.</w:t>
            </w:r>
          </w:p>
        </w:tc>
      </w:tr>
      <w:tr w:rsidR="00737A53">
        <w:tc>
          <w:tcPr>
            <w:tcW w:w="905" w:type="pct"/>
          </w:tcPr>
          <w:p w:rsidR="00737A53" w:rsidRDefault="0076469E">
            <w:pPr>
              <w:spacing w:after="120"/>
              <w:jc w:val="both"/>
              <w:rPr>
                <w:rFonts w:ascii="Times New Roman" w:hAnsi="Times New Roman" w:cs="Times New Roman"/>
                <w:noProof/>
              </w:rPr>
            </w:pPr>
            <w:r>
              <w:rPr>
                <w:rFonts w:ascii="Times New Roman" w:hAnsi="Times New Roman"/>
                <w:noProof/>
              </w:rPr>
              <w:t>Países Baixos (2019)</w:t>
            </w:r>
          </w:p>
        </w:tc>
        <w:tc>
          <w:tcPr>
            <w:tcW w:w="4095" w:type="pct"/>
          </w:tcPr>
          <w:p w:rsidR="00737A53" w:rsidRDefault="0076469E">
            <w:pPr>
              <w:spacing w:after="120"/>
              <w:jc w:val="both"/>
              <w:rPr>
                <w:rFonts w:ascii="Times New Roman" w:hAnsi="Times New Roman" w:cs="Times New Roman"/>
                <w:noProof/>
              </w:rPr>
            </w:pPr>
            <w:r>
              <w:rPr>
                <w:rFonts w:ascii="Times New Roman" w:hAnsi="Times New Roman"/>
                <w:noProof/>
              </w:rPr>
              <w:t>20 100 000 pessoas subnutridas receberam assistência, das quais cerca de 15 300 000 beneficiaram comprovadamente dessa assistência na forma de ingestão de alimentos melhor</w:t>
            </w:r>
            <w:r>
              <w:rPr>
                <w:rFonts w:ascii="Times New Roman" w:hAnsi="Times New Roman"/>
                <w:noProof/>
              </w:rPr>
              <w:t xml:space="preserve">ada; </w:t>
            </w:r>
          </w:p>
          <w:p w:rsidR="00737A53" w:rsidRDefault="0076469E">
            <w:pPr>
              <w:spacing w:after="120"/>
              <w:jc w:val="both"/>
              <w:rPr>
                <w:rFonts w:ascii="Times New Roman" w:hAnsi="Times New Roman" w:cs="Times New Roman"/>
                <w:noProof/>
              </w:rPr>
            </w:pPr>
            <w:r>
              <w:rPr>
                <w:rFonts w:ascii="Times New Roman" w:hAnsi="Times New Roman"/>
                <w:noProof/>
              </w:rPr>
              <w:t>19 200 000 pequenas explorações agrícolas familiares receberam apoio, tendo 6 600 000 aumentado a sua produtividade e/ou rendimento e 5 600 000 (também) obtido melhor acesso aos mercados;</w:t>
            </w:r>
          </w:p>
          <w:p w:rsidR="00737A53" w:rsidRDefault="0076469E">
            <w:pPr>
              <w:spacing w:after="120"/>
              <w:jc w:val="both"/>
              <w:rPr>
                <w:rFonts w:ascii="Times New Roman" w:hAnsi="Times New Roman" w:cs="Times New Roman"/>
                <w:noProof/>
              </w:rPr>
            </w:pPr>
            <w:r>
              <w:rPr>
                <w:rFonts w:ascii="Times New Roman" w:hAnsi="Times New Roman"/>
                <w:noProof/>
              </w:rPr>
              <w:t>673 000 hectares de terrenos agrícolas foram melhorados, tendo</w:t>
            </w:r>
            <w:r>
              <w:rPr>
                <w:rFonts w:ascii="Times New Roman" w:hAnsi="Times New Roman"/>
                <w:noProof/>
              </w:rPr>
              <w:t xml:space="preserve"> sido adotadas  práticas mais eficientes do ponto de vista ecológico em 612 000 hectares e melhorada a resiliência a tensões e impactos em  118 000 hectares; 113 000 agricultores conseguiram assegurar a posse de terra.</w:t>
            </w:r>
          </w:p>
        </w:tc>
      </w:tr>
      <w:tr w:rsidR="00737A53">
        <w:tc>
          <w:tcPr>
            <w:tcW w:w="905" w:type="pct"/>
          </w:tcPr>
          <w:p w:rsidR="00737A53" w:rsidRDefault="0076469E">
            <w:pPr>
              <w:spacing w:after="120"/>
              <w:jc w:val="both"/>
              <w:rPr>
                <w:rFonts w:ascii="Times New Roman" w:hAnsi="Times New Roman" w:cs="Times New Roman"/>
                <w:noProof/>
              </w:rPr>
            </w:pPr>
            <w:r>
              <w:rPr>
                <w:rFonts w:ascii="Times New Roman" w:hAnsi="Times New Roman"/>
                <w:noProof/>
              </w:rPr>
              <w:t>Reino Unido</w:t>
            </w:r>
          </w:p>
        </w:tc>
        <w:tc>
          <w:tcPr>
            <w:tcW w:w="4095" w:type="pct"/>
          </w:tcPr>
          <w:p w:rsidR="00737A53" w:rsidRDefault="0076469E">
            <w:pPr>
              <w:spacing w:after="120"/>
              <w:jc w:val="both"/>
              <w:rPr>
                <w:rFonts w:ascii="Times New Roman" w:hAnsi="Times New Roman" w:cs="Times New Roman"/>
                <w:noProof/>
              </w:rPr>
            </w:pPr>
            <w:r>
              <w:rPr>
                <w:rFonts w:ascii="Times New Roman" w:hAnsi="Times New Roman"/>
                <w:noProof/>
              </w:rPr>
              <w:t xml:space="preserve">60 300 000 crianças com </w:t>
            </w:r>
            <w:r>
              <w:rPr>
                <w:rFonts w:ascii="Times New Roman" w:hAnsi="Times New Roman"/>
                <w:noProof/>
              </w:rPr>
              <w:t>menos de 5 anos, mulheres (em idade fértil) e raparigas adolescentes foram abrangidas por medidas relacionadas com a nutrição (abril de 2015-março de 2019). Em 2018-2019, o Ministério do Desenvolvimento Internacional tinha em curso 49 programas de agricult</w:t>
            </w:r>
            <w:r>
              <w:rPr>
                <w:rFonts w:ascii="Times New Roman" w:hAnsi="Times New Roman"/>
                <w:noProof/>
              </w:rPr>
              <w:t>ura comercial, que tinham beneficiado mais de 22 milhões de agricultores e mantido ou criado mais de 140 000 empregos.</w:t>
            </w:r>
          </w:p>
        </w:tc>
      </w:tr>
    </w:tbl>
    <w:p w:rsidR="00737A53" w:rsidRDefault="00737A53">
      <w:pPr>
        <w:spacing w:after="120"/>
        <w:jc w:val="both"/>
        <w:rPr>
          <w:rFonts w:ascii="Times New Roman" w:hAnsi="Times New Roman" w:cs="Times New Roman"/>
          <w:noProof/>
          <w:color w:val="000000" w:themeColor="text1"/>
        </w:rPr>
      </w:pPr>
    </w:p>
    <w:p w:rsidR="00737A53" w:rsidRPr="0076469E" w:rsidRDefault="0076469E">
      <w:pPr>
        <w:pStyle w:val="Heading1"/>
        <w:spacing w:after="120"/>
        <w:rPr>
          <w:rFonts w:ascii="Times New Roman" w:hAnsi="Times New Roman" w:cs="Times New Roman"/>
          <w:b/>
          <w:noProof/>
          <w:color w:val="auto"/>
          <w:sz w:val="24"/>
          <w:szCs w:val="24"/>
        </w:rPr>
      </w:pPr>
      <w:r w:rsidRPr="0076469E">
        <w:rPr>
          <w:rFonts w:ascii="Times New Roman" w:hAnsi="Times New Roman"/>
          <w:b/>
          <w:noProof/>
          <w:color w:val="auto"/>
          <w:sz w:val="24"/>
          <w:szCs w:val="24"/>
        </w:rPr>
        <w:t>5. ÊNFASE TEMÁTICA</w:t>
      </w:r>
    </w:p>
    <w:p w:rsidR="00737A53" w:rsidRDefault="0076469E">
      <w:pPr>
        <w:spacing w:after="120"/>
        <w:jc w:val="both"/>
        <w:rPr>
          <w:rFonts w:ascii="Times New Roman" w:hAnsi="Times New Roman" w:cs="Times New Roman"/>
          <w:noProof/>
        </w:rPr>
      </w:pPr>
      <w:r>
        <w:rPr>
          <w:rFonts w:ascii="Times New Roman" w:hAnsi="Times New Roman"/>
          <w:noProof/>
        </w:rPr>
        <w:t xml:space="preserve">Conforme pedido pelo Conselho em 2018, o presente relatório analisa mais profundamente dois temas específicos: o </w:t>
      </w:r>
      <w:r>
        <w:rPr>
          <w:rFonts w:ascii="Times New Roman" w:hAnsi="Times New Roman"/>
          <w:noProof/>
        </w:rPr>
        <w:t>empoderamento das mulheres e o emprego rural.</w:t>
      </w:r>
    </w:p>
    <w:p w:rsidR="00737A53" w:rsidRDefault="0076469E">
      <w:pPr>
        <w:keepNext/>
        <w:keepLines/>
        <w:spacing w:after="120"/>
        <w:jc w:val="both"/>
        <w:outlineLvl w:val="0"/>
        <w:rPr>
          <w:rFonts w:ascii="Times New Roman" w:hAnsi="Times New Roman" w:cs="Times New Roman"/>
          <w:b/>
          <w:noProof/>
        </w:rPr>
      </w:pPr>
      <w:r>
        <w:rPr>
          <w:rFonts w:ascii="Times New Roman" w:hAnsi="Times New Roman"/>
          <w:b/>
          <w:noProof/>
        </w:rPr>
        <w:t>Empoderamento das mulheres em matéria de segurança alimentar e nutricional</w:t>
      </w:r>
    </w:p>
    <w:p w:rsidR="00737A53" w:rsidRDefault="0076469E">
      <w:pPr>
        <w:spacing w:after="120"/>
        <w:jc w:val="both"/>
        <w:rPr>
          <w:rFonts w:ascii="Times New Roman" w:hAnsi="Times New Roman" w:cs="Times New Roman"/>
          <w:noProof/>
        </w:rPr>
      </w:pPr>
      <w:r>
        <w:rPr>
          <w:rFonts w:ascii="Times New Roman" w:hAnsi="Times New Roman"/>
          <w:noProof/>
        </w:rPr>
        <w:t>Refletindo o empenho da UE numa abordagem transformadora em termos de género, a percentagem de medidas de melhoria da segurança aliment</w:t>
      </w:r>
      <w:r>
        <w:rPr>
          <w:rFonts w:ascii="Times New Roman" w:hAnsi="Times New Roman"/>
          <w:noProof/>
        </w:rPr>
        <w:t xml:space="preserve">ar e nutricional </w:t>
      </w:r>
      <w:r>
        <w:rPr>
          <w:rFonts w:ascii="Times New Roman" w:hAnsi="Times New Roman"/>
          <w:bCs/>
          <w:noProof/>
        </w:rPr>
        <w:t>que incluem a questão da igualdade de género aumentou de 37 % em 2014 para 57 % em 2018</w:t>
      </w:r>
      <w:r>
        <w:rPr>
          <w:rFonts w:ascii="Times New Roman" w:hAnsi="Times New Roman"/>
          <w:noProof/>
        </w:rPr>
        <w:t xml:space="preserve">. As medidas da UE e dos Estados-Membros têm vindo a melhorar cada vez mais o acesso das mulheres aos recursos produtivos e a oportunidades de emprego, </w:t>
      </w:r>
      <w:r>
        <w:rPr>
          <w:rFonts w:ascii="Times New Roman" w:hAnsi="Times New Roman"/>
          <w:noProof/>
        </w:rPr>
        <w:t xml:space="preserve">incentivaram alterações comportamentais, como a tomada de decisões conjuntas nas famílias rurais, e proporcionaram às mulheres plataformas para defenderem os seus direitos. </w:t>
      </w:r>
    </w:p>
    <w:p w:rsidR="00737A53" w:rsidRDefault="0076469E">
      <w:pPr>
        <w:spacing w:after="120"/>
        <w:jc w:val="both"/>
        <w:rPr>
          <w:rFonts w:ascii="Times New Roman" w:hAnsi="Times New Roman" w:cs="Times New Roman"/>
          <w:noProof/>
        </w:rPr>
      </w:pPr>
      <w:r>
        <w:rPr>
          <w:rFonts w:ascii="Times New Roman" w:hAnsi="Times New Roman"/>
          <w:noProof/>
        </w:rPr>
        <w:t xml:space="preserve">No Quénia, Moçambique, Maláui e Senegal, o programa LANDac financiado pelos </w:t>
      </w:r>
      <w:r>
        <w:rPr>
          <w:rFonts w:ascii="Times New Roman" w:hAnsi="Times New Roman"/>
          <w:b/>
          <w:bCs/>
          <w:noProof/>
        </w:rPr>
        <w:t>Países</w:t>
      </w:r>
      <w:r>
        <w:rPr>
          <w:rFonts w:ascii="Times New Roman" w:hAnsi="Times New Roman"/>
          <w:b/>
          <w:bCs/>
          <w:noProof/>
        </w:rPr>
        <w:t xml:space="preserve"> Baixos</w:t>
      </w:r>
      <w:r>
        <w:rPr>
          <w:rFonts w:ascii="Times New Roman" w:hAnsi="Times New Roman"/>
          <w:noProof/>
        </w:rPr>
        <w:t xml:space="preserve"> apoia o acesso por parte das mulheres a terras agrícolas, envolvendo-as na recolha de dados e nos debates em matéria de governação fundiária. No Maláui, a UE reforça os sistemas de governação fundiária para os pequenos agricultores, através da form</w:t>
      </w:r>
      <w:r>
        <w:rPr>
          <w:rFonts w:ascii="Times New Roman" w:hAnsi="Times New Roman"/>
          <w:noProof/>
        </w:rPr>
        <w:t xml:space="preserve">ação dos funcionários locais sobre os direitos fundiários das mulheres e através de um Fórum sobre os Direitos Fundiários das Mulheres, para reforçar as suas competências de liderança. A </w:t>
      </w:r>
      <w:r>
        <w:rPr>
          <w:rFonts w:ascii="Times New Roman" w:hAnsi="Times New Roman"/>
          <w:b/>
          <w:bCs/>
          <w:noProof/>
        </w:rPr>
        <w:t xml:space="preserve">Itália </w:t>
      </w:r>
      <w:r>
        <w:rPr>
          <w:rFonts w:ascii="Times New Roman" w:hAnsi="Times New Roman"/>
          <w:noProof/>
        </w:rPr>
        <w:t>aumentou a participação das mulheres nas cadeias de valor em M</w:t>
      </w:r>
      <w:r>
        <w:rPr>
          <w:rFonts w:ascii="Times New Roman" w:hAnsi="Times New Roman"/>
          <w:noProof/>
        </w:rPr>
        <w:t xml:space="preserve">oçambique e ampliou os serviços de nutrição materna e infantil baseados na comunidade no Afeganistão. No Mali, a </w:t>
      </w:r>
      <w:r>
        <w:rPr>
          <w:rFonts w:ascii="Times New Roman" w:hAnsi="Times New Roman"/>
          <w:b/>
          <w:noProof/>
        </w:rPr>
        <w:t>UE e a Alemanha</w:t>
      </w:r>
      <w:r>
        <w:rPr>
          <w:rFonts w:ascii="Times New Roman" w:hAnsi="Times New Roman"/>
          <w:noProof/>
        </w:rPr>
        <w:t xml:space="preserve"> facilitaram o acesso das mulheres a terras irrigadas, melhorando assim o seu acesso a uma alimentação diversificada e saudável.</w:t>
      </w:r>
      <w:r>
        <w:rPr>
          <w:rFonts w:ascii="Times New Roman" w:hAnsi="Times New Roman"/>
          <w:noProof/>
        </w:rPr>
        <w:t xml:space="preserve"> </w:t>
      </w:r>
    </w:p>
    <w:p w:rsidR="00737A53" w:rsidRDefault="0076469E">
      <w:pPr>
        <w:spacing w:after="120"/>
        <w:jc w:val="both"/>
        <w:rPr>
          <w:rFonts w:ascii="Times New Roman" w:hAnsi="Times New Roman" w:cs="Times New Roman"/>
          <w:noProof/>
        </w:rPr>
      </w:pPr>
      <w:r>
        <w:rPr>
          <w:rFonts w:ascii="Times New Roman" w:hAnsi="Times New Roman"/>
          <w:noProof/>
        </w:rPr>
        <w:t>A UE e os seus Estados-Membros defendem cada vez mais uma abordagem transformadora em termos de género nos seus diálogos estratégicos com os países parceiros. Por exemplo, a UE e os seus Estados-Membros contribuíram para uma análise conjunta em matéria d</w:t>
      </w:r>
      <w:r>
        <w:rPr>
          <w:rFonts w:ascii="Times New Roman" w:hAnsi="Times New Roman"/>
          <w:noProof/>
        </w:rPr>
        <w:t>e género como ponto de partida para a criação de parcerias em diversos setores em Madagáscar, e reforçaram a coordenação entre os parceiros da UE na divulgação de mensagens sensíveis às questões de género no que respeita à violência contra as mulheres na C</w:t>
      </w:r>
      <w:r>
        <w:rPr>
          <w:rFonts w:ascii="Times New Roman" w:hAnsi="Times New Roman"/>
          <w:noProof/>
        </w:rPr>
        <w:t>olômbia.</w:t>
      </w:r>
    </w:p>
    <w:p w:rsidR="00737A53" w:rsidRDefault="0076469E">
      <w:pPr>
        <w:spacing w:after="120"/>
        <w:jc w:val="both"/>
        <w:rPr>
          <w:rFonts w:ascii="Times New Roman" w:hAnsi="Times New Roman" w:cs="Times New Roman"/>
          <w:noProof/>
        </w:rPr>
      </w:pPr>
      <w:r>
        <w:rPr>
          <w:rFonts w:ascii="Times New Roman" w:hAnsi="Times New Roman"/>
          <w:noProof/>
        </w:rPr>
        <w:t>Entre as notas temáticas da UE que apresentam uma abordagem sensível às questões de género no que respeita à governação fundiária, à nutrição e ao desenvolvimento de cadeias de valor figura o documento «Closing the gender gap through agri-food val</w:t>
      </w:r>
      <w:r>
        <w:rPr>
          <w:rFonts w:ascii="Times New Roman" w:hAnsi="Times New Roman"/>
          <w:noProof/>
        </w:rPr>
        <w:t>ue chain development» [Eliminar as disparidades entre homens e mulheres através do desenvolvimento da cadeia de valor agroalimentar], que complementa a sua metodologia de análise das cadeias de valor em prol do desenvolvimento (VCA4D) para avaliar o impact</w:t>
      </w:r>
      <w:r>
        <w:rPr>
          <w:rFonts w:ascii="Times New Roman" w:hAnsi="Times New Roman"/>
          <w:noProof/>
        </w:rPr>
        <w:t xml:space="preserve">o de uma cadeia de valor no desenvolvimento social, incluindo a igualdade de género. </w:t>
      </w:r>
      <w:r>
        <w:rPr>
          <w:rFonts w:ascii="Times New Roman" w:hAnsi="Times New Roman"/>
          <w:iCs/>
          <w:noProof/>
        </w:rPr>
        <w:t xml:space="preserve">No Camboja, a ferramenta VCA4D salientou </w:t>
      </w:r>
      <w:r>
        <w:rPr>
          <w:rFonts w:ascii="Times New Roman" w:hAnsi="Times New Roman"/>
          <w:noProof/>
        </w:rPr>
        <w:t>a participação das mulheres em atividades aquícolas nos sistemas de produção semi-intensiva e com gaiolas pequenas e a sua sub-rep</w:t>
      </w:r>
      <w:r>
        <w:rPr>
          <w:rFonts w:ascii="Times New Roman" w:hAnsi="Times New Roman"/>
          <w:noProof/>
        </w:rPr>
        <w:t xml:space="preserve">resentação nas tomadas de decisão ao nível da política das pescas. </w:t>
      </w:r>
    </w:p>
    <w:p w:rsidR="00737A53" w:rsidRDefault="0076469E">
      <w:pPr>
        <w:keepNext/>
        <w:keepLines/>
        <w:spacing w:after="120"/>
        <w:jc w:val="both"/>
        <w:outlineLvl w:val="0"/>
        <w:rPr>
          <w:rFonts w:ascii="Times New Roman" w:hAnsi="Times New Roman" w:cs="Times New Roman"/>
          <w:bCs/>
          <w:noProof/>
        </w:rPr>
      </w:pPr>
      <w:r>
        <w:rPr>
          <w:rFonts w:ascii="Times New Roman" w:hAnsi="Times New Roman"/>
          <w:b/>
          <w:noProof/>
        </w:rPr>
        <w:t>Criação de emprego nas zonas rurais</w:t>
      </w:r>
    </w:p>
    <w:p w:rsidR="00737A53" w:rsidRDefault="0076469E">
      <w:pPr>
        <w:spacing w:after="120"/>
        <w:jc w:val="both"/>
        <w:rPr>
          <w:rFonts w:ascii="Times New Roman" w:hAnsi="Times New Roman" w:cs="Times New Roman"/>
          <w:noProof/>
        </w:rPr>
      </w:pPr>
      <w:r>
        <w:rPr>
          <w:rFonts w:ascii="Times New Roman" w:hAnsi="Times New Roman"/>
          <w:noProof/>
        </w:rPr>
        <w:t>Ao abrigo da Comunicação de 2018 sobre a Aliança África – Europa para investimentos e empregos sustentáveis</w:t>
      </w:r>
      <w:r>
        <w:rPr>
          <w:rStyle w:val="FootnoteReference"/>
          <w:rFonts w:ascii="Times New Roman" w:hAnsi="Times New Roman" w:cs="Times New Roman"/>
          <w:noProof/>
        </w:rPr>
        <w:footnoteReference w:id="25"/>
      </w:r>
      <w:r>
        <w:rPr>
          <w:rFonts w:ascii="Times New Roman" w:hAnsi="Times New Roman"/>
          <w:noProof/>
        </w:rPr>
        <w:t>, a UE e os seus parceiros africanos estão a</w:t>
      </w:r>
      <w:r>
        <w:rPr>
          <w:rFonts w:ascii="Times New Roman" w:hAnsi="Times New Roman"/>
          <w:noProof/>
        </w:rPr>
        <w:t xml:space="preserve"> desenvolver pactos para o crescimento e o emprego, concentrando os seus esforços conjuntos nas cadeias de valor com o maior potencial de criação de emprego. Quando relevante, o pacto para o crescimento e o emprego interliga-se com outras iniciativas inter</w:t>
      </w:r>
      <w:r>
        <w:rPr>
          <w:rFonts w:ascii="Times New Roman" w:hAnsi="Times New Roman"/>
          <w:noProof/>
        </w:rPr>
        <w:t>nacionais como a iniciativa do G20 para o emprego dos jovens em meio rural</w:t>
      </w:r>
      <w:r>
        <w:rPr>
          <w:rStyle w:val="FootnoteReference"/>
          <w:rFonts w:ascii="Times New Roman" w:hAnsi="Times New Roman" w:cs="Times New Roman"/>
          <w:noProof/>
        </w:rPr>
        <w:footnoteReference w:id="26"/>
      </w:r>
      <w:r>
        <w:rPr>
          <w:rFonts w:ascii="Times New Roman" w:hAnsi="Times New Roman"/>
          <w:noProof/>
        </w:rPr>
        <w:t xml:space="preserve">. </w:t>
      </w:r>
    </w:p>
    <w:p w:rsidR="00737A53" w:rsidRDefault="0076469E">
      <w:pPr>
        <w:spacing w:after="120"/>
        <w:jc w:val="both"/>
        <w:rPr>
          <w:rFonts w:ascii="Times New Roman" w:hAnsi="Times New Roman" w:cs="Times New Roman"/>
          <w:bCs/>
          <w:noProof/>
        </w:rPr>
      </w:pPr>
      <w:r>
        <w:rPr>
          <w:rFonts w:ascii="Times New Roman" w:hAnsi="Times New Roman"/>
          <w:noProof/>
        </w:rPr>
        <w:t>Por exemplo, em julho de 2019, a UE partilhou o seu pacto para o crescimento e o emprego</w:t>
      </w:r>
      <w:r>
        <w:rPr>
          <w:rStyle w:val="FootnoteReference"/>
          <w:rFonts w:ascii="Times New Roman" w:hAnsi="Times New Roman" w:cs="Times New Roman"/>
          <w:noProof/>
        </w:rPr>
        <w:footnoteReference w:id="27"/>
      </w:r>
      <w:r>
        <w:rPr>
          <w:rFonts w:ascii="Times New Roman" w:hAnsi="Times New Roman"/>
          <w:noProof/>
        </w:rPr>
        <w:t xml:space="preserve"> com o governo do Uganda para promover a convergência com as prioridades-chave da UE iden</w:t>
      </w:r>
      <w:r>
        <w:rPr>
          <w:rFonts w:ascii="Times New Roman" w:hAnsi="Times New Roman"/>
          <w:noProof/>
        </w:rPr>
        <w:t>tificadas com os Estados-Membros, instituições financeiras parceiras e outros atores, bem como através do diálogo com o governo e o setor privado. O pacto para o crescimento e o emprego visa apoiar as cadeias de valor agrícola e silvícola, que possibilitam</w:t>
      </w:r>
      <w:r>
        <w:rPr>
          <w:rFonts w:ascii="Times New Roman" w:hAnsi="Times New Roman"/>
          <w:noProof/>
        </w:rPr>
        <w:t xml:space="preserve"> a criação de emprego, a inovação, a participação das mulheres e dos jovens no processo produtivo, a adaptação e atenuação das alterações climáticas, bem como a complementaridade com outros programas. </w:t>
      </w:r>
    </w:p>
    <w:p w:rsidR="00737A53" w:rsidRDefault="0076469E">
      <w:pPr>
        <w:spacing w:after="120"/>
        <w:jc w:val="both"/>
        <w:rPr>
          <w:rFonts w:ascii="Times New Roman" w:hAnsi="Times New Roman" w:cs="Times New Roman"/>
          <w:bCs/>
          <w:noProof/>
        </w:rPr>
      </w:pPr>
      <w:r>
        <w:rPr>
          <w:rFonts w:ascii="Times New Roman" w:hAnsi="Times New Roman"/>
          <w:bCs/>
          <w:noProof/>
        </w:rPr>
        <w:t>As ações financiadas pela UE para fomentar o investime</w:t>
      </w:r>
      <w:r>
        <w:rPr>
          <w:rFonts w:ascii="Times New Roman" w:hAnsi="Times New Roman"/>
          <w:bCs/>
          <w:noProof/>
        </w:rPr>
        <w:t>nto e o emprego incluem a iniciativa AgriFI que promove investimentos na agricultura de pequena escala e nas micro, pequenas e médias empresas (MPME) através de financiamento misto. Para ajudar a desenvolver as cadeias de valor agrícolas, a UE aproveita as</w:t>
      </w:r>
      <w:r>
        <w:rPr>
          <w:rFonts w:ascii="Times New Roman" w:hAnsi="Times New Roman"/>
          <w:bCs/>
          <w:noProof/>
        </w:rPr>
        <w:t xml:space="preserve"> oportunidades oferecidas pelos mercados local, regional e mundial, e aplica a metodologia </w:t>
      </w:r>
      <w:r>
        <w:rPr>
          <w:rFonts w:ascii="Times New Roman" w:hAnsi="Times New Roman"/>
          <w:noProof/>
        </w:rPr>
        <w:t>VCA4D</w:t>
      </w:r>
      <w:r>
        <w:rPr>
          <w:rFonts w:ascii="Times New Roman" w:hAnsi="Times New Roman"/>
          <w:bCs/>
          <w:noProof/>
        </w:rPr>
        <w:t xml:space="preserve"> para avaliar o impacto das cadeias de valor na criação de emprego, como por exemplo na Zâmbia (ovos e aquicultura), nas Honduras (café), na Serra Leoa (óleo de</w:t>
      </w:r>
      <w:r>
        <w:rPr>
          <w:rFonts w:ascii="Times New Roman" w:hAnsi="Times New Roman"/>
          <w:bCs/>
          <w:noProof/>
        </w:rPr>
        <w:t xml:space="preserve"> palma), na Tanzânia (café), na Guiné-Bissau (manga e lima), no Burundi (banana) e no Benim (ananás)</w:t>
      </w:r>
      <w:r>
        <w:rPr>
          <w:rFonts w:ascii="Times New Roman" w:hAnsi="Times New Roman" w:cs="Times New Roman"/>
          <w:bCs/>
          <w:noProof/>
          <w:vertAlign w:val="superscript"/>
        </w:rPr>
        <w:footnoteReference w:id="28"/>
      </w:r>
      <w:r>
        <w:rPr>
          <w:rFonts w:ascii="Times New Roman" w:hAnsi="Times New Roman"/>
          <w:bCs/>
          <w:noProof/>
        </w:rPr>
        <w:t>.</w:t>
      </w:r>
    </w:p>
    <w:p w:rsidR="00737A53" w:rsidRDefault="00737A53">
      <w:pPr>
        <w:spacing w:after="120"/>
        <w:jc w:val="both"/>
        <w:rPr>
          <w:rFonts w:ascii="Times New Roman" w:hAnsi="Times New Roman" w:cs="Times New Roman"/>
          <w:bCs/>
          <w:noProof/>
        </w:rPr>
      </w:pPr>
    </w:p>
    <w:tbl>
      <w:tblPr>
        <w:tblStyle w:val="TableGrid"/>
        <w:tblW w:w="5000" w:type="pct"/>
        <w:tblLook w:val="04A0" w:firstRow="1" w:lastRow="0" w:firstColumn="1" w:lastColumn="0" w:noHBand="0" w:noVBand="1"/>
      </w:tblPr>
      <w:tblGrid>
        <w:gridCol w:w="9236"/>
      </w:tblGrid>
      <w:tr w:rsidR="00737A53">
        <w:tc>
          <w:tcPr>
            <w:tcW w:w="5000" w:type="pct"/>
          </w:tcPr>
          <w:p w:rsidR="00737A53" w:rsidRDefault="0076469E">
            <w:pPr>
              <w:keepNext/>
              <w:keepLines/>
              <w:spacing w:after="120"/>
              <w:jc w:val="both"/>
              <w:rPr>
                <w:rFonts w:ascii="Times New Roman" w:hAnsi="Times New Roman" w:cs="Times New Roman"/>
                <w:b/>
                <w:bCs/>
                <w:iCs/>
                <w:noProof/>
              </w:rPr>
            </w:pPr>
            <w:r>
              <w:rPr>
                <w:rFonts w:ascii="Times New Roman" w:hAnsi="Times New Roman"/>
                <w:b/>
                <w:bCs/>
                <w:iCs/>
                <w:noProof/>
              </w:rPr>
              <w:t>Caixa 3: Promover a criação de emprego nas cadeias de valor na Serra Leoa</w:t>
            </w:r>
          </w:p>
          <w:p w:rsidR="00737A53" w:rsidRDefault="0076469E">
            <w:pPr>
              <w:spacing w:after="120"/>
              <w:jc w:val="both"/>
              <w:rPr>
                <w:rFonts w:ascii="Times New Roman" w:hAnsi="Times New Roman" w:cs="Times New Roman"/>
                <w:noProof/>
              </w:rPr>
            </w:pPr>
            <w:r>
              <w:rPr>
                <w:rFonts w:ascii="Times New Roman" w:hAnsi="Times New Roman"/>
                <w:noProof/>
              </w:rPr>
              <w:t xml:space="preserve">A </w:t>
            </w:r>
            <w:r>
              <w:rPr>
                <w:rFonts w:ascii="Times New Roman" w:hAnsi="Times New Roman"/>
                <w:b/>
                <w:bCs/>
                <w:noProof/>
              </w:rPr>
              <w:t>Alemanha</w:t>
            </w:r>
            <w:r>
              <w:rPr>
                <w:rFonts w:ascii="Times New Roman" w:hAnsi="Times New Roman"/>
                <w:noProof/>
              </w:rPr>
              <w:t xml:space="preserve"> apoia o programa «Employment Promotion Programme III» [Programa de promoção do emprego III] para aumentar o emprego nas cadeias de valor do cacau, café, arroz e legumes. O programa envolve trabalhar com MPME e jovens para melhorar as competências, com uma</w:t>
            </w:r>
            <w:r>
              <w:rPr>
                <w:rFonts w:ascii="Times New Roman" w:hAnsi="Times New Roman"/>
                <w:noProof/>
              </w:rPr>
              <w:t xml:space="preserve"> forte vertente de mentoria e orientação para aumentar o emprego remunerado e por conta própria. Em 2016-2019, o programa apoiou 1 200 empresas e deu formação a 36 000 jovens, criando mais de 9 000 novos empregos e oportunidades de emprego por conta própri</w:t>
            </w:r>
            <w:r>
              <w:rPr>
                <w:rFonts w:ascii="Times New Roman" w:hAnsi="Times New Roman"/>
                <w:noProof/>
              </w:rPr>
              <w:t>a. Até 2019, beneficiou mais de 250 000 pessoas.</w:t>
            </w:r>
          </w:p>
        </w:tc>
      </w:tr>
    </w:tbl>
    <w:p w:rsidR="00737A53" w:rsidRDefault="00737A53">
      <w:pPr>
        <w:spacing w:after="120"/>
        <w:jc w:val="both"/>
        <w:rPr>
          <w:rFonts w:ascii="Times New Roman" w:hAnsi="Times New Roman" w:cs="Times New Roman"/>
          <w:bCs/>
          <w:noProof/>
        </w:rPr>
      </w:pPr>
    </w:p>
    <w:tbl>
      <w:tblPr>
        <w:tblStyle w:val="TableGrid"/>
        <w:tblW w:w="5000" w:type="pct"/>
        <w:tblLook w:val="04A0" w:firstRow="1" w:lastRow="0" w:firstColumn="1" w:lastColumn="0" w:noHBand="0" w:noVBand="1"/>
      </w:tblPr>
      <w:tblGrid>
        <w:gridCol w:w="9236"/>
      </w:tblGrid>
      <w:tr w:rsidR="00737A53">
        <w:tc>
          <w:tcPr>
            <w:tcW w:w="5000" w:type="pct"/>
          </w:tcPr>
          <w:p w:rsidR="00737A53" w:rsidRDefault="0076469E">
            <w:pPr>
              <w:keepNext/>
              <w:keepLines/>
              <w:spacing w:after="120"/>
              <w:jc w:val="both"/>
              <w:rPr>
                <w:rFonts w:ascii="Times New Roman" w:hAnsi="Times New Roman" w:cs="Times New Roman"/>
                <w:bCs/>
                <w:noProof/>
              </w:rPr>
            </w:pPr>
            <w:r>
              <w:rPr>
                <w:rFonts w:ascii="Times New Roman" w:hAnsi="Times New Roman"/>
                <w:b/>
                <w:bCs/>
                <w:noProof/>
              </w:rPr>
              <w:t>Caixa 4:</w:t>
            </w:r>
            <w:r>
              <w:rPr>
                <w:rFonts w:ascii="Times New Roman" w:hAnsi="Times New Roman"/>
                <w:bCs/>
                <w:noProof/>
              </w:rPr>
              <w:t xml:space="preserve"> </w:t>
            </w:r>
            <w:r>
              <w:rPr>
                <w:rFonts w:ascii="Times New Roman" w:hAnsi="Times New Roman"/>
                <w:b/>
                <w:bCs/>
                <w:noProof/>
              </w:rPr>
              <w:t>Trabalhar com países parceiros para promover a criação de emprego e alcançar a paz, a segurança e o desenvolvimento no Sahel</w:t>
            </w:r>
          </w:p>
          <w:p w:rsidR="00737A53" w:rsidRDefault="0076469E">
            <w:pPr>
              <w:spacing w:after="120"/>
              <w:jc w:val="both"/>
              <w:rPr>
                <w:rFonts w:ascii="Times New Roman" w:hAnsi="Times New Roman" w:cs="Times New Roman"/>
                <w:noProof/>
              </w:rPr>
            </w:pPr>
            <w:r>
              <w:rPr>
                <w:rFonts w:ascii="Times New Roman" w:hAnsi="Times New Roman"/>
                <w:noProof/>
              </w:rPr>
              <w:t>No Sahel e na região do Lago Chade, o Fundo Fiduciário de Emergência da</w:t>
            </w:r>
            <w:r>
              <w:rPr>
                <w:rFonts w:ascii="Times New Roman" w:hAnsi="Times New Roman"/>
                <w:noProof/>
              </w:rPr>
              <w:t xml:space="preserve"> UE para África (FFUE África) criou mais de 27 500 empregos, ajudou 129 000 pessoas a desenvolver atividades geradoras de rendimento e permitiu a 50 000 pessoas receber formação profissional e/ou desenvolvimento de competências em 2018-2019. O apoio da UE </w:t>
            </w:r>
            <w:r>
              <w:rPr>
                <w:rFonts w:ascii="Times New Roman" w:hAnsi="Times New Roman"/>
                <w:noProof/>
              </w:rPr>
              <w:t xml:space="preserve">é crítico para aumentar a participação económica dos jovens e, por conseguinte, contribui para os esforços de estabilização do FFUE na região. Cerca de 700 000 jovens beneficiaram de iniciativas de criação de emprego e estágios, formação profissional e/ou </w:t>
            </w:r>
            <w:r>
              <w:rPr>
                <w:rFonts w:ascii="Times New Roman" w:hAnsi="Times New Roman"/>
                <w:noProof/>
              </w:rPr>
              <w:t xml:space="preserve">apoio no desenvolvimento das suas competências. </w:t>
            </w:r>
          </w:p>
        </w:tc>
      </w:tr>
    </w:tbl>
    <w:p w:rsidR="00737A53" w:rsidRDefault="00737A53">
      <w:pPr>
        <w:spacing w:after="120"/>
        <w:jc w:val="both"/>
        <w:rPr>
          <w:rFonts w:ascii="Times New Roman" w:hAnsi="Times New Roman" w:cs="Times New Roman"/>
          <w:bCs/>
          <w:noProof/>
        </w:rPr>
      </w:pPr>
    </w:p>
    <w:tbl>
      <w:tblPr>
        <w:tblStyle w:val="TableGrid"/>
        <w:tblW w:w="5000" w:type="pct"/>
        <w:tblLook w:val="04A0" w:firstRow="1" w:lastRow="0" w:firstColumn="1" w:lastColumn="0" w:noHBand="0" w:noVBand="1"/>
      </w:tblPr>
      <w:tblGrid>
        <w:gridCol w:w="9236"/>
      </w:tblGrid>
      <w:tr w:rsidR="00737A53">
        <w:tc>
          <w:tcPr>
            <w:tcW w:w="5000" w:type="pct"/>
          </w:tcPr>
          <w:p w:rsidR="00737A53" w:rsidRDefault="0076469E">
            <w:pPr>
              <w:keepNext/>
              <w:keepLines/>
              <w:spacing w:after="120"/>
              <w:jc w:val="both"/>
              <w:rPr>
                <w:rFonts w:ascii="Times New Roman" w:hAnsi="Times New Roman" w:cs="Times New Roman"/>
                <w:b/>
                <w:bCs/>
                <w:noProof/>
              </w:rPr>
            </w:pPr>
            <w:r>
              <w:rPr>
                <w:rFonts w:ascii="Times New Roman" w:hAnsi="Times New Roman"/>
                <w:b/>
                <w:bCs/>
                <w:noProof/>
              </w:rPr>
              <w:t>Caixa 5:</w:t>
            </w:r>
            <w:r>
              <w:rPr>
                <w:rFonts w:ascii="Times New Roman" w:hAnsi="Times New Roman"/>
                <w:bCs/>
                <w:noProof/>
              </w:rPr>
              <w:t xml:space="preserve"> </w:t>
            </w:r>
            <w:r>
              <w:rPr>
                <w:rFonts w:ascii="Times New Roman" w:hAnsi="Times New Roman"/>
                <w:b/>
                <w:bCs/>
                <w:noProof/>
              </w:rPr>
              <w:t>Fomentar o crescimento agrícola sustentável, o emprego e a segurança alimentar no Maláui</w:t>
            </w:r>
          </w:p>
          <w:p w:rsidR="00737A53" w:rsidRDefault="0076469E">
            <w:pPr>
              <w:spacing w:after="120"/>
              <w:jc w:val="both"/>
              <w:rPr>
                <w:rFonts w:ascii="Times New Roman" w:hAnsi="Times New Roman" w:cs="Times New Roman"/>
                <w:noProof/>
              </w:rPr>
            </w:pPr>
            <w:r>
              <w:rPr>
                <w:rFonts w:ascii="Times New Roman" w:hAnsi="Times New Roman"/>
                <w:noProof/>
              </w:rPr>
              <w:t xml:space="preserve">A </w:t>
            </w:r>
            <w:r>
              <w:rPr>
                <w:rFonts w:ascii="Times New Roman" w:hAnsi="Times New Roman"/>
                <w:b/>
                <w:noProof/>
              </w:rPr>
              <w:t>UE e a Alemanha</w:t>
            </w:r>
            <w:r>
              <w:rPr>
                <w:rFonts w:ascii="Times New Roman" w:hAnsi="Times New Roman"/>
                <w:noProof/>
              </w:rPr>
              <w:t xml:space="preserve"> apoiam o programa KULIMA MIERA (mais rendimento e emprego nas zonas rurais do Maláui) para aumentar as oportunidades de rendimento e de emprego para os pequenos agricultores e as MPME em diversas cadeias de valor (mandioca, amendoim, soja e girassol). Des</w:t>
            </w:r>
            <w:r>
              <w:rPr>
                <w:rFonts w:ascii="Times New Roman" w:hAnsi="Times New Roman"/>
                <w:noProof/>
              </w:rPr>
              <w:t>de 2017, mais de 23 000 pequenos agricultores receberam formação em economia agrária, agronegócios e comercialização, tendo sido celebrados 300 acordos contratuais nesse domínio entre grandes empresas do setor e organizações de agricultores. Os agricultore</w:t>
            </w:r>
            <w:r>
              <w:rPr>
                <w:rFonts w:ascii="Times New Roman" w:hAnsi="Times New Roman"/>
                <w:noProof/>
              </w:rPr>
              <w:t>s aumentaram os seus rendimentos em 20 % e foram criados 900 empregos.</w:t>
            </w:r>
          </w:p>
        </w:tc>
      </w:tr>
    </w:tbl>
    <w:p w:rsidR="00737A53" w:rsidRDefault="00737A53">
      <w:pPr>
        <w:spacing w:after="120"/>
        <w:jc w:val="both"/>
        <w:rPr>
          <w:rFonts w:ascii="Times New Roman" w:hAnsi="Times New Roman" w:cs="Times New Roman"/>
          <w:bCs/>
          <w:noProof/>
        </w:rPr>
      </w:pPr>
    </w:p>
    <w:p w:rsidR="00737A53" w:rsidRPr="0076469E" w:rsidRDefault="0076469E">
      <w:pPr>
        <w:pStyle w:val="Heading1"/>
        <w:spacing w:after="120"/>
        <w:rPr>
          <w:rFonts w:ascii="Times New Roman" w:hAnsi="Times New Roman" w:cs="Times New Roman"/>
          <w:b/>
          <w:noProof/>
          <w:color w:val="auto"/>
          <w:sz w:val="24"/>
          <w:szCs w:val="24"/>
        </w:rPr>
      </w:pPr>
      <w:bookmarkStart w:id="1" w:name="_GoBack"/>
      <w:r w:rsidRPr="0076469E">
        <w:rPr>
          <w:rFonts w:ascii="Times New Roman" w:hAnsi="Times New Roman"/>
          <w:b/>
          <w:noProof/>
          <w:color w:val="auto"/>
        </w:rPr>
        <w:t>6</w:t>
      </w:r>
      <w:r w:rsidRPr="0076469E">
        <w:rPr>
          <w:rFonts w:ascii="Times New Roman" w:hAnsi="Times New Roman"/>
          <w:b/>
          <w:noProof/>
          <w:color w:val="auto"/>
          <w:sz w:val="24"/>
          <w:szCs w:val="24"/>
        </w:rPr>
        <w:t>. CONCLUSÃO</w:t>
      </w:r>
    </w:p>
    <w:bookmarkEnd w:id="1"/>
    <w:p w:rsidR="00737A53" w:rsidRDefault="0076469E">
      <w:pPr>
        <w:spacing w:after="120"/>
        <w:jc w:val="both"/>
        <w:rPr>
          <w:rFonts w:ascii="Times New Roman" w:hAnsi="Times New Roman" w:cs="Times New Roman"/>
          <w:noProof/>
        </w:rPr>
      </w:pPr>
      <w:r>
        <w:rPr>
          <w:rFonts w:ascii="Times New Roman" w:hAnsi="Times New Roman"/>
          <w:noProof/>
        </w:rPr>
        <w:t>A UE e os seus Estados-Membros adotaram uma abordagem abrangente no que respeita ao apoio a programas e políticas de países parceiros. Os esforços conjuntos têm-se centra</w:t>
      </w:r>
      <w:r>
        <w:rPr>
          <w:rFonts w:ascii="Times New Roman" w:hAnsi="Times New Roman"/>
          <w:noProof/>
        </w:rPr>
        <w:t>do no reforço da resiliência das pessoas mais vulneráveis às crises alimentares, aumentando os investimentos responsáveis em sistemas alimentares sustentáveis, melhorando os resultados nutricionais, estimulando a inovação e abordando as questões da igualda</w:t>
      </w:r>
      <w:r>
        <w:rPr>
          <w:rFonts w:ascii="Times New Roman" w:hAnsi="Times New Roman"/>
          <w:noProof/>
        </w:rPr>
        <w:t>de de género e do empoderamento das mulheres. As experiências apresentadas no presente relatório e no documento de trabalho dos serviços da Comissão que o acompanha demonstram a importância de:</w:t>
      </w:r>
    </w:p>
    <w:p w:rsidR="00737A53" w:rsidRDefault="0076469E">
      <w:pPr>
        <w:pStyle w:val="ListParagraph"/>
        <w:numPr>
          <w:ilvl w:val="0"/>
          <w:numId w:val="3"/>
        </w:numPr>
        <w:spacing w:after="120"/>
        <w:contextualSpacing w:val="0"/>
        <w:jc w:val="both"/>
        <w:rPr>
          <w:rFonts w:ascii="Times New Roman" w:hAnsi="Times New Roman" w:cs="Times New Roman"/>
          <w:noProof/>
          <w:color w:val="000000" w:themeColor="text1"/>
        </w:rPr>
      </w:pPr>
      <w:r>
        <w:rPr>
          <w:rFonts w:ascii="Times New Roman" w:hAnsi="Times New Roman"/>
          <w:b/>
          <w:noProof/>
        </w:rPr>
        <w:t xml:space="preserve">Adotar uma abordagem abrangente no que respeita a sistemas alimentares sustentáveis e inclusivos que permitam o acesso a alimentos seguros e nutritivos e a uma alimentação saudável para todos. </w:t>
      </w:r>
      <w:r>
        <w:rPr>
          <w:rFonts w:ascii="Times New Roman" w:hAnsi="Times New Roman"/>
          <w:noProof/>
        </w:rPr>
        <w:t xml:space="preserve">Isso significa centrar a atenção nos sistemas alimentares como </w:t>
      </w:r>
      <w:r>
        <w:rPr>
          <w:rFonts w:ascii="Times New Roman" w:hAnsi="Times New Roman"/>
          <w:noProof/>
        </w:rPr>
        <w:t>um todo, desde a produção ao consumo, processamento e comercialização sustentáveis, bem como equilibrar os fatores climáticos, sanitários, ambientais, económicos e sociais. Tem em consideração a igualdade de género, em consonância com o segundo Plano de Aç</w:t>
      </w:r>
      <w:r>
        <w:rPr>
          <w:rFonts w:ascii="Times New Roman" w:hAnsi="Times New Roman"/>
          <w:noProof/>
        </w:rPr>
        <w:t>ão da UE sobre o Género (GAPII). Também reconhece o importante papel da pesca e da aquicultura para a segurança alimentar e nutricional, o que requer uma melhor governação marítima que defenda as leis em matéria de acesso a recursos haliêuticos, fundiários</w:t>
      </w:r>
      <w:r>
        <w:rPr>
          <w:rFonts w:ascii="Times New Roman" w:hAnsi="Times New Roman"/>
          <w:noProof/>
        </w:rPr>
        <w:t xml:space="preserve"> e hídricos, bem como um foco particular nos benefícios resultantes para os pescadores e aquicultores de pequena escala.</w:t>
      </w:r>
    </w:p>
    <w:p w:rsidR="00737A53" w:rsidRDefault="0076469E">
      <w:pPr>
        <w:pStyle w:val="ListParagraph"/>
        <w:numPr>
          <w:ilvl w:val="0"/>
          <w:numId w:val="3"/>
        </w:numPr>
        <w:spacing w:after="120"/>
        <w:contextualSpacing w:val="0"/>
        <w:jc w:val="both"/>
        <w:rPr>
          <w:rFonts w:ascii="Times New Roman" w:hAnsi="Times New Roman" w:cs="Times New Roman"/>
          <w:bCs/>
          <w:noProof/>
          <w:color w:val="000000" w:themeColor="text1"/>
        </w:rPr>
      </w:pPr>
      <w:r>
        <w:rPr>
          <w:rFonts w:ascii="Times New Roman" w:hAnsi="Times New Roman"/>
          <w:b/>
          <w:noProof/>
        </w:rPr>
        <w:t>Apoiar a Rede Mundial contra Crises Alimentares enquanto importante contribuinte para o desenvolvimento de sistemas alimentares sustent</w:t>
      </w:r>
      <w:r>
        <w:rPr>
          <w:rFonts w:ascii="Times New Roman" w:hAnsi="Times New Roman"/>
          <w:b/>
          <w:noProof/>
        </w:rPr>
        <w:t>áveis no âmbito do trinómio ajuda humanitária-desenvolvimento-paz .</w:t>
      </w:r>
      <w:r>
        <w:rPr>
          <w:rFonts w:ascii="Times New Roman" w:hAnsi="Times New Roman"/>
          <w:noProof/>
        </w:rPr>
        <w:t xml:space="preserve"> Este apoio da UE e dos seus Estados-Membros envolve análises conjuntas, investimentos estratégicos e respostas coordenadas a nível nacional, regional e global</w:t>
      </w:r>
      <w:r>
        <w:rPr>
          <w:rFonts w:ascii="Times New Roman" w:hAnsi="Times New Roman"/>
          <w:noProof/>
          <w:color w:val="000000" w:themeColor="text1"/>
        </w:rPr>
        <w:t>.</w:t>
      </w:r>
      <w:r>
        <w:rPr>
          <w:rFonts w:ascii="Times New Roman" w:hAnsi="Times New Roman"/>
          <w:noProof/>
        </w:rPr>
        <w:t xml:space="preserve"> </w:t>
      </w:r>
      <w:r>
        <w:rPr>
          <w:rFonts w:ascii="Times New Roman" w:hAnsi="Times New Roman"/>
          <w:noProof/>
          <w:color w:val="000000" w:themeColor="text1"/>
        </w:rPr>
        <w:t xml:space="preserve">A UE e os seus </w:t>
      </w:r>
      <w:r>
        <w:rPr>
          <w:rFonts w:ascii="Times New Roman" w:hAnsi="Times New Roman"/>
          <w:noProof/>
        </w:rPr>
        <w:t>Estados-Membr</w:t>
      </w:r>
      <w:r>
        <w:rPr>
          <w:rFonts w:ascii="Times New Roman" w:hAnsi="Times New Roman"/>
          <w:noProof/>
        </w:rPr>
        <w:t xml:space="preserve">os </w:t>
      </w:r>
      <w:r>
        <w:rPr>
          <w:rFonts w:ascii="Times New Roman" w:hAnsi="Times New Roman"/>
          <w:noProof/>
          <w:color w:val="000000" w:themeColor="text1"/>
        </w:rPr>
        <w:t>devem continuar a dar resposta às necessidades imediatas, bem como aos fatores subjacentes em termos socioeconómicos, ambientais e de paz para prevenir crises alimentares recorrentes.</w:t>
      </w:r>
      <w:r>
        <w:rPr>
          <w:rFonts w:ascii="Times New Roman" w:hAnsi="Times New Roman"/>
          <w:noProof/>
        </w:rPr>
        <w:t xml:space="preserve"> </w:t>
      </w:r>
    </w:p>
    <w:p w:rsidR="00737A53" w:rsidRDefault="0076469E">
      <w:pPr>
        <w:pStyle w:val="ListParagraph"/>
        <w:numPr>
          <w:ilvl w:val="0"/>
          <w:numId w:val="3"/>
        </w:numPr>
        <w:spacing w:after="120"/>
        <w:contextualSpacing w:val="0"/>
        <w:jc w:val="both"/>
        <w:rPr>
          <w:rFonts w:ascii="Times New Roman" w:hAnsi="Times New Roman" w:cs="Times New Roman"/>
          <w:noProof/>
          <w:color w:val="000000" w:themeColor="text1"/>
        </w:rPr>
      </w:pPr>
      <w:r>
        <w:rPr>
          <w:rFonts w:ascii="Times New Roman" w:hAnsi="Times New Roman"/>
          <w:b/>
          <w:noProof/>
        </w:rPr>
        <w:t>Privilegiar uma abordagem multilateral no que respeita à segurança a</w:t>
      </w:r>
      <w:r>
        <w:rPr>
          <w:rFonts w:ascii="Times New Roman" w:hAnsi="Times New Roman"/>
          <w:b/>
          <w:noProof/>
        </w:rPr>
        <w:t>limentar e nutricional e à agricultura sustentável, a fim de acelerar os progressos na cocretização da Agenda 2030</w:t>
      </w:r>
      <w:r>
        <w:rPr>
          <w:rFonts w:ascii="Times New Roman" w:hAnsi="Times New Roman"/>
          <w:noProof/>
        </w:rPr>
        <w:t>. Esta abordagem inclui nomeadamente mecanismos de governação a nível mundial, regional, nacional e local. A estratégia deve envolver o reforç</w:t>
      </w:r>
      <w:r>
        <w:rPr>
          <w:rFonts w:ascii="Times New Roman" w:hAnsi="Times New Roman"/>
          <w:noProof/>
        </w:rPr>
        <w:t>o das parcerias com o sistema das Nações Unidas (inclusive com as agências das Nações Unidas sediadas em Roma e o Comité da Segurança Alimentar Mundial), organizações de investigação, plataformas multilaterais mundiais, o setor privado e organizações da so</w:t>
      </w:r>
      <w:r>
        <w:rPr>
          <w:rFonts w:ascii="Times New Roman" w:hAnsi="Times New Roman"/>
          <w:noProof/>
        </w:rPr>
        <w:t>ciedade civil, para desenvolver e aplicar normas globais</w:t>
      </w:r>
      <w:r>
        <w:rPr>
          <w:rFonts w:ascii="Times New Roman" w:hAnsi="Times New Roman"/>
          <w:noProof/>
          <w:color w:val="000000" w:themeColor="text1"/>
        </w:rPr>
        <w:t>.</w:t>
      </w:r>
      <w:r>
        <w:rPr>
          <w:rFonts w:ascii="Times New Roman" w:hAnsi="Times New Roman"/>
          <w:noProof/>
        </w:rPr>
        <w:t xml:space="preserve"> </w:t>
      </w:r>
    </w:p>
    <w:p w:rsidR="00737A53" w:rsidRDefault="0076469E">
      <w:pPr>
        <w:pStyle w:val="ListParagraph"/>
        <w:numPr>
          <w:ilvl w:val="0"/>
          <w:numId w:val="3"/>
        </w:numPr>
        <w:spacing w:after="120"/>
        <w:contextualSpacing w:val="0"/>
        <w:jc w:val="both"/>
        <w:rPr>
          <w:rFonts w:ascii="Times New Roman" w:hAnsi="Times New Roman" w:cs="Times New Roman"/>
          <w:noProof/>
          <w:color w:val="000000" w:themeColor="text1"/>
        </w:rPr>
      </w:pPr>
      <w:r>
        <w:rPr>
          <w:rFonts w:ascii="Times New Roman" w:hAnsi="Times New Roman"/>
          <w:b/>
          <w:bCs/>
          <w:noProof/>
        </w:rPr>
        <w:t xml:space="preserve">Reforçar os sistemas de investigação e inovação agrícola a nível nacional, regional e mundial para promover a resiliência às alterações climáticas. </w:t>
      </w:r>
      <w:r>
        <w:rPr>
          <w:rFonts w:ascii="Times New Roman" w:hAnsi="Times New Roman"/>
          <w:noProof/>
        </w:rPr>
        <w:t xml:space="preserve">A UE e os seus Estados-Membros devem continuar a </w:t>
      </w:r>
      <w:r>
        <w:rPr>
          <w:rFonts w:ascii="Times New Roman" w:hAnsi="Times New Roman"/>
          <w:noProof/>
        </w:rPr>
        <w:t xml:space="preserve">apoiar a arquitetura da governação institucional e as capacidades das organizações de investigação agrícola regionais e nacionais, bem como estimular a inovação sustentável através de parcerias multilaterais, como a iniciativa DeSIRA. </w:t>
      </w:r>
    </w:p>
    <w:p w:rsidR="00737A53" w:rsidRDefault="0076469E">
      <w:pPr>
        <w:pStyle w:val="ListParagraph"/>
        <w:numPr>
          <w:ilvl w:val="0"/>
          <w:numId w:val="3"/>
        </w:numPr>
        <w:spacing w:after="120"/>
        <w:contextualSpacing w:val="0"/>
        <w:jc w:val="both"/>
        <w:rPr>
          <w:rFonts w:ascii="Times New Roman" w:hAnsi="Times New Roman" w:cs="Times New Roman"/>
          <w:bCs/>
          <w:noProof/>
          <w:color w:val="000000" w:themeColor="text1"/>
        </w:rPr>
      </w:pPr>
      <w:r>
        <w:rPr>
          <w:rFonts w:ascii="Times New Roman" w:hAnsi="Times New Roman"/>
          <w:b/>
          <w:bCs/>
          <w:noProof/>
        </w:rPr>
        <w:t>Aumentar os investim</w:t>
      </w:r>
      <w:r>
        <w:rPr>
          <w:rFonts w:ascii="Times New Roman" w:hAnsi="Times New Roman"/>
          <w:b/>
          <w:bCs/>
          <w:noProof/>
        </w:rPr>
        <w:t>entos públicos e privados responsáveis na agricultura, na pesca e em agronegócios sustentáveis, incluindo através de mecanismos mistos de assistência para apoiar os pequenos agricultores e pescadores, bem como as MPME.</w:t>
      </w:r>
      <w:r>
        <w:rPr>
          <w:rFonts w:ascii="Times New Roman" w:hAnsi="Times New Roman"/>
          <w:noProof/>
        </w:rPr>
        <w:t xml:space="preserve"> </w:t>
      </w:r>
      <w:r>
        <w:rPr>
          <w:rFonts w:ascii="Times New Roman" w:hAnsi="Times New Roman"/>
          <w:noProof/>
          <w:color w:val="000000" w:themeColor="text1"/>
        </w:rPr>
        <w:t xml:space="preserve">A UE e os seus </w:t>
      </w:r>
      <w:r>
        <w:rPr>
          <w:rFonts w:ascii="Times New Roman" w:hAnsi="Times New Roman"/>
          <w:noProof/>
        </w:rPr>
        <w:t xml:space="preserve">Estados-Membros </w:t>
      </w:r>
      <w:r>
        <w:rPr>
          <w:rFonts w:ascii="Times New Roman" w:hAnsi="Times New Roman"/>
          <w:noProof/>
          <w:color w:val="000000" w:themeColor="text1"/>
        </w:rPr>
        <w:t xml:space="preserve">devem </w:t>
      </w:r>
      <w:r>
        <w:rPr>
          <w:rFonts w:ascii="Times New Roman" w:hAnsi="Times New Roman"/>
          <w:noProof/>
          <w:color w:val="000000" w:themeColor="text1"/>
        </w:rPr>
        <w:t>manter o impacto no desenvolvimento económico, ambiental e social como a principal prioridade do apoio a investimentos privados em agronegócios, incluindo através de um maior investimento em cadeias de valor sustentáveis, inclusivas e sensíveis ao género.</w:t>
      </w:r>
    </w:p>
    <w:p w:rsidR="00737A53" w:rsidRDefault="0076469E">
      <w:pPr>
        <w:pStyle w:val="ListParagraph"/>
        <w:numPr>
          <w:ilvl w:val="0"/>
          <w:numId w:val="3"/>
        </w:numPr>
        <w:spacing w:after="120"/>
        <w:contextualSpacing w:val="0"/>
        <w:jc w:val="both"/>
        <w:rPr>
          <w:rFonts w:ascii="Times New Roman" w:hAnsi="Times New Roman" w:cs="Times New Roman"/>
          <w:bCs/>
          <w:noProof/>
          <w:color w:val="000000" w:themeColor="text1"/>
        </w:rPr>
      </w:pPr>
      <w:r>
        <w:rPr>
          <w:rFonts w:ascii="Times New Roman" w:hAnsi="Times New Roman"/>
          <w:b/>
          <w:bCs/>
          <w:noProof/>
        </w:rPr>
        <w:t xml:space="preserve">Apoiar a comercialização local e regional e acelerar as trocas comerciais agrícolas inter e intrarregionais. </w:t>
      </w:r>
      <w:r>
        <w:rPr>
          <w:rFonts w:ascii="Times New Roman" w:hAnsi="Times New Roman"/>
          <w:noProof/>
          <w:color w:val="000000" w:themeColor="text1"/>
        </w:rPr>
        <w:t xml:space="preserve">A UE e os seus </w:t>
      </w:r>
      <w:r>
        <w:rPr>
          <w:rFonts w:ascii="Times New Roman" w:hAnsi="Times New Roman"/>
          <w:noProof/>
        </w:rPr>
        <w:t xml:space="preserve">Estados-Membros </w:t>
      </w:r>
      <w:r>
        <w:rPr>
          <w:rFonts w:ascii="Times New Roman" w:hAnsi="Times New Roman"/>
          <w:noProof/>
          <w:color w:val="000000" w:themeColor="text1"/>
        </w:rPr>
        <w:t>devem continuar a apoiar acordos, como a zona de comércio livre continental africana, que promovam a integração regi</w:t>
      </w:r>
      <w:r>
        <w:rPr>
          <w:rFonts w:ascii="Times New Roman" w:hAnsi="Times New Roman"/>
          <w:noProof/>
          <w:color w:val="000000" w:themeColor="text1"/>
        </w:rPr>
        <w:t>onal e que possam ajudar a criar novos mercados e empregos dignos, aumentar a competitividade e reduzir a dependência face às importações de alimentos.</w:t>
      </w:r>
    </w:p>
    <w:p w:rsidR="00737A53" w:rsidRDefault="0076469E">
      <w:pPr>
        <w:pStyle w:val="ListParagraph"/>
        <w:numPr>
          <w:ilvl w:val="0"/>
          <w:numId w:val="3"/>
        </w:numPr>
        <w:spacing w:after="120"/>
        <w:contextualSpacing w:val="0"/>
        <w:jc w:val="both"/>
        <w:rPr>
          <w:rFonts w:ascii="Times New Roman" w:hAnsi="Times New Roman" w:cs="Times New Roman"/>
          <w:noProof/>
          <w:color w:val="000000" w:themeColor="text1"/>
        </w:rPr>
      </w:pPr>
      <w:r>
        <w:rPr>
          <w:rFonts w:ascii="Times New Roman" w:hAnsi="Times New Roman"/>
          <w:b/>
          <w:bCs/>
          <w:noProof/>
        </w:rPr>
        <w:t>Promover a agricultura sensível ao clima, incluindo a agroecologia, reconhecendo a importância da agricu</w:t>
      </w:r>
      <w:r>
        <w:rPr>
          <w:rFonts w:ascii="Times New Roman" w:hAnsi="Times New Roman"/>
          <w:b/>
          <w:bCs/>
          <w:noProof/>
        </w:rPr>
        <w:t>ltura sustentável na adaptação às alterações climáticas e na sua atenuação</w:t>
      </w:r>
      <w:r>
        <w:rPr>
          <w:rFonts w:ascii="Times New Roman" w:hAnsi="Times New Roman"/>
          <w:noProof/>
        </w:rPr>
        <w:t>, tal como definido no trabalho conjunto de Koronivia sobre agricultura</w:t>
      </w:r>
      <w:r>
        <w:rPr>
          <w:rStyle w:val="FootnoteReference"/>
          <w:rFonts w:ascii="Times New Roman" w:hAnsi="Times New Roman" w:cs="Times New Roman"/>
          <w:noProof/>
        </w:rPr>
        <w:footnoteReference w:id="29"/>
      </w:r>
      <w:r>
        <w:rPr>
          <w:rFonts w:ascii="Times New Roman" w:hAnsi="Times New Roman"/>
          <w:noProof/>
        </w:rPr>
        <w:t xml:space="preserve"> e realçado noutros compromissos relevantes. </w:t>
      </w:r>
      <w:r>
        <w:rPr>
          <w:rFonts w:ascii="Times New Roman" w:hAnsi="Times New Roman"/>
          <w:noProof/>
          <w:color w:val="000000" w:themeColor="text1"/>
        </w:rPr>
        <w:t xml:space="preserve">Nesse contexto, a UE e os seus </w:t>
      </w:r>
      <w:r>
        <w:rPr>
          <w:rFonts w:ascii="Times New Roman" w:hAnsi="Times New Roman"/>
          <w:noProof/>
        </w:rPr>
        <w:t xml:space="preserve">Estados-Membros </w:t>
      </w:r>
      <w:r>
        <w:rPr>
          <w:rFonts w:ascii="Times New Roman" w:hAnsi="Times New Roman"/>
          <w:noProof/>
          <w:color w:val="000000" w:themeColor="text1"/>
        </w:rPr>
        <w:t>devem ajudar os pa</w:t>
      </w:r>
      <w:r>
        <w:rPr>
          <w:rFonts w:ascii="Times New Roman" w:hAnsi="Times New Roman"/>
          <w:noProof/>
          <w:color w:val="000000" w:themeColor="text1"/>
        </w:rPr>
        <w:t>íses em desenvolvimento a cumprirem com as suas contribuições determinadas nacionalmente.</w:t>
      </w:r>
    </w:p>
    <w:p w:rsidR="00737A53" w:rsidRDefault="0076469E">
      <w:pPr>
        <w:pStyle w:val="ListParagraph"/>
        <w:numPr>
          <w:ilvl w:val="0"/>
          <w:numId w:val="3"/>
        </w:numPr>
        <w:spacing w:after="120"/>
        <w:contextualSpacing w:val="0"/>
        <w:jc w:val="both"/>
        <w:rPr>
          <w:rFonts w:ascii="Times New Roman" w:hAnsi="Times New Roman" w:cs="Times New Roman"/>
          <w:noProof/>
          <w:color w:val="000000" w:themeColor="text1"/>
        </w:rPr>
      </w:pPr>
      <w:r>
        <w:rPr>
          <w:rFonts w:ascii="Times New Roman" w:hAnsi="Times New Roman"/>
          <w:b/>
          <w:bCs/>
          <w:noProof/>
        </w:rPr>
        <w:t xml:space="preserve">Combater a subnutrição em todas as suas formas, continuando simultaneamente a centrar a atenção nos grupos populacionais mais vulneráveis. </w:t>
      </w:r>
      <w:r>
        <w:rPr>
          <w:rFonts w:ascii="Times New Roman" w:hAnsi="Times New Roman"/>
          <w:noProof/>
          <w:color w:val="000000" w:themeColor="text1"/>
        </w:rPr>
        <w:t xml:space="preserve">A UE deve </w:t>
      </w:r>
      <w:r>
        <w:rPr>
          <w:rFonts w:ascii="Times New Roman" w:hAnsi="Times New Roman"/>
          <w:noProof/>
        </w:rPr>
        <w:t>continuar a avali</w:t>
      </w:r>
      <w:r>
        <w:rPr>
          <w:rFonts w:ascii="Times New Roman" w:hAnsi="Times New Roman"/>
          <w:noProof/>
        </w:rPr>
        <w:t>ar e elaborar relatórios sobre o seu impacto na</w:t>
      </w:r>
      <w:r>
        <w:rPr>
          <w:rFonts w:ascii="Times New Roman" w:hAnsi="Times New Roman"/>
          <w:noProof/>
          <w:color w:val="000000" w:themeColor="text1"/>
        </w:rPr>
        <w:t xml:space="preserve"> redução dos atrasos de crescimento, combatendo ao mesmo tempo todas as formas de subnutrição que afetam as pessoas vulneráveis.</w:t>
      </w:r>
      <w:r>
        <w:rPr>
          <w:rFonts w:ascii="Times New Roman" w:hAnsi="Times New Roman"/>
          <w:noProof/>
        </w:rPr>
        <w:t xml:space="preserve"> Os programas de nutrição também devem contribuir para a transformação sustentáve</w:t>
      </w:r>
      <w:r>
        <w:rPr>
          <w:rFonts w:ascii="Times New Roman" w:hAnsi="Times New Roman"/>
          <w:noProof/>
        </w:rPr>
        <w:t>l dos sistemas alimentares.</w:t>
      </w:r>
    </w:p>
    <w:p w:rsidR="00737A53" w:rsidRDefault="0076469E">
      <w:pPr>
        <w:spacing w:after="120"/>
        <w:jc w:val="both"/>
        <w:rPr>
          <w:rFonts w:ascii="Times New Roman" w:hAnsi="Times New Roman" w:cs="Times New Roman"/>
          <w:noProof/>
        </w:rPr>
      </w:pPr>
      <w:r>
        <w:rPr>
          <w:rFonts w:ascii="Times New Roman" w:hAnsi="Times New Roman"/>
          <w:noProof/>
        </w:rPr>
        <w:t xml:space="preserve">Estas observações também são relevantes para a preparação da Cimeira «Nutrição para o Crescimento» e da Cimeira das Nações Unidas sobre Sistemas Alimentares de 2021. </w:t>
      </w:r>
    </w:p>
    <w:p w:rsidR="00737A53" w:rsidRDefault="00737A53">
      <w:pPr>
        <w:spacing w:after="120"/>
        <w:jc w:val="both"/>
        <w:rPr>
          <w:rFonts w:ascii="Times New Roman" w:hAnsi="Times New Roman" w:cs="Times New Roman"/>
          <w:bCs/>
          <w:noProof/>
        </w:rPr>
      </w:pPr>
    </w:p>
    <w:tbl>
      <w:tblPr>
        <w:tblStyle w:val="TableGrid"/>
        <w:tblW w:w="5000" w:type="pct"/>
        <w:tblLook w:val="04A0" w:firstRow="1" w:lastRow="0" w:firstColumn="1" w:lastColumn="0" w:noHBand="0" w:noVBand="1"/>
      </w:tblPr>
      <w:tblGrid>
        <w:gridCol w:w="9236"/>
      </w:tblGrid>
      <w:tr w:rsidR="00737A53">
        <w:tc>
          <w:tcPr>
            <w:tcW w:w="5000" w:type="pct"/>
          </w:tcPr>
          <w:p w:rsidR="00737A53" w:rsidRDefault="0076469E">
            <w:pPr>
              <w:keepNext/>
              <w:keepLines/>
              <w:spacing w:after="120"/>
              <w:jc w:val="both"/>
              <w:rPr>
                <w:rFonts w:ascii="Times New Roman" w:hAnsi="Times New Roman" w:cs="Times New Roman"/>
                <w:b/>
                <w:bCs/>
                <w:iCs/>
                <w:noProof/>
              </w:rPr>
            </w:pPr>
            <w:r>
              <w:rPr>
                <w:rFonts w:ascii="Times New Roman" w:hAnsi="Times New Roman"/>
                <w:b/>
                <w:bCs/>
                <w:iCs/>
                <w:noProof/>
              </w:rPr>
              <w:t>A COVID-19 e a segurança alimentar</w:t>
            </w:r>
          </w:p>
          <w:p w:rsidR="00737A53" w:rsidRDefault="0076469E">
            <w:pPr>
              <w:spacing w:after="120"/>
              <w:jc w:val="both"/>
              <w:rPr>
                <w:rFonts w:ascii="Times New Roman" w:hAnsi="Times New Roman" w:cs="Times New Roman"/>
                <w:bCs/>
                <w:noProof/>
              </w:rPr>
            </w:pPr>
            <w:r>
              <w:rPr>
                <w:rFonts w:ascii="Times New Roman" w:hAnsi="Times New Roman"/>
                <w:bCs/>
                <w:noProof/>
              </w:rPr>
              <w:t xml:space="preserve">A pandemia da COVID-19 </w:t>
            </w:r>
            <w:r>
              <w:rPr>
                <w:rFonts w:ascii="Times New Roman" w:hAnsi="Times New Roman"/>
                <w:bCs/>
                <w:noProof/>
              </w:rPr>
              <w:t>ainda estava em evolução quando este relatório estava a ser finalizado. Os efeitos completos da COVID-19, e da crise socioeconómica daí resultante, na segurança alimentar e nutricional ainda são amplamente desconhecidos no que respeita à gravidade do confi</w:t>
            </w:r>
            <w:r>
              <w:rPr>
                <w:rFonts w:ascii="Times New Roman" w:hAnsi="Times New Roman"/>
                <w:bCs/>
                <w:noProof/>
              </w:rPr>
              <w:t>namento e às suas repercussões nos meios de subsistência rurais. Os primeiros indícios sugerem que os impactos podem ser substanciais, com muitos milhões de pessoas a perderem o seu rendimento, enfrentando ao mesmo tempo um aumento dos preços dos alimentos</w:t>
            </w:r>
            <w:r>
              <w:rPr>
                <w:rFonts w:ascii="Times New Roman" w:hAnsi="Times New Roman"/>
                <w:bCs/>
                <w:noProof/>
              </w:rPr>
              <w:t xml:space="preserve"> locais e importados devido a restrições logísticas e, nalguns casos, restrições à exportação (como é o caso do arroz, por exemplo).</w:t>
            </w:r>
          </w:p>
          <w:p w:rsidR="00737A53" w:rsidRDefault="0076469E">
            <w:pPr>
              <w:spacing w:after="120"/>
              <w:jc w:val="both"/>
              <w:rPr>
                <w:rFonts w:ascii="Times New Roman" w:hAnsi="Times New Roman" w:cs="Times New Roman"/>
                <w:bCs/>
                <w:noProof/>
              </w:rPr>
            </w:pPr>
            <w:r>
              <w:rPr>
                <w:rFonts w:ascii="Times New Roman" w:hAnsi="Times New Roman"/>
                <w:bCs/>
                <w:noProof/>
              </w:rPr>
              <w:t>Além disso, o risco de as medidas de combate à crise sanitária poderem agravar fortemente as atuais crises alimentares torn</w:t>
            </w:r>
            <w:r>
              <w:rPr>
                <w:rFonts w:ascii="Times New Roman" w:hAnsi="Times New Roman"/>
                <w:bCs/>
                <w:noProof/>
              </w:rPr>
              <w:t>ou-se evidente, uma vez que a produção agrícola nalgumas regiões pode ser afetada pela dificuldade dos agricultores em acederem às matérias-primas, enquanto enfrentam simultaneamente outros desafios (como condições climáticas extremas, pragas e doenças, po</w:t>
            </w:r>
            <w:r>
              <w:rPr>
                <w:rFonts w:ascii="Times New Roman" w:hAnsi="Times New Roman"/>
                <w:bCs/>
                <w:noProof/>
              </w:rPr>
              <w:t xml:space="preserve">r exemplo, o gafanhoto-do-deserto). Os países afetados por múltiplas crises estão em particular risco de insegurança alimentar. </w:t>
            </w:r>
          </w:p>
          <w:p w:rsidR="00737A53" w:rsidRDefault="0076469E">
            <w:pPr>
              <w:spacing w:after="120"/>
              <w:jc w:val="both"/>
              <w:rPr>
                <w:rFonts w:ascii="Times New Roman" w:hAnsi="Times New Roman" w:cs="Times New Roman"/>
                <w:bCs/>
                <w:noProof/>
              </w:rPr>
            </w:pPr>
            <w:r>
              <w:rPr>
                <w:rFonts w:ascii="Times New Roman" w:hAnsi="Times New Roman"/>
                <w:bCs/>
                <w:noProof/>
              </w:rPr>
              <w:t xml:space="preserve">A UE e os seus </w:t>
            </w:r>
            <w:r>
              <w:rPr>
                <w:rFonts w:ascii="Times New Roman" w:hAnsi="Times New Roman"/>
                <w:noProof/>
              </w:rPr>
              <w:t xml:space="preserve">Estados-Membros </w:t>
            </w:r>
            <w:r>
              <w:rPr>
                <w:rFonts w:ascii="Times New Roman" w:hAnsi="Times New Roman"/>
                <w:bCs/>
                <w:noProof/>
              </w:rPr>
              <w:t xml:space="preserve">estão a adaptar as suas carteiras de cooperação para responder a estes desafios. Acima de tudo, </w:t>
            </w:r>
            <w:r>
              <w:rPr>
                <w:rFonts w:ascii="Times New Roman" w:hAnsi="Times New Roman"/>
                <w:bCs/>
                <w:noProof/>
              </w:rPr>
              <w:t xml:space="preserve">a pandemia da COVID-19 sublinhou a necessidade de reforçar a abordagem «uma só saúde» e de abordar as razões subjacentes ao aumento das doenças decorrentes da interação entre o animal e o ser humano, incluindo a perda da biodiversidade, práticas agrícolas </w:t>
            </w:r>
            <w:r>
              <w:rPr>
                <w:rFonts w:ascii="Times New Roman" w:hAnsi="Times New Roman"/>
                <w:bCs/>
                <w:noProof/>
              </w:rPr>
              <w:t>insustentáveis e a comercialização de alimentos perigosos.</w:t>
            </w:r>
          </w:p>
        </w:tc>
      </w:tr>
    </w:tbl>
    <w:p w:rsidR="00737A53" w:rsidRDefault="00737A53">
      <w:pPr>
        <w:spacing w:after="120"/>
        <w:jc w:val="both"/>
        <w:rPr>
          <w:rFonts w:ascii="Times New Roman" w:hAnsi="Times New Roman" w:cs="Times New Roman"/>
          <w:noProof/>
        </w:rPr>
      </w:pPr>
    </w:p>
    <w:sectPr w:rsidR="00737A53">
      <w:headerReference w:type="even" r:id="rId30"/>
      <w:headerReference w:type="default" r:id="rId31"/>
      <w:footerReference w:type="even" r:id="rId32"/>
      <w:footerReference w:type="default" r:id="rId33"/>
      <w:headerReference w:type="first" r:id="rId34"/>
      <w:footerReference w:type="first" r:id="rId3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A53" w:rsidRDefault="0076469E">
      <w:r>
        <w:separator/>
      </w:r>
    </w:p>
  </w:endnote>
  <w:endnote w:type="continuationSeparator" w:id="0">
    <w:p w:rsidR="00737A53" w:rsidRDefault="0076469E">
      <w:r>
        <w:continuationSeparator/>
      </w:r>
    </w:p>
  </w:endnote>
  <w:endnote w:type="continuationNotice" w:id="1">
    <w:p w:rsidR="00737A53" w:rsidRDefault="00737A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MT Std Ligh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A53" w:rsidRDefault="00737A5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91689461"/>
      <w:docPartObj>
        <w:docPartGallery w:val="Page Numbers (Bottom of Page)"/>
        <w:docPartUnique/>
      </w:docPartObj>
    </w:sdtPr>
    <w:sdtEndPr>
      <w:rPr>
        <w:rStyle w:val="PageNumber"/>
      </w:rPr>
    </w:sdtEndPr>
    <w:sdtContent>
      <w:p w:rsidR="00737A53" w:rsidRDefault="0076469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37A53" w:rsidRDefault="00737A5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84031445"/>
      <w:docPartObj>
        <w:docPartGallery w:val="Page Numbers (Bottom of Page)"/>
        <w:docPartUnique/>
      </w:docPartObj>
    </w:sdtPr>
    <w:sdtEndPr>
      <w:rPr>
        <w:rStyle w:val="PageNumber"/>
      </w:rPr>
    </w:sdtEndPr>
    <w:sdtContent>
      <w:p w:rsidR="00737A53" w:rsidRDefault="0076469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sdtContent>
  </w:sdt>
  <w:p w:rsidR="00737A53" w:rsidRDefault="00737A5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A53" w:rsidRDefault="00737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A53" w:rsidRDefault="0076469E">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A53" w:rsidRDefault="00737A53">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94017565"/>
      <w:docPartObj>
        <w:docPartGallery w:val="Page Numbers (Bottom of Page)"/>
        <w:docPartUnique/>
      </w:docPartObj>
    </w:sdtPr>
    <w:sdtEndPr>
      <w:rPr>
        <w:rStyle w:val="PageNumber"/>
      </w:rPr>
    </w:sdtEndPr>
    <w:sdtContent>
      <w:p w:rsidR="00737A53" w:rsidRDefault="0076469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37A53" w:rsidRDefault="00737A5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2798889"/>
      <w:docPartObj>
        <w:docPartGallery w:val="Page Numbers (Bottom of Page)"/>
        <w:docPartUnique/>
      </w:docPartObj>
    </w:sdtPr>
    <w:sdtEndPr>
      <w:rPr>
        <w:rStyle w:val="PageNumber"/>
      </w:rPr>
    </w:sdtEndPr>
    <w:sdtContent>
      <w:p w:rsidR="00737A53" w:rsidRDefault="0076469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rsidR="00737A53" w:rsidRDefault="00737A5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A53" w:rsidRDefault="00737A5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44189229"/>
      <w:docPartObj>
        <w:docPartGallery w:val="Page Numbers (Bottom of Page)"/>
        <w:docPartUnique/>
      </w:docPartObj>
    </w:sdtPr>
    <w:sdtEndPr>
      <w:rPr>
        <w:rStyle w:val="PageNumber"/>
      </w:rPr>
    </w:sdtEndPr>
    <w:sdtContent>
      <w:p w:rsidR="00737A53" w:rsidRDefault="0076469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37A53" w:rsidRDefault="00737A5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21073008"/>
      <w:docPartObj>
        <w:docPartGallery w:val="Page Numbers (Bottom of Page)"/>
        <w:docPartUnique/>
      </w:docPartObj>
    </w:sdtPr>
    <w:sdtEndPr>
      <w:rPr>
        <w:rStyle w:val="PageNumber"/>
      </w:rPr>
    </w:sdtEndPr>
    <w:sdtContent>
      <w:p w:rsidR="00737A53" w:rsidRDefault="0076469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rsidR="00737A53" w:rsidRDefault="00737A5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A53" w:rsidRDefault="00737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A53" w:rsidRDefault="0076469E">
      <w:r>
        <w:separator/>
      </w:r>
    </w:p>
  </w:footnote>
  <w:footnote w:type="continuationSeparator" w:id="0">
    <w:p w:rsidR="00737A53" w:rsidRDefault="0076469E">
      <w:r>
        <w:continuationSeparator/>
      </w:r>
    </w:p>
  </w:footnote>
  <w:footnote w:type="continuationNotice" w:id="1">
    <w:p w:rsidR="00737A53" w:rsidRDefault="00737A53"/>
  </w:footnote>
  <w:footnote w:id="2">
    <w:p w:rsidR="00737A53" w:rsidRDefault="0076469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Quadro estratégico da UE para ajudar os países em desenvolvimento a enfrentarem os desafios no domínio da segurança alimentar, COM(2010) 127.</w:t>
      </w:r>
    </w:p>
  </w:footnote>
  <w:footnote w:id="3">
    <w:p w:rsidR="00737A53" w:rsidRDefault="0076469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 parte fina</w:t>
      </w:r>
      <w:r>
        <w:rPr>
          <w:rFonts w:ascii="Times New Roman" w:hAnsi="Times New Roman"/>
        </w:rPr>
        <w:t>nceira do presente relatório e o documento de trabalho dos serviços da Comissão que o acompanha abrangem o período até 2018, inclusive (por razões de metodologia/comparabilidade); as experiências recolhidas também incluem o ano de 2019.</w:t>
      </w:r>
    </w:p>
  </w:footnote>
  <w:footnote w:id="4">
    <w:p w:rsidR="00737A53" w:rsidRDefault="0076469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State of Food and</w:t>
      </w:r>
      <w:r>
        <w:rPr>
          <w:rFonts w:ascii="Times New Roman" w:hAnsi="Times New Roman"/>
        </w:rPr>
        <w:t xml:space="preserve"> Agriculture in the World [Estado da Alimentação e da Agricultura no Mundo] (2019).</w:t>
      </w:r>
    </w:p>
  </w:footnote>
  <w:footnote w:id="5">
    <w:p w:rsidR="00737A53" w:rsidRDefault="0076469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Fonte: Global Report on Food Crises [Relatório Mundial sobre Crises Alimentares] (2020) publicado em 21/04/2020.</w:t>
      </w:r>
    </w:p>
  </w:footnote>
  <w:footnote w:id="6">
    <w:p w:rsidR="00737A53" w:rsidRDefault="0076469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Conclusões do Conselho (14283/18) de 26 de novembro de 2018.</w:t>
      </w:r>
    </w:p>
  </w:footnote>
  <w:footnote w:id="7">
    <w:p w:rsidR="00737A53" w:rsidRDefault="0076469E">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 w:history="1">
        <w:r>
          <w:rPr>
            <w:rStyle w:val="Hyperlink"/>
            <w:rFonts w:ascii="Times New Roman" w:hAnsi="Times New Roman"/>
          </w:rPr>
          <w:t>https://www.consilium.europa.eu/media/24004/european-consensus-on-development-2-june-2017-clean_final.pdf</w:t>
        </w:r>
      </w:hyperlink>
      <w:r>
        <w:rPr>
          <w:rFonts w:ascii="Times New Roman" w:hAnsi="Times New Roman"/>
        </w:rPr>
        <w:t xml:space="preserve"> </w:t>
      </w:r>
    </w:p>
  </w:footnote>
  <w:footnote w:id="8">
    <w:p w:rsidR="00737A53" w:rsidRDefault="0076469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11850/19.</w:t>
      </w:r>
    </w:p>
  </w:footnote>
  <w:footnote w:id="9">
    <w:p w:rsidR="00737A53" w:rsidRDefault="0076469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EU Achievements in Food and Nutrition Security and Sustainable Agriculture 2014-2018 [Realizações da UE em matéria de segurança aliment</w:t>
      </w:r>
      <w:r>
        <w:rPr>
          <w:rFonts w:ascii="Times New Roman" w:hAnsi="Times New Roman"/>
        </w:rPr>
        <w:t>ar e nutricional e de agricultura sustentável 2014-2018], p. 27.</w:t>
      </w:r>
    </w:p>
  </w:footnote>
  <w:footnote w:id="10">
    <w:p w:rsidR="00737A53" w:rsidRDefault="0076469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Development Smart Innovation through Research in Agriculture [Desenvolvimento de Inovação Inteligente através de Investigação na Agricultura].</w:t>
      </w:r>
    </w:p>
  </w:footnote>
  <w:footnote w:id="11">
    <w:p w:rsidR="00737A53" w:rsidRDefault="0076469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 França, a Alemanha, a Itália e os Países B</w:t>
      </w:r>
      <w:r>
        <w:rPr>
          <w:rFonts w:ascii="Times New Roman" w:hAnsi="Times New Roman"/>
        </w:rPr>
        <w:t>aixos atribuíram algum cofinanciamento em dinheiro à iniciativa DeSIRA através dos seus departamentos de negócios estrangeiros ou agências de desenvolvimento; a Espanha e a Bélgica proporcionaram cofinanciamento em espécie, mas quantificado, através das su</w:t>
      </w:r>
      <w:r>
        <w:rPr>
          <w:rFonts w:ascii="Times New Roman" w:hAnsi="Times New Roman"/>
        </w:rPr>
        <w:t>as agências de desenvolvimento.</w:t>
      </w:r>
    </w:p>
  </w:footnote>
  <w:footnote w:id="12">
    <w:p w:rsidR="00737A53" w:rsidRDefault="0076469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2" w:history="1">
        <w:r>
          <w:rPr>
            <w:rStyle w:val="Hyperlink"/>
            <w:rFonts w:ascii="Times New Roman" w:hAnsi="Times New Roman"/>
          </w:rPr>
          <w:t>https://library.wur.nl/WebQuery/leap4fnssa-projects?q=*</w:t>
        </w:r>
      </w:hyperlink>
      <w:r>
        <w:t>.</w:t>
      </w:r>
      <w:r>
        <w:rPr>
          <w:rFonts w:ascii="Times New Roman" w:hAnsi="Times New Roman"/>
        </w:rPr>
        <w:t xml:space="preserve"> </w:t>
      </w:r>
    </w:p>
  </w:footnote>
  <w:footnote w:id="13">
    <w:p w:rsidR="00737A53" w:rsidRDefault="0076469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COM(2018) 643 final de 12.9.2018. </w:t>
      </w:r>
    </w:p>
  </w:footnote>
  <w:footnote w:id="14">
    <w:p w:rsidR="00737A53" w:rsidRDefault="0076469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Finlândia, França, Alemanha, Itália, Países Baixos.</w:t>
      </w:r>
    </w:p>
  </w:footnote>
  <w:footnote w:id="15">
    <w:p w:rsidR="00737A53" w:rsidRDefault="0076469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Anexo 1 do programa de ação anual de 2018, Decisão da Comissão C(2018) 8063 final.</w:t>
      </w:r>
    </w:p>
  </w:footnote>
  <w:footnote w:id="16">
    <w:p w:rsidR="00737A53" w:rsidRDefault="0076469E">
      <w:pPr>
        <w:jc w:val="both"/>
        <w:rPr>
          <w:rFonts w:ascii="Times New Roman" w:hAnsi="Times New Roman" w:cs="Times New Roman"/>
          <w:sz w:val="20"/>
          <w:szCs w:val="20"/>
        </w:rPr>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Na UE e nos seus Estados-Membros existem diferentes metodologias de comunicação de informações. Os valores comunicados no presente relatório refletem a metodologia especí</w:t>
      </w:r>
      <w:r>
        <w:rPr>
          <w:rFonts w:ascii="Times New Roman" w:hAnsi="Times New Roman"/>
          <w:sz w:val="20"/>
          <w:szCs w:val="20"/>
        </w:rPr>
        <w:t>fica para este exercício e não incluem os fluxos de ajuda humanitária. Os dados incluem as instituições da UE e apenas dez Estados-Membros, o que representa 91,2 % do total de fluxos de APD das instituições da UE e dos 28 Estados-Membros em 2018. A metodol</w:t>
      </w:r>
      <w:r>
        <w:rPr>
          <w:rFonts w:ascii="Times New Roman" w:hAnsi="Times New Roman"/>
          <w:sz w:val="20"/>
          <w:szCs w:val="20"/>
        </w:rPr>
        <w:t>ogia detalhada é fornecida no documento de trabalho dos serviços da Comissão, anexado ao presente relatório. À semelhança dos relatórios anteriores, este 4.º relatório (emitido em 2020) apresenta os mais recentes valores oficiais disponíveis, neste caso pa</w:t>
      </w:r>
      <w:r>
        <w:rPr>
          <w:rFonts w:ascii="Times New Roman" w:hAnsi="Times New Roman"/>
          <w:sz w:val="20"/>
          <w:szCs w:val="20"/>
        </w:rPr>
        <w:t>ra 2018. O presente relatório também inclui projetos de menor dimensão (abaixo dos 100 000 EUR), levando a um aumento no número de projetos recolhidos. Mas mesmo com esta alteração metodológica, o ano de 2018 apresenta um aumento acentuado no número de pro</w:t>
      </w:r>
      <w:r>
        <w:rPr>
          <w:rFonts w:ascii="Times New Roman" w:hAnsi="Times New Roman"/>
          <w:sz w:val="20"/>
          <w:szCs w:val="20"/>
        </w:rPr>
        <w:t>jetos e nos montantes desembolsados, quando comparado com 2016, de 3 462 para 3 928. Contudo, estes projetos de menor dimensão representaram apenas 2,4 % do total de desembolsos para segurança alimentar e nutricional em 2018.</w:t>
      </w:r>
    </w:p>
  </w:footnote>
  <w:footnote w:id="17">
    <w:p w:rsidR="00737A53" w:rsidRDefault="0076469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Setores definidos de acordo </w:t>
      </w:r>
      <w:r>
        <w:rPr>
          <w:rFonts w:ascii="Times New Roman" w:hAnsi="Times New Roman"/>
        </w:rPr>
        <w:t>com a classificação setorial do CAD da OCDE.</w:t>
      </w:r>
    </w:p>
  </w:footnote>
  <w:footnote w:id="18">
    <w:p w:rsidR="00737A53" w:rsidRDefault="0076469E">
      <w:pPr>
        <w:jc w:val="both"/>
        <w:rPr>
          <w:rFonts w:ascii="Times New Roman" w:eastAsia="Times New Roman" w:hAnsi="Times New Roman" w:cs="Times New Roman"/>
          <w:sz w:val="20"/>
          <w:szCs w:val="20"/>
        </w:rPr>
      </w:pPr>
      <w:r>
        <w:rPr>
          <w:rStyle w:val="FootnoteReference"/>
          <w:rFonts w:ascii="Times New Roman" w:eastAsia="Times New Roman" w:hAnsi="Times New Roman" w:cs="Times New Roman"/>
          <w:sz w:val="20"/>
          <w:szCs w:val="20"/>
        </w:rPr>
        <w:footnoteRef/>
      </w:r>
      <w:r>
        <w:rPr>
          <w:rFonts w:ascii="Times New Roman" w:hAnsi="Times New Roman"/>
          <w:sz w:val="20"/>
          <w:szCs w:val="20"/>
        </w:rPr>
        <w:t xml:space="preserve"> As regiões referem-se à classificação regional do CAD da OCDE. «Vizinhança» refere-se aos países parceiros da Política Europeia de Vizinhança (PEV) e a alguns outros países candidatos ou potenciais candidatos.</w:t>
      </w:r>
      <w:r>
        <w:rPr>
          <w:rFonts w:ascii="Times New Roman" w:hAnsi="Times New Roman"/>
          <w:sz w:val="20"/>
          <w:szCs w:val="20"/>
        </w:rPr>
        <w:t xml:space="preserve"> Os valores dos quadros 1 e 2 foram arredondados.</w:t>
      </w:r>
    </w:p>
  </w:footnote>
  <w:footnote w:id="19">
    <w:p w:rsidR="00737A53" w:rsidRDefault="0076469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Os dados incluem a UE e apenas dez Estados-Membros. Para a metodologia detalhada, consultar o documento de trabalho dos serviços da Comissão, anexado ao presente relatório.</w:t>
      </w:r>
    </w:p>
  </w:footnote>
  <w:footnote w:id="20">
    <w:p w:rsidR="00737A53" w:rsidRDefault="0076469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3" w:history="1">
        <w:r>
          <w:rPr>
            <w:rStyle w:val="Hyperlink"/>
            <w:rFonts w:ascii="Times New Roman" w:hAnsi="Times New Roman"/>
          </w:rPr>
          <w:t>https://europa.eu/capacity4dev/sp-nexus/documents</w:t>
        </w:r>
      </w:hyperlink>
      <w:r>
        <w:t>.</w:t>
      </w:r>
    </w:p>
  </w:footnote>
  <w:footnote w:id="21">
    <w:p w:rsidR="00737A53" w:rsidRDefault="0076469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Durante o período em análise no presente relatório, o Reino Unido ainda era membro da União Europeia.</w:t>
      </w:r>
    </w:p>
  </w:footnote>
  <w:footnote w:id="22">
    <w:p w:rsidR="00737A53" w:rsidRDefault="0076469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4" w:history="1">
        <w:r>
          <w:rPr>
            <w:rStyle w:val="Hyperlink"/>
            <w:rFonts w:ascii="Times New Roman" w:hAnsi="Times New Roman"/>
          </w:rPr>
          <w:t>https://europa.eu/capacity4dev/joint-programming/highlights?page=1</w:t>
        </w:r>
      </w:hyperlink>
      <w:r>
        <w:t>.</w:t>
      </w:r>
    </w:p>
  </w:footnote>
  <w:footnote w:id="23">
    <w:p w:rsidR="00737A53" w:rsidRDefault="0076469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Formados pela Iniciativa Global sobre a Elaboração de Relatórios (Global Reporting Initiative) e o Pacto </w:t>
      </w:r>
      <w:r>
        <w:rPr>
          <w:rFonts w:ascii="Times New Roman" w:hAnsi="Times New Roman"/>
        </w:rPr>
        <w:t>Global (Global Compact) das Nações Unidas.</w:t>
      </w:r>
    </w:p>
  </w:footnote>
  <w:footnote w:id="24">
    <w:p w:rsidR="00737A53" w:rsidRDefault="0076469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Este valor refere-se apenas aos projetos de cooperação técnica (executados pela GIZ, a Agência Alemã de Cooperação Internacional). Devido à sobreposição dos grupos-alvo, os dados dos impactos de outros projetos </w:t>
      </w:r>
      <w:r>
        <w:rPr>
          <w:rFonts w:ascii="Times New Roman" w:hAnsi="Times New Roman"/>
        </w:rPr>
        <w:t>(cooperação financeira, projetos multilaterais) não foram aqui considerados.</w:t>
      </w:r>
    </w:p>
  </w:footnote>
  <w:footnote w:id="25">
    <w:p w:rsidR="00737A53" w:rsidRDefault="0076469E">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5" w:history="1">
        <w:r>
          <w:rPr>
            <w:rStyle w:val="Hyperlink"/>
            <w:rFonts w:ascii="Times New Roman" w:hAnsi="Times New Roman"/>
          </w:rPr>
          <w:t>https://ec.europa.eu/commission/sites/b</w:t>
        </w:r>
        <w:r>
          <w:rPr>
            <w:rStyle w:val="Hyperlink"/>
            <w:rFonts w:ascii="Times New Roman" w:hAnsi="Times New Roman"/>
          </w:rPr>
          <w:t>eta-political/files/soteu2018-africa-europe-jobs-alliance-communication-643_en.pdf</w:t>
        </w:r>
      </w:hyperlink>
      <w:r>
        <w:t>.</w:t>
      </w:r>
      <w:r>
        <w:rPr>
          <w:rFonts w:ascii="Times New Roman" w:hAnsi="Times New Roman"/>
        </w:rPr>
        <w:t xml:space="preserve"> </w:t>
      </w:r>
    </w:p>
  </w:footnote>
  <w:footnote w:id="26">
    <w:p w:rsidR="00737A53" w:rsidRDefault="0076469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6" w:history="1">
        <w:r>
          <w:rPr>
            <w:rStyle w:val="Hyperlink"/>
            <w:rFonts w:ascii="Times New Roman" w:hAnsi="Times New Roman"/>
          </w:rPr>
          <w:t>https://www.consilium.europa.eu/media/23551/2017-g20-rural-youth-emplo</w:t>
        </w:r>
        <w:r>
          <w:rPr>
            <w:rStyle w:val="Hyperlink"/>
            <w:rFonts w:ascii="Times New Roman" w:hAnsi="Times New Roman"/>
          </w:rPr>
          <w:t>yment-en.pdf</w:t>
        </w:r>
      </w:hyperlink>
      <w:r>
        <w:t>.</w:t>
      </w:r>
    </w:p>
  </w:footnote>
  <w:footnote w:id="27">
    <w:p w:rsidR="00737A53" w:rsidRDefault="0076469E">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7" w:history="1">
        <w:r>
          <w:rPr>
            <w:rStyle w:val="Hyperlink"/>
            <w:rFonts w:ascii="Times New Roman" w:hAnsi="Times New Roman"/>
          </w:rPr>
          <w:t>https://eeas.europa.eu/headquarters/headquarters-homepage/68138/eu-jobs-and-gro</w:t>
        </w:r>
        <w:r>
          <w:rPr>
            <w:rStyle w:val="Hyperlink"/>
            <w:rFonts w:ascii="Times New Roman" w:hAnsi="Times New Roman"/>
          </w:rPr>
          <w:t>wth-compact-uganda-supporting-job-creation-and-economic-growth_tk</w:t>
        </w:r>
      </w:hyperlink>
      <w:r>
        <w:t>.</w:t>
      </w:r>
    </w:p>
  </w:footnote>
  <w:footnote w:id="28">
    <w:p w:rsidR="00737A53" w:rsidRDefault="0076469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Estudos sobre análises de cadeias de valor, 2016-2020: </w:t>
      </w:r>
      <w:hyperlink r:id="rId8" w:history="1">
        <w:r>
          <w:rPr>
            <w:rStyle w:val="Hyperlink"/>
            <w:rFonts w:ascii="Times New Roman" w:hAnsi="Times New Roman"/>
          </w:rPr>
          <w:t>https://europa.eu/capacity4dev/value-chai</w:t>
        </w:r>
        <w:r>
          <w:rPr>
            <w:rStyle w:val="Hyperlink"/>
            <w:rFonts w:ascii="Times New Roman" w:hAnsi="Times New Roman"/>
          </w:rPr>
          <w:t>n-analysis-for-development-vca4d-</w:t>
        </w:r>
      </w:hyperlink>
      <w:r>
        <w:t>.</w:t>
      </w:r>
    </w:p>
  </w:footnote>
  <w:footnote w:id="29">
    <w:p w:rsidR="00737A53" w:rsidRDefault="0076469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Decisão 4/CP.23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A53" w:rsidRDefault="00737A5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A53" w:rsidRDefault="00737A5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A53" w:rsidRDefault="00737A5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A53" w:rsidRDefault="00737A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A53" w:rsidRDefault="00737A53">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A53" w:rsidRDefault="00737A53">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A53" w:rsidRDefault="00737A5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A53" w:rsidRDefault="00737A5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A53" w:rsidRDefault="00737A5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A53" w:rsidRDefault="00737A5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A53" w:rsidRDefault="00737A5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A53" w:rsidRDefault="00737A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44C1EA5"/>
    <w:multiLevelType w:val="hybridMultilevel"/>
    <w:tmpl w:val="BC32678C"/>
    <w:lvl w:ilvl="0" w:tplc="EEE8EA44">
      <w:start w:val="1"/>
      <w:numFmt w:val="decimal"/>
      <w:lvlText w:val="%1."/>
      <w:lvlJc w:val="left"/>
      <w:pPr>
        <w:ind w:left="644" w:hanging="360"/>
      </w:pPr>
      <w:rPr>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49F344F8"/>
    <w:multiLevelType w:val="hybridMultilevel"/>
    <w:tmpl w:val="38F6A57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BD16E1"/>
    <w:multiLevelType w:val="hybridMultilevel"/>
    <w:tmpl w:val="FD043BA8"/>
    <w:lvl w:ilvl="0" w:tplc="0220E410">
      <w:start w:val="1"/>
      <w:numFmt w:val="decimal"/>
      <w:lvlText w:val="%1."/>
      <w:lvlJc w:val="left"/>
      <w:pPr>
        <w:ind w:left="360" w:hanging="360"/>
      </w:pPr>
      <w:rPr>
        <w:rFonts w:hint="default"/>
        <w:b/>
      </w:rPr>
    </w:lvl>
    <w:lvl w:ilvl="1" w:tplc="04090019" w:tentative="1">
      <w:start w:val="1"/>
      <w:numFmt w:val="lowerLetter"/>
      <w:lvlText w:val="%2."/>
      <w:lvlJc w:val="left"/>
      <w:pPr>
        <w:ind w:left="447" w:hanging="360"/>
      </w:pPr>
    </w:lvl>
    <w:lvl w:ilvl="2" w:tplc="0409001B" w:tentative="1">
      <w:start w:val="1"/>
      <w:numFmt w:val="lowerRoman"/>
      <w:lvlText w:val="%3."/>
      <w:lvlJc w:val="right"/>
      <w:pPr>
        <w:ind w:left="1167" w:hanging="180"/>
      </w:pPr>
    </w:lvl>
    <w:lvl w:ilvl="3" w:tplc="0409000F" w:tentative="1">
      <w:start w:val="1"/>
      <w:numFmt w:val="decimal"/>
      <w:lvlText w:val="%4."/>
      <w:lvlJc w:val="left"/>
      <w:pPr>
        <w:ind w:left="1887" w:hanging="360"/>
      </w:pPr>
    </w:lvl>
    <w:lvl w:ilvl="4" w:tplc="04090019" w:tentative="1">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num w:numId="1">
    <w:abstractNumId w:val="3"/>
  </w:num>
  <w:num w:numId="2">
    <w:abstractNumId w:val="0"/>
  </w:num>
  <w:num w:numId="3">
    <w:abstractNumId w:val="1"/>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6F198C4-172C-4028-87D2-F3CA1ECE37FC"/>
    <w:docVar w:name="LW_COVERPAGE_TYPE" w:val="1"/>
    <w:docVar w:name="LW_CROSSREFERENCE" w:val="{SWD(2020) 85 final}"/>
    <w:docVar w:name="LW_DocType" w:val="NORMAL"/>
    <w:docVar w:name="LW_EMISSION" w:val="26.8.2020"/>
    <w:docVar w:name="LW_EMISSION_ISODATE" w:val="2020-08-26"/>
    <w:docVar w:name="LW_EMISSION_LOCATION" w:val="BRX"/>
    <w:docVar w:name="LW_EMISSION_PREFIX" w:val="Bruxelas, "/>
    <w:docVar w:name="LW_EMISSION_SUFFIX" w:val=" "/>
    <w:docVar w:name="LW_ID_DOCTYPE_NONLW" w:val="CP-006"/>
    <w:docVar w:name="LW_LANGUE" w:val="PT"/>
    <w:docVar w:name="LW_LEVEL_OF_SENSITIVITY" w:val="Standard treatment"/>
    <w:docVar w:name="LW_NOM.INST" w:val="COMISSÃO EUROPEIA"/>
    <w:docVar w:name="LW_NOM.INST_JOINTDOC" w:val="&lt;EMPTY&gt;"/>
    <w:docVar w:name="LW_PART_NBR" w:val="1"/>
    <w:docVar w:name="LW_PART_NBR_TOTAL" w:val="1"/>
    <w:docVar w:name="LW_REF.INST.NEW" w:val="COM"/>
    <w:docVar w:name="LW_REF.INST.NEW_ADOPTED" w:val="final"/>
    <w:docVar w:name="LW_REF.INST.NEW_TEXT" w:val="(2020) 28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Concretizar os compromissos da política da EU em matéria de segurança alimentar e nutricional_x000d__x000b__x000d__x000b__x000d__x000d__x000d__x000d__x000d__x000d__x000b_Quarto relatório bienal"/>
    <w:docVar w:name="LW_TYPE.DOC.CP" w:val="RELATÓRIO DA COMISSÃO AO PARLAMENTO EUROPEU E AO CONSELHO"/>
  </w:docVars>
  <w:rsids>
    <w:rsidRoot w:val="00737A53"/>
    <w:rsid w:val="00737A53"/>
    <w:rsid w:val="007646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D133D930-D4B8-4184-B6C1-9204E4AE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e Article"/>
    <w:basedOn w:val="Normal"/>
    <w:link w:val="ListParagraphChar"/>
    <w:uiPriority w:val="34"/>
    <w:qFormat/>
    <w:pPr>
      <w:ind w:left="720"/>
      <w:contextualSpacing/>
    </w:p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
    <w:basedOn w:val="Normal"/>
    <w:link w:val="FootnoteTextChar"/>
    <w:uiPriority w:val="99"/>
    <w:unhideWhenUsed/>
    <w:rPr>
      <w:sz w:val="20"/>
      <w:szCs w:val="20"/>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basedOn w:val="DefaultParagraphFont"/>
    <w:link w:val="FootnoteText"/>
    <w:uiPriority w:val="99"/>
    <w:rPr>
      <w:sz w:val="20"/>
      <w:szCs w:val="20"/>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
    <w:basedOn w:val="DefaultParagraphFont"/>
    <w:unhideWhenUsed/>
    <w:rPr>
      <w:vertAlign w:val="superscript"/>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Liste Article Char"/>
    <w:link w:val="ListParagraph"/>
    <w:uiPriority w:val="34"/>
    <w:locked/>
  </w:style>
  <w:style w:type="character" w:customStyle="1" w:styleId="CaptionChar">
    <w:name w:val="Caption Char"/>
    <w:link w:val="Caption"/>
    <w:uiPriority w:val="35"/>
    <w:locked/>
    <w:rPr>
      <w:b/>
      <w:bCs/>
      <w:color w:val="4472C4" w:themeColor="accent1"/>
      <w:sz w:val="18"/>
      <w:szCs w:val="18"/>
    </w:rPr>
  </w:style>
  <w:style w:type="paragraph" w:styleId="Caption">
    <w:name w:val="caption"/>
    <w:basedOn w:val="Normal"/>
    <w:next w:val="Normal"/>
    <w:link w:val="CaptionChar"/>
    <w:uiPriority w:val="35"/>
    <w:unhideWhenUsed/>
    <w:qFormat/>
    <w:pPr>
      <w:spacing w:after="200"/>
    </w:pPr>
    <w:rPr>
      <w:b/>
      <w:bCs/>
      <w:color w:val="4472C4" w:themeColor="accent1"/>
      <w:sz w:val="18"/>
      <w:szCs w:val="18"/>
    </w:rPr>
  </w:style>
  <w:style w:type="character" w:customStyle="1" w:styleId="apple-converted-space">
    <w:name w:val="apple-converted-space"/>
    <w:basedOn w:val="DefaultParagraphFont"/>
  </w:style>
  <w:style w:type="character" w:styleId="Emphasis">
    <w:name w:val="Emphasis"/>
    <w:basedOn w:val="DefaultParagraphFont"/>
    <w:uiPriority w:val="20"/>
    <w:qFormat/>
    <w:rPr>
      <w:i/>
      <w:iCs/>
    </w:rPr>
  </w:style>
  <w:style w:type="character" w:customStyle="1" w:styleId="visually-hidden">
    <w:name w:val="visually-hidden"/>
    <w:basedOn w:val="DefaultParagraphFont"/>
  </w:style>
  <w:style w:type="character" w:customStyle="1" w:styleId="UnresolvedMention1">
    <w:name w:val="Unresolved Mention1"/>
    <w:basedOn w:val="DefaultParagraphFont"/>
    <w:uiPriority w:val="99"/>
    <w:rPr>
      <w:color w:val="808080"/>
      <w:shd w:val="clear" w:color="auto" w:fill="E6E6E6"/>
    </w:rPr>
  </w:style>
  <w:style w:type="paragraph" w:styleId="Revision">
    <w:name w:val="Revision"/>
    <w:hidden/>
    <w:uiPriority w:val="99"/>
    <w:semiHidden/>
  </w:style>
  <w:style w:type="paragraph" w:customStyle="1" w:styleId="Default">
    <w:name w:val="Default"/>
    <w:pPr>
      <w:autoSpaceDE w:val="0"/>
      <w:autoSpaceDN w:val="0"/>
      <w:adjustRightInd w:val="0"/>
    </w:pPr>
    <w:rPr>
      <w:rFonts w:ascii="Arial MT Std Light" w:hAnsi="Arial MT Std Light" w:cs="Arial MT Std Light"/>
      <w:color w:val="000000"/>
    </w:rPr>
  </w:style>
  <w:style w:type="character" w:customStyle="1" w:styleId="UnresolvedMention2">
    <w:name w:val="Unresolved Mention2"/>
    <w:basedOn w:val="DefaultParagraphFont"/>
    <w:uiPriority w:val="99"/>
    <w:semiHidden/>
    <w:unhideWhenUsed/>
    <w:rPr>
      <w:color w:val="808080"/>
      <w:shd w:val="clear" w:color="auto" w:fill="E6E6E6"/>
    </w:rPr>
  </w:style>
  <w:style w:type="character" w:styleId="SubtleEmphasis">
    <w:name w:val="Subtle Emphasis"/>
    <w:basedOn w:val="DefaultParagraphFont"/>
    <w:uiPriority w:val="19"/>
    <w:qFormat/>
    <w:rPr>
      <w:i/>
      <w:iCs/>
      <w:color w:val="404040" w:themeColor="text1" w:themeTint="BF"/>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ascii="Times New Roman" w:hAnsi="Times New Roman" w:cs="Times New Roman"/>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ascii="Times New Roman" w:hAnsi="Times New Roman" w:cs="Times New Roman"/>
    </w:rPr>
  </w:style>
  <w:style w:type="character" w:customStyle="1" w:styleId="FooterCoverPageChar">
    <w:name w:val="Footer Cover Page Char"/>
    <w:basedOn w:val="DefaultParagraphFont"/>
    <w:link w:val="FooterCoverPage"/>
    <w:rPr>
      <w:rFonts w:ascii="Times New Roman" w:hAnsi="Times New Roman" w:cs="Times New Roman"/>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jc w:val="both"/>
    </w:pPr>
    <w:rPr>
      <w:rFonts w:ascii="Times New Roman" w:hAnsi="Times New Roman" w:cs="Times New Roman"/>
    </w:rPr>
  </w:style>
  <w:style w:type="character" w:customStyle="1" w:styleId="HeaderCoverPageChar">
    <w:name w:val="Header Cover Page Char"/>
    <w:basedOn w:val="DefaultParagraphFont"/>
    <w:link w:val="HeaderCoverPage"/>
    <w:rPr>
      <w:rFonts w:ascii="Times New Roman" w:hAnsi="Times New Roman" w:cs="Times New Roman"/>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3010">
      <w:bodyDiv w:val="1"/>
      <w:marLeft w:val="0"/>
      <w:marRight w:val="0"/>
      <w:marTop w:val="0"/>
      <w:marBottom w:val="0"/>
      <w:divBdr>
        <w:top w:val="none" w:sz="0" w:space="0" w:color="auto"/>
        <w:left w:val="none" w:sz="0" w:space="0" w:color="auto"/>
        <w:bottom w:val="none" w:sz="0" w:space="0" w:color="auto"/>
        <w:right w:val="none" w:sz="0" w:space="0" w:color="auto"/>
      </w:divBdr>
    </w:div>
    <w:div w:id="105735767">
      <w:bodyDiv w:val="1"/>
      <w:marLeft w:val="0"/>
      <w:marRight w:val="0"/>
      <w:marTop w:val="0"/>
      <w:marBottom w:val="0"/>
      <w:divBdr>
        <w:top w:val="none" w:sz="0" w:space="0" w:color="auto"/>
        <w:left w:val="none" w:sz="0" w:space="0" w:color="auto"/>
        <w:bottom w:val="none" w:sz="0" w:space="0" w:color="auto"/>
        <w:right w:val="none" w:sz="0" w:space="0" w:color="auto"/>
      </w:divBdr>
    </w:div>
    <w:div w:id="162553643">
      <w:bodyDiv w:val="1"/>
      <w:marLeft w:val="0"/>
      <w:marRight w:val="0"/>
      <w:marTop w:val="0"/>
      <w:marBottom w:val="0"/>
      <w:divBdr>
        <w:top w:val="none" w:sz="0" w:space="0" w:color="auto"/>
        <w:left w:val="none" w:sz="0" w:space="0" w:color="auto"/>
        <w:bottom w:val="none" w:sz="0" w:space="0" w:color="auto"/>
        <w:right w:val="none" w:sz="0" w:space="0" w:color="auto"/>
      </w:divBdr>
    </w:div>
    <w:div w:id="217404462">
      <w:bodyDiv w:val="1"/>
      <w:marLeft w:val="0"/>
      <w:marRight w:val="0"/>
      <w:marTop w:val="0"/>
      <w:marBottom w:val="0"/>
      <w:divBdr>
        <w:top w:val="none" w:sz="0" w:space="0" w:color="auto"/>
        <w:left w:val="none" w:sz="0" w:space="0" w:color="auto"/>
        <w:bottom w:val="none" w:sz="0" w:space="0" w:color="auto"/>
        <w:right w:val="none" w:sz="0" w:space="0" w:color="auto"/>
      </w:divBdr>
    </w:div>
    <w:div w:id="251937683">
      <w:bodyDiv w:val="1"/>
      <w:marLeft w:val="0"/>
      <w:marRight w:val="0"/>
      <w:marTop w:val="0"/>
      <w:marBottom w:val="0"/>
      <w:divBdr>
        <w:top w:val="none" w:sz="0" w:space="0" w:color="auto"/>
        <w:left w:val="none" w:sz="0" w:space="0" w:color="auto"/>
        <w:bottom w:val="none" w:sz="0" w:space="0" w:color="auto"/>
        <w:right w:val="none" w:sz="0" w:space="0" w:color="auto"/>
      </w:divBdr>
    </w:div>
    <w:div w:id="289434468">
      <w:bodyDiv w:val="1"/>
      <w:marLeft w:val="0"/>
      <w:marRight w:val="0"/>
      <w:marTop w:val="0"/>
      <w:marBottom w:val="0"/>
      <w:divBdr>
        <w:top w:val="none" w:sz="0" w:space="0" w:color="auto"/>
        <w:left w:val="none" w:sz="0" w:space="0" w:color="auto"/>
        <w:bottom w:val="none" w:sz="0" w:space="0" w:color="auto"/>
        <w:right w:val="none" w:sz="0" w:space="0" w:color="auto"/>
      </w:divBdr>
      <w:divsChild>
        <w:div w:id="2040543153">
          <w:marLeft w:val="0"/>
          <w:marRight w:val="0"/>
          <w:marTop w:val="0"/>
          <w:marBottom w:val="0"/>
          <w:divBdr>
            <w:top w:val="none" w:sz="0" w:space="0" w:color="auto"/>
            <w:left w:val="none" w:sz="0" w:space="0" w:color="auto"/>
            <w:bottom w:val="none" w:sz="0" w:space="0" w:color="auto"/>
            <w:right w:val="none" w:sz="0" w:space="0" w:color="auto"/>
          </w:divBdr>
          <w:divsChild>
            <w:div w:id="37240839">
              <w:marLeft w:val="0"/>
              <w:marRight w:val="0"/>
              <w:marTop w:val="0"/>
              <w:marBottom w:val="0"/>
              <w:divBdr>
                <w:top w:val="none" w:sz="0" w:space="0" w:color="auto"/>
                <w:left w:val="none" w:sz="0" w:space="0" w:color="auto"/>
                <w:bottom w:val="none" w:sz="0" w:space="0" w:color="auto"/>
                <w:right w:val="none" w:sz="0" w:space="0" w:color="auto"/>
              </w:divBdr>
              <w:divsChild>
                <w:div w:id="1926498852">
                  <w:marLeft w:val="0"/>
                  <w:marRight w:val="0"/>
                  <w:marTop w:val="0"/>
                  <w:marBottom w:val="0"/>
                  <w:divBdr>
                    <w:top w:val="none" w:sz="0" w:space="0" w:color="auto"/>
                    <w:left w:val="none" w:sz="0" w:space="0" w:color="auto"/>
                    <w:bottom w:val="none" w:sz="0" w:space="0" w:color="auto"/>
                    <w:right w:val="none" w:sz="0" w:space="0" w:color="auto"/>
                  </w:divBdr>
                  <w:divsChild>
                    <w:div w:id="19562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9297">
      <w:bodyDiv w:val="1"/>
      <w:marLeft w:val="0"/>
      <w:marRight w:val="0"/>
      <w:marTop w:val="0"/>
      <w:marBottom w:val="0"/>
      <w:divBdr>
        <w:top w:val="none" w:sz="0" w:space="0" w:color="auto"/>
        <w:left w:val="none" w:sz="0" w:space="0" w:color="auto"/>
        <w:bottom w:val="none" w:sz="0" w:space="0" w:color="auto"/>
        <w:right w:val="none" w:sz="0" w:space="0" w:color="auto"/>
      </w:divBdr>
    </w:div>
    <w:div w:id="342585041">
      <w:bodyDiv w:val="1"/>
      <w:marLeft w:val="0"/>
      <w:marRight w:val="0"/>
      <w:marTop w:val="0"/>
      <w:marBottom w:val="0"/>
      <w:divBdr>
        <w:top w:val="none" w:sz="0" w:space="0" w:color="auto"/>
        <w:left w:val="none" w:sz="0" w:space="0" w:color="auto"/>
        <w:bottom w:val="none" w:sz="0" w:space="0" w:color="auto"/>
        <w:right w:val="none" w:sz="0" w:space="0" w:color="auto"/>
      </w:divBdr>
      <w:divsChild>
        <w:div w:id="1790322765">
          <w:marLeft w:val="0"/>
          <w:marRight w:val="0"/>
          <w:marTop w:val="0"/>
          <w:marBottom w:val="0"/>
          <w:divBdr>
            <w:top w:val="none" w:sz="0" w:space="0" w:color="auto"/>
            <w:left w:val="none" w:sz="0" w:space="0" w:color="auto"/>
            <w:bottom w:val="none" w:sz="0" w:space="0" w:color="auto"/>
            <w:right w:val="none" w:sz="0" w:space="0" w:color="auto"/>
          </w:divBdr>
          <w:divsChild>
            <w:div w:id="404375927">
              <w:marLeft w:val="0"/>
              <w:marRight w:val="0"/>
              <w:marTop w:val="0"/>
              <w:marBottom w:val="0"/>
              <w:divBdr>
                <w:top w:val="none" w:sz="0" w:space="0" w:color="auto"/>
                <w:left w:val="none" w:sz="0" w:space="0" w:color="auto"/>
                <w:bottom w:val="none" w:sz="0" w:space="0" w:color="auto"/>
                <w:right w:val="none" w:sz="0" w:space="0" w:color="auto"/>
              </w:divBdr>
              <w:divsChild>
                <w:div w:id="2973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324888">
      <w:bodyDiv w:val="1"/>
      <w:marLeft w:val="0"/>
      <w:marRight w:val="0"/>
      <w:marTop w:val="0"/>
      <w:marBottom w:val="0"/>
      <w:divBdr>
        <w:top w:val="none" w:sz="0" w:space="0" w:color="auto"/>
        <w:left w:val="none" w:sz="0" w:space="0" w:color="auto"/>
        <w:bottom w:val="none" w:sz="0" w:space="0" w:color="auto"/>
        <w:right w:val="none" w:sz="0" w:space="0" w:color="auto"/>
      </w:divBdr>
    </w:div>
    <w:div w:id="400711580">
      <w:bodyDiv w:val="1"/>
      <w:marLeft w:val="0"/>
      <w:marRight w:val="0"/>
      <w:marTop w:val="0"/>
      <w:marBottom w:val="0"/>
      <w:divBdr>
        <w:top w:val="none" w:sz="0" w:space="0" w:color="auto"/>
        <w:left w:val="none" w:sz="0" w:space="0" w:color="auto"/>
        <w:bottom w:val="none" w:sz="0" w:space="0" w:color="auto"/>
        <w:right w:val="none" w:sz="0" w:space="0" w:color="auto"/>
      </w:divBdr>
      <w:divsChild>
        <w:div w:id="2016296338">
          <w:marLeft w:val="0"/>
          <w:marRight w:val="0"/>
          <w:marTop w:val="0"/>
          <w:marBottom w:val="0"/>
          <w:divBdr>
            <w:top w:val="none" w:sz="0" w:space="0" w:color="auto"/>
            <w:left w:val="none" w:sz="0" w:space="0" w:color="auto"/>
            <w:bottom w:val="none" w:sz="0" w:space="0" w:color="auto"/>
            <w:right w:val="none" w:sz="0" w:space="0" w:color="auto"/>
          </w:divBdr>
          <w:divsChild>
            <w:div w:id="1169521249">
              <w:marLeft w:val="0"/>
              <w:marRight w:val="0"/>
              <w:marTop w:val="0"/>
              <w:marBottom w:val="0"/>
              <w:divBdr>
                <w:top w:val="none" w:sz="0" w:space="0" w:color="auto"/>
                <w:left w:val="none" w:sz="0" w:space="0" w:color="auto"/>
                <w:bottom w:val="none" w:sz="0" w:space="0" w:color="auto"/>
                <w:right w:val="none" w:sz="0" w:space="0" w:color="auto"/>
              </w:divBdr>
              <w:divsChild>
                <w:div w:id="13849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17934">
      <w:bodyDiv w:val="1"/>
      <w:marLeft w:val="0"/>
      <w:marRight w:val="0"/>
      <w:marTop w:val="0"/>
      <w:marBottom w:val="0"/>
      <w:divBdr>
        <w:top w:val="none" w:sz="0" w:space="0" w:color="auto"/>
        <w:left w:val="none" w:sz="0" w:space="0" w:color="auto"/>
        <w:bottom w:val="none" w:sz="0" w:space="0" w:color="auto"/>
        <w:right w:val="none" w:sz="0" w:space="0" w:color="auto"/>
      </w:divBdr>
    </w:div>
    <w:div w:id="480926358">
      <w:bodyDiv w:val="1"/>
      <w:marLeft w:val="0"/>
      <w:marRight w:val="0"/>
      <w:marTop w:val="0"/>
      <w:marBottom w:val="0"/>
      <w:divBdr>
        <w:top w:val="none" w:sz="0" w:space="0" w:color="auto"/>
        <w:left w:val="none" w:sz="0" w:space="0" w:color="auto"/>
        <w:bottom w:val="none" w:sz="0" w:space="0" w:color="auto"/>
        <w:right w:val="none" w:sz="0" w:space="0" w:color="auto"/>
      </w:divBdr>
      <w:divsChild>
        <w:div w:id="418405610">
          <w:marLeft w:val="0"/>
          <w:marRight w:val="0"/>
          <w:marTop w:val="0"/>
          <w:marBottom w:val="0"/>
          <w:divBdr>
            <w:top w:val="none" w:sz="0" w:space="0" w:color="auto"/>
            <w:left w:val="none" w:sz="0" w:space="0" w:color="auto"/>
            <w:bottom w:val="none" w:sz="0" w:space="0" w:color="auto"/>
            <w:right w:val="none" w:sz="0" w:space="0" w:color="auto"/>
          </w:divBdr>
          <w:divsChild>
            <w:div w:id="752898097">
              <w:marLeft w:val="0"/>
              <w:marRight w:val="0"/>
              <w:marTop w:val="0"/>
              <w:marBottom w:val="0"/>
              <w:divBdr>
                <w:top w:val="none" w:sz="0" w:space="0" w:color="auto"/>
                <w:left w:val="none" w:sz="0" w:space="0" w:color="auto"/>
                <w:bottom w:val="none" w:sz="0" w:space="0" w:color="auto"/>
                <w:right w:val="none" w:sz="0" w:space="0" w:color="auto"/>
              </w:divBdr>
              <w:divsChild>
                <w:div w:id="213472009">
                  <w:marLeft w:val="0"/>
                  <w:marRight w:val="0"/>
                  <w:marTop w:val="0"/>
                  <w:marBottom w:val="0"/>
                  <w:divBdr>
                    <w:top w:val="none" w:sz="0" w:space="0" w:color="auto"/>
                    <w:left w:val="none" w:sz="0" w:space="0" w:color="auto"/>
                    <w:bottom w:val="none" w:sz="0" w:space="0" w:color="auto"/>
                    <w:right w:val="none" w:sz="0" w:space="0" w:color="auto"/>
                  </w:divBdr>
                  <w:divsChild>
                    <w:div w:id="212745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188843">
      <w:bodyDiv w:val="1"/>
      <w:marLeft w:val="0"/>
      <w:marRight w:val="0"/>
      <w:marTop w:val="0"/>
      <w:marBottom w:val="0"/>
      <w:divBdr>
        <w:top w:val="none" w:sz="0" w:space="0" w:color="auto"/>
        <w:left w:val="none" w:sz="0" w:space="0" w:color="auto"/>
        <w:bottom w:val="none" w:sz="0" w:space="0" w:color="auto"/>
        <w:right w:val="none" w:sz="0" w:space="0" w:color="auto"/>
      </w:divBdr>
      <w:divsChild>
        <w:div w:id="1131822412">
          <w:marLeft w:val="0"/>
          <w:marRight w:val="0"/>
          <w:marTop w:val="0"/>
          <w:marBottom w:val="0"/>
          <w:divBdr>
            <w:top w:val="none" w:sz="0" w:space="0" w:color="auto"/>
            <w:left w:val="none" w:sz="0" w:space="0" w:color="auto"/>
            <w:bottom w:val="none" w:sz="0" w:space="0" w:color="auto"/>
            <w:right w:val="none" w:sz="0" w:space="0" w:color="auto"/>
          </w:divBdr>
          <w:divsChild>
            <w:div w:id="1692336957">
              <w:marLeft w:val="0"/>
              <w:marRight w:val="0"/>
              <w:marTop w:val="0"/>
              <w:marBottom w:val="0"/>
              <w:divBdr>
                <w:top w:val="none" w:sz="0" w:space="0" w:color="auto"/>
                <w:left w:val="none" w:sz="0" w:space="0" w:color="auto"/>
                <w:bottom w:val="none" w:sz="0" w:space="0" w:color="auto"/>
                <w:right w:val="none" w:sz="0" w:space="0" w:color="auto"/>
              </w:divBdr>
              <w:divsChild>
                <w:div w:id="1215120181">
                  <w:marLeft w:val="0"/>
                  <w:marRight w:val="0"/>
                  <w:marTop w:val="0"/>
                  <w:marBottom w:val="0"/>
                  <w:divBdr>
                    <w:top w:val="none" w:sz="0" w:space="0" w:color="auto"/>
                    <w:left w:val="none" w:sz="0" w:space="0" w:color="auto"/>
                    <w:bottom w:val="none" w:sz="0" w:space="0" w:color="auto"/>
                    <w:right w:val="none" w:sz="0" w:space="0" w:color="auto"/>
                  </w:divBdr>
                  <w:divsChild>
                    <w:div w:id="134481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51184">
      <w:bodyDiv w:val="1"/>
      <w:marLeft w:val="0"/>
      <w:marRight w:val="0"/>
      <w:marTop w:val="0"/>
      <w:marBottom w:val="0"/>
      <w:divBdr>
        <w:top w:val="none" w:sz="0" w:space="0" w:color="auto"/>
        <w:left w:val="none" w:sz="0" w:space="0" w:color="auto"/>
        <w:bottom w:val="none" w:sz="0" w:space="0" w:color="auto"/>
        <w:right w:val="none" w:sz="0" w:space="0" w:color="auto"/>
      </w:divBdr>
    </w:div>
    <w:div w:id="506480051">
      <w:bodyDiv w:val="1"/>
      <w:marLeft w:val="0"/>
      <w:marRight w:val="0"/>
      <w:marTop w:val="0"/>
      <w:marBottom w:val="0"/>
      <w:divBdr>
        <w:top w:val="none" w:sz="0" w:space="0" w:color="auto"/>
        <w:left w:val="none" w:sz="0" w:space="0" w:color="auto"/>
        <w:bottom w:val="none" w:sz="0" w:space="0" w:color="auto"/>
        <w:right w:val="none" w:sz="0" w:space="0" w:color="auto"/>
      </w:divBdr>
      <w:divsChild>
        <w:div w:id="298652564">
          <w:marLeft w:val="0"/>
          <w:marRight w:val="0"/>
          <w:marTop w:val="0"/>
          <w:marBottom w:val="0"/>
          <w:divBdr>
            <w:top w:val="none" w:sz="0" w:space="0" w:color="auto"/>
            <w:left w:val="none" w:sz="0" w:space="0" w:color="auto"/>
            <w:bottom w:val="none" w:sz="0" w:space="0" w:color="auto"/>
            <w:right w:val="none" w:sz="0" w:space="0" w:color="auto"/>
          </w:divBdr>
          <w:divsChild>
            <w:div w:id="86923794">
              <w:marLeft w:val="0"/>
              <w:marRight w:val="0"/>
              <w:marTop w:val="0"/>
              <w:marBottom w:val="0"/>
              <w:divBdr>
                <w:top w:val="none" w:sz="0" w:space="0" w:color="auto"/>
                <w:left w:val="none" w:sz="0" w:space="0" w:color="auto"/>
                <w:bottom w:val="none" w:sz="0" w:space="0" w:color="auto"/>
                <w:right w:val="none" w:sz="0" w:space="0" w:color="auto"/>
              </w:divBdr>
              <w:divsChild>
                <w:div w:id="152301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12156">
      <w:bodyDiv w:val="1"/>
      <w:marLeft w:val="0"/>
      <w:marRight w:val="0"/>
      <w:marTop w:val="0"/>
      <w:marBottom w:val="0"/>
      <w:divBdr>
        <w:top w:val="none" w:sz="0" w:space="0" w:color="auto"/>
        <w:left w:val="none" w:sz="0" w:space="0" w:color="auto"/>
        <w:bottom w:val="none" w:sz="0" w:space="0" w:color="auto"/>
        <w:right w:val="none" w:sz="0" w:space="0" w:color="auto"/>
      </w:divBdr>
    </w:div>
    <w:div w:id="540172613">
      <w:bodyDiv w:val="1"/>
      <w:marLeft w:val="0"/>
      <w:marRight w:val="0"/>
      <w:marTop w:val="0"/>
      <w:marBottom w:val="0"/>
      <w:divBdr>
        <w:top w:val="none" w:sz="0" w:space="0" w:color="auto"/>
        <w:left w:val="none" w:sz="0" w:space="0" w:color="auto"/>
        <w:bottom w:val="none" w:sz="0" w:space="0" w:color="auto"/>
        <w:right w:val="none" w:sz="0" w:space="0" w:color="auto"/>
      </w:divBdr>
    </w:div>
    <w:div w:id="551505981">
      <w:bodyDiv w:val="1"/>
      <w:marLeft w:val="0"/>
      <w:marRight w:val="0"/>
      <w:marTop w:val="0"/>
      <w:marBottom w:val="0"/>
      <w:divBdr>
        <w:top w:val="none" w:sz="0" w:space="0" w:color="auto"/>
        <w:left w:val="none" w:sz="0" w:space="0" w:color="auto"/>
        <w:bottom w:val="none" w:sz="0" w:space="0" w:color="auto"/>
        <w:right w:val="none" w:sz="0" w:space="0" w:color="auto"/>
      </w:divBdr>
    </w:div>
    <w:div w:id="559756641">
      <w:bodyDiv w:val="1"/>
      <w:marLeft w:val="0"/>
      <w:marRight w:val="0"/>
      <w:marTop w:val="0"/>
      <w:marBottom w:val="0"/>
      <w:divBdr>
        <w:top w:val="none" w:sz="0" w:space="0" w:color="auto"/>
        <w:left w:val="none" w:sz="0" w:space="0" w:color="auto"/>
        <w:bottom w:val="none" w:sz="0" w:space="0" w:color="auto"/>
        <w:right w:val="none" w:sz="0" w:space="0" w:color="auto"/>
      </w:divBdr>
    </w:div>
    <w:div w:id="581063051">
      <w:bodyDiv w:val="1"/>
      <w:marLeft w:val="0"/>
      <w:marRight w:val="0"/>
      <w:marTop w:val="0"/>
      <w:marBottom w:val="0"/>
      <w:divBdr>
        <w:top w:val="none" w:sz="0" w:space="0" w:color="auto"/>
        <w:left w:val="none" w:sz="0" w:space="0" w:color="auto"/>
        <w:bottom w:val="none" w:sz="0" w:space="0" w:color="auto"/>
        <w:right w:val="none" w:sz="0" w:space="0" w:color="auto"/>
      </w:divBdr>
    </w:div>
    <w:div w:id="592936757">
      <w:bodyDiv w:val="1"/>
      <w:marLeft w:val="0"/>
      <w:marRight w:val="0"/>
      <w:marTop w:val="0"/>
      <w:marBottom w:val="0"/>
      <w:divBdr>
        <w:top w:val="none" w:sz="0" w:space="0" w:color="auto"/>
        <w:left w:val="none" w:sz="0" w:space="0" w:color="auto"/>
        <w:bottom w:val="none" w:sz="0" w:space="0" w:color="auto"/>
        <w:right w:val="none" w:sz="0" w:space="0" w:color="auto"/>
      </w:divBdr>
      <w:divsChild>
        <w:div w:id="223226527">
          <w:marLeft w:val="0"/>
          <w:marRight w:val="0"/>
          <w:marTop w:val="0"/>
          <w:marBottom w:val="0"/>
          <w:divBdr>
            <w:top w:val="none" w:sz="0" w:space="0" w:color="auto"/>
            <w:left w:val="none" w:sz="0" w:space="0" w:color="auto"/>
            <w:bottom w:val="none" w:sz="0" w:space="0" w:color="auto"/>
            <w:right w:val="none" w:sz="0" w:space="0" w:color="auto"/>
          </w:divBdr>
          <w:divsChild>
            <w:div w:id="917400610">
              <w:marLeft w:val="0"/>
              <w:marRight w:val="0"/>
              <w:marTop w:val="0"/>
              <w:marBottom w:val="0"/>
              <w:divBdr>
                <w:top w:val="none" w:sz="0" w:space="0" w:color="auto"/>
                <w:left w:val="none" w:sz="0" w:space="0" w:color="auto"/>
                <w:bottom w:val="none" w:sz="0" w:space="0" w:color="auto"/>
                <w:right w:val="none" w:sz="0" w:space="0" w:color="auto"/>
              </w:divBdr>
              <w:divsChild>
                <w:div w:id="194472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591911">
      <w:bodyDiv w:val="1"/>
      <w:marLeft w:val="0"/>
      <w:marRight w:val="0"/>
      <w:marTop w:val="0"/>
      <w:marBottom w:val="0"/>
      <w:divBdr>
        <w:top w:val="none" w:sz="0" w:space="0" w:color="auto"/>
        <w:left w:val="none" w:sz="0" w:space="0" w:color="auto"/>
        <w:bottom w:val="none" w:sz="0" w:space="0" w:color="auto"/>
        <w:right w:val="none" w:sz="0" w:space="0" w:color="auto"/>
      </w:divBdr>
      <w:divsChild>
        <w:div w:id="1609040020">
          <w:marLeft w:val="0"/>
          <w:marRight w:val="0"/>
          <w:marTop w:val="0"/>
          <w:marBottom w:val="0"/>
          <w:divBdr>
            <w:top w:val="none" w:sz="0" w:space="0" w:color="auto"/>
            <w:left w:val="none" w:sz="0" w:space="0" w:color="auto"/>
            <w:bottom w:val="none" w:sz="0" w:space="0" w:color="auto"/>
            <w:right w:val="none" w:sz="0" w:space="0" w:color="auto"/>
          </w:divBdr>
          <w:divsChild>
            <w:div w:id="446509359">
              <w:marLeft w:val="0"/>
              <w:marRight w:val="0"/>
              <w:marTop w:val="0"/>
              <w:marBottom w:val="0"/>
              <w:divBdr>
                <w:top w:val="none" w:sz="0" w:space="0" w:color="auto"/>
                <w:left w:val="none" w:sz="0" w:space="0" w:color="auto"/>
                <w:bottom w:val="none" w:sz="0" w:space="0" w:color="auto"/>
                <w:right w:val="none" w:sz="0" w:space="0" w:color="auto"/>
              </w:divBdr>
              <w:divsChild>
                <w:div w:id="16352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316053">
      <w:bodyDiv w:val="1"/>
      <w:marLeft w:val="0"/>
      <w:marRight w:val="0"/>
      <w:marTop w:val="0"/>
      <w:marBottom w:val="0"/>
      <w:divBdr>
        <w:top w:val="none" w:sz="0" w:space="0" w:color="auto"/>
        <w:left w:val="none" w:sz="0" w:space="0" w:color="auto"/>
        <w:bottom w:val="none" w:sz="0" w:space="0" w:color="auto"/>
        <w:right w:val="none" w:sz="0" w:space="0" w:color="auto"/>
      </w:divBdr>
    </w:div>
    <w:div w:id="637758399">
      <w:bodyDiv w:val="1"/>
      <w:marLeft w:val="0"/>
      <w:marRight w:val="0"/>
      <w:marTop w:val="0"/>
      <w:marBottom w:val="0"/>
      <w:divBdr>
        <w:top w:val="none" w:sz="0" w:space="0" w:color="auto"/>
        <w:left w:val="none" w:sz="0" w:space="0" w:color="auto"/>
        <w:bottom w:val="none" w:sz="0" w:space="0" w:color="auto"/>
        <w:right w:val="none" w:sz="0" w:space="0" w:color="auto"/>
      </w:divBdr>
    </w:div>
    <w:div w:id="732392663">
      <w:bodyDiv w:val="1"/>
      <w:marLeft w:val="0"/>
      <w:marRight w:val="0"/>
      <w:marTop w:val="0"/>
      <w:marBottom w:val="0"/>
      <w:divBdr>
        <w:top w:val="none" w:sz="0" w:space="0" w:color="auto"/>
        <w:left w:val="none" w:sz="0" w:space="0" w:color="auto"/>
        <w:bottom w:val="none" w:sz="0" w:space="0" w:color="auto"/>
        <w:right w:val="none" w:sz="0" w:space="0" w:color="auto"/>
      </w:divBdr>
    </w:div>
    <w:div w:id="779763216">
      <w:bodyDiv w:val="1"/>
      <w:marLeft w:val="0"/>
      <w:marRight w:val="0"/>
      <w:marTop w:val="0"/>
      <w:marBottom w:val="0"/>
      <w:divBdr>
        <w:top w:val="none" w:sz="0" w:space="0" w:color="auto"/>
        <w:left w:val="none" w:sz="0" w:space="0" w:color="auto"/>
        <w:bottom w:val="none" w:sz="0" w:space="0" w:color="auto"/>
        <w:right w:val="none" w:sz="0" w:space="0" w:color="auto"/>
      </w:divBdr>
      <w:divsChild>
        <w:div w:id="2052535531">
          <w:marLeft w:val="0"/>
          <w:marRight w:val="0"/>
          <w:marTop w:val="0"/>
          <w:marBottom w:val="0"/>
          <w:divBdr>
            <w:top w:val="none" w:sz="0" w:space="0" w:color="auto"/>
            <w:left w:val="none" w:sz="0" w:space="0" w:color="auto"/>
            <w:bottom w:val="none" w:sz="0" w:space="0" w:color="auto"/>
            <w:right w:val="none" w:sz="0" w:space="0" w:color="auto"/>
          </w:divBdr>
          <w:divsChild>
            <w:div w:id="2124034835">
              <w:marLeft w:val="0"/>
              <w:marRight w:val="0"/>
              <w:marTop w:val="0"/>
              <w:marBottom w:val="0"/>
              <w:divBdr>
                <w:top w:val="none" w:sz="0" w:space="0" w:color="auto"/>
                <w:left w:val="none" w:sz="0" w:space="0" w:color="auto"/>
                <w:bottom w:val="none" w:sz="0" w:space="0" w:color="auto"/>
                <w:right w:val="none" w:sz="0" w:space="0" w:color="auto"/>
              </w:divBdr>
              <w:divsChild>
                <w:div w:id="548305308">
                  <w:marLeft w:val="0"/>
                  <w:marRight w:val="0"/>
                  <w:marTop w:val="0"/>
                  <w:marBottom w:val="0"/>
                  <w:divBdr>
                    <w:top w:val="none" w:sz="0" w:space="0" w:color="auto"/>
                    <w:left w:val="none" w:sz="0" w:space="0" w:color="auto"/>
                    <w:bottom w:val="none" w:sz="0" w:space="0" w:color="auto"/>
                    <w:right w:val="none" w:sz="0" w:space="0" w:color="auto"/>
                  </w:divBdr>
                  <w:divsChild>
                    <w:div w:id="77687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38751">
      <w:bodyDiv w:val="1"/>
      <w:marLeft w:val="0"/>
      <w:marRight w:val="0"/>
      <w:marTop w:val="0"/>
      <w:marBottom w:val="0"/>
      <w:divBdr>
        <w:top w:val="none" w:sz="0" w:space="0" w:color="auto"/>
        <w:left w:val="none" w:sz="0" w:space="0" w:color="auto"/>
        <w:bottom w:val="none" w:sz="0" w:space="0" w:color="auto"/>
        <w:right w:val="none" w:sz="0" w:space="0" w:color="auto"/>
      </w:divBdr>
      <w:divsChild>
        <w:div w:id="2123256629">
          <w:marLeft w:val="0"/>
          <w:marRight w:val="0"/>
          <w:marTop w:val="0"/>
          <w:marBottom w:val="0"/>
          <w:divBdr>
            <w:top w:val="none" w:sz="0" w:space="0" w:color="auto"/>
            <w:left w:val="none" w:sz="0" w:space="0" w:color="auto"/>
            <w:bottom w:val="none" w:sz="0" w:space="0" w:color="auto"/>
            <w:right w:val="none" w:sz="0" w:space="0" w:color="auto"/>
          </w:divBdr>
          <w:divsChild>
            <w:div w:id="1871185513">
              <w:marLeft w:val="0"/>
              <w:marRight w:val="0"/>
              <w:marTop w:val="0"/>
              <w:marBottom w:val="0"/>
              <w:divBdr>
                <w:top w:val="none" w:sz="0" w:space="0" w:color="auto"/>
                <w:left w:val="none" w:sz="0" w:space="0" w:color="auto"/>
                <w:bottom w:val="none" w:sz="0" w:space="0" w:color="auto"/>
                <w:right w:val="none" w:sz="0" w:space="0" w:color="auto"/>
              </w:divBdr>
              <w:divsChild>
                <w:div w:id="1022171334">
                  <w:marLeft w:val="0"/>
                  <w:marRight w:val="0"/>
                  <w:marTop w:val="0"/>
                  <w:marBottom w:val="0"/>
                  <w:divBdr>
                    <w:top w:val="none" w:sz="0" w:space="0" w:color="auto"/>
                    <w:left w:val="none" w:sz="0" w:space="0" w:color="auto"/>
                    <w:bottom w:val="none" w:sz="0" w:space="0" w:color="auto"/>
                    <w:right w:val="none" w:sz="0" w:space="0" w:color="auto"/>
                  </w:divBdr>
                  <w:divsChild>
                    <w:div w:id="41012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901037">
      <w:bodyDiv w:val="1"/>
      <w:marLeft w:val="0"/>
      <w:marRight w:val="0"/>
      <w:marTop w:val="0"/>
      <w:marBottom w:val="0"/>
      <w:divBdr>
        <w:top w:val="none" w:sz="0" w:space="0" w:color="auto"/>
        <w:left w:val="none" w:sz="0" w:space="0" w:color="auto"/>
        <w:bottom w:val="none" w:sz="0" w:space="0" w:color="auto"/>
        <w:right w:val="none" w:sz="0" w:space="0" w:color="auto"/>
      </w:divBdr>
    </w:div>
    <w:div w:id="808940591">
      <w:bodyDiv w:val="1"/>
      <w:marLeft w:val="0"/>
      <w:marRight w:val="0"/>
      <w:marTop w:val="0"/>
      <w:marBottom w:val="0"/>
      <w:divBdr>
        <w:top w:val="none" w:sz="0" w:space="0" w:color="auto"/>
        <w:left w:val="none" w:sz="0" w:space="0" w:color="auto"/>
        <w:bottom w:val="none" w:sz="0" w:space="0" w:color="auto"/>
        <w:right w:val="none" w:sz="0" w:space="0" w:color="auto"/>
      </w:divBdr>
      <w:divsChild>
        <w:div w:id="1232892153">
          <w:marLeft w:val="0"/>
          <w:marRight w:val="0"/>
          <w:marTop w:val="0"/>
          <w:marBottom w:val="0"/>
          <w:divBdr>
            <w:top w:val="none" w:sz="0" w:space="0" w:color="auto"/>
            <w:left w:val="none" w:sz="0" w:space="0" w:color="auto"/>
            <w:bottom w:val="none" w:sz="0" w:space="0" w:color="auto"/>
            <w:right w:val="none" w:sz="0" w:space="0" w:color="auto"/>
          </w:divBdr>
          <w:divsChild>
            <w:div w:id="144519163">
              <w:marLeft w:val="0"/>
              <w:marRight w:val="0"/>
              <w:marTop w:val="0"/>
              <w:marBottom w:val="0"/>
              <w:divBdr>
                <w:top w:val="none" w:sz="0" w:space="0" w:color="auto"/>
                <w:left w:val="none" w:sz="0" w:space="0" w:color="auto"/>
                <w:bottom w:val="none" w:sz="0" w:space="0" w:color="auto"/>
                <w:right w:val="none" w:sz="0" w:space="0" w:color="auto"/>
              </w:divBdr>
              <w:divsChild>
                <w:div w:id="2120710790">
                  <w:marLeft w:val="0"/>
                  <w:marRight w:val="0"/>
                  <w:marTop w:val="0"/>
                  <w:marBottom w:val="0"/>
                  <w:divBdr>
                    <w:top w:val="none" w:sz="0" w:space="0" w:color="auto"/>
                    <w:left w:val="none" w:sz="0" w:space="0" w:color="auto"/>
                    <w:bottom w:val="none" w:sz="0" w:space="0" w:color="auto"/>
                    <w:right w:val="none" w:sz="0" w:space="0" w:color="auto"/>
                  </w:divBdr>
                  <w:divsChild>
                    <w:div w:id="162897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638074">
      <w:bodyDiv w:val="1"/>
      <w:marLeft w:val="0"/>
      <w:marRight w:val="0"/>
      <w:marTop w:val="0"/>
      <w:marBottom w:val="0"/>
      <w:divBdr>
        <w:top w:val="none" w:sz="0" w:space="0" w:color="auto"/>
        <w:left w:val="none" w:sz="0" w:space="0" w:color="auto"/>
        <w:bottom w:val="none" w:sz="0" w:space="0" w:color="auto"/>
        <w:right w:val="none" w:sz="0" w:space="0" w:color="auto"/>
      </w:divBdr>
    </w:div>
    <w:div w:id="851147370">
      <w:bodyDiv w:val="1"/>
      <w:marLeft w:val="0"/>
      <w:marRight w:val="0"/>
      <w:marTop w:val="0"/>
      <w:marBottom w:val="0"/>
      <w:divBdr>
        <w:top w:val="none" w:sz="0" w:space="0" w:color="auto"/>
        <w:left w:val="none" w:sz="0" w:space="0" w:color="auto"/>
        <w:bottom w:val="none" w:sz="0" w:space="0" w:color="auto"/>
        <w:right w:val="none" w:sz="0" w:space="0" w:color="auto"/>
      </w:divBdr>
    </w:div>
    <w:div w:id="894707675">
      <w:bodyDiv w:val="1"/>
      <w:marLeft w:val="0"/>
      <w:marRight w:val="0"/>
      <w:marTop w:val="0"/>
      <w:marBottom w:val="0"/>
      <w:divBdr>
        <w:top w:val="none" w:sz="0" w:space="0" w:color="auto"/>
        <w:left w:val="none" w:sz="0" w:space="0" w:color="auto"/>
        <w:bottom w:val="none" w:sz="0" w:space="0" w:color="auto"/>
        <w:right w:val="none" w:sz="0" w:space="0" w:color="auto"/>
      </w:divBdr>
      <w:divsChild>
        <w:div w:id="1019618788">
          <w:marLeft w:val="0"/>
          <w:marRight w:val="0"/>
          <w:marTop w:val="0"/>
          <w:marBottom w:val="0"/>
          <w:divBdr>
            <w:top w:val="none" w:sz="0" w:space="0" w:color="auto"/>
            <w:left w:val="none" w:sz="0" w:space="0" w:color="auto"/>
            <w:bottom w:val="none" w:sz="0" w:space="0" w:color="auto"/>
            <w:right w:val="none" w:sz="0" w:space="0" w:color="auto"/>
          </w:divBdr>
          <w:divsChild>
            <w:div w:id="1574006293">
              <w:marLeft w:val="0"/>
              <w:marRight w:val="0"/>
              <w:marTop w:val="0"/>
              <w:marBottom w:val="0"/>
              <w:divBdr>
                <w:top w:val="none" w:sz="0" w:space="0" w:color="auto"/>
                <w:left w:val="none" w:sz="0" w:space="0" w:color="auto"/>
                <w:bottom w:val="none" w:sz="0" w:space="0" w:color="auto"/>
                <w:right w:val="none" w:sz="0" w:space="0" w:color="auto"/>
              </w:divBdr>
              <w:divsChild>
                <w:div w:id="19378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062310">
      <w:bodyDiv w:val="1"/>
      <w:marLeft w:val="0"/>
      <w:marRight w:val="0"/>
      <w:marTop w:val="0"/>
      <w:marBottom w:val="0"/>
      <w:divBdr>
        <w:top w:val="none" w:sz="0" w:space="0" w:color="auto"/>
        <w:left w:val="none" w:sz="0" w:space="0" w:color="auto"/>
        <w:bottom w:val="none" w:sz="0" w:space="0" w:color="auto"/>
        <w:right w:val="none" w:sz="0" w:space="0" w:color="auto"/>
      </w:divBdr>
      <w:divsChild>
        <w:div w:id="591744540">
          <w:marLeft w:val="0"/>
          <w:marRight w:val="0"/>
          <w:marTop w:val="0"/>
          <w:marBottom w:val="0"/>
          <w:divBdr>
            <w:top w:val="none" w:sz="0" w:space="0" w:color="auto"/>
            <w:left w:val="none" w:sz="0" w:space="0" w:color="auto"/>
            <w:bottom w:val="none" w:sz="0" w:space="0" w:color="auto"/>
            <w:right w:val="none" w:sz="0" w:space="0" w:color="auto"/>
          </w:divBdr>
          <w:divsChild>
            <w:div w:id="1314876094">
              <w:marLeft w:val="0"/>
              <w:marRight w:val="0"/>
              <w:marTop w:val="0"/>
              <w:marBottom w:val="0"/>
              <w:divBdr>
                <w:top w:val="none" w:sz="0" w:space="0" w:color="auto"/>
                <w:left w:val="none" w:sz="0" w:space="0" w:color="auto"/>
                <w:bottom w:val="none" w:sz="0" w:space="0" w:color="auto"/>
                <w:right w:val="none" w:sz="0" w:space="0" w:color="auto"/>
              </w:divBdr>
              <w:divsChild>
                <w:div w:id="2070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488569">
      <w:bodyDiv w:val="1"/>
      <w:marLeft w:val="0"/>
      <w:marRight w:val="0"/>
      <w:marTop w:val="0"/>
      <w:marBottom w:val="0"/>
      <w:divBdr>
        <w:top w:val="none" w:sz="0" w:space="0" w:color="auto"/>
        <w:left w:val="none" w:sz="0" w:space="0" w:color="auto"/>
        <w:bottom w:val="none" w:sz="0" w:space="0" w:color="auto"/>
        <w:right w:val="none" w:sz="0" w:space="0" w:color="auto"/>
      </w:divBdr>
    </w:div>
    <w:div w:id="977028249">
      <w:bodyDiv w:val="1"/>
      <w:marLeft w:val="0"/>
      <w:marRight w:val="0"/>
      <w:marTop w:val="0"/>
      <w:marBottom w:val="0"/>
      <w:divBdr>
        <w:top w:val="none" w:sz="0" w:space="0" w:color="auto"/>
        <w:left w:val="none" w:sz="0" w:space="0" w:color="auto"/>
        <w:bottom w:val="none" w:sz="0" w:space="0" w:color="auto"/>
        <w:right w:val="none" w:sz="0" w:space="0" w:color="auto"/>
      </w:divBdr>
      <w:divsChild>
        <w:div w:id="329601718">
          <w:marLeft w:val="0"/>
          <w:marRight w:val="0"/>
          <w:marTop w:val="0"/>
          <w:marBottom w:val="0"/>
          <w:divBdr>
            <w:top w:val="none" w:sz="0" w:space="0" w:color="auto"/>
            <w:left w:val="none" w:sz="0" w:space="0" w:color="auto"/>
            <w:bottom w:val="none" w:sz="0" w:space="0" w:color="auto"/>
            <w:right w:val="none" w:sz="0" w:space="0" w:color="auto"/>
          </w:divBdr>
          <w:divsChild>
            <w:div w:id="1867862489">
              <w:marLeft w:val="0"/>
              <w:marRight w:val="0"/>
              <w:marTop w:val="0"/>
              <w:marBottom w:val="0"/>
              <w:divBdr>
                <w:top w:val="none" w:sz="0" w:space="0" w:color="auto"/>
                <w:left w:val="none" w:sz="0" w:space="0" w:color="auto"/>
                <w:bottom w:val="none" w:sz="0" w:space="0" w:color="auto"/>
                <w:right w:val="none" w:sz="0" w:space="0" w:color="auto"/>
              </w:divBdr>
              <w:divsChild>
                <w:div w:id="2040817551">
                  <w:marLeft w:val="0"/>
                  <w:marRight w:val="0"/>
                  <w:marTop w:val="0"/>
                  <w:marBottom w:val="0"/>
                  <w:divBdr>
                    <w:top w:val="none" w:sz="0" w:space="0" w:color="auto"/>
                    <w:left w:val="none" w:sz="0" w:space="0" w:color="auto"/>
                    <w:bottom w:val="none" w:sz="0" w:space="0" w:color="auto"/>
                    <w:right w:val="none" w:sz="0" w:space="0" w:color="auto"/>
                  </w:divBdr>
                  <w:divsChild>
                    <w:div w:id="8188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92815">
      <w:bodyDiv w:val="1"/>
      <w:marLeft w:val="0"/>
      <w:marRight w:val="0"/>
      <w:marTop w:val="0"/>
      <w:marBottom w:val="0"/>
      <w:divBdr>
        <w:top w:val="none" w:sz="0" w:space="0" w:color="auto"/>
        <w:left w:val="none" w:sz="0" w:space="0" w:color="auto"/>
        <w:bottom w:val="none" w:sz="0" w:space="0" w:color="auto"/>
        <w:right w:val="none" w:sz="0" w:space="0" w:color="auto"/>
      </w:divBdr>
      <w:divsChild>
        <w:div w:id="204954705">
          <w:marLeft w:val="0"/>
          <w:marRight w:val="0"/>
          <w:marTop w:val="0"/>
          <w:marBottom w:val="0"/>
          <w:divBdr>
            <w:top w:val="none" w:sz="0" w:space="0" w:color="auto"/>
            <w:left w:val="none" w:sz="0" w:space="0" w:color="auto"/>
            <w:bottom w:val="none" w:sz="0" w:space="0" w:color="auto"/>
            <w:right w:val="none" w:sz="0" w:space="0" w:color="auto"/>
          </w:divBdr>
          <w:divsChild>
            <w:div w:id="232130801">
              <w:marLeft w:val="0"/>
              <w:marRight w:val="0"/>
              <w:marTop w:val="0"/>
              <w:marBottom w:val="0"/>
              <w:divBdr>
                <w:top w:val="none" w:sz="0" w:space="0" w:color="auto"/>
                <w:left w:val="none" w:sz="0" w:space="0" w:color="auto"/>
                <w:bottom w:val="none" w:sz="0" w:space="0" w:color="auto"/>
                <w:right w:val="none" w:sz="0" w:space="0" w:color="auto"/>
              </w:divBdr>
              <w:divsChild>
                <w:div w:id="9340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570109">
      <w:bodyDiv w:val="1"/>
      <w:marLeft w:val="0"/>
      <w:marRight w:val="0"/>
      <w:marTop w:val="0"/>
      <w:marBottom w:val="0"/>
      <w:divBdr>
        <w:top w:val="none" w:sz="0" w:space="0" w:color="auto"/>
        <w:left w:val="none" w:sz="0" w:space="0" w:color="auto"/>
        <w:bottom w:val="none" w:sz="0" w:space="0" w:color="auto"/>
        <w:right w:val="none" w:sz="0" w:space="0" w:color="auto"/>
      </w:divBdr>
      <w:divsChild>
        <w:div w:id="954824894">
          <w:marLeft w:val="0"/>
          <w:marRight w:val="0"/>
          <w:marTop w:val="0"/>
          <w:marBottom w:val="0"/>
          <w:divBdr>
            <w:top w:val="none" w:sz="0" w:space="0" w:color="auto"/>
            <w:left w:val="none" w:sz="0" w:space="0" w:color="auto"/>
            <w:bottom w:val="none" w:sz="0" w:space="0" w:color="auto"/>
            <w:right w:val="none" w:sz="0" w:space="0" w:color="auto"/>
          </w:divBdr>
          <w:divsChild>
            <w:div w:id="1741975244">
              <w:marLeft w:val="0"/>
              <w:marRight w:val="0"/>
              <w:marTop w:val="0"/>
              <w:marBottom w:val="0"/>
              <w:divBdr>
                <w:top w:val="none" w:sz="0" w:space="0" w:color="auto"/>
                <w:left w:val="none" w:sz="0" w:space="0" w:color="auto"/>
                <w:bottom w:val="none" w:sz="0" w:space="0" w:color="auto"/>
                <w:right w:val="none" w:sz="0" w:space="0" w:color="auto"/>
              </w:divBdr>
              <w:divsChild>
                <w:div w:id="15285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86075">
      <w:bodyDiv w:val="1"/>
      <w:marLeft w:val="0"/>
      <w:marRight w:val="0"/>
      <w:marTop w:val="0"/>
      <w:marBottom w:val="0"/>
      <w:divBdr>
        <w:top w:val="none" w:sz="0" w:space="0" w:color="auto"/>
        <w:left w:val="none" w:sz="0" w:space="0" w:color="auto"/>
        <w:bottom w:val="none" w:sz="0" w:space="0" w:color="auto"/>
        <w:right w:val="none" w:sz="0" w:space="0" w:color="auto"/>
      </w:divBdr>
      <w:divsChild>
        <w:div w:id="1178082421">
          <w:marLeft w:val="0"/>
          <w:marRight w:val="0"/>
          <w:marTop w:val="0"/>
          <w:marBottom w:val="0"/>
          <w:divBdr>
            <w:top w:val="none" w:sz="0" w:space="0" w:color="auto"/>
            <w:left w:val="none" w:sz="0" w:space="0" w:color="auto"/>
            <w:bottom w:val="none" w:sz="0" w:space="0" w:color="auto"/>
            <w:right w:val="none" w:sz="0" w:space="0" w:color="auto"/>
          </w:divBdr>
          <w:divsChild>
            <w:div w:id="288558713">
              <w:marLeft w:val="0"/>
              <w:marRight w:val="0"/>
              <w:marTop w:val="0"/>
              <w:marBottom w:val="0"/>
              <w:divBdr>
                <w:top w:val="none" w:sz="0" w:space="0" w:color="auto"/>
                <w:left w:val="none" w:sz="0" w:space="0" w:color="auto"/>
                <w:bottom w:val="none" w:sz="0" w:space="0" w:color="auto"/>
                <w:right w:val="none" w:sz="0" w:space="0" w:color="auto"/>
              </w:divBdr>
              <w:divsChild>
                <w:div w:id="88756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713846">
      <w:bodyDiv w:val="1"/>
      <w:marLeft w:val="0"/>
      <w:marRight w:val="0"/>
      <w:marTop w:val="0"/>
      <w:marBottom w:val="0"/>
      <w:divBdr>
        <w:top w:val="none" w:sz="0" w:space="0" w:color="auto"/>
        <w:left w:val="none" w:sz="0" w:space="0" w:color="auto"/>
        <w:bottom w:val="none" w:sz="0" w:space="0" w:color="auto"/>
        <w:right w:val="none" w:sz="0" w:space="0" w:color="auto"/>
      </w:divBdr>
    </w:div>
    <w:div w:id="1055853776">
      <w:bodyDiv w:val="1"/>
      <w:marLeft w:val="0"/>
      <w:marRight w:val="0"/>
      <w:marTop w:val="0"/>
      <w:marBottom w:val="0"/>
      <w:divBdr>
        <w:top w:val="none" w:sz="0" w:space="0" w:color="auto"/>
        <w:left w:val="none" w:sz="0" w:space="0" w:color="auto"/>
        <w:bottom w:val="none" w:sz="0" w:space="0" w:color="auto"/>
        <w:right w:val="none" w:sz="0" w:space="0" w:color="auto"/>
      </w:divBdr>
      <w:divsChild>
        <w:div w:id="1583367258">
          <w:marLeft w:val="0"/>
          <w:marRight w:val="0"/>
          <w:marTop w:val="0"/>
          <w:marBottom w:val="0"/>
          <w:divBdr>
            <w:top w:val="none" w:sz="0" w:space="0" w:color="auto"/>
            <w:left w:val="none" w:sz="0" w:space="0" w:color="auto"/>
            <w:bottom w:val="none" w:sz="0" w:space="0" w:color="auto"/>
            <w:right w:val="none" w:sz="0" w:space="0" w:color="auto"/>
          </w:divBdr>
          <w:divsChild>
            <w:div w:id="1514954267">
              <w:marLeft w:val="0"/>
              <w:marRight w:val="0"/>
              <w:marTop w:val="0"/>
              <w:marBottom w:val="0"/>
              <w:divBdr>
                <w:top w:val="none" w:sz="0" w:space="0" w:color="auto"/>
                <w:left w:val="none" w:sz="0" w:space="0" w:color="auto"/>
                <w:bottom w:val="none" w:sz="0" w:space="0" w:color="auto"/>
                <w:right w:val="none" w:sz="0" w:space="0" w:color="auto"/>
              </w:divBdr>
              <w:divsChild>
                <w:div w:id="1311866070">
                  <w:marLeft w:val="0"/>
                  <w:marRight w:val="0"/>
                  <w:marTop w:val="0"/>
                  <w:marBottom w:val="0"/>
                  <w:divBdr>
                    <w:top w:val="none" w:sz="0" w:space="0" w:color="auto"/>
                    <w:left w:val="none" w:sz="0" w:space="0" w:color="auto"/>
                    <w:bottom w:val="none" w:sz="0" w:space="0" w:color="auto"/>
                    <w:right w:val="none" w:sz="0" w:space="0" w:color="auto"/>
                  </w:divBdr>
                  <w:divsChild>
                    <w:div w:id="19080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98972">
      <w:bodyDiv w:val="1"/>
      <w:marLeft w:val="0"/>
      <w:marRight w:val="0"/>
      <w:marTop w:val="0"/>
      <w:marBottom w:val="0"/>
      <w:divBdr>
        <w:top w:val="none" w:sz="0" w:space="0" w:color="auto"/>
        <w:left w:val="none" w:sz="0" w:space="0" w:color="auto"/>
        <w:bottom w:val="none" w:sz="0" w:space="0" w:color="auto"/>
        <w:right w:val="none" w:sz="0" w:space="0" w:color="auto"/>
      </w:divBdr>
      <w:divsChild>
        <w:div w:id="987516898">
          <w:marLeft w:val="0"/>
          <w:marRight w:val="0"/>
          <w:marTop w:val="0"/>
          <w:marBottom w:val="0"/>
          <w:divBdr>
            <w:top w:val="none" w:sz="0" w:space="0" w:color="auto"/>
            <w:left w:val="none" w:sz="0" w:space="0" w:color="auto"/>
            <w:bottom w:val="none" w:sz="0" w:space="0" w:color="auto"/>
            <w:right w:val="none" w:sz="0" w:space="0" w:color="auto"/>
          </w:divBdr>
          <w:divsChild>
            <w:div w:id="1317567778">
              <w:marLeft w:val="0"/>
              <w:marRight w:val="0"/>
              <w:marTop w:val="0"/>
              <w:marBottom w:val="0"/>
              <w:divBdr>
                <w:top w:val="none" w:sz="0" w:space="0" w:color="auto"/>
                <w:left w:val="none" w:sz="0" w:space="0" w:color="auto"/>
                <w:bottom w:val="none" w:sz="0" w:space="0" w:color="auto"/>
                <w:right w:val="none" w:sz="0" w:space="0" w:color="auto"/>
              </w:divBdr>
              <w:divsChild>
                <w:div w:id="2004509732">
                  <w:marLeft w:val="0"/>
                  <w:marRight w:val="0"/>
                  <w:marTop w:val="0"/>
                  <w:marBottom w:val="0"/>
                  <w:divBdr>
                    <w:top w:val="none" w:sz="0" w:space="0" w:color="auto"/>
                    <w:left w:val="none" w:sz="0" w:space="0" w:color="auto"/>
                    <w:bottom w:val="none" w:sz="0" w:space="0" w:color="auto"/>
                    <w:right w:val="none" w:sz="0" w:space="0" w:color="auto"/>
                  </w:divBdr>
                  <w:divsChild>
                    <w:div w:id="13320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44189">
      <w:bodyDiv w:val="1"/>
      <w:marLeft w:val="0"/>
      <w:marRight w:val="0"/>
      <w:marTop w:val="0"/>
      <w:marBottom w:val="0"/>
      <w:divBdr>
        <w:top w:val="none" w:sz="0" w:space="0" w:color="auto"/>
        <w:left w:val="none" w:sz="0" w:space="0" w:color="auto"/>
        <w:bottom w:val="none" w:sz="0" w:space="0" w:color="auto"/>
        <w:right w:val="none" w:sz="0" w:space="0" w:color="auto"/>
      </w:divBdr>
      <w:divsChild>
        <w:div w:id="1160579378">
          <w:marLeft w:val="0"/>
          <w:marRight w:val="0"/>
          <w:marTop w:val="0"/>
          <w:marBottom w:val="0"/>
          <w:divBdr>
            <w:top w:val="none" w:sz="0" w:space="0" w:color="auto"/>
            <w:left w:val="none" w:sz="0" w:space="0" w:color="auto"/>
            <w:bottom w:val="none" w:sz="0" w:space="0" w:color="auto"/>
            <w:right w:val="none" w:sz="0" w:space="0" w:color="auto"/>
          </w:divBdr>
          <w:divsChild>
            <w:div w:id="94375475">
              <w:marLeft w:val="0"/>
              <w:marRight w:val="0"/>
              <w:marTop w:val="0"/>
              <w:marBottom w:val="0"/>
              <w:divBdr>
                <w:top w:val="none" w:sz="0" w:space="0" w:color="auto"/>
                <w:left w:val="none" w:sz="0" w:space="0" w:color="auto"/>
                <w:bottom w:val="none" w:sz="0" w:space="0" w:color="auto"/>
                <w:right w:val="none" w:sz="0" w:space="0" w:color="auto"/>
              </w:divBdr>
              <w:divsChild>
                <w:div w:id="883784900">
                  <w:marLeft w:val="0"/>
                  <w:marRight w:val="0"/>
                  <w:marTop w:val="0"/>
                  <w:marBottom w:val="0"/>
                  <w:divBdr>
                    <w:top w:val="none" w:sz="0" w:space="0" w:color="auto"/>
                    <w:left w:val="none" w:sz="0" w:space="0" w:color="auto"/>
                    <w:bottom w:val="none" w:sz="0" w:space="0" w:color="auto"/>
                    <w:right w:val="none" w:sz="0" w:space="0" w:color="auto"/>
                  </w:divBdr>
                  <w:divsChild>
                    <w:div w:id="148400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994809">
      <w:bodyDiv w:val="1"/>
      <w:marLeft w:val="0"/>
      <w:marRight w:val="0"/>
      <w:marTop w:val="0"/>
      <w:marBottom w:val="0"/>
      <w:divBdr>
        <w:top w:val="none" w:sz="0" w:space="0" w:color="auto"/>
        <w:left w:val="none" w:sz="0" w:space="0" w:color="auto"/>
        <w:bottom w:val="none" w:sz="0" w:space="0" w:color="auto"/>
        <w:right w:val="none" w:sz="0" w:space="0" w:color="auto"/>
      </w:divBdr>
      <w:divsChild>
        <w:div w:id="1234467884">
          <w:marLeft w:val="0"/>
          <w:marRight w:val="0"/>
          <w:marTop w:val="0"/>
          <w:marBottom w:val="0"/>
          <w:divBdr>
            <w:top w:val="none" w:sz="0" w:space="0" w:color="auto"/>
            <w:left w:val="none" w:sz="0" w:space="0" w:color="auto"/>
            <w:bottom w:val="none" w:sz="0" w:space="0" w:color="auto"/>
            <w:right w:val="none" w:sz="0" w:space="0" w:color="auto"/>
          </w:divBdr>
          <w:divsChild>
            <w:div w:id="1889339695">
              <w:marLeft w:val="0"/>
              <w:marRight w:val="0"/>
              <w:marTop w:val="0"/>
              <w:marBottom w:val="0"/>
              <w:divBdr>
                <w:top w:val="none" w:sz="0" w:space="0" w:color="auto"/>
                <w:left w:val="none" w:sz="0" w:space="0" w:color="auto"/>
                <w:bottom w:val="none" w:sz="0" w:space="0" w:color="auto"/>
                <w:right w:val="none" w:sz="0" w:space="0" w:color="auto"/>
              </w:divBdr>
              <w:divsChild>
                <w:div w:id="799225616">
                  <w:marLeft w:val="0"/>
                  <w:marRight w:val="0"/>
                  <w:marTop w:val="0"/>
                  <w:marBottom w:val="0"/>
                  <w:divBdr>
                    <w:top w:val="none" w:sz="0" w:space="0" w:color="auto"/>
                    <w:left w:val="none" w:sz="0" w:space="0" w:color="auto"/>
                    <w:bottom w:val="none" w:sz="0" w:space="0" w:color="auto"/>
                    <w:right w:val="none" w:sz="0" w:space="0" w:color="auto"/>
                  </w:divBdr>
                  <w:divsChild>
                    <w:div w:id="95343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460411">
      <w:bodyDiv w:val="1"/>
      <w:marLeft w:val="0"/>
      <w:marRight w:val="0"/>
      <w:marTop w:val="0"/>
      <w:marBottom w:val="0"/>
      <w:divBdr>
        <w:top w:val="none" w:sz="0" w:space="0" w:color="auto"/>
        <w:left w:val="none" w:sz="0" w:space="0" w:color="auto"/>
        <w:bottom w:val="none" w:sz="0" w:space="0" w:color="auto"/>
        <w:right w:val="none" w:sz="0" w:space="0" w:color="auto"/>
      </w:divBdr>
    </w:div>
    <w:div w:id="1149636336">
      <w:bodyDiv w:val="1"/>
      <w:marLeft w:val="0"/>
      <w:marRight w:val="0"/>
      <w:marTop w:val="0"/>
      <w:marBottom w:val="0"/>
      <w:divBdr>
        <w:top w:val="none" w:sz="0" w:space="0" w:color="auto"/>
        <w:left w:val="none" w:sz="0" w:space="0" w:color="auto"/>
        <w:bottom w:val="none" w:sz="0" w:space="0" w:color="auto"/>
        <w:right w:val="none" w:sz="0" w:space="0" w:color="auto"/>
      </w:divBdr>
      <w:divsChild>
        <w:div w:id="840434223">
          <w:marLeft w:val="0"/>
          <w:marRight w:val="0"/>
          <w:marTop w:val="0"/>
          <w:marBottom w:val="0"/>
          <w:divBdr>
            <w:top w:val="none" w:sz="0" w:space="0" w:color="auto"/>
            <w:left w:val="none" w:sz="0" w:space="0" w:color="auto"/>
            <w:bottom w:val="none" w:sz="0" w:space="0" w:color="auto"/>
            <w:right w:val="none" w:sz="0" w:space="0" w:color="auto"/>
          </w:divBdr>
          <w:divsChild>
            <w:div w:id="795636625">
              <w:marLeft w:val="0"/>
              <w:marRight w:val="0"/>
              <w:marTop w:val="0"/>
              <w:marBottom w:val="0"/>
              <w:divBdr>
                <w:top w:val="none" w:sz="0" w:space="0" w:color="auto"/>
                <w:left w:val="none" w:sz="0" w:space="0" w:color="auto"/>
                <w:bottom w:val="none" w:sz="0" w:space="0" w:color="auto"/>
                <w:right w:val="none" w:sz="0" w:space="0" w:color="auto"/>
              </w:divBdr>
              <w:divsChild>
                <w:div w:id="1730688048">
                  <w:marLeft w:val="0"/>
                  <w:marRight w:val="0"/>
                  <w:marTop w:val="0"/>
                  <w:marBottom w:val="0"/>
                  <w:divBdr>
                    <w:top w:val="none" w:sz="0" w:space="0" w:color="auto"/>
                    <w:left w:val="none" w:sz="0" w:space="0" w:color="auto"/>
                    <w:bottom w:val="none" w:sz="0" w:space="0" w:color="auto"/>
                    <w:right w:val="none" w:sz="0" w:space="0" w:color="auto"/>
                  </w:divBdr>
                  <w:divsChild>
                    <w:div w:id="18250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810081">
      <w:bodyDiv w:val="1"/>
      <w:marLeft w:val="0"/>
      <w:marRight w:val="0"/>
      <w:marTop w:val="0"/>
      <w:marBottom w:val="0"/>
      <w:divBdr>
        <w:top w:val="none" w:sz="0" w:space="0" w:color="auto"/>
        <w:left w:val="none" w:sz="0" w:space="0" w:color="auto"/>
        <w:bottom w:val="none" w:sz="0" w:space="0" w:color="auto"/>
        <w:right w:val="none" w:sz="0" w:space="0" w:color="auto"/>
      </w:divBdr>
      <w:divsChild>
        <w:div w:id="1612281973">
          <w:marLeft w:val="0"/>
          <w:marRight w:val="0"/>
          <w:marTop w:val="0"/>
          <w:marBottom w:val="0"/>
          <w:divBdr>
            <w:top w:val="none" w:sz="0" w:space="0" w:color="auto"/>
            <w:left w:val="none" w:sz="0" w:space="0" w:color="auto"/>
            <w:bottom w:val="none" w:sz="0" w:space="0" w:color="auto"/>
            <w:right w:val="none" w:sz="0" w:space="0" w:color="auto"/>
          </w:divBdr>
          <w:divsChild>
            <w:div w:id="2120106178">
              <w:marLeft w:val="0"/>
              <w:marRight w:val="0"/>
              <w:marTop w:val="0"/>
              <w:marBottom w:val="0"/>
              <w:divBdr>
                <w:top w:val="none" w:sz="0" w:space="0" w:color="auto"/>
                <w:left w:val="none" w:sz="0" w:space="0" w:color="auto"/>
                <w:bottom w:val="none" w:sz="0" w:space="0" w:color="auto"/>
                <w:right w:val="none" w:sz="0" w:space="0" w:color="auto"/>
              </w:divBdr>
              <w:divsChild>
                <w:div w:id="8910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713628">
      <w:bodyDiv w:val="1"/>
      <w:marLeft w:val="0"/>
      <w:marRight w:val="0"/>
      <w:marTop w:val="0"/>
      <w:marBottom w:val="0"/>
      <w:divBdr>
        <w:top w:val="none" w:sz="0" w:space="0" w:color="auto"/>
        <w:left w:val="none" w:sz="0" w:space="0" w:color="auto"/>
        <w:bottom w:val="none" w:sz="0" w:space="0" w:color="auto"/>
        <w:right w:val="none" w:sz="0" w:space="0" w:color="auto"/>
      </w:divBdr>
      <w:divsChild>
        <w:div w:id="260992623">
          <w:marLeft w:val="0"/>
          <w:marRight w:val="0"/>
          <w:marTop w:val="0"/>
          <w:marBottom w:val="0"/>
          <w:divBdr>
            <w:top w:val="none" w:sz="0" w:space="0" w:color="auto"/>
            <w:left w:val="none" w:sz="0" w:space="0" w:color="auto"/>
            <w:bottom w:val="none" w:sz="0" w:space="0" w:color="auto"/>
            <w:right w:val="none" w:sz="0" w:space="0" w:color="auto"/>
          </w:divBdr>
          <w:divsChild>
            <w:div w:id="1476026365">
              <w:marLeft w:val="0"/>
              <w:marRight w:val="0"/>
              <w:marTop w:val="0"/>
              <w:marBottom w:val="0"/>
              <w:divBdr>
                <w:top w:val="none" w:sz="0" w:space="0" w:color="auto"/>
                <w:left w:val="none" w:sz="0" w:space="0" w:color="auto"/>
                <w:bottom w:val="none" w:sz="0" w:space="0" w:color="auto"/>
                <w:right w:val="none" w:sz="0" w:space="0" w:color="auto"/>
              </w:divBdr>
              <w:divsChild>
                <w:div w:id="485629573">
                  <w:marLeft w:val="0"/>
                  <w:marRight w:val="0"/>
                  <w:marTop w:val="0"/>
                  <w:marBottom w:val="0"/>
                  <w:divBdr>
                    <w:top w:val="none" w:sz="0" w:space="0" w:color="auto"/>
                    <w:left w:val="none" w:sz="0" w:space="0" w:color="auto"/>
                    <w:bottom w:val="none" w:sz="0" w:space="0" w:color="auto"/>
                    <w:right w:val="none" w:sz="0" w:space="0" w:color="auto"/>
                  </w:divBdr>
                  <w:divsChild>
                    <w:div w:id="26734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315865">
      <w:bodyDiv w:val="1"/>
      <w:marLeft w:val="0"/>
      <w:marRight w:val="0"/>
      <w:marTop w:val="0"/>
      <w:marBottom w:val="0"/>
      <w:divBdr>
        <w:top w:val="none" w:sz="0" w:space="0" w:color="auto"/>
        <w:left w:val="none" w:sz="0" w:space="0" w:color="auto"/>
        <w:bottom w:val="none" w:sz="0" w:space="0" w:color="auto"/>
        <w:right w:val="none" w:sz="0" w:space="0" w:color="auto"/>
      </w:divBdr>
      <w:divsChild>
        <w:div w:id="1102266448">
          <w:marLeft w:val="0"/>
          <w:marRight w:val="0"/>
          <w:marTop w:val="0"/>
          <w:marBottom w:val="0"/>
          <w:divBdr>
            <w:top w:val="none" w:sz="0" w:space="0" w:color="auto"/>
            <w:left w:val="none" w:sz="0" w:space="0" w:color="auto"/>
            <w:bottom w:val="none" w:sz="0" w:space="0" w:color="auto"/>
            <w:right w:val="none" w:sz="0" w:space="0" w:color="auto"/>
          </w:divBdr>
          <w:divsChild>
            <w:div w:id="866455668">
              <w:marLeft w:val="0"/>
              <w:marRight w:val="0"/>
              <w:marTop w:val="0"/>
              <w:marBottom w:val="0"/>
              <w:divBdr>
                <w:top w:val="none" w:sz="0" w:space="0" w:color="auto"/>
                <w:left w:val="none" w:sz="0" w:space="0" w:color="auto"/>
                <w:bottom w:val="none" w:sz="0" w:space="0" w:color="auto"/>
                <w:right w:val="none" w:sz="0" w:space="0" w:color="auto"/>
              </w:divBdr>
              <w:divsChild>
                <w:div w:id="1668164842">
                  <w:marLeft w:val="0"/>
                  <w:marRight w:val="0"/>
                  <w:marTop w:val="0"/>
                  <w:marBottom w:val="0"/>
                  <w:divBdr>
                    <w:top w:val="none" w:sz="0" w:space="0" w:color="auto"/>
                    <w:left w:val="none" w:sz="0" w:space="0" w:color="auto"/>
                    <w:bottom w:val="none" w:sz="0" w:space="0" w:color="auto"/>
                    <w:right w:val="none" w:sz="0" w:space="0" w:color="auto"/>
                  </w:divBdr>
                  <w:divsChild>
                    <w:div w:id="21291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862090">
      <w:bodyDiv w:val="1"/>
      <w:marLeft w:val="0"/>
      <w:marRight w:val="0"/>
      <w:marTop w:val="0"/>
      <w:marBottom w:val="0"/>
      <w:divBdr>
        <w:top w:val="none" w:sz="0" w:space="0" w:color="auto"/>
        <w:left w:val="none" w:sz="0" w:space="0" w:color="auto"/>
        <w:bottom w:val="none" w:sz="0" w:space="0" w:color="auto"/>
        <w:right w:val="none" w:sz="0" w:space="0" w:color="auto"/>
      </w:divBdr>
    </w:div>
    <w:div w:id="1226142991">
      <w:bodyDiv w:val="1"/>
      <w:marLeft w:val="0"/>
      <w:marRight w:val="0"/>
      <w:marTop w:val="0"/>
      <w:marBottom w:val="0"/>
      <w:divBdr>
        <w:top w:val="none" w:sz="0" w:space="0" w:color="auto"/>
        <w:left w:val="none" w:sz="0" w:space="0" w:color="auto"/>
        <w:bottom w:val="none" w:sz="0" w:space="0" w:color="auto"/>
        <w:right w:val="none" w:sz="0" w:space="0" w:color="auto"/>
      </w:divBdr>
    </w:div>
    <w:div w:id="1246304446">
      <w:bodyDiv w:val="1"/>
      <w:marLeft w:val="0"/>
      <w:marRight w:val="0"/>
      <w:marTop w:val="0"/>
      <w:marBottom w:val="0"/>
      <w:divBdr>
        <w:top w:val="none" w:sz="0" w:space="0" w:color="auto"/>
        <w:left w:val="none" w:sz="0" w:space="0" w:color="auto"/>
        <w:bottom w:val="none" w:sz="0" w:space="0" w:color="auto"/>
        <w:right w:val="none" w:sz="0" w:space="0" w:color="auto"/>
      </w:divBdr>
    </w:div>
    <w:div w:id="1264679576">
      <w:bodyDiv w:val="1"/>
      <w:marLeft w:val="0"/>
      <w:marRight w:val="0"/>
      <w:marTop w:val="0"/>
      <w:marBottom w:val="0"/>
      <w:divBdr>
        <w:top w:val="none" w:sz="0" w:space="0" w:color="auto"/>
        <w:left w:val="none" w:sz="0" w:space="0" w:color="auto"/>
        <w:bottom w:val="none" w:sz="0" w:space="0" w:color="auto"/>
        <w:right w:val="none" w:sz="0" w:space="0" w:color="auto"/>
      </w:divBdr>
      <w:divsChild>
        <w:div w:id="358900138">
          <w:marLeft w:val="0"/>
          <w:marRight w:val="0"/>
          <w:marTop w:val="0"/>
          <w:marBottom w:val="0"/>
          <w:divBdr>
            <w:top w:val="none" w:sz="0" w:space="0" w:color="auto"/>
            <w:left w:val="none" w:sz="0" w:space="0" w:color="auto"/>
            <w:bottom w:val="none" w:sz="0" w:space="0" w:color="auto"/>
            <w:right w:val="none" w:sz="0" w:space="0" w:color="auto"/>
          </w:divBdr>
          <w:divsChild>
            <w:div w:id="1070931524">
              <w:marLeft w:val="0"/>
              <w:marRight w:val="0"/>
              <w:marTop w:val="0"/>
              <w:marBottom w:val="0"/>
              <w:divBdr>
                <w:top w:val="none" w:sz="0" w:space="0" w:color="auto"/>
                <w:left w:val="none" w:sz="0" w:space="0" w:color="auto"/>
                <w:bottom w:val="none" w:sz="0" w:space="0" w:color="auto"/>
                <w:right w:val="none" w:sz="0" w:space="0" w:color="auto"/>
              </w:divBdr>
              <w:divsChild>
                <w:div w:id="166180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20300">
      <w:bodyDiv w:val="1"/>
      <w:marLeft w:val="0"/>
      <w:marRight w:val="0"/>
      <w:marTop w:val="0"/>
      <w:marBottom w:val="0"/>
      <w:divBdr>
        <w:top w:val="none" w:sz="0" w:space="0" w:color="auto"/>
        <w:left w:val="none" w:sz="0" w:space="0" w:color="auto"/>
        <w:bottom w:val="none" w:sz="0" w:space="0" w:color="auto"/>
        <w:right w:val="none" w:sz="0" w:space="0" w:color="auto"/>
      </w:divBdr>
      <w:divsChild>
        <w:div w:id="395709810">
          <w:marLeft w:val="0"/>
          <w:marRight w:val="0"/>
          <w:marTop w:val="0"/>
          <w:marBottom w:val="0"/>
          <w:divBdr>
            <w:top w:val="none" w:sz="0" w:space="0" w:color="auto"/>
            <w:left w:val="none" w:sz="0" w:space="0" w:color="auto"/>
            <w:bottom w:val="none" w:sz="0" w:space="0" w:color="auto"/>
            <w:right w:val="none" w:sz="0" w:space="0" w:color="auto"/>
          </w:divBdr>
          <w:divsChild>
            <w:div w:id="376247855">
              <w:marLeft w:val="0"/>
              <w:marRight w:val="0"/>
              <w:marTop w:val="0"/>
              <w:marBottom w:val="0"/>
              <w:divBdr>
                <w:top w:val="none" w:sz="0" w:space="0" w:color="auto"/>
                <w:left w:val="none" w:sz="0" w:space="0" w:color="auto"/>
                <w:bottom w:val="none" w:sz="0" w:space="0" w:color="auto"/>
                <w:right w:val="none" w:sz="0" w:space="0" w:color="auto"/>
              </w:divBdr>
              <w:divsChild>
                <w:div w:id="160348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29716">
      <w:bodyDiv w:val="1"/>
      <w:marLeft w:val="0"/>
      <w:marRight w:val="0"/>
      <w:marTop w:val="0"/>
      <w:marBottom w:val="0"/>
      <w:divBdr>
        <w:top w:val="none" w:sz="0" w:space="0" w:color="auto"/>
        <w:left w:val="none" w:sz="0" w:space="0" w:color="auto"/>
        <w:bottom w:val="none" w:sz="0" w:space="0" w:color="auto"/>
        <w:right w:val="none" w:sz="0" w:space="0" w:color="auto"/>
      </w:divBdr>
    </w:div>
    <w:div w:id="1355425040">
      <w:bodyDiv w:val="1"/>
      <w:marLeft w:val="0"/>
      <w:marRight w:val="0"/>
      <w:marTop w:val="0"/>
      <w:marBottom w:val="0"/>
      <w:divBdr>
        <w:top w:val="none" w:sz="0" w:space="0" w:color="auto"/>
        <w:left w:val="none" w:sz="0" w:space="0" w:color="auto"/>
        <w:bottom w:val="none" w:sz="0" w:space="0" w:color="auto"/>
        <w:right w:val="none" w:sz="0" w:space="0" w:color="auto"/>
      </w:divBdr>
      <w:divsChild>
        <w:div w:id="1784642651">
          <w:marLeft w:val="0"/>
          <w:marRight w:val="0"/>
          <w:marTop w:val="0"/>
          <w:marBottom w:val="0"/>
          <w:divBdr>
            <w:top w:val="none" w:sz="0" w:space="0" w:color="auto"/>
            <w:left w:val="none" w:sz="0" w:space="0" w:color="auto"/>
            <w:bottom w:val="none" w:sz="0" w:space="0" w:color="auto"/>
            <w:right w:val="none" w:sz="0" w:space="0" w:color="auto"/>
          </w:divBdr>
          <w:divsChild>
            <w:div w:id="1070083435">
              <w:marLeft w:val="0"/>
              <w:marRight w:val="0"/>
              <w:marTop w:val="0"/>
              <w:marBottom w:val="0"/>
              <w:divBdr>
                <w:top w:val="none" w:sz="0" w:space="0" w:color="auto"/>
                <w:left w:val="none" w:sz="0" w:space="0" w:color="auto"/>
                <w:bottom w:val="none" w:sz="0" w:space="0" w:color="auto"/>
                <w:right w:val="none" w:sz="0" w:space="0" w:color="auto"/>
              </w:divBdr>
              <w:divsChild>
                <w:div w:id="1461148083">
                  <w:marLeft w:val="0"/>
                  <w:marRight w:val="0"/>
                  <w:marTop w:val="0"/>
                  <w:marBottom w:val="0"/>
                  <w:divBdr>
                    <w:top w:val="none" w:sz="0" w:space="0" w:color="auto"/>
                    <w:left w:val="none" w:sz="0" w:space="0" w:color="auto"/>
                    <w:bottom w:val="none" w:sz="0" w:space="0" w:color="auto"/>
                    <w:right w:val="none" w:sz="0" w:space="0" w:color="auto"/>
                  </w:divBdr>
                  <w:divsChild>
                    <w:div w:id="84085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267575">
      <w:bodyDiv w:val="1"/>
      <w:marLeft w:val="0"/>
      <w:marRight w:val="0"/>
      <w:marTop w:val="0"/>
      <w:marBottom w:val="0"/>
      <w:divBdr>
        <w:top w:val="none" w:sz="0" w:space="0" w:color="auto"/>
        <w:left w:val="none" w:sz="0" w:space="0" w:color="auto"/>
        <w:bottom w:val="none" w:sz="0" w:space="0" w:color="auto"/>
        <w:right w:val="none" w:sz="0" w:space="0" w:color="auto"/>
      </w:divBdr>
      <w:divsChild>
        <w:div w:id="66538964">
          <w:marLeft w:val="0"/>
          <w:marRight w:val="0"/>
          <w:marTop w:val="0"/>
          <w:marBottom w:val="0"/>
          <w:divBdr>
            <w:top w:val="none" w:sz="0" w:space="0" w:color="auto"/>
            <w:left w:val="none" w:sz="0" w:space="0" w:color="auto"/>
            <w:bottom w:val="none" w:sz="0" w:space="0" w:color="auto"/>
            <w:right w:val="none" w:sz="0" w:space="0" w:color="auto"/>
          </w:divBdr>
          <w:divsChild>
            <w:div w:id="1401291890">
              <w:marLeft w:val="0"/>
              <w:marRight w:val="0"/>
              <w:marTop w:val="0"/>
              <w:marBottom w:val="0"/>
              <w:divBdr>
                <w:top w:val="none" w:sz="0" w:space="0" w:color="auto"/>
                <w:left w:val="none" w:sz="0" w:space="0" w:color="auto"/>
                <w:bottom w:val="none" w:sz="0" w:space="0" w:color="auto"/>
                <w:right w:val="none" w:sz="0" w:space="0" w:color="auto"/>
              </w:divBdr>
              <w:divsChild>
                <w:div w:id="181406853">
                  <w:marLeft w:val="0"/>
                  <w:marRight w:val="0"/>
                  <w:marTop w:val="0"/>
                  <w:marBottom w:val="0"/>
                  <w:divBdr>
                    <w:top w:val="none" w:sz="0" w:space="0" w:color="auto"/>
                    <w:left w:val="none" w:sz="0" w:space="0" w:color="auto"/>
                    <w:bottom w:val="none" w:sz="0" w:space="0" w:color="auto"/>
                    <w:right w:val="none" w:sz="0" w:space="0" w:color="auto"/>
                  </w:divBdr>
                  <w:divsChild>
                    <w:div w:id="49920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615718">
      <w:bodyDiv w:val="1"/>
      <w:marLeft w:val="0"/>
      <w:marRight w:val="0"/>
      <w:marTop w:val="0"/>
      <w:marBottom w:val="0"/>
      <w:divBdr>
        <w:top w:val="none" w:sz="0" w:space="0" w:color="auto"/>
        <w:left w:val="none" w:sz="0" w:space="0" w:color="auto"/>
        <w:bottom w:val="none" w:sz="0" w:space="0" w:color="auto"/>
        <w:right w:val="none" w:sz="0" w:space="0" w:color="auto"/>
      </w:divBdr>
    </w:div>
    <w:div w:id="1382755575">
      <w:bodyDiv w:val="1"/>
      <w:marLeft w:val="0"/>
      <w:marRight w:val="0"/>
      <w:marTop w:val="0"/>
      <w:marBottom w:val="0"/>
      <w:divBdr>
        <w:top w:val="none" w:sz="0" w:space="0" w:color="auto"/>
        <w:left w:val="none" w:sz="0" w:space="0" w:color="auto"/>
        <w:bottom w:val="none" w:sz="0" w:space="0" w:color="auto"/>
        <w:right w:val="none" w:sz="0" w:space="0" w:color="auto"/>
      </w:divBdr>
    </w:div>
    <w:div w:id="1413744425">
      <w:bodyDiv w:val="1"/>
      <w:marLeft w:val="0"/>
      <w:marRight w:val="0"/>
      <w:marTop w:val="0"/>
      <w:marBottom w:val="0"/>
      <w:divBdr>
        <w:top w:val="none" w:sz="0" w:space="0" w:color="auto"/>
        <w:left w:val="none" w:sz="0" w:space="0" w:color="auto"/>
        <w:bottom w:val="none" w:sz="0" w:space="0" w:color="auto"/>
        <w:right w:val="none" w:sz="0" w:space="0" w:color="auto"/>
      </w:divBdr>
      <w:divsChild>
        <w:div w:id="1039161386">
          <w:marLeft w:val="0"/>
          <w:marRight w:val="0"/>
          <w:marTop w:val="0"/>
          <w:marBottom w:val="0"/>
          <w:divBdr>
            <w:top w:val="none" w:sz="0" w:space="0" w:color="auto"/>
            <w:left w:val="none" w:sz="0" w:space="0" w:color="auto"/>
            <w:bottom w:val="none" w:sz="0" w:space="0" w:color="auto"/>
            <w:right w:val="none" w:sz="0" w:space="0" w:color="auto"/>
          </w:divBdr>
          <w:divsChild>
            <w:div w:id="2119328229">
              <w:marLeft w:val="0"/>
              <w:marRight w:val="0"/>
              <w:marTop w:val="0"/>
              <w:marBottom w:val="0"/>
              <w:divBdr>
                <w:top w:val="none" w:sz="0" w:space="0" w:color="auto"/>
                <w:left w:val="none" w:sz="0" w:space="0" w:color="auto"/>
                <w:bottom w:val="none" w:sz="0" w:space="0" w:color="auto"/>
                <w:right w:val="none" w:sz="0" w:space="0" w:color="auto"/>
              </w:divBdr>
              <w:divsChild>
                <w:div w:id="1168986224">
                  <w:marLeft w:val="0"/>
                  <w:marRight w:val="0"/>
                  <w:marTop w:val="0"/>
                  <w:marBottom w:val="0"/>
                  <w:divBdr>
                    <w:top w:val="none" w:sz="0" w:space="0" w:color="auto"/>
                    <w:left w:val="none" w:sz="0" w:space="0" w:color="auto"/>
                    <w:bottom w:val="none" w:sz="0" w:space="0" w:color="auto"/>
                    <w:right w:val="none" w:sz="0" w:space="0" w:color="auto"/>
                  </w:divBdr>
                  <w:divsChild>
                    <w:div w:id="61532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43793">
      <w:bodyDiv w:val="1"/>
      <w:marLeft w:val="0"/>
      <w:marRight w:val="0"/>
      <w:marTop w:val="0"/>
      <w:marBottom w:val="0"/>
      <w:divBdr>
        <w:top w:val="none" w:sz="0" w:space="0" w:color="auto"/>
        <w:left w:val="none" w:sz="0" w:space="0" w:color="auto"/>
        <w:bottom w:val="none" w:sz="0" w:space="0" w:color="auto"/>
        <w:right w:val="none" w:sz="0" w:space="0" w:color="auto"/>
      </w:divBdr>
    </w:div>
    <w:div w:id="1446927361">
      <w:bodyDiv w:val="1"/>
      <w:marLeft w:val="0"/>
      <w:marRight w:val="0"/>
      <w:marTop w:val="0"/>
      <w:marBottom w:val="0"/>
      <w:divBdr>
        <w:top w:val="none" w:sz="0" w:space="0" w:color="auto"/>
        <w:left w:val="none" w:sz="0" w:space="0" w:color="auto"/>
        <w:bottom w:val="none" w:sz="0" w:space="0" w:color="auto"/>
        <w:right w:val="none" w:sz="0" w:space="0" w:color="auto"/>
      </w:divBdr>
    </w:div>
    <w:div w:id="1450902278">
      <w:bodyDiv w:val="1"/>
      <w:marLeft w:val="0"/>
      <w:marRight w:val="0"/>
      <w:marTop w:val="0"/>
      <w:marBottom w:val="0"/>
      <w:divBdr>
        <w:top w:val="none" w:sz="0" w:space="0" w:color="auto"/>
        <w:left w:val="none" w:sz="0" w:space="0" w:color="auto"/>
        <w:bottom w:val="none" w:sz="0" w:space="0" w:color="auto"/>
        <w:right w:val="none" w:sz="0" w:space="0" w:color="auto"/>
      </w:divBdr>
    </w:div>
    <w:div w:id="1463226116">
      <w:bodyDiv w:val="1"/>
      <w:marLeft w:val="0"/>
      <w:marRight w:val="0"/>
      <w:marTop w:val="0"/>
      <w:marBottom w:val="0"/>
      <w:divBdr>
        <w:top w:val="none" w:sz="0" w:space="0" w:color="auto"/>
        <w:left w:val="none" w:sz="0" w:space="0" w:color="auto"/>
        <w:bottom w:val="none" w:sz="0" w:space="0" w:color="auto"/>
        <w:right w:val="none" w:sz="0" w:space="0" w:color="auto"/>
      </w:divBdr>
      <w:divsChild>
        <w:div w:id="853422639">
          <w:marLeft w:val="0"/>
          <w:marRight w:val="0"/>
          <w:marTop w:val="0"/>
          <w:marBottom w:val="0"/>
          <w:divBdr>
            <w:top w:val="none" w:sz="0" w:space="0" w:color="auto"/>
            <w:left w:val="none" w:sz="0" w:space="0" w:color="auto"/>
            <w:bottom w:val="none" w:sz="0" w:space="0" w:color="auto"/>
            <w:right w:val="none" w:sz="0" w:space="0" w:color="auto"/>
          </w:divBdr>
          <w:divsChild>
            <w:div w:id="2092503406">
              <w:marLeft w:val="0"/>
              <w:marRight w:val="0"/>
              <w:marTop w:val="0"/>
              <w:marBottom w:val="0"/>
              <w:divBdr>
                <w:top w:val="none" w:sz="0" w:space="0" w:color="auto"/>
                <w:left w:val="none" w:sz="0" w:space="0" w:color="auto"/>
                <w:bottom w:val="none" w:sz="0" w:space="0" w:color="auto"/>
                <w:right w:val="none" w:sz="0" w:space="0" w:color="auto"/>
              </w:divBdr>
              <w:divsChild>
                <w:div w:id="14524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945044">
      <w:bodyDiv w:val="1"/>
      <w:marLeft w:val="0"/>
      <w:marRight w:val="0"/>
      <w:marTop w:val="0"/>
      <w:marBottom w:val="0"/>
      <w:divBdr>
        <w:top w:val="none" w:sz="0" w:space="0" w:color="auto"/>
        <w:left w:val="none" w:sz="0" w:space="0" w:color="auto"/>
        <w:bottom w:val="none" w:sz="0" w:space="0" w:color="auto"/>
        <w:right w:val="none" w:sz="0" w:space="0" w:color="auto"/>
      </w:divBdr>
      <w:divsChild>
        <w:div w:id="34544174">
          <w:marLeft w:val="0"/>
          <w:marRight w:val="0"/>
          <w:marTop w:val="0"/>
          <w:marBottom w:val="0"/>
          <w:divBdr>
            <w:top w:val="none" w:sz="0" w:space="0" w:color="auto"/>
            <w:left w:val="none" w:sz="0" w:space="0" w:color="auto"/>
            <w:bottom w:val="none" w:sz="0" w:space="0" w:color="auto"/>
            <w:right w:val="none" w:sz="0" w:space="0" w:color="auto"/>
          </w:divBdr>
          <w:divsChild>
            <w:div w:id="640771750">
              <w:marLeft w:val="0"/>
              <w:marRight w:val="0"/>
              <w:marTop w:val="0"/>
              <w:marBottom w:val="0"/>
              <w:divBdr>
                <w:top w:val="none" w:sz="0" w:space="0" w:color="auto"/>
                <w:left w:val="none" w:sz="0" w:space="0" w:color="auto"/>
                <w:bottom w:val="none" w:sz="0" w:space="0" w:color="auto"/>
                <w:right w:val="none" w:sz="0" w:space="0" w:color="auto"/>
              </w:divBdr>
              <w:divsChild>
                <w:div w:id="16199527">
                  <w:marLeft w:val="0"/>
                  <w:marRight w:val="0"/>
                  <w:marTop w:val="0"/>
                  <w:marBottom w:val="0"/>
                  <w:divBdr>
                    <w:top w:val="none" w:sz="0" w:space="0" w:color="auto"/>
                    <w:left w:val="none" w:sz="0" w:space="0" w:color="auto"/>
                    <w:bottom w:val="none" w:sz="0" w:space="0" w:color="auto"/>
                    <w:right w:val="none" w:sz="0" w:space="0" w:color="auto"/>
                  </w:divBdr>
                  <w:divsChild>
                    <w:div w:id="8570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16701">
      <w:bodyDiv w:val="1"/>
      <w:marLeft w:val="0"/>
      <w:marRight w:val="0"/>
      <w:marTop w:val="0"/>
      <w:marBottom w:val="0"/>
      <w:divBdr>
        <w:top w:val="none" w:sz="0" w:space="0" w:color="auto"/>
        <w:left w:val="none" w:sz="0" w:space="0" w:color="auto"/>
        <w:bottom w:val="none" w:sz="0" w:space="0" w:color="auto"/>
        <w:right w:val="none" w:sz="0" w:space="0" w:color="auto"/>
      </w:divBdr>
      <w:divsChild>
        <w:div w:id="879174294">
          <w:marLeft w:val="0"/>
          <w:marRight w:val="0"/>
          <w:marTop w:val="0"/>
          <w:marBottom w:val="0"/>
          <w:divBdr>
            <w:top w:val="none" w:sz="0" w:space="0" w:color="auto"/>
            <w:left w:val="none" w:sz="0" w:space="0" w:color="auto"/>
            <w:bottom w:val="none" w:sz="0" w:space="0" w:color="auto"/>
            <w:right w:val="none" w:sz="0" w:space="0" w:color="auto"/>
          </w:divBdr>
          <w:divsChild>
            <w:div w:id="1191380613">
              <w:marLeft w:val="0"/>
              <w:marRight w:val="0"/>
              <w:marTop w:val="0"/>
              <w:marBottom w:val="0"/>
              <w:divBdr>
                <w:top w:val="none" w:sz="0" w:space="0" w:color="auto"/>
                <w:left w:val="none" w:sz="0" w:space="0" w:color="auto"/>
                <w:bottom w:val="none" w:sz="0" w:space="0" w:color="auto"/>
                <w:right w:val="none" w:sz="0" w:space="0" w:color="auto"/>
              </w:divBdr>
              <w:divsChild>
                <w:div w:id="129178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61069">
      <w:bodyDiv w:val="1"/>
      <w:marLeft w:val="0"/>
      <w:marRight w:val="0"/>
      <w:marTop w:val="0"/>
      <w:marBottom w:val="0"/>
      <w:divBdr>
        <w:top w:val="none" w:sz="0" w:space="0" w:color="auto"/>
        <w:left w:val="none" w:sz="0" w:space="0" w:color="auto"/>
        <w:bottom w:val="none" w:sz="0" w:space="0" w:color="auto"/>
        <w:right w:val="none" w:sz="0" w:space="0" w:color="auto"/>
      </w:divBdr>
    </w:div>
    <w:div w:id="1546716879">
      <w:bodyDiv w:val="1"/>
      <w:marLeft w:val="0"/>
      <w:marRight w:val="0"/>
      <w:marTop w:val="0"/>
      <w:marBottom w:val="0"/>
      <w:divBdr>
        <w:top w:val="none" w:sz="0" w:space="0" w:color="auto"/>
        <w:left w:val="none" w:sz="0" w:space="0" w:color="auto"/>
        <w:bottom w:val="none" w:sz="0" w:space="0" w:color="auto"/>
        <w:right w:val="none" w:sz="0" w:space="0" w:color="auto"/>
      </w:divBdr>
      <w:divsChild>
        <w:div w:id="61149851">
          <w:marLeft w:val="0"/>
          <w:marRight w:val="0"/>
          <w:marTop w:val="0"/>
          <w:marBottom w:val="0"/>
          <w:divBdr>
            <w:top w:val="none" w:sz="0" w:space="0" w:color="auto"/>
            <w:left w:val="none" w:sz="0" w:space="0" w:color="auto"/>
            <w:bottom w:val="none" w:sz="0" w:space="0" w:color="auto"/>
            <w:right w:val="none" w:sz="0" w:space="0" w:color="auto"/>
          </w:divBdr>
          <w:divsChild>
            <w:div w:id="83890617">
              <w:marLeft w:val="0"/>
              <w:marRight w:val="0"/>
              <w:marTop w:val="0"/>
              <w:marBottom w:val="0"/>
              <w:divBdr>
                <w:top w:val="none" w:sz="0" w:space="0" w:color="auto"/>
                <w:left w:val="none" w:sz="0" w:space="0" w:color="auto"/>
                <w:bottom w:val="none" w:sz="0" w:space="0" w:color="auto"/>
                <w:right w:val="none" w:sz="0" w:space="0" w:color="auto"/>
              </w:divBdr>
              <w:divsChild>
                <w:div w:id="328145915">
                  <w:marLeft w:val="0"/>
                  <w:marRight w:val="0"/>
                  <w:marTop w:val="0"/>
                  <w:marBottom w:val="0"/>
                  <w:divBdr>
                    <w:top w:val="none" w:sz="0" w:space="0" w:color="auto"/>
                    <w:left w:val="none" w:sz="0" w:space="0" w:color="auto"/>
                    <w:bottom w:val="none" w:sz="0" w:space="0" w:color="auto"/>
                    <w:right w:val="none" w:sz="0" w:space="0" w:color="auto"/>
                  </w:divBdr>
                  <w:divsChild>
                    <w:div w:id="26700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12049">
      <w:bodyDiv w:val="1"/>
      <w:marLeft w:val="0"/>
      <w:marRight w:val="0"/>
      <w:marTop w:val="0"/>
      <w:marBottom w:val="0"/>
      <w:divBdr>
        <w:top w:val="none" w:sz="0" w:space="0" w:color="auto"/>
        <w:left w:val="none" w:sz="0" w:space="0" w:color="auto"/>
        <w:bottom w:val="none" w:sz="0" w:space="0" w:color="auto"/>
        <w:right w:val="none" w:sz="0" w:space="0" w:color="auto"/>
      </w:divBdr>
    </w:div>
    <w:div w:id="1617715588">
      <w:bodyDiv w:val="1"/>
      <w:marLeft w:val="0"/>
      <w:marRight w:val="0"/>
      <w:marTop w:val="0"/>
      <w:marBottom w:val="0"/>
      <w:divBdr>
        <w:top w:val="none" w:sz="0" w:space="0" w:color="auto"/>
        <w:left w:val="none" w:sz="0" w:space="0" w:color="auto"/>
        <w:bottom w:val="none" w:sz="0" w:space="0" w:color="auto"/>
        <w:right w:val="none" w:sz="0" w:space="0" w:color="auto"/>
      </w:divBdr>
    </w:div>
    <w:div w:id="1654095831">
      <w:bodyDiv w:val="1"/>
      <w:marLeft w:val="0"/>
      <w:marRight w:val="0"/>
      <w:marTop w:val="0"/>
      <w:marBottom w:val="0"/>
      <w:divBdr>
        <w:top w:val="none" w:sz="0" w:space="0" w:color="auto"/>
        <w:left w:val="none" w:sz="0" w:space="0" w:color="auto"/>
        <w:bottom w:val="none" w:sz="0" w:space="0" w:color="auto"/>
        <w:right w:val="none" w:sz="0" w:space="0" w:color="auto"/>
      </w:divBdr>
    </w:div>
    <w:div w:id="1713797836">
      <w:bodyDiv w:val="1"/>
      <w:marLeft w:val="0"/>
      <w:marRight w:val="0"/>
      <w:marTop w:val="0"/>
      <w:marBottom w:val="0"/>
      <w:divBdr>
        <w:top w:val="none" w:sz="0" w:space="0" w:color="auto"/>
        <w:left w:val="none" w:sz="0" w:space="0" w:color="auto"/>
        <w:bottom w:val="none" w:sz="0" w:space="0" w:color="auto"/>
        <w:right w:val="none" w:sz="0" w:space="0" w:color="auto"/>
      </w:divBdr>
      <w:divsChild>
        <w:div w:id="840395322">
          <w:marLeft w:val="0"/>
          <w:marRight w:val="0"/>
          <w:marTop w:val="0"/>
          <w:marBottom w:val="0"/>
          <w:divBdr>
            <w:top w:val="none" w:sz="0" w:space="0" w:color="auto"/>
            <w:left w:val="none" w:sz="0" w:space="0" w:color="auto"/>
            <w:bottom w:val="none" w:sz="0" w:space="0" w:color="auto"/>
            <w:right w:val="none" w:sz="0" w:space="0" w:color="auto"/>
          </w:divBdr>
          <w:divsChild>
            <w:div w:id="693118469">
              <w:marLeft w:val="0"/>
              <w:marRight w:val="0"/>
              <w:marTop w:val="0"/>
              <w:marBottom w:val="0"/>
              <w:divBdr>
                <w:top w:val="none" w:sz="0" w:space="0" w:color="auto"/>
                <w:left w:val="none" w:sz="0" w:space="0" w:color="auto"/>
                <w:bottom w:val="none" w:sz="0" w:space="0" w:color="auto"/>
                <w:right w:val="none" w:sz="0" w:space="0" w:color="auto"/>
              </w:divBdr>
              <w:divsChild>
                <w:div w:id="178935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743430">
      <w:bodyDiv w:val="1"/>
      <w:marLeft w:val="0"/>
      <w:marRight w:val="0"/>
      <w:marTop w:val="0"/>
      <w:marBottom w:val="0"/>
      <w:divBdr>
        <w:top w:val="none" w:sz="0" w:space="0" w:color="auto"/>
        <w:left w:val="none" w:sz="0" w:space="0" w:color="auto"/>
        <w:bottom w:val="none" w:sz="0" w:space="0" w:color="auto"/>
        <w:right w:val="none" w:sz="0" w:space="0" w:color="auto"/>
      </w:divBdr>
    </w:div>
    <w:div w:id="1743022621">
      <w:bodyDiv w:val="1"/>
      <w:marLeft w:val="0"/>
      <w:marRight w:val="0"/>
      <w:marTop w:val="0"/>
      <w:marBottom w:val="0"/>
      <w:divBdr>
        <w:top w:val="none" w:sz="0" w:space="0" w:color="auto"/>
        <w:left w:val="none" w:sz="0" w:space="0" w:color="auto"/>
        <w:bottom w:val="none" w:sz="0" w:space="0" w:color="auto"/>
        <w:right w:val="none" w:sz="0" w:space="0" w:color="auto"/>
      </w:divBdr>
      <w:divsChild>
        <w:div w:id="770900428">
          <w:marLeft w:val="0"/>
          <w:marRight w:val="0"/>
          <w:marTop w:val="0"/>
          <w:marBottom w:val="0"/>
          <w:divBdr>
            <w:top w:val="none" w:sz="0" w:space="0" w:color="auto"/>
            <w:left w:val="none" w:sz="0" w:space="0" w:color="auto"/>
            <w:bottom w:val="none" w:sz="0" w:space="0" w:color="auto"/>
            <w:right w:val="none" w:sz="0" w:space="0" w:color="auto"/>
          </w:divBdr>
          <w:divsChild>
            <w:div w:id="217714797">
              <w:marLeft w:val="0"/>
              <w:marRight w:val="0"/>
              <w:marTop w:val="0"/>
              <w:marBottom w:val="0"/>
              <w:divBdr>
                <w:top w:val="none" w:sz="0" w:space="0" w:color="auto"/>
                <w:left w:val="none" w:sz="0" w:space="0" w:color="auto"/>
                <w:bottom w:val="none" w:sz="0" w:space="0" w:color="auto"/>
                <w:right w:val="none" w:sz="0" w:space="0" w:color="auto"/>
              </w:divBdr>
              <w:divsChild>
                <w:div w:id="1629050022">
                  <w:marLeft w:val="0"/>
                  <w:marRight w:val="0"/>
                  <w:marTop w:val="0"/>
                  <w:marBottom w:val="0"/>
                  <w:divBdr>
                    <w:top w:val="none" w:sz="0" w:space="0" w:color="auto"/>
                    <w:left w:val="none" w:sz="0" w:space="0" w:color="auto"/>
                    <w:bottom w:val="none" w:sz="0" w:space="0" w:color="auto"/>
                    <w:right w:val="none" w:sz="0" w:space="0" w:color="auto"/>
                  </w:divBdr>
                  <w:divsChild>
                    <w:div w:id="101430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003932">
      <w:bodyDiv w:val="1"/>
      <w:marLeft w:val="0"/>
      <w:marRight w:val="0"/>
      <w:marTop w:val="0"/>
      <w:marBottom w:val="0"/>
      <w:divBdr>
        <w:top w:val="none" w:sz="0" w:space="0" w:color="auto"/>
        <w:left w:val="none" w:sz="0" w:space="0" w:color="auto"/>
        <w:bottom w:val="none" w:sz="0" w:space="0" w:color="auto"/>
        <w:right w:val="none" w:sz="0" w:space="0" w:color="auto"/>
      </w:divBdr>
    </w:div>
    <w:div w:id="1781875790">
      <w:bodyDiv w:val="1"/>
      <w:marLeft w:val="0"/>
      <w:marRight w:val="0"/>
      <w:marTop w:val="0"/>
      <w:marBottom w:val="0"/>
      <w:divBdr>
        <w:top w:val="none" w:sz="0" w:space="0" w:color="auto"/>
        <w:left w:val="none" w:sz="0" w:space="0" w:color="auto"/>
        <w:bottom w:val="none" w:sz="0" w:space="0" w:color="auto"/>
        <w:right w:val="none" w:sz="0" w:space="0" w:color="auto"/>
      </w:divBdr>
      <w:divsChild>
        <w:div w:id="1485050000">
          <w:marLeft w:val="0"/>
          <w:marRight w:val="0"/>
          <w:marTop w:val="0"/>
          <w:marBottom w:val="0"/>
          <w:divBdr>
            <w:top w:val="none" w:sz="0" w:space="0" w:color="auto"/>
            <w:left w:val="none" w:sz="0" w:space="0" w:color="auto"/>
            <w:bottom w:val="none" w:sz="0" w:space="0" w:color="auto"/>
            <w:right w:val="none" w:sz="0" w:space="0" w:color="auto"/>
          </w:divBdr>
          <w:divsChild>
            <w:div w:id="1501233721">
              <w:marLeft w:val="0"/>
              <w:marRight w:val="0"/>
              <w:marTop w:val="0"/>
              <w:marBottom w:val="0"/>
              <w:divBdr>
                <w:top w:val="none" w:sz="0" w:space="0" w:color="auto"/>
                <w:left w:val="none" w:sz="0" w:space="0" w:color="auto"/>
                <w:bottom w:val="none" w:sz="0" w:space="0" w:color="auto"/>
                <w:right w:val="none" w:sz="0" w:space="0" w:color="auto"/>
              </w:divBdr>
              <w:divsChild>
                <w:div w:id="1266303149">
                  <w:marLeft w:val="0"/>
                  <w:marRight w:val="0"/>
                  <w:marTop w:val="0"/>
                  <w:marBottom w:val="0"/>
                  <w:divBdr>
                    <w:top w:val="none" w:sz="0" w:space="0" w:color="auto"/>
                    <w:left w:val="none" w:sz="0" w:space="0" w:color="auto"/>
                    <w:bottom w:val="none" w:sz="0" w:space="0" w:color="auto"/>
                    <w:right w:val="none" w:sz="0" w:space="0" w:color="auto"/>
                  </w:divBdr>
                  <w:divsChild>
                    <w:div w:id="130346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022210">
      <w:bodyDiv w:val="1"/>
      <w:marLeft w:val="0"/>
      <w:marRight w:val="0"/>
      <w:marTop w:val="0"/>
      <w:marBottom w:val="0"/>
      <w:divBdr>
        <w:top w:val="none" w:sz="0" w:space="0" w:color="auto"/>
        <w:left w:val="none" w:sz="0" w:space="0" w:color="auto"/>
        <w:bottom w:val="none" w:sz="0" w:space="0" w:color="auto"/>
        <w:right w:val="none" w:sz="0" w:space="0" w:color="auto"/>
      </w:divBdr>
      <w:divsChild>
        <w:div w:id="929316170">
          <w:marLeft w:val="0"/>
          <w:marRight w:val="0"/>
          <w:marTop w:val="0"/>
          <w:marBottom w:val="0"/>
          <w:divBdr>
            <w:top w:val="none" w:sz="0" w:space="0" w:color="auto"/>
            <w:left w:val="none" w:sz="0" w:space="0" w:color="auto"/>
            <w:bottom w:val="none" w:sz="0" w:space="0" w:color="auto"/>
            <w:right w:val="none" w:sz="0" w:space="0" w:color="auto"/>
          </w:divBdr>
          <w:divsChild>
            <w:div w:id="408043392">
              <w:marLeft w:val="0"/>
              <w:marRight w:val="0"/>
              <w:marTop w:val="0"/>
              <w:marBottom w:val="0"/>
              <w:divBdr>
                <w:top w:val="none" w:sz="0" w:space="0" w:color="auto"/>
                <w:left w:val="none" w:sz="0" w:space="0" w:color="auto"/>
                <w:bottom w:val="none" w:sz="0" w:space="0" w:color="auto"/>
                <w:right w:val="none" w:sz="0" w:space="0" w:color="auto"/>
              </w:divBdr>
              <w:divsChild>
                <w:div w:id="1710955813">
                  <w:marLeft w:val="0"/>
                  <w:marRight w:val="0"/>
                  <w:marTop w:val="0"/>
                  <w:marBottom w:val="0"/>
                  <w:divBdr>
                    <w:top w:val="none" w:sz="0" w:space="0" w:color="auto"/>
                    <w:left w:val="none" w:sz="0" w:space="0" w:color="auto"/>
                    <w:bottom w:val="none" w:sz="0" w:space="0" w:color="auto"/>
                    <w:right w:val="none" w:sz="0" w:space="0" w:color="auto"/>
                  </w:divBdr>
                  <w:divsChild>
                    <w:div w:id="16024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025367">
      <w:bodyDiv w:val="1"/>
      <w:marLeft w:val="0"/>
      <w:marRight w:val="0"/>
      <w:marTop w:val="0"/>
      <w:marBottom w:val="0"/>
      <w:divBdr>
        <w:top w:val="none" w:sz="0" w:space="0" w:color="auto"/>
        <w:left w:val="none" w:sz="0" w:space="0" w:color="auto"/>
        <w:bottom w:val="none" w:sz="0" w:space="0" w:color="auto"/>
        <w:right w:val="none" w:sz="0" w:space="0" w:color="auto"/>
      </w:divBdr>
    </w:div>
    <w:div w:id="1862010789">
      <w:bodyDiv w:val="1"/>
      <w:marLeft w:val="0"/>
      <w:marRight w:val="0"/>
      <w:marTop w:val="0"/>
      <w:marBottom w:val="0"/>
      <w:divBdr>
        <w:top w:val="none" w:sz="0" w:space="0" w:color="auto"/>
        <w:left w:val="none" w:sz="0" w:space="0" w:color="auto"/>
        <w:bottom w:val="none" w:sz="0" w:space="0" w:color="auto"/>
        <w:right w:val="none" w:sz="0" w:space="0" w:color="auto"/>
      </w:divBdr>
    </w:div>
    <w:div w:id="1866020169">
      <w:bodyDiv w:val="1"/>
      <w:marLeft w:val="0"/>
      <w:marRight w:val="0"/>
      <w:marTop w:val="0"/>
      <w:marBottom w:val="0"/>
      <w:divBdr>
        <w:top w:val="none" w:sz="0" w:space="0" w:color="auto"/>
        <w:left w:val="none" w:sz="0" w:space="0" w:color="auto"/>
        <w:bottom w:val="none" w:sz="0" w:space="0" w:color="auto"/>
        <w:right w:val="none" w:sz="0" w:space="0" w:color="auto"/>
      </w:divBdr>
      <w:divsChild>
        <w:div w:id="1093742108">
          <w:marLeft w:val="0"/>
          <w:marRight w:val="0"/>
          <w:marTop w:val="0"/>
          <w:marBottom w:val="0"/>
          <w:divBdr>
            <w:top w:val="none" w:sz="0" w:space="0" w:color="auto"/>
            <w:left w:val="none" w:sz="0" w:space="0" w:color="auto"/>
            <w:bottom w:val="none" w:sz="0" w:space="0" w:color="auto"/>
            <w:right w:val="none" w:sz="0" w:space="0" w:color="auto"/>
          </w:divBdr>
          <w:divsChild>
            <w:div w:id="1476988867">
              <w:marLeft w:val="0"/>
              <w:marRight w:val="0"/>
              <w:marTop w:val="0"/>
              <w:marBottom w:val="0"/>
              <w:divBdr>
                <w:top w:val="none" w:sz="0" w:space="0" w:color="auto"/>
                <w:left w:val="none" w:sz="0" w:space="0" w:color="auto"/>
                <w:bottom w:val="none" w:sz="0" w:space="0" w:color="auto"/>
                <w:right w:val="none" w:sz="0" w:space="0" w:color="auto"/>
              </w:divBdr>
              <w:divsChild>
                <w:div w:id="575288332">
                  <w:marLeft w:val="0"/>
                  <w:marRight w:val="0"/>
                  <w:marTop w:val="0"/>
                  <w:marBottom w:val="0"/>
                  <w:divBdr>
                    <w:top w:val="none" w:sz="0" w:space="0" w:color="auto"/>
                    <w:left w:val="none" w:sz="0" w:space="0" w:color="auto"/>
                    <w:bottom w:val="none" w:sz="0" w:space="0" w:color="auto"/>
                    <w:right w:val="none" w:sz="0" w:space="0" w:color="auto"/>
                  </w:divBdr>
                  <w:divsChild>
                    <w:div w:id="75544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774019">
      <w:bodyDiv w:val="1"/>
      <w:marLeft w:val="0"/>
      <w:marRight w:val="0"/>
      <w:marTop w:val="0"/>
      <w:marBottom w:val="0"/>
      <w:divBdr>
        <w:top w:val="none" w:sz="0" w:space="0" w:color="auto"/>
        <w:left w:val="none" w:sz="0" w:space="0" w:color="auto"/>
        <w:bottom w:val="none" w:sz="0" w:space="0" w:color="auto"/>
        <w:right w:val="none" w:sz="0" w:space="0" w:color="auto"/>
      </w:divBdr>
    </w:div>
    <w:div w:id="1925143730">
      <w:bodyDiv w:val="1"/>
      <w:marLeft w:val="0"/>
      <w:marRight w:val="0"/>
      <w:marTop w:val="0"/>
      <w:marBottom w:val="0"/>
      <w:divBdr>
        <w:top w:val="none" w:sz="0" w:space="0" w:color="auto"/>
        <w:left w:val="none" w:sz="0" w:space="0" w:color="auto"/>
        <w:bottom w:val="none" w:sz="0" w:space="0" w:color="auto"/>
        <w:right w:val="none" w:sz="0" w:space="0" w:color="auto"/>
      </w:divBdr>
      <w:divsChild>
        <w:div w:id="1371951997">
          <w:marLeft w:val="0"/>
          <w:marRight w:val="0"/>
          <w:marTop w:val="0"/>
          <w:marBottom w:val="0"/>
          <w:divBdr>
            <w:top w:val="none" w:sz="0" w:space="0" w:color="auto"/>
            <w:left w:val="none" w:sz="0" w:space="0" w:color="auto"/>
            <w:bottom w:val="none" w:sz="0" w:space="0" w:color="auto"/>
            <w:right w:val="none" w:sz="0" w:space="0" w:color="auto"/>
          </w:divBdr>
          <w:divsChild>
            <w:div w:id="541333504">
              <w:marLeft w:val="0"/>
              <w:marRight w:val="0"/>
              <w:marTop w:val="0"/>
              <w:marBottom w:val="0"/>
              <w:divBdr>
                <w:top w:val="none" w:sz="0" w:space="0" w:color="auto"/>
                <w:left w:val="none" w:sz="0" w:space="0" w:color="auto"/>
                <w:bottom w:val="none" w:sz="0" w:space="0" w:color="auto"/>
                <w:right w:val="none" w:sz="0" w:space="0" w:color="auto"/>
              </w:divBdr>
              <w:divsChild>
                <w:div w:id="124133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14232">
      <w:bodyDiv w:val="1"/>
      <w:marLeft w:val="0"/>
      <w:marRight w:val="0"/>
      <w:marTop w:val="0"/>
      <w:marBottom w:val="0"/>
      <w:divBdr>
        <w:top w:val="none" w:sz="0" w:space="0" w:color="auto"/>
        <w:left w:val="none" w:sz="0" w:space="0" w:color="auto"/>
        <w:bottom w:val="none" w:sz="0" w:space="0" w:color="auto"/>
        <w:right w:val="none" w:sz="0" w:space="0" w:color="auto"/>
      </w:divBdr>
    </w:div>
    <w:div w:id="2054577189">
      <w:bodyDiv w:val="1"/>
      <w:marLeft w:val="0"/>
      <w:marRight w:val="0"/>
      <w:marTop w:val="0"/>
      <w:marBottom w:val="0"/>
      <w:divBdr>
        <w:top w:val="none" w:sz="0" w:space="0" w:color="auto"/>
        <w:left w:val="none" w:sz="0" w:space="0" w:color="auto"/>
        <w:bottom w:val="none" w:sz="0" w:space="0" w:color="auto"/>
        <w:right w:val="none" w:sz="0" w:space="0" w:color="auto"/>
      </w:divBdr>
    </w:div>
    <w:div w:id="2080706586">
      <w:bodyDiv w:val="1"/>
      <w:marLeft w:val="0"/>
      <w:marRight w:val="0"/>
      <w:marTop w:val="0"/>
      <w:marBottom w:val="0"/>
      <w:divBdr>
        <w:top w:val="none" w:sz="0" w:space="0" w:color="auto"/>
        <w:left w:val="none" w:sz="0" w:space="0" w:color="auto"/>
        <w:bottom w:val="none" w:sz="0" w:space="0" w:color="auto"/>
        <w:right w:val="none" w:sz="0" w:space="0" w:color="auto"/>
      </w:divBdr>
      <w:divsChild>
        <w:div w:id="454179837">
          <w:marLeft w:val="0"/>
          <w:marRight w:val="0"/>
          <w:marTop w:val="0"/>
          <w:marBottom w:val="0"/>
          <w:divBdr>
            <w:top w:val="none" w:sz="0" w:space="0" w:color="auto"/>
            <w:left w:val="none" w:sz="0" w:space="0" w:color="auto"/>
            <w:bottom w:val="none" w:sz="0" w:space="0" w:color="auto"/>
            <w:right w:val="none" w:sz="0" w:space="0" w:color="auto"/>
          </w:divBdr>
          <w:divsChild>
            <w:div w:id="896669598">
              <w:marLeft w:val="0"/>
              <w:marRight w:val="0"/>
              <w:marTop w:val="0"/>
              <w:marBottom w:val="0"/>
              <w:divBdr>
                <w:top w:val="none" w:sz="0" w:space="0" w:color="auto"/>
                <w:left w:val="none" w:sz="0" w:space="0" w:color="auto"/>
                <w:bottom w:val="none" w:sz="0" w:space="0" w:color="auto"/>
                <w:right w:val="none" w:sz="0" w:space="0" w:color="auto"/>
              </w:divBdr>
              <w:divsChild>
                <w:div w:id="209289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434029">
      <w:bodyDiv w:val="1"/>
      <w:marLeft w:val="0"/>
      <w:marRight w:val="0"/>
      <w:marTop w:val="0"/>
      <w:marBottom w:val="0"/>
      <w:divBdr>
        <w:top w:val="none" w:sz="0" w:space="0" w:color="auto"/>
        <w:left w:val="none" w:sz="0" w:space="0" w:color="auto"/>
        <w:bottom w:val="none" w:sz="0" w:space="0" w:color="auto"/>
        <w:right w:val="none" w:sz="0" w:space="0" w:color="auto"/>
      </w:divBdr>
      <w:divsChild>
        <w:div w:id="516425241">
          <w:marLeft w:val="0"/>
          <w:marRight w:val="0"/>
          <w:marTop w:val="0"/>
          <w:marBottom w:val="0"/>
          <w:divBdr>
            <w:top w:val="none" w:sz="0" w:space="0" w:color="auto"/>
            <w:left w:val="none" w:sz="0" w:space="0" w:color="auto"/>
            <w:bottom w:val="none" w:sz="0" w:space="0" w:color="auto"/>
            <w:right w:val="none" w:sz="0" w:space="0" w:color="auto"/>
          </w:divBdr>
          <w:divsChild>
            <w:div w:id="11104948">
              <w:marLeft w:val="0"/>
              <w:marRight w:val="0"/>
              <w:marTop w:val="0"/>
              <w:marBottom w:val="0"/>
              <w:divBdr>
                <w:top w:val="none" w:sz="0" w:space="0" w:color="auto"/>
                <w:left w:val="none" w:sz="0" w:space="0" w:color="auto"/>
                <w:bottom w:val="none" w:sz="0" w:space="0" w:color="auto"/>
                <w:right w:val="none" w:sz="0" w:space="0" w:color="auto"/>
              </w:divBdr>
              <w:divsChild>
                <w:div w:id="1273972911">
                  <w:marLeft w:val="0"/>
                  <w:marRight w:val="0"/>
                  <w:marTop w:val="0"/>
                  <w:marBottom w:val="0"/>
                  <w:divBdr>
                    <w:top w:val="none" w:sz="0" w:space="0" w:color="auto"/>
                    <w:left w:val="none" w:sz="0" w:space="0" w:color="auto"/>
                    <w:bottom w:val="none" w:sz="0" w:space="0" w:color="auto"/>
                    <w:right w:val="none" w:sz="0" w:space="0" w:color="auto"/>
                  </w:divBdr>
                  <w:divsChild>
                    <w:div w:id="16550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eader" Target="header1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s>
</file>

<file path=word/_rels/footnotes.xml.rels><?xml version="1.0" encoding="UTF-8" standalone="yes"?>
<Relationships xmlns="http://schemas.openxmlformats.org/package/2006/relationships"><Relationship Id="rId8" Type="http://schemas.openxmlformats.org/officeDocument/2006/relationships/hyperlink" Target="https://europa.eu/capacity4dev/value-chain-analysis-for-development-vca4d-" TargetMode="External"/><Relationship Id="rId3" Type="http://schemas.openxmlformats.org/officeDocument/2006/relationships/hyperlink" Target="https://europa.eu/capacity4dev/sp-nexus/documents" TargetMode="External"/><Relationship Id="rId7" Type="http://schemas.openxmlformats.org/officeDocument/2006/relationships/hyperlink" Target="https://eeas.europa.eu/headquarters/headquarters-homepage/68138/eu-jobs-and-growth-compact-uganda-supporting-job-creation-and-economic-growth_tk" TargetMode="External"/><Relationship Id="rId2" Type="http://schemas.openxmlformats.org/officeDocument/2006/relationships/hyperlink" Target="https://library.wur.nl/WebQuery/leap4fnssa-projects?q=*" TargetMode="External"/><Relationship Id="rId1" Type="http://schemas.openxmlformats.org/officeDocument/2006/relationships/hyperlink" Target="https://www.consilium.europa.eu/media/24004/european-consensus-on-development-2-june-2017-clean_final.pdf" TargetMode="External"/><Relationship Id="rId6" Type="http://schemas.openxmlformats.org/officeDocument/2006/relationships/hyperlink" Target="https://www.consilium.europa.eu/media/23551/2017-g20-rural-youth-employment-en.pdf" TargetMode="External"/><Relationship Id="rId5" Type="http://schemas.openxmlformats.org/officeDocument/2006/relationships/hyperlink" Target="https://ec.europa.eu/commission/sites/beta-political/files/soteu2018-africa-europe-jobs-alliance-communication-643_en.pdf" TargetMode="External"/><Relationship Id="rId4" Type="http://schemas.openxmlformats.org/officeDocument/2006/relationships/hyperlink" Target="https://europa.eu/capacity4dev/joint-programming/highlights?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EB4CD46F5B9842826E44F19F8C0E15" ma:contentTypeVersion="10" ma:contentTypeDescription="Create a new document." ma:contentTypeScope="" ma:versionID="7880c82ef1dbdf5376cd1cb0849ddc20">
  <xsd:schema xmlns:xsd="http://www.w3.org/2001/XMLSchema" xmlns:xs="http://www.w3.org/2001/XMLSchema" xmlns:p="http://schemas.microsoft.com/office/2006/metadata/properties" xmlns:ns2="6289e469-1e9e-4cbc-a2e7-a44cd3e2b100" xmlns:ns3="b2d7b946-c419-410e-8337-7512f91f23ca" xmlns:ns4="862adcec-c5c7-4ab1-8b46-d06ce1630b4e" targetNamespace="http://schemas.microsoft.com/office/2006/metadata/properties" ma:root="true" ma:fieldsID="36a415b85fd0caeef74ddb4ee492b306" ns2:_="" ns3:_="" ns4:_="">
    <xsd:import namespace="6289e469-1e9e-4cbc-a2e7-a44cd3e2b100"/>
    <xsd:import namespace="b2d7b946-c419-410e-8337-7512f91f23ca"/>
    <xsd:import namespace="862adcec-c5c7-4ab1-8b46-d06ce1630b4e"/>
    <xsd:element name="properties">
      <xsd:complexType>
        <xsd:sequence>
          <xsd:element name="documentManagement">
            <xsd:complexType>
              <xsd:all>
                <xsd:element ref="ns2:Activity" minOccurs="0"/>
                <xsd:element ref="ns2:Document_x0020_Type" minOccurs="0"/>
                <xsd:element ref="ns2:Document_x0020_State" minOccurs="0"/>
                <xsd:element ref="ns2:Project_x0020_Period" minOccurs="0"/>
                <xsd:element ref="ns3:Comments" minOccurs="0"/>
                <xsd:element ref="ns2:Activity_x003a_CalculatedProces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9e469-1e9e-4cbc-a2e7-a44cd3e2b100" elementFormDefault="qualified">
    <xsd:import namespace="http://schemas.microsoft.com/office/2006/documentManagement/types"/>
    <xsd:import namespace="http://schemas.microsoft.com/office/infopath/2007/PartnerControls"/>
    <xsd:element name="Activity" ma:index="2" nillable="true" ma:displayName="Activity" ma:list="b889e9ad-8ab8-45b4-8c2a-66ad33e10551" ma:internalName="Activity" ma:showField="Title">
      <xsd:simpleType>
        <xsd:restriction base="dms:Lookup"/>
      </xsd:simpleType>
    </xsd:element>
    <xsd:element name="Document_x0020_Type" ma:index="3" nillable="true" ma:displayName="Type of Content" ma:list="4ae7f9b8-a866-45ea-9aea-e3444c2e8f17" ma:internalName="Document_x0020_Type" ma:showField="Title">
      <xsd:simpleType>
        <xsd:restriction base="dms:Lookup"/>
      </xsd:simpleType>
    </xsd:element>
    <xsd:element name="Document_x0020_State" ma:index="4" nillable="true" ma:displayName="Document State" ma:list="7d728f8c-d7e7-4e22-9fd5-929cedc01d96" ma:internalName="Document_x0020_State" ma:showField="Title">
      <xsd:simpleType>
        <xsd:restriction base="dms:Lookup"/>
      </xsd:simpleType>
    </xsd:element>
    <xsd:element name="Project_x0020_Period" ma:index="5" nillable="true" ma:displayName="Invoicing Period" ma:list="5345f650-95bf-4395-b023-ad53f456bab0" ma:internalName="Project_x0020_Period" ma:showField="Title">
      <xsd:simpleType>
        <xsd:restriction base="dms:Lookup"/>
      </xsd:simpleType>
    </xsd:element>
    <xsd:element name="Activity_x003a_CalculatedProcess" ma:index="9" nillable="true" ma:displayName="Process" ma:list="b889e9ad-8ab8-45b4-8c2a-66ad33e10551" ma:internalName="Activity_x003a_CalculatedProcess" ma:readOnly="true" ma:showField="CalculatedProcess" ma:web="6289e469-1e9e-4cbc-a2e7-a44cd3e2b100">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2d7b946-c419-410e-8337-7512f91f23ca" elementFormDefault="qualified">
    <xsd:import namespace="http://schemas.microsoft.com/office/2006/documentManagement/types"/>
    <xsd:import namespace="http://schemas.microsoft.com/office/infopath/2007/PartnerControls"/>
    <xsd:element name="Comments" ma:index="6"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2adcec-c5c7-4ab1-8b46-d06ce1630b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tivity xmlns="6289e469-1e9e-4cbc-a2e7-a44cd3e2b100">126</Activity>
    <Project_x0020_Period xmlns="6289e469-1e9e-4cbc-a2e7-a44cd3e2b100" xsi:nil="true"/>
    <Comments xmlns="b2d7b946-c419-410e-8337-7512f91f23ca" xsi:nil="true"/>
    <Document_x0020_State xmlns="6289e469-1e9e-4cbc-a2e7-a44cd3e2b100" xsi:nil="true"/>
    <Document_x0020_Type xmlns="6289e469-1e9e-4cbc-a2e7-a44cd3e2b10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D74D4-47B2-4B7F-BB08-178DD7189E06}">
  <ds:schemaRefs>
    <ds:schemaRef ds:uri="http://schemas.microsoft.com/sharepoint/v3/contenttype/forms"/>
  </ds:schemaRefs>
</ds:datastoreItem>
</file>

<file path=customXml/itemProps2.xml><?xml version="1.0" encoding="utf-8"?>
<ds:datastoreItem xmlns:ds="http://schemas.openxmlformats.org/officeDocument/2006/customXml" ds:itemID="{54C6A256-E91A-4886-BF20-C2B91E94F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9e469-1e9e-4cbc-a2e7-a44cd3e2b100"/>
    <ds:schemaRef ds:uri="b2d7b946-c419-410e-8337-7512f91f23ca"/>
    <ds:schemaRef ds:uri="862adcec-c5c7-4ab1-8b46-d06ce1630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1C22DD-2625-41CF-A746-BE063CA4B8C8}">
  <ds:schemaRefs>
    <ds:schemaRef ds:uri="http://schemas.microsoft.com/office/2006/metadata/properties"/>
    <ds:schemaRef ds:uri="http://schemas.microsoft.com/office/infopath/2007/PartnerControls"/>
    <ds:schemaRef ds:uri="6289e469-1e9e-4cbc-a2e7-a44cd3e2b100"/>
    <ds:schemaRef ds:uri="b2d7b946-c419-410e-8337-7512f91f23ca"/>
  </ds:schemaRefs>
</ds:datastoreItem>
</file>

<file path=customXml/itemProps4.xml><?xml version="1.0" encoding="utf-8"?>
<ds:datastoreItem xmlns:ds="http://schemas.openxmlformats.org/officeDocument/2006/customXml" ds:itemID="{247ED216-E2E0-41D1-BCC5-A68F43B1B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7043</Words>
  <Characters>38109</Characters>
  <Application>Microsoft Office Word</Application>
  <DocSecurity>0</DocSecurity>
  <Lines>1002</Lines>
  <Paragraphs>480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LAGES CARVALHO Patrick (SG)</cp:lastModifiedBy>
  <cp:revision>18</cp:revision>
  <cp:lastPrinted>2018-05-24T15:29:00Z</cp:lastPrinted>
  <dcterms:created xsi:type="dcterms:W3CDTF">2020-08-21T09:21:00Z</dcterms:created>
  <dcterms:modified xsi:type="dcterms:W3CDTF">2020-08-25T10:46:00Z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7.0, Build 20190717</vt:lpwstr>
  </property>
  <property fmtid="{D5CDD505-2E9C-101B-9397-08002B2CF9AE}" pid="7" name="CPTemplateID">
    <vt:lpwstr>CP-006</vt:lpwstr>
  </property>
  <property fmtid="{D5CDD505-2E9C-101B-9397-08002B2CF9AE}" pid="8" name="_LW_INVALIDATED__LW_INVALIDATED__LW_INVALIDATED__LW_INVALIDATED__LW_INVALIDATED_ContentTypeId">
    <vt:lpwstr>0x010100ABEB4CD46F5B9842826E44F19F8C0E15</vt:lpwstr>
  </property>
</Properties>
</file>