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CB1D320-2F92-4331-94CD-957069BED782" style="width:451.25pt;height:365.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rPr>
      </w:pPr>
      <w:r>
        <w:rPr>
          <w:noProof/>
        </w:rPr>
        <w:t>Tarybos reglamentu (ES) Nr. 1412/2013</w:t>
      </w:r>
      <w:r>
        <w:rPr>
          <w:rStyle w:val="FootnoteReference"/>
          <w:noProof/>
        </w:rPr>
        <w:footnoteReference w:id="1"/>
      </w:r>
      <w:r>
        <w:rPr>
          <w:noProof/>
        </w:rPr>
        <w:t xml:space="preserve"> 2014–2020 metams nustatytos 30 000 tonų žuvininkystės produktų importo į Kanarų salas autonominės tarifinės kvotos, kurioms taikomas 0 proc. muito dydis. Šios priemonės yra pateisinamos, nes geografinės Kanarų salų padėties išskirtinumas daro poveikį tiekimui iš vietos vartotojams būtiniausių žuvininkystės produktų tiekimo šaltinių ir dėl to šis sektorius patiria išlaidų, kurios jam yra didelė finansinė našta. </w:t>
      </w:r>
    </w:p>
    <w:p>
      <w:pPr>
        <w:rPr>
          <w:noProof/>
        </w:rPr>
      </w:pPr>
      <w:r>
        <w:rPr>
          <w:noProof/>
        </w:rPr>
        <w:t>Ši padėtis nėra nauja. Prieš Ispanijai įstojant į ES į Kanarų salas įvežamoms prekėms buvo taikomas bemuitis režimas. Ispanijai tapus ES nare, iki 2001 m. į Kanarų salas importuojamiems žuvininkystės produktams galiojo speciali muitų tarifų taikymo sustabdymo tvarka. Nuo 2001 m. Kanarų saloms nustatomos tarifinės kvotos.</w:t>
      </w:r>
    </w:p>
    <w:p>
      <w:pPr>
        <w:rPr>
          <w:noProof/>
        </w:rPr>
      </w:pPr>
      <w:r>
        <w:rPr>
          <w:noProof/>
        </w:rPr>
        <w:t>Dabartinės tarifinės kvotos baigs galioti 2020 m. gruodžio 31 d. Kalbant apie laikotarpį po 2020 m., Reglamente (ES) Nr. 1412/2013 reikalaujama, kad Komisija išnagrinėtų priemonių poveikį ir, remdamasi savo išvadomis, pateiktų atitinkamus pasiūlymus laikotarpiui po 2020 m. gruodžio 31 d.</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spacing w:before="0" w:after="240"/>
        <w:rPr>
          <w:noProof/>
        </w:rPr>
      </w:pPr>
      <w:bookmarkStart w:id="1" w:name="_Toc349729730"/>
      <w:r>
        <w:rPr>
          <w:noProof/>
        </w:rPr>
        <w:t>Kanarų saloms ir kitiems atokiausiems regionams</w:t>
      </w:r>
      <w:bookmarkEnd w:id="1"/>
      <w:r>
        <w:rPr>
          <w:noProof/>
        </w:rPr>
        <w:t xml:space="preserve"> taikomos įvairios panašios priemonės (autonominių tarifų sumažinimas). Pavyzdžiui, 2011 m. gruodžio 19 d. Tarybos reglamente (ES) Nr. 1386/2011 nustatytos panašios priemonės, taikomos pramonės produktų importui į Kanarų salas.</w:t>
      </w:r>
    </w:p>
    <w:p>
      <w:pPr>
        <w:spacing w:before="0" w:after="240"/>
        <w:rPr>
          <w:noProof/>
        </w:rPr>
      </w:pPr>
      <w:r>
        <w:rPr>
          <w:noProof/>
        </w:rPr>
        <w:t>Prieš Ispanijai įstojant į ES į Kanarų salas įvežamoms prekėms buvo taikomas bemuitis režimas. Ispanijai tapus ES nare, iki 2001 m. į Kanarų salas importuojamiems žuvininkystės produktams galiojo speciali muitų tarifų taikymo sustabdymo tvarka. Nuo 2001 m. Kanarų saloms nustatomos tarifinės kvotos. Šis reglamentas yra tų priemonių tęsinys.</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noProof/>
        </w:rPr>
      </w:pPr>
      <w:r>
        <w:rPr>
          <w:noProof/>
        </w:rPr>
        <w:t>Netaikoma.</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pBdr>
          <w:top w:val="nil"/>
          <w:left w:val="nil"/>
          <w:bottom w:val="nil"/>
          <w:right w:val="nil"/>
          <w:between w:val="nil"/>
          <w:bar w:val="nil"/>
        </w:pBdr>
        <w:spacing w:before="0" w:after="240"/>
        <w:rPr>
          <w:noProof/>
        </w:rPr>
      </w:pPr>
      <w:r>
        <w:rPr>
          <w:noProof/>
        </w:rPr>
        <w:t>Sutarties dėl Europos Sąjungos veikimo (SESV) 349 straipsnis.</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Subsidiarumo principas (neišimtinės kompetencijos atveju) </w:t>
      </w:r>
    </w:p>
    <w:p>
      <w:pPr>
        <w:spacing w:before="0" w:after="240"/>
        <w:rPr>
          <w:rFonts w:eastAsia="Arial Unicode MS"/>
          <w:noProof/>
        </w:rPr>
      </w:pPr>
      <w:r>
        <w:rPr>
          <w:noProof/>
        </w:rPr>
        <w:t>Bendrojo muitų tarifo muitai priklauso išimtinei Europos Sąjungos kompetencijai. Todėl šiam pasiūlymui subsidiarumo principas netaikomas.</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Proporcingumo principas</w:t>
      </w:r>
    </w:p>
    <w:p>
      <w:pPr>
        <w:spacing w:before="0" w:after="240"/>
        <w:rPr>
          <w:noProof/>
        </w:rPr>
      </w:pPr>
      <w:r>
        <w:rPr>
          <w:noProof/>
        </w:rPr>
        <w:t>Politikos pasirinkimas yra proporcingas, nes, atsižvelgiant į tarifinių kvotų panaudojimo lygį, leidimas suteikiamas tik dėl riboto jų dydžio.</w:t>
      </w:r>
    </w:p>
    <w:p>
      <w:pPr>
        <w:pStyle w:val="ManualHeading2"/>
        <w:rPr>
          <w:rFonts w:eastAsia="Arial Unicode MS"/>
          <w:noProof/>
          <w:u w:color="000000"/>
          <w:bdr w:val="nil"/>
        </w:rPr>
      </w:pPr>
      <w:r>
        <w:rPr>
          <w:noProof/>
          <w:u w:color="000000"/>
          <w:bdr w:val="nil"/>
        </w:rPr>
        <w:t>•</w:t>
      </w:r>
      <w:r>
        <w:rPr>
          <w:noProof/>
        </w:rPr>
        <w:tab/>
      </w:r>
      <w:r>
        <w:rPr>
          <w:noProof/>
          <w:u w:color="000000"/>
          <w:bdr w:val="nil"/>
        </w:rPr>
        <w:t>Priemonės pasirinkimas</w:t>
      </w:r>
    </w:p>
    <w:p>
      <w:pPr>
        <w:pBdr>
          <w:top w:val="nil"/>
          <w:left w:val="nil"/>
          <w:bottom w:val="nil"/>
          <w:right w:val="nil"/>
          <w:between w:val="nil"/>
          <w:bar w:val="nil"/>
        </w:pBdr>
        <w:spacing w:before="0" w:after="240"/>
        <w:rPr>
          <w:noProof/>
        </w:rPr>
      </w:pPr>
      <w:r>
        <w:rPr>
          <w:noProof/>
        </w:rPr>
        <w:t>Netaikoma.</w:t>
      </w:r>
    </w:p>
    <w:p>
      <w:pPr>
        <w:pStyle w:val="ManualHeading1"/>
        <w:rPr>
          <w:noProof/>
        </w:rPr>
      </w:pPr>
      <w:r>
        <w:rPr>
          <w:noProof/>
        </w:rPr>
        <w:t>3.</w:t>
      </w:r>
      <w:r>
        <w:rPr>
          <w:noProof/>
        </w:rPr>
        <w:tab/>
      </w:r>
      <w:r>
        <w:rPr>
          <w:i/>
          <w:iCs/>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Galiojančių teisės aktų </w:t>
      </w:r>
      <w:r>
        <w:rPr>
          <w:i/>
          <w:iCs/>
          <w:noProof/>
          <w:u w:color="000000"/>
          <w:bdr w:val="nil"/>
        </w:rPr>
        <w:t>ex post</w:t>
      </w:r>
      <w:r>
        <w:rPr>
          <w:noProof/>
          <w:u w:color="000000"/>
          <w:bdr w:val="nil"/>
        </w:rPr>
        <w:t xml:space="preserve"> vertinimas / tinkamumo patikrinimas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Konsultacijos su suinteresuotosiomis šalimis</w:t>
      </w:r>
    </w:p>
    <w:p>
      <w:pPr>
        <w:rPr>
          <w:noProof/>
        </w:rPr>
      </w:pPr>
      <w:r>
        <w:rPr>
          <w:noProof/>
        </w:rPr>
        <w:t>Su visomis atitinkamomis suinteresuotosiomis šalimis konsultuotasi per Rinkų patariamąją tarybą ir Atokiausių regionų patariamąją tarybą. Pastaroji paprašė Komisijos iš naujo įvertinti išvadas, atsižvelgiant į Kanarų salose dėl COVID pandemijos sumažėjusį turizmą. Tačiau įvertinti septynerių metų laikotarpiu patirsimas pasekmes labai sunku, o panaikinus arba sumažinus kvotas galėtų būti trukdoma per tuos 7 metus galbūt atsigauti ekonomikai. Todėl Komisija siūlo priemonių taikymą pratęsti, kaip planuota.</w:t>
      </w:r>
    </w:p>
    <w:p>
      <w:pPr>
        <w:pStyle w:val="ManualHeading2"/>
        <w:rPr>
          <w:rFonts w:eastAsia="Arial Unicode MS"/>
          <w:noProof/>
          <w:u w:color="000000"/>
          <w:bdr w:val="nil"/>
        </w:rPr>
      </w:pPr>
      <w:r>
        <w:rPr>
          <w:noProof/>
          <w:u w:color="000000"/>
          <w:bdr w:val="nil"/>
        </w:rPr>
        <w:t>•</w:t>
      </w:r>
      <w:r>
        <w:rPr>
          <w:noProof/>
        </w:rPr>
        <w:tab/>
      </w:r>
      <w:r>
        <w:rPr>
          <w:noProof/>
          <w:u w:color="000000"/>
          <w:bdr w:val="nil"/>
        </w:rPr>
        <w:t>Tiriamųjų duomenų rinkimas ir naudojimas</w:t>
      </w:r>
    </w:p>
    <w:p>
      <w:pPr>
        <w:rPr>
          <w:noProof/>
        </w:rPr>
      </w:pPr>
      <w:r>
        <w:rPr>
          <w:noProof/>
        </w:rPr>
        <w:t>Siekdama išnagrinėti priemonių poveikį, kaip reikalaujama reglamente, Komisija paprašė Ispanijos valdžios institucijų pateikti reikiamą informaciją. Ispanijos valdžios institucijos pateikė atitinkamų į Kanarų salas importuotų produktų duomenis, o kartu su jais – šių produktų analizę.</w:t>
      </w:r>
    </w:p>
    <w:p>
      <w:pPr>
        <w:rPr>
          <w:noProof/>
        </w:rPr>
      </w:pPr>
      <w:r>
        <w:rPr>
          <w:noProof/>
        </w:rPr>
        <w:t>Aktualios informacijos apie Kanarų salas, apimančios sritis, kurios yra svarbios nagrinėjant tarifinių kvotų poveikį, pateikiama kitose ataskaitose, t. y. 2017 m. Komisijos komunikate dėl atokiausių regionų</w:t>
      </w:r>
      <w:r>
        <w:rPr>
          <w:rStyle w:val="FootnoteReference"/>
          <w:noProof/>
        </w:rPr>
        <w:footnoteReference w:id="2"/>
      </w:r>
      <w:r>
        <w:rPr>
          <w:noProof/>
        </w:rPr>
        <w:t xml:space="preserve"> ir ataskaitoje „Atokiausių regionų potencialo užtikrinti tvarų mėlynąjį augimą išnaudojimas“ (angl. </w:t>
      </w:r>
      <w:r>
        <w:rPr>
          <w:i/>
          <w:iCs/>
          <w:noProof/>
        </w:rPr>
        <w:t>Realising the potential of the Outermost Regions for sustainable blue growth</w:t>
      </w:r>
      <w:r>
        <w:rPr>
          <w:noProof/>
        </w:rPr>
        <w:t>)</w:t>
      </w:r>
      <w:r>
        <w:rPr>
          <w:rStyle w:val="FootnoteReference"/>
          <w:noProof/>
        </w:rPr>
        <w:footnoteReference w:id="3"/>
      </w:r>
      <w:r>
        <w:rPr>
          <w:noProof/>
        </w:rPr>
        <w:t>.</w:t>
      </w:r>
    </w:p>
    <w:p>
      <w:pPr>
        <w:rPr>
          <w:noProof/>
        </w:rPr>
      </w:pPr>
      <w:r>
        <w:rPr>
          <w:noProof/>
        </w:rPr>
        <w:t>Be to, buvo surinkta informacijos tokiomis konkrečiomis temomis, kaip užimtumas (ISTAC (Kanarų salų statistikos instituto) duomenų), turizmas (oficialiosios turizmo Kanarų salose statistikos) ir vartojimas („Eurobarometro“ duomenų).</w:t>
      </w:r>
    </w:p>
    <w:p>
      <w:pPr>
        <w:pStyle w:val="ManualHeading2"/>
        <w:rPr>
          <w:rFonts w:eastAsia="Arial Unicode MS"/>
          <w:noProof/>
          <w:u w:color="000000"/>
          <w:bdr w:val="nil"/>
        </w:rPr>
      </w:pPr>
      <w:r>
        <w:rPr>
          <w:noProof/>
          <w:u w:color="000000"/>
          <w:bdr w:val="nil"/>
        </w:rPr>
        <w:t>•</w:t>
      </w:r>
      <w:r>
        <w:rPr>
          <w:noProof/>
        </w:rPr>
        <w:tab/>
      </w:r>
      <w:r>
        <w:rPr>
          <w:noProof/>
          <w:u w:color="000000"/>
          <w:bdr w:val="nil"/>
        </w:rPr>
        <w:t>Poveikio vertinimas</w:t>
      </w:r>
    </w:p>
    <w:p>
      <w:pPr>
        <w:spacing w:before="0" w:after="240"/>
        <w:rPr>
          <w:rFonts w:eastAsia="Arial Unicode MS"/>
          <w:noProof/>
        </w:rPr>
      </w:pPr>
      <w:r>
        <w:rPr>
          <w:noProof/>
        </w:rPr>
        <w:t>Poveikio vertinimo atlikta nebuvo. Pasiūlymu atnaujinamas dabartinis teisės aktas, kuris baigia galioti 2020 m. pabaigoje. Atsižvelgiant į labai ribotą priemonių taikymo sritį ir į tai, kad pasiūlymas susijęs su tų priemonių taikymo pratęsimu, o didelių tikėtino jų poveikio pokyčių nėra, poveikio vertinimas nėra pagrįstas.</w:t>
      </w:r>
    </w:p>
    <w:p>
      <w:pPr>
        <w:pStyle w:val="ManualHeading2"/>
        <w:rPr>
          <w:rFonts w:eastAsia="Arial Unicode MS"/>
          <w:noProof/>
          <w:u w:color="000000"/>
          <w:bdr w:val="nil"/>
        </w:rPr>
      </w:pPr>
      <w:r>
        <w:rPr>
          <w:noProof/>
          <w:u w:color="000000"/>
          <w:bdr w:val="nil"/>
        </w:rPr>
        <w:t>•</w:t>
      </w:r>
      <w:r>
        <w:rPr>
          <w:noProof/>
        </w:rPr>
        <w:tab/>
      </w:r>
      <w:r>
        <w:rPr>
          <w:noProof/>
          <w:u w:color="000000"/>
          <w:bdr w:val="nil"/>
        </w:rPr>
        <w:t>Reglamentavimo tinkamumas ir supaprastinimas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Pagrindinės teisės</w:t>
      </w:r>
    </w:p>
    <w:p>
      <w:pPr>
        <w:pBdr>
          <w:top w:val="nil"/>
          <w:left w:val="nil"/>
          <w:bottom w:val="nil"/>
          <w:right w:val="nil"/>
          <w:between w:val="nil"/>
          <w:bar w:val="nil"/>
        </w:pBdr>
        <w:spacing w:before="0" w:after="240"/>
        <w:rPr>
          <w:noProof/>
        </w:rPr>
      </w:pPr>
      <w:r>
        <w:rPr>
          <w:noProof/>
        </w:rPr>
        <w:t>Netaikoma.</w:t>
      </w:r>
    </w:p>
    <w:p>
      <w:pPr>
        <w:pStyle w:val="ManualHeading1"/>
        <w:rPr>
          <w:noProof/>
        </w:rPr>
      </w:pPr>
      <w:r>
        <w:rPr>
          <w:noProof/>
        </w:rPr>
        <w:t>4.</w:t>
      </w:r>
      <w:r>
        <w:rPr>
          <w:noProof/>
        </w:rPr>
        <w:tab/>
        <w:t>POVEIKIS BIUDŽETUI</w:t>
      </w:r>
    </w:p>
    <w:p>
      <w:pPr>
        <w:spacing w:before="0" w:after="240"/>
        <w:rPr>
          <w:rFonts w:eastAsia="Arial Unicode MS"/>
          <w:noProof/>
        </w:rPr>
      </w:pPr>
      <w:r>
        <w:rPr>
          <w:noProof/>
        </w:rPr>
        <w:t>Pasiūlymas Komisijos biudžetui poveikio neturi.</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rPr>
        <w:tab/>
      </w:r>
      <w:r>
        <w:rPr>
          <w:noProof/>
          <w:u w:color="000000"/>
          <w:bdr w:val="nil"/>
        </w:rPr>
        <w:t>Įgyvendinimo planai ir stebėsena, vertinimas ir ataskaitų teikimo tvarka</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Aiškinamieji dokumentai (direktyvoms)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Išsamus konkrečių pasiūlymo nuostatų paaiškinimas.</w:t>
      </w:r>
    </w:p>
    <w:p>
      <w:pPr>
        <w:pBdr>
          <w:top w:val="nil"/>
          <w:left w:val="nil"/>
          <w:bottom w:val="nil"/>
          <w:right w:val="nil"/>
          <w:between w:val="nil"/>
          <w:bar w:val="nil"/>
        </w:pBdr>
        <w:spacing w:before="0" w:after="240"/>
        <w:rPr>
          <w:noProof/>
        </w:rPr>
      </w:pPr>
      <w:r>
        <w:rPr>
          <w:noProof/>
        </w:rPr>
        <w:t>Netaikoma.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2020/0209 (CNS)</w:t>
      </w:r>
    </w:p>
    <w:p>
      <w:pPr>
        <w:pStyle w:val="Statut"/>
        <w:rPr>
          <w:noProof/>
        </w:rPr>
      </w:pPr>
      <w:r>
        <w:rPr>
          <w:noProof/>
        </w:rPr>
        <w:t>Pasiūlymas</w:t>
      </w:r>
    </w:p>
    <w:p>
      <w:pPr>
        <w:pStyle w:val="Typedudocument"/>
        <w:rPr>
          <w:noProof/>
        </w:rPr>
      </w:pPr>
      <w:r>
        <w:rPr>
          <w:noProof/>
        </w:rPr>
        <w:t>TARYBOS REGLAMENTAS</w:t>
      </w:r>
    </w:p>
    <w:p>
      <w:pPr>
        <w:pStyle w:val="Titreobjet"/>
        <w:rPr>
          <w:noProof/>
        </w:rPr>
      </w:pPr>
      <w:r>
        <w:rPr>
          <w:noProof/>
        </w:rPr>
        <w:t>kuriuo leidžiama pradėti naudoti tam tikrų į Kanarų salas importuojamų žuvininkystės produktų 2021–2027 m. laikotarpio Sąjungos autonomines tarifines kvotas ir nustatoma jų administravimo tvarka</w:t>
      </w:r>
    </w:p>
    <w:p>
      <w:pPr>
        <w:pStyle w:val="Institutionquiagit"/>
        <w:rPr>
          <w:noProof/>
        </w:rPr>
      </w:pPr>
      <w:r>
        <w:rPr>
          <w:noProof/>
        </w:rPr>
        <w:t>EUROPOS SĄJUNGOS TARYBA,</w:t>
      </w:r>
    </w:p>
    <w:p>
      <w:pPr>
        <w:rPr>
          <w:noProof/>
        </w:rPr>
      </w:pPr>
      <w:r>
        <w:rPr>
          <w:noProof/>
        </w:rPr>
        <w:t>atsižvelgdama į Sutartį dėl Europos Sąjungos veikimo, ypač į jos 349 straipsnį,</w:t>
      </w:r>
    </w:p>
    <w:p>
      <w:pPr>
        <w:rPr>
          <w:noProof/>
        </w:rPr>
      </w:pPr>
      <w:r>
        <w:rPr>
          <w:noProof/>
        </w:rPr>
        <w:t>atsižvelgdama į Europos Komisijos pasiūlymą,</w:t>
      </w:r>
    </w:p>
    <w:p>
      <w:pPr>
        <w:rPr>
          <w:noProof/>
        </w:rPr>
      </w:pPr>
      <w:r>
        <w:rPr>
          <w:noProof/>
        </w:rPr>
        <w:t>teisėkūros procedūra priimamo akto projektą perdavus nacionaliniams parlamentams,</w:t>
      </w:r>
    </w:p>
    <w:p>
      <w:pPr>
        <w:rPr>
          <w:noProof/>
        </w:rPr>
      </w:pPr>
      <w:r>
        <w:rPr>
          <w:noProof/>
        </w:rPr>
        <w:t>atsižvelgdama į Europos Parlamento nuomonę,</w:t>
      </w:r>
    </w:p>
    <w:p>
      <w:pPr>
        <w:rPr>
          <w:noProof/>
        </w:rPr>
      </w:pPr>
      <w:r>
        <w:rPr>
          <w:noProof/>
        </w:rPr>
        <w:t>atsižvelgdama į Europos ekonomikos ir socialinių reikalų komiteto nuomonę,</w:t>
      </w:r>
    </w:p>
    <w:p>
      <w:pPr>
        <w:rPr>
          <w:noProof/>
        </w:rPr>
      </w:pPr>
      <w:r>
        <w:rPr>
          <w:noProof/>
        </w:rPr>
        <w:t>atsižvelgdama į Regionų komiteto nuomonę,</w:t>
      </w:r>
    </w:p>
    <w:p>
      <w:pPr>
        <w:rPr>
          <w:noProof/>
        </w:rPr>
      </w:pPr>
      <w:r>
        <w:rPr>
          <w:noProof/>
        </w:rPr>
        <w:t>laikydamasi specialios teisėkūros procedūros,</w:t>
      </w:r>
    </w:p>
    <w:p>
      <w:pPr>
        <w:rPr>
          <w:noProof/>
        </w:rPr>
      </w:pPr>
      <w:r>
        <w:rPr>
          <w:noProof/>
        </w:rPr>
        <w:t>kadangi:</w:t>
      </w:r>
    </w:p>
    <w:p>
      <w:pPr>
        <w:pStyle w:val="ManualConsidrant"/>
        <w:rPr>
          <w:noProof/>
        </w:rPr>
      </w:pPr>
      <w:r>
        <w:t>(1)</w:t>
      </w:r>
      <w:r>
        <w:tab/>
      </w:r>
      <w:r>
        <w:rPr>
          <w:noProof/>
        </w:rPr>
        <w:t xml:space="preserve">geografinės Kanarų salų padėties išskirtinumas daro poveikį tiekimui iš vietos vartotojams būtiniausių tam tikrų žuvininkystės produktų tiekimo šaltinių, dėl to šis sektorius patiria papildomų išlaidų. Šią natūralią kliūtį, pripažintą Sutarties 349 straipsnyje, kurią lemia salų izoliuotumas, tolimumas ir atokumas, galima pašalinti, </w:t>
      </w:r>
      <w:r>
        <w:rPr>
          <w:i/>
          <w:iCs/>
          <w:noProof/>
        </w:rPr>
        <w:t>inter alia</w:t>
      </w:r>
      <w:r>
        <w:rPr>
          <w:noProof/>
        </w:rPr>
        <w:t>, laikinai sustabdant muitų taikymą atitinkamiems produktams, iš trečiųjų šalių importuojamiems laikantis atitinkamo dydžio Sąjungos autonominių tarifinių kvotų;</w:t>
      </w:r>
    </w:p>
    <w:p>
      <w:pPr>
        <w:pStyle w:val="ManualConsidrant"/>
        <w:rPr>
          <w:noProof/>
        </w:rPr>
      </w:pPr>
      <w:r>
        <w:t>(2)</w:t>
      </w:r>
      <w:r>
        <w:tab/>
      </w:r>
      <w:r>
        <w:rPr>
          <w:noProof/>
          <w:snapToGrid w:val="0"/>
        </w:rPr>
        <w:t>Tarybos reglamentu (ES) Nr. 1412/2013</w:t>
      </w:r>
      <w:r>
        <w:rPr>
          <w:rStyle w:val="FootnoteReference"/>
          <w:noProof/>
          <w:snapToGrid w:val="0"/>
        </w:rPr>
        <w:footnoteReference w:id="4"/>
      </w:r>
      <w:r>
        <w:rPr>
          <w:noProof/>
          <w:snapToGrid w:val="0"/>
        </w:rPr>
        <w:t xml:space="preserve"> leista pradėti naudoti tam tikrų į Kanarų salas importuojamų žuvininkystės produktų 2014 m. sausio 1 d. – 2020 m. gruodžio 31 d. laikotarpio Sąjungos autonomines tarifines kvotas ir nustatyta jų administravimo tvarka;</w:t>
      </w:r>
    </w:p>
    <w:p>
      <w:pPr>
        <w:pStyle w:val="ManualConsidrant"/>
        <w:rPr>
          <w:noProof/>
        </w:rPr>
      </w:pPr>
      <w:r>
        <w:t>(3)</w:t>
      </w:r>
      <w:r>
        <w:tab/>
      </w:r>
      <w:r>
        <w:rPr>
          <w:noProof/>
        </w:rPr>
        <w:t>2019 m. liepos mėn. Komisija pateikė Tarybai priemonių poveikio analizę ir išdėstė laikotarpio po 2020 m. gruodžio 31 d. galimybes;</w:t>
      </w:r>
    </w:p>
    <w:p>
      <w:pPr>
        <w:pStyle w:val="ManualConsidrant"/>
        <w:rPr>
          <w:noProof/>
        </w:rPr>
      </w:pPr>
      <w:r>
        <w:t>(4)</w:t>
      </w:r>
      <w:r>
        <w:tab/>
      </w:r>
      <w:r>
        <w:rPr>
          <w:noProof/>
        </w:rPr>
        <w:t>iš analizės buvo matyti, kad abiejų – 09.2997 ir 09.2651 – kvotų panaudojimo lygis buvo reikšmingas. Pagal 09.2651 kvotą KN kodu 0308 nesinaudota;</w:t>
      </w:r>
    </w:p>
    <w:p>
      <w:pPr>
        <w:pStyle w:val="ManualConsidrant"/>
        <w:rPr>
          <w:noProof/>
        </w:rPr>
      </w:pPr>
      <w:r>
        <w:t>(5)</w:t>
      </w:r>
      <w:r>
        <w:tab/>
      </w:r>
      <w:r>
        <w:rPr>
          <w:noProof/>
        </w:rPr>
        <w:t>tarifinės kvotos, panašios į Reglamentu (ES) Nr. </w:t>
      </w:r>
      <w:r>
        <w:rPr>
          <w:noProof/>
          <w:snapToGrid w:val="0"/>
        </w:rPr>
        <w:t>1412/2013</w:t>
      </w:r>
      <w:r>
        <w:rPr>
          <w:noProof/>
        </w:rPr>
        <w:t xml:space="preserve"> leistas naudoti tam tikrų žuvininkystės produktų tarifines kvotas, yra pateisinamos, nes jos atitiktų Kanarų salų vidaus rinkos poreikius ir kartu būtų užtikrinta, kad į Sąjungą be muito importuojamų produktų srautai toliau būtų nuspėjami ir aiškiai atpažįstami;</w:t>
      </w:r>
    </w:p>
    <w:p>
      <w:pPr>
        <w:pStyle w:val="ManualConsidrant"/>
        <w:rPr>
          <w:noProof/>
        </w:rPr>
      </w:pPr>
      <w:r>
        <w:lastRenderedPageBreak/>
        <w:t>(6)</w:t>
      </w:r>
      <w:r>
        <w:tab/>
      </w:r>
      <w:r>
        <w:rPr>
          <w:noProof/>
        </w:rPr>
        <w:t>todėl siekiant ekonominės veiklos vykdytojams suteikti galimybę ilgainiui pasiekti tokį veiklos lygį, kuris užtikrintų ekonominių ir socialinių sąlygų Kanarų salose stabilumą, tikslinga papildomam laikotarpiui pratęsti šio reglamento priede nurodytų tam tikrų prekių, kurioms taikomas Bendrojo muitų tarifo muitas, autonominės tarifinės kvotos režimą;</w:t>
      </w:r>
    </w:p>
    <w:p>
      <w:pPr>
        <w:pStyle w:val="ManualConsidrant"/>
        <w:rPr>
          <w:noProof/>
        </w:rPr>
      </w:pPr>
      <w:r>
        <w:t>(7)</w:t>
      </w:r>
      <w:r>
        <w:tab/>
      </w:r>
      <w:r>
        <w:rPr>
          <w:noProof/>
        </w:rPr>
        <w:t xml:space="preserve">siekiant nepakenkti vidaus rinkos vientisumui ir darnai, reikėtų imtis priemonių užtikrinti, kad žuvininkystės produktai, dėl kurių leista sustabdyti muitų taikymą, būtų skirti tik Kanarų salų vidaus rinkai; </w:t>
      </w:r>
    </w:p>
    <w:p>
      <w:pPr>
        <w:pStyle w:val="ManualConsidrant"/>
        <w:rPr>
          <w:noProof/>
        </w:rPr>
      </w:pPr>
      <w:r>
        <w:t>(8)</w:t>
      </w:r>
      <w:r>
        <w:tab/>
      </w:r>
      <w:r>
        <w:rPr>
          <w:noProof/>
        </w:rPr>
        <w:t>reikėtų imtis priemonių užtikrinti, kad Komisija būtų nuolat informuojama apie importuojamų atitinkamų produktų kiekį, kad prireikus galėtų imtis veiksmų, kuriais būtų užkirstas kelias spekuliacinei veiklai arba prekybos srautų nukreipimui į kitas šalis;</w:t>
      </w:r>
    </w:p>
    <w:p>
      <w:pPr>
        <w:pStyle w:val="ManualConsidrant"/>
        <w:rPr>
          <w:noProof/>
        </w:rPr>
      </w:pPr>
      <w:r>
        <w:t>(9)</w:t>
      </w:r>
      <w:r>
        <w:tab/>
      </w:r>
      <w:r>
        <w:rPr>
          <w:rStyle w:val="apple-style-span"/>
          <w:noProof/>
          <w:color w:val="000000"/>
        </w:rPr>
        <w:t>siekiant užtikrinti vienodas šio reglamento įgyvendinimo sąlygas, Komisijai turėtų būti suteikti įgyvendinimo įgaliojimai, kuriais jai leidžiama prekybos srautų nukreipimo į kitas šalis atveju laikinai atšaukti muitų taikymo sustabdymą. Tais įgaliojimais turėtų būti naudojamasi laikantis Europos Parlamento ir Tarybos reglamento (ES) Nr. 182/2011</w:t>
      </w:r>
      <w:r>
        <w:rPr>
          <w:rStyle w:val="FootnoteReference"/>
          <w:noProof/>
          <w:color w:val="000000"/>
        </w:rPr>
        <w:footnoteReference w:id="5"/>
      </w:r>
      <w:r>
        <w:rPr>
          <w:rStyle w:val="apple-style-span"/>
          <w:noProof/>
          <w:color w:val="000000"/>
        </w:rPr>
        <w:t xml:space="preserve">. </w:t>
      </w:r>
      <w:r>
        <w:rPr>
          <w:noProof/>
        </w:rPr>
        <w:t>Tačiau galutinį sprendimą, ar sustabdymą reikėtų taikyti toliau, ar galutinai atšaukti, turėtų priimti Taryba pagal Sutarties 349 straipsnį per laikotarpį, kuriam sustabdymą laikinai atšaukė Komisija;</w:t>
      </w:r>
    </w:p>
    <w:p>
      <w:pPr>
        <w:pStyle w:val="ManualConsidrant"/>
        <w:rPr>
          <w:noProof/>
        </w:rPr>
      </w:pPr>
      <w:r>
        <w:t>(10)</w:t>
      </w:r>
      <w:r>
        <w:tab/>
      </w:r>
      <w:r>
        <w:rPr>
          <w:noProof/>
        </w:rPr>
        <w:t xml:space="preserve">šiame reglamente nustatytomis priemonėmis turėtų būti užtikrintas tęstinumas pasibaigus </w:t>
      </w:r>
      <w:r>
        <w:rPr>
          <w:noProof/>
          <w:snapToGrid w:val="0"/>
        </w:rPr>
        <w:t>Reglamento</w:t>
      </w:r>
      <w:r>
        <w:rPr>
          <w:noProof/>
        </w:rPr>
        <w:t xml:space="preserve"> (EB) Nr. </w:t>
      </w:r>
      <w:r>
        <w:rPr>
          <w:noProof/>
          <w:snapToGrid w:val="0"/>
        </w:rPr>
        <w:t>1412/2013</w:t>
      </w:r>
      <w:r>
        <w:rPr>
          <w:noProof/>
        </w:rPr>
        <w:t xml:space="preserve"> galiojimui.</w:t>
      </w:r>
      <w:r>
        <w:rPr>
          <w:noProof/>
          <w:snapToGrid w:val="0"/>
        </w:rPr>
        <w:t xml:space="preserve"> </w:t>
      </w:r>
      <w:r>
        <w:rPr>
          <w:noProof/>
        </w:rPr>
        <w:t>Todėl šiame reglamente nustatytas priemones tikslinga taikyti nuo 2021 m. sausio 1 d. iki 2027 m. gruodžio 31 d.,</w:t>
      </w:r>
    </w:p>
    <w:p>
      <w:pPr>
        <w:pStyle w:val="Formuledadoption"/>
        <w:rPr>
          <w:noProof/>
        </w:rPr>
      </w:pPr>
      <w:r>
        <w:rPr>
          <w:noProof/>
        </w:rPr>
        <w:t>PRIĖMĖ ŠĮ REGLAMENTĄ:</w:t>
      </w:r>
    </w:p>
    <w:p>
      <w:pPr>
        <w:pStyle w:val="Titrearticle"/>
        <w:rPr>
          <w:noProof/>
        </w:rPr>
      </w:pPr>
      <w:r>
        <w:rPr>
          <w:noProof/>
        </w:rPr>
        <w:t>1 straipsnis</w:t>
      </w:r>
    </w:p>
    <w:p>
      <w:pPr>
        <w:pStyle w:val="ManualNumPar1"/>
        <w:rPr>
          <w:noProof/>
        </w:rPr>
      </w:pPr>
      <w:r>
        <w:rPr>
          <w:noProof/>
        </w:rPr>
        <w:t>1.</w:t>
      </w:r>
      <w:r>
        <w:rPr>
          <w:noProof/>
        </w:rPr>
        <w:tab/>
        <w:t>Bendrojo muitų tarifo muitų, taikomų šio reglamento priede išvardytiems į Kanarų salas importuojamiems žuvininkystės produktams, taikymas tame priede nurodytiems kiekiams visiškai sustabdomas nuo 2021 m. sausio 1 d. iki 2027 m. gruodžio 31 d.</w:t>
      </w:r>
    </w:p>
    <w:p>
      <w:pPr>
        <w:pStyle w:val="ManualNumPar1"/>
        <w:rPr>
          <w:noProof/>
        </w:rPr>
      </w:pPr>
      <w:r>
        <w:rPr>
          <w:noProof/>
        </w:rPr>
        <w:t>2.</w:t>
      </w:r>
      <w:r>
        <w:rPr>
          <w:noProof/>
        </w:rPr>
        <w:tab/>
        <w:t>1 dalyje nurodytas muitų taikymo sustabdymas galioja tik Kanarų salų vidaus rinkai skirtiems produktams. Jis taikomas tik žuvininkystės produktams, kurie yra iškrauti iš laivo arba orlaivio prieš Kanarų salų muitinei pateikiant išleidimo į laisvą apyvartą muitinės deklaraciją.</w:t>
      </w:r>
    </w:p>
    <w:p>
      <w:pPr>
        <w:pStyle w:val="Titrearticle"/>
        <w:rPr>
          <w:noProof/>
        </w:rPr>
      </w:pPr>
      <w:r>
        <w:rPr>
          <w:noProof/>
        </w:rPr>
        <w:t>2 straipsnis</w:t>
      </w:r>
    </w:p>
    <w:p>
      <w:pPr>
        <w:rPr>
          <w:noProof/>
        </w:rPr>
      </w:pPr>
      <w:r>
        <w:rPr>
          <w:noProof/>
        </w:rPr>
        <w:t>1 straipsnyje nurodytos tarifinės kvotos administruojamos pagal Komisijos įgyvendinimo reglamento (ES) 2015/2447</w:t>
      </w:r>
      <w:r>
        <w:rPr>
          <w:rStyle w:val="FootnoteReference"/>
          <w:noProof/>
        </w:rPr>
        <w:footnoteReference w:id="6"/>
      </w:r>
      <w:r>
        <w:rPr>
          <w:noProof/>
        </w:rPr>
        <w:t xml:space="preserve"> 49–54 straipsnius. </w:t>
      </w:r>
    </w:p>
    <w:p>
      <w:pPr>
        <w:pStyle w:val="Titrearticle"/>
        <w:outlineLvl w:val="0"/>
        <w:rPr>
          <w:noProof/>
        </w:rPr>
      </w:pPr>
      <w:r>
        <w:rPr>
          <w:noProof/>
        </w:rPr>
        <w:lastRenderedPageBreak/>
        <w:t>3 straipsnis</w:t>
      </w:r>
    </w:p>
    <w:p>
      <w:pPr>
        <w:rPr>
          <w:noProof/>
        </w:rPr>
      </w:pPr>
      <w:r>
        <w:rPr>
          <w:noProof/>
        </w:rPr>
        <w:t>Ispanijos kompetentingos institucijos iki 2026 m. birželio 30 d. pateikia Komisijai 1 straipsnyje nustatytų priemonių įgyvendinimo ataskaitą. Komisija išnagrinėja tų priemonių poveikį ir, remdamasi ataskaitos išvadomis, pateikia Tarybai atitinkamus pasiūlymus dėl laikotarpio po 2027 m.</w:t>
      </w:r>
    </w:p>
    <w:p>
      <w:pPr>
        <w:pStyle w:val="Titrearticle"/>
        <w:rPr>
          <w:noProof/>
        </w:rPr>
      </w:pPr>
      <w:r>
        <w:rPr>
          <w:noProof/>
        </w:rPr>
        <w:t>4 straipsnis</w:t>
      </w:r>
    </w:p>
    <w:p>
      <w:pPr>
        <w:pStyle w:val="ManualNumPar1"/>
        <w:rPr>
          <w:noProof/>
        </w:rPr>
      </w:pPr>
      <w:r>
        <w:rPr>
          <w:noProof/>
        </w:rPr>
        <w:t>1.</w:t>
      </w:r>
      <w:r>
        <w:rPr>
          <w:noProof/>
        </w:rPr>
        <w:tab/>
        <w:t>Jei Komisija turi pagrindo manyti, kad šiuo reglamentu sustabdžius muitų taikymą konkretaus produkto prekybos srautai buvo nukreipti į kitas šalis, ji gali priimti įgyvendinimo aktus, kuriais muitų taikymo sustabdymas laikinai atšaukiamas ne ilgesniam kaip 12 mėnesių laikotarpiui. Tie įgyvendinimo aktai priimami laikantis 5 straipsnio 2 dalyje nurodytos nagrinėjimo procedūros.</w:t>
      </w:r>
    </w:p>
    <w:p>
      <w:pPr>
        <w:ind w:left="720"/>
        <w:rPr>
          <w:noProof/>
        </w:rPr>
      </w:pPr>
      <w:r>
        <w:rPr>
          <w:noProof/>
        </w:rPr>
        <w:t>Produktų, kuriems muitų taikymo sustabdymas yra laikinai atšauktas, importo muitų mokėjimas užtikrinamas garantija ir tie produktai į laisvą apyvartą Kanarų salose išleidžiami tik ją pateikus.</w:t>
      </w:r>
    </w:p>
    <w:p>
      <w:pPr>
        <w:pStyle w:val="ManualNumPar1"/>
        <w:rPr>
          <w:noProof/>
        </w:rPr>
      </w:pPr>
      <w:r>
        <w:rPr>
          <w:noProof/>
        </w:rPr>
        <w:t>2.</w:t>
      </w:r>
      <w:r>
        <w:rPr>
          <w:noProof/>
        </w:rPr>
        <w:tab/>
        <w:t>Pagal Sutarties 349 straipsnį Taryba per 1 dalyje nurodytą ne ilgesnį kaip 12 mėnesių laikotarpį priima galutinį sprendimą, ar muitų taikymo sustabdymą toliau taikyti, ar galutinai atšaukti. Jeigu muitų taikymo sustabdymas galutinai atšaukiamas, galutinai surenkamos ir garantijomis užtikrintos muitų sumos.</w:t>
      </w:r>
    </w:p>
    <w:p>
      <w:pPr>
        <w:pStyle w:val="ManualNumPar1"/>
        <w:rPr>
          <w:noProof/>
        </w:rPr>
      </w:pPr>
      <w:r>
        <w:rPr>
          <w:noProof/>
        </w:rPr>
        <w:t>3.</w:t>
      </w:r>
      <w:r>
        <w:rPr>
          <w:noProof/>
        </w:rPr>
        <w:tab/>
        <w:t>Jei per ne ilgesnį kaip 12 mėnesių laikotarpį galutinis sprendimas pagal 2 dalį nepriimamas, užtikrinamosios garantijos grąžinamos.</w:t>
      </w:r>
    </w:p>
    <w:p>
      <w:pPr>
        <w:pStyle w:val="Titrearticle"/>
        <w:rPr>
          <w:noProof/>
        </w:rPr>
      </w:pPr>
      <w:r>
        <w:rPr>
          <w:noProof/>
        </w:rPr>
        <w:t>5 straipsnis</w:t>
      </w:r>
    </w:p>
    <w:p>
      <w:pPr>
        <w:pStyle w:val="ManualNumPar1"/>
        <w:rPr>
          <w:noProof/>
          <w:sz w:val="16"/>
        </w:rPr>
      </w:pPr>
      <w:r>
        <w:rPr>
          <w:noProof/>
        </w:rPr>
        <w:t>1.</w:t>
      </w:r>
      <w:r>
        <w:rPr>
          <w:noProof/>
        </w:rPr>
        <w:tab/>
        <w:t>Komisijai padeda Europos Parlamento ir Tarybos reglamento (ES) Nr. 952/2013</w:t>
      </w:r>
      <w:r>
        <w:rPr>
          <w:rStyle w:val="FootnoteReference"/>
          <w:noProof/>
        </w:rPr>
        <w:footnoteReference w:id="7"/>
      </w:r>
      <w:r>
        <w:rPr>
          <w:noProof/>
        </w:rPr>
        <w:t xml:space="preserve"> 285 straipsniu įsteigtas Muitinės kodekso komitetas. Tas komitetas – tai komitetas, kaip nustatyta Reglamente (ES) Nr. 182/2011.</w:t>
      </w:r>
    </w:p>
    <w:p>
      <w:pPr>
        <w:pStyle w:val="ManualNumPar1"/>
        <w:rPr>
          <w:noProof/>
        </w:rPr>
      </w:pPr>
      <w:r>
        <w:rPr>
          <w:noProof/>
        </w:rPr>
        <w:t>2.</w:t>
      </w:r>
      <w:r>
        <w:rPr>
          <w:noProof/>
        </w:rPr>
        <w:tab/>
        <w:t>Kai daroma nuoroda į šią dalį, taikomas Reglamento (ES) Nr. 182/2011 5 straipsnis.</w:t>
      </w:r>
    </w:p>
    <w:p>
      <w:pPr>
        <w:pStyle w:val="Titrearticle"/>
        <w:rPr>
          <w:noProof/>
        </w:rPr>
      </w:pPr>
      <w:r>
        <w:rPr>
          <w:noProof/>
        </w:rPr>
        <w:t>6 straipsnis</w:t>
      </w:r>
    </w:p>
    <w:p>
      <w:pPr>
        <w:rPr>
          <w:noProof/>
        </w:rPr>
      </w:pPr>
      <w:r>
        <w:rPr>
          <w:noProof/>
        </w:rPr>
        <w:t>Komisija ir valstybių narių muitinės glaudžiai bendradarbiauja siekdamos užtikrinti tinkamą šio reglamento taikymo valdymą ir kontrolę.</w:t>
      </w:r>
    </w:p>
    <w:p>
      <w:pPr>
        <w:pStyle w:val="Titrearticle"/>
        <w:rPr>
          <w:noProof/>
        </w:rPr>
      </w:pPr>
      <w:r>
        <w:rPr>
          <w:noProof/>
        </w:rPr>
        <w:t>7 straipsnis</w:t>
      </w:r>
    </w:p>
    <w:p>
      <w:pPr>
        <w:rPr>
          <w:noProof/>
        </w:rPr>
      </w:pPr>
      <w:r>
        <w:rPr>
          <w:noProof/>
        </w:rPr>
        <w:t xml:space="preserve">Šis reglamentas įsigalioja trečią dieną po jo paskelbimo </w:t>
      </w:r>
      <w:r>
        <w:rPr>
          <w:i/>
          <w:noProof/>
        </w:rPr>
        <w:t>Europos Sąjungos oficialiajame leidinyje</w:t>
      </w:r>
      <w:r>
        <w:rPr>
          <w:noProof/>
        </w:rPr>
        <w:t>.</w:t>
      </w:r>
    </w:p>
    <w:p>
      <w:pPr>
        <w:rPr>
          <w:noProof/>
        </w:rPr>
      </w:pPr>
      <w:r>
        <w:rPr>
          <w:noProof/>
        </w:rPr>
        <w:t>Jis taikomas nuo 2021 m. sausio 1 d. iki 2027 m. gruodžio 31 d.</w:t>
      </w:r>
    </w:p>
    <w:p>
      <w:pPr>
        <w:pStyle w:val="Applicationdirecte"/>
        <w:keepNext/>
        <w:keepLines/>
        <w:rPr>
          <w:noProof/>
        </w:rPr>
      </w:pPr>
      <w:r>
        <w:rPr>
          <w:noProof/>
        </w:rPr>
        <w:lastRenderedPageBreak/>
        <w:t>Šis reglamentas privalomas visas ir tiesiogiai taikomas visose valstybėse narėse.</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Žr. 1 priedą. Tarybos reglamentas (ES) Nr. 1412/2013, kuriuo 2014–2020 m. leidžiama naudoti tam tikrų į Kanarų salas importuojamų žuvininkystės produktų autonomines Sąjungos tarifines kvotas ir numatomas jų administravimas.</w:t>
      </w:r>
    </w:p>
  </w:footnote>
  <w:footnote w:id="2">
    <w:p>
      <w:pPr>
        <w:pStyle w:val="FootnoteText"/>
      </w:pPr>
      <w:r>
        <w:rPr>
          <w:rStyle w:val="FootnoteReference"/>
        </w:rPr>
        <w:footnoteRef/>
      </w:r>
      <w:r>
        <w:tab/>
        <w:t xml:space="preserve">COM(2017) 623 </w:t>
      </w:r>
      <w:r>
        <w:rPr>
          <w:i/>
          <w:iCs/>
        </w:rPr>
        <w:t>final</w:t>
      </w:r>
      <w:r>
        <w:t xml:space="preserve">: „Sustiprinta ir atnaujinta strateginė partnerystė su ES atokiausiais regionais“. </w:t>
      </w:r>
    </w:p>
  </w:footnote>
  <w:footnote w:id="3">
    <w:p>
      <w:pPr>
        <w:pStyle w:val="FootnoteText"/>
      </w:pPr>
      <w:r>
        <w:rPr>
          <w:rStyle w:val="FootnoteReference"/>
        </w:rPr>
        <w:footnoteRef/>
      </w:r>
      <w:r>
        <w:tab/>
      </w:r>
      <w:hyperlink r:id="rId1" w:history="1">
        <w:r>
          <w:rPr>
            <w:rStyle w:val="Hyperlink"/>
          </w:rPr>
          <w:t>https://ec.europa.eu/regional_policy/en/information/publications/reports/2017/realising-the-potential-of-the-outermost-regions-for-sustainable-blue-growth</w:t>
        </w:r>
      </w:hyperlink>
      <w:r>
        <w:t xml:space="preserve"> </w:t>
      </w:r>
    </w:p>
  </w:footnote>
  <w:footnote w:id="4">
    <w:p>
      <w:pPr>
        <w:pStyle w:val="FootnoteText"/>
      </w:pPr>
      <w:r>
        <w:rPr>
          <w:rStyle w:val="FootnoteReference"/>
        </w:rPr>
        <w:footnoteRef/>
      </w:r>
      <w:r>
        <w:tab/>
        <w:t>2013 m. gruodžio 17 d. Tarybos reglamentas (ES) Nr. 1412/2013, kuriuo 2014–2020 m. leidžiama naudoti tam tikrų į Kanarų salas importuojamų žuvininkystės produktų autonomines Sąjungos tarifines kvotas ir numatomas jų administravimas (OL L 353, 2013 12 28, p. 1).</w:t>
      </w:r>
    </w:p>
  </w:footnote>
  <w:footnote w:id="5">
    <w:p>
      <w:pPr>
        <w:pStyle w:val="FootnoteText"/>
        <w:jc w:val="left"/>
      </w:pPr>
      <w:r>
        <w:rPr>
          <w:rStyle w:val="FootnoteReference"/>
        </w:rPr>
        <w:footnoteRef/>
      </w:r>
      <w:r>
        <w:tab/>
        <w:t>2011 m. vasario 16 d. Europos Parlamento ir Tarybos reglamentas (ES) Nr. 182/2011,</w:t>
      </w:r>
    </w:p>
    <w:p>
      <w:pPr>
        <w:pStyle w:val="FootnoteText"/>
        <w:ind w:firstLine="0"/>
        <w:jc w:val="left"/>
      </w:pPr>
      <w:r>
        <w:t>kuriuo nustatomos valstybių narių vykdomos Komisijos naudojimosi įgyvendinimo įgaliojimais kontrolės mechanizmų taisyklės ir bendrieji principai (OL L 55, 2011 2 28, p. 13).</w:t>
      </w:r>
    </w:p>
  </w:footnote>
  <w:footnote w:id="6">
    <w:p>
      <w:pPr>
        <w:pStyle w:val="FootnoteText"/>
        <w:ind w:left="0" w:firstLine="0"/>
      </w:pPr>
      <w:r>
        <w:rPr>
          <w:rStyle w:val="FootnoteReference"/>
        </w:rPr>
        <w:footnoteRef/>
      </w:r>
      <w:r>
        <w:tab/>
        <w:t>2015 m. lapkričio 24 d. Komisijos įgyvendinimo reglamentas (ES) 2015/2447, kuriuo nustatomos išsamios tam tikrų Europos Parlamento ir Tarybos reglamento (ES) Nr. 952/2013, kuriuo nustatomas Sąjungos muitinės kodeksas, nuostatų įgyvendinimo taisyklės (OL L 343, 2015 12 29, p. 558).</w:t>
      </w:r>
    </w:p>
    <w:p>
      <w:pPr>
        <w:pStyle w:val="FootnoteText"/>
        <w:ind w:left="0" w:firstLine="0"/>
        <w:jc w:val="left"/>
      </w:pPr>
    </w:p>
  </w:footnote>
  <w:footnote w:id="7">
    <w:p>
      <w:pPr>
        <w:pStyle w:val="FootnoteText"/>
      </w:pPr>
      <w:r>
        <w:rPr>
          <w:rStyle w:val="FootnoteReference"/>
        </w:rPr>
        <w:footnoteRef/>
      </w:r>
      <w:r>
        <w:tab/>
        <w:t>2013 m. spalio 9 d. Europos Parlamento ir Tarybos reglamentas (ES) Nr. 952/2013,</w:t>
      </w:r>
    </w:p>
    <w:p>
      <w:pPr>
        <w:pStyle w:val="FootnoteText"/>
        <w:ind w:firstLine="0"/>
      </w:pPr>
      <w:r>
        <w:t>kuriuo nustatomas Sąjungos muitinės kodeksas (OL L 269, 2013 10 10,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908D8E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B2474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ACE0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0D843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E54D6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186DB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8CCADE"/>
    <w:lvl w:ilvl="0">
      <w:start w:val="1"/>
      <w:numFmt w:val="decimal"/>
      <w:pStyle w:val="ListNumber"/>
      <w:lvlText w:val="%1."/>
      <w:lvlJc w:val="left"/>
      <w:pPr>
        <w:tabs>
          <w:tab w:val="num" w:pos="360"/>
        </w:tabs>
        <w:ind w:left="360" w:hanging="360"/>
      </w:pPr>
    </w:lvl>
  </w:abstractNum>
  <w:abstractNum w:abstractNumId="7">
    <w:nsid w:val="FFFFFF89"/>
    <w:multiLevelType w:val="singleLevel"/>
    <w:tmpl w:val="51AC89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25 17:04: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CB1D320-2F92-4331-94CD-957069BED782"/>
    <w:docVar w:name="LW_COVERPAGE_TYPE" w:val="1"/>
    <w:docVar w:name="LW_CROSSREFERENCE" w:val="&lt;UNUSED&gt;"/>
    <w:docVar w:name="LW_DocType" w:val="COM"/>
    <w:docVar w:name="LW_EMISSION" w:val="2020 08 31"/>
    <w:docVar w:name="LW_EMISSION_ISODATE" w:val="2020-08-31"/>
    <w:docVar w:name="LW_EMISSION_LOCATION" w:val="BRX"/>
    <w:docVar w:name="LW_EMISSION_PREFIX" w:val="Briuseli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NS"/>
    <w:docVar w:name="LW_REF.II.NEW.CP_NUMBER" w:val="0209"/>
    <w:docVar w:name="LW_REF.II.NEW.CP_YEAR" w:val="2020"/>
    <w:docVar w:name="LW_REF.INST.NEW" w:val="COM"/>
    <w:docVar w:name="LW_REF.INST.NEW_ADOPTED" w:val="final"/>
    <w:docVar w:name="LW_REF.INST.NEW_TEXT" w:val="(2020) 4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leid\u382?iama prad\u279?ti naudoti tam tikr\u371? \u303? Kanar\u371? salas importuojam\u371? \u382?uvininkyst\u279?s produkt\u371? 2021\u8211?2027 m. laikotarpio S\u261?jungos autonomines tarifines kvotas ir nustatoma j\u371? administravimo tvarka"/>
    <w:docVar w:name="LW_TYPE.DOC.CP" w:val="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pple-style-span">
    <w:name w:val="apple-style-span"/>
    <w:rPr>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customStyle="1" w:styleId="Manual">
    <w:name w:val="Manual"/>
    <w:basedOn w:val="Point0number"/>
  </w:style>
  <w:style w:type="paragraph" w:customStyle="1" w:styleId="M">
    <w:name w:val="M"/>
    <w:basedOn w:val="Manual"/>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pple-style-span">
    <w:name w:val="apple-style-span"/>
    <w:rPr>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customStyle="1" w:styleId="Manual">
    <w:name w:val="Manual"/>
    <w:basedOn w:val="Point0number"/>
  </w:style>
  <w:style w:type="paragraph" w:customStyle="1" w:styleId="M">
    <w:name w:val="M"/>
    <w:basedOn w:val="Manual"/>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74467">
      <w:bodyDiv w:val="1"/>
      <w:marLeft w:val="0"/>
      <w:marRight w:val="0"/>
      <w:marTop w:val="0"/>
      <w:marBottom w:val="0"/>
      <w:divBdr>
        <w:top w:val="none" w:sz="0" w:space="0" w:color="auto"/>
        <w:left w:val="none" w:sz="0" w:space="0" w:color="auto"/>
        <w:bottom w:val="none" w:sz="0" w:space="0" w:color="auto"/>
        <w:right w:val="none" w:sz="0" w:space="0" w:color="auto"/>
      </w:divBdr>
    </w:div>
    <w:div w:id="1010647670">
      <w:bodyDiv w:val="1"/>
      <w:marLeft w:val="0"/>
      <w:marRight w:val="0"/>
      <w:marTop w:val="0"/>
      <w:marBottom w:val="0"/>
      <w:divBdr>
        <w:top w:val="none" w:sz="0" w:space="0" w:color="auto"/>
        <w:left w:val="none" w:sz="0" w:space="0" w:color="auto"/>
        <w:bottom w:val="none" w:sz="0" w:space="0" w:color="auto"/>
        <w:right w:val="none" w:sz="0" w:space="0" w:color="auto"/>
      </w:divBdr>
    </w:div>
    <w:div w:id="1324964755">
      <w:bodyDiv w:val="1"/>
      <w:marLeft w:val="0"/>
      <w:marRight w:val="0"/>
      <w:marTop w:val="0"/>
      <w:marBottom w:val="0"/>
      <w:divBdr>
        <w:top w:val="none" w:sz="0" w:space="0" w:color="auto"/>
        <w:left w:val="none" w:sz="0" w:space="0" w:color="auto"/>
        <w:bottom w:val="none" w:sz="0" w:space="0" w:color="auto"/>
        <w:right w:val="none" w:sz="0" w:space="0" w:color="auto"/>
      </w:divBdr>
    </w:div>
    <w:div w:id="1554195616">
      <w:bodyDiv w:val="1"/>
      <w:marLeft w:val="0"/>
      <w:marRight w:val="0"/>
      <w:marTop w:val="0"/>
      <w:marBottom w:val="0"/>
      <w:divBdr>
        <w:top w:val="none" w:sz="0" w:space="0" w:color="auto"/>
        <w:left w:val="none" w:sz="0" w:space="0" w:color="auto"/>
        <w:bottom w:val="none" w:sz="0" w:space="0" w:color="auto"/>
        <w:right w:val="none" w:sz="0" w:space="0" w:color="auto"/>
      </w:divBdr>
    </w:div>
    <w:div w:id="18411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en/information/publications/reports/2017/realising-the-potential-of-the-outermost-regions-for-sustainable-blue-grow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83E9-AA42-445D-A956-29FA6ED9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1450</Words>
  <Characters>9938</Characters>
  <Application>Microsoft Office Word</Application>
  <DocSecurity>0</DocSecurity>
  <Lines>194</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2020-08-25T13:23:00Z</dcterms:created>
  <dcterms:modified xsi:type="dcterms:W3CDTF">2020-08-25T15:04:00Z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