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9B68F8AE-30EC-4A7C-A3AC-11FBF7210341" style="width:450.7pt;height:365.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Regulamentul nr. 1412/2013 al Consiliului</w:t>
      </w:r>
      <w:r>
        <w:rPr>
          <w:rStyle w:val="FootnoteReference"/>
          <w:noProof/>
        </w:rPr>
        <w:footnoteReference w:id="1"/>
      </w:r>
      <w:r>
        <w:rPr>
          <w:noProof/>
        </w:rPr>
        <w:t xml:space="preserve"> prevede contingente tarifare autonome (taxă de 0 %) pentru 30 000 de tone de produse pescărești destinate Insulelor Canare pentru perioada 2014-2020. Măsurile sunt justificate deoarece situația geografică excepțională a Insulelor Canare în raport cu sursele de aprovizionare cu produse pescărești esențiale pentru consumul intern antrenează costuri care reprezintă o povară semnificativă pentru acest sector. </w:t>
      </w:r>
    </w:p>
    <w:p>
      <w:pPr>
        <w:rPr>
          <w:noProof/>
        </w:rPr>
      </w:pPr>
      <w:r>
        <w:rPr>
          <w:noProof/>
        </w:rPr>
        <w:t>Situația nu este nouă. Înainte de aderarea Spaniei la UE, Insulele Canare au beneficiat de un regim „de scutire de taxe vamale” pentru mărfurile care intrau în regiune. După ce Spania a devenit membră a UE, produsele pescărești importate în Insulele Canare au beneficiat de regimuri specifice sub forma unor suspendări tarifare până în 2001. Începând de atunci, Insulele Canare au beneficiat de contingente tarifare.</w:t>
      </w:r>
    </w:p>
    <w:p>
      <w:pPr>
        <w:rPr>
          <w:noProof/>
        </w:rPr>
      </w:pPr>
      <w:r>
        <w:rPr>
          <w:noProof/>
        </w:rPr>
        <w:t>Actualele contingente tarifare vor expira la 31 decembrie 2020. Pentru perioada de după 2020, Regulamentul 1412/2013 solicită Comisiei să examineze impactul măsurilor și, pe baza constatărilor sale, să prezinte eventuale propuneri pertinente pentru perioada ulterioară datei de 31 decembrie 2020.</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spacing w:before="0" w:after="240"/>
        <w:rPr>
          <w:noProof/>
        </w:rPr>
      </w:pPr>
      <w:bookmarkStart w:id="1" w:name="_Toc349729730"/>
      <w:r>
        <w:rPr>
          <w:noProof/>
        </w:rPr>
        <w:t>Insulele Canare și alte regiuni ultraperiferice</w:t>
      </w:r>
      <w:bookmarkEnd w:id="1"/>
      <w:r>
        <w:rPr>
          <w:noProof/>
        </w:rPr>
        <w:t xml:space="preserve"> beneficiază de diverse măsuri similare (reduceri tarifare autonome). De exemplu, Regulamentul (UE) nr. 1386/2011 al Consiliului din 19 decembrie 2011 prevede măsuri similare pentru importurile de produse industriale în Insulele Canare.</w:t>
      </w:r>
    </w:p>
    <w:p>
      <w:pPr>
        <w:spacing w:before="0" w:after="240"/>
        <w:rPr>
          <w:noProof/>
        </w:rPr>
      </w:pPr>
      <w:r>
        <w:rPr>
          <w:noProof/>
        </w:rPr>
        <w:t>Înainte de aderarea Spaniei la UE, Insulele Canare au beneficiat de un regim „de scutire de taxe vamale” pentru mărfurile care intrau în regiune. După ce Spania a devenit membră a UE, produsele pescărești importate în Insulele Canare au beneficiat de regimuri specifice sub forma unor suspendări tarifare până în 2001. Începând de atunci, Insulele Canare au beneficiat de contingente tarifare. Prezentul regulament este o continuare a măsurilor respective.</w:t>
      </w:r>
    </w:p>
    <w:p>
      <w:pPr>
        <w:pStyle w:val="ManualHeading2"/>
        <w:rPr>
          <w:rFonts w:eastAsia="Arial Unicode MS"/>
          <w:noProof/>
        </w:rPr>
      </w:pPr>
      <w:r>
        <w:rPr>
          <w:noProof/>
          <w:color w:val="000000"/>
          <w:u w:color="000000"/>
          <w:bdr w:val="nil"/>
        </w:rPr>
        <w:t>•</w:t>
      </w:r>
      <w:r>
        <w:rPr>
          <w:noProof/>
        </w:rPr>
        <w:tab/>
        <w:t>Coerența cu alte domenii de politică ale Uniunii</w:t>
      </w:r>
    </w:p>
    <w:p>
      <w:pPr>
        <w:pBdr>
          <w:top w:val="nil"/>
          <w:left w:val="nil"/>
          <w:bottom w:val="nil"/>
          <w:right w:val="nil"/>
          <w:between w:val="nil"/>
          <w:bar w:val="nil"/>
        </w:pBdr>
        <w:spacing w:before="0" w:after="240"/>
        <w:rPr>
          <w:noProof/>
        </w:rPr>
      </w:pPr>
      <w:r>
        <w:rPr>
          <w:noProof/>
        </w:rPr>
        <w:t>N/A</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u w:color="000000"/>
          <w:bdr w:val="nil"/>
        </w:rPr>
        <w:t>•</w:t>
      </w:r>
      <w:r>
        <w:rPr>
          <w:noProof/>
        </w:rPr>
        <w:tab/>
      </w:r>
      <w:r>
        <w:rPr>
          <w:noProof/>
          <w:u w:color="000000"/>
          <w:bdr w:val="nil"/>
        </w:rPr>
        <w:t>Temei juridic</w:t>
      </w:r>
    </w:p>
    <w:p>
      <w:pPr>
        <w:pBdr>
          <w:top w:val="nil"/>
          <w:left w:val="nil"/>
          <w:bottom w:val="nil"/>
          <w:right w:val="nil"/>
          <w:between w:val="nil"/>
          <w:bar w:val="nil"/>
        </w:pBdr>
        <w:spacing w:before="0" w:after="240"/>
        <w:rPr>
          <w:noProof/>
        </w:rPr>
      </w:pPr>
      <w:r>
        <w:rPr>
          <w:noProof/>
        </w:rPr>
        <w:t>Articolul 349 din Tratatul privind funcționarea Uniunii Europene (TFUE).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Subsidiaritatea (pentru competență neexclusivă) </w:t>
      </w:r>
    </w:p>
    <w:p>
      <w:pPr>
        <w:spacing w:before="0" w:after="240"/>
        <w:rPr>
          <w:rFonts w:eastAsia="Arial Unicode MS"/>
          <w:noProof/>
        </w:rPr>
      </w:pPr>
      <w:r>
        <w:rPr>
          <w:noProof/>
        </w:rPr>
        <w:t>Uniunea Europeană este singura responsabilă pentru taxele prevăzute de Tariful vamal comun. Prin urmare, principiul subsidiarității nu se aplică în cazul prezentei propuneri.</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Proporționalitatea</w:t>
      </w:r>
    </w:p>
    <w:p>
      <w:pPr>
        <w:spacing w:before="0" w:after="240"/>
        <w:rPr>
          <w:noProof/>
        </w:rPr>
      </w:pPr>
      <w:r>
        <w:rPr>
          <w:noProof/>
        </w:rPr>
        <w:t>Alegerea politicii este proporționată deoarece doar un volum limitat este autorizat, în conformitate cu rata de utilizare.</w:t>
      </w:r>
    </w:p>
    <w:p>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pPr>
        <w:pBdr>
          <w:top w:val="nil"/>
          <w:left w:val="nil"/>
          <w:bottom w:val="nil"/>
          <w:right w:val="nil"/>
          <w:between w:val="nil"/>
          <w:bar w:val="nil"/>
        </w:pBdr>
        <w:spacing w:before="0" w:after="240"/>
        <w:rPr>
          <w:noProof/>
        </w:rPr>
      </w:pPr>
      <w:r>
        <w:rPr>
          <w:noProof/>
        </w:rPr>
        <w:t>N/A</w:t>
      </w:r>
    </w:p>
    <w:p>
      <w:pPr>
        <w:pStyle w:val="ManualHeading1"/>
        <w:rPr>
          <w:noProof/>
        </w:rPr>
      </w:pPr>
      <w:r>
        <w:rPr>
          <w:noProof/>
        </w:rPr>
        <w:t>3.</w:t>
      </w:r>
      <w:r>
        <w:rPr>
          <w:noProof/>
        </w:rPr>
        <w:tab/>
        <w:t>REZULTATE ALE EVALUĂRILOR EX POST, ALE CONSULTĂRILOR CU PĂRȚILE INTERESATE ȘI ALE EVALUĂRII IMPACTULUI</w:t>
      </w:r>
    </w:p>
    <w:p>
      <w:pPr>
        <w:pStyle w:val="ManualHeading2"/>
        <w:rPr>
          <w:rFonts w:eastAsia="Arial Unicode MS"/>
          <w:noProof/>
          <w:u w:color="000000"/>
          <w:bdr w:val="nil"/>
        </w:rPr>
      </w:pPr>
      <w:r>
        <w:rPr>
          <w:noProof/>
          <w:u w:color="000000"/>
          <w:bdr w:val="nil"/>
        </w:rPr>
        <w:t>•</w:t>
      </w:r>
      <w:r>
        <w:rPr>
          <w:noProof/>
        </w:rPr>
        <w:tab/>
      </w:r>
      <w:r>
        <w:rPr>
          <w:noProof/>
          <w:u w:color="000000"/>
          <w:bdr w:val="nil"/>
        </w:rPr>
        <w:t>Evaluări ex-post/verificarea adecvării legislației existente</w:t>
      </w:r>
    </w:p>
    <w:p>
      <w:pPr>
        <w:pBdr>
          <w:top w:val="nil"/>
          <w:left w:val="nil"/>
          <w:bottom w:val="nil"/>
          <w:right w:val="nil"/>
          <w:between w:val="nil"/>
          <w:bar w:val="nil"/>
        </w:pBdr>
        <w:spacing w:before="0" w:after="240"/>
        <w:rPr>
          <w:noProof/>
        </w:rPr>
      </w:pPr>
      <w:r>
        <w:rPr>
          <w:noProof/>
        </w:rPr>
        <w:t>N/A</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Consultări cu părțile interesate</w:t>
      </w:r>
    </w:p>
    <w:p>
      <w:pPr>
        <w:rPr>
          <w:noProof/>
        </w:rPr>
      </w:pPr>
      <w:r>
        <w:rPr>
          <w:noProof/>
        </w:rPr>
        <w:t>Toate părțile interesate relevante au fost consultate prin intermediul Consiliului consultativ pentru piețe și al Consiliului consultativ pentru regiunile ultraperiferice. Acesta din urmă a solicitat Comisiei să reevalueze concluziile având în vedere scăderea turismului în Insulele Canare din cauza pandemiei de Covid. Cu toate acestea, este foarte dificil să se evalueze consecințele pentru o perioadă de șapte ani, iar eliminarea sau reducerea contingentelor ar putea împiedica o eventuală redresare economică în cursul celor 7 ani. Prin urmare, Comisia propune extinderea măsurilor conform planificării.</w:t>
      </w:r>
    </w:p>
    <w:p>
      <w:pPr>
        <w:pStyle w:val="ManualHeading2"/>
        <w:rPr>
          <w:rFonts w:eastAsia="Arial Unicode MS"/>
          <w:noProof/>
          <w:u w:color="000000"/>
          <w:bdr w:val="nil"/>
        </w:rPr>
      </w:pPr>
      <w:r>
        <w:rPr>
          <w:noProof/>
          <w:u w:color="000000"/>
          <w:bdr w:val="nil"/>
        </w:rPr>
        <w:t>•</w:t>
      </w:r>
      <w:r>
        <w:rPr>
          <w:noProof/>
        </w:rPr>
        <w:tab/>
      </w:r>
      <w:r>
        <w:rPr>
          <w:noProof/>
          <w:u w:color="000000"/>
          <w:bdr w:val="nil"/>
        </w:rPr>
        <w:t>Obținerea și utilizarea expertizei</w:t>
      </w:r>
    </w:p>
    <w:p>
      <w:pPr>
        <w:rPr>
          <w:noProof/>
        </w:rPr>
      </w:pPr>
      <w:r>
        <w:rPr>
          <w:noProof/>
        </w:rPr>
        <w:t>Pentru a examina impactul măsurilor, astfel cum se prevede în regulament, Comisia a solicitat autorităților spaniole informațiile necesare. Autoritățile spaniole au furnizat date referitoare la produsele în cauză care au fost importate în Insulele Canare și au inclus în datele respective o analiză a acestor produse.</w:t>
      </w:r>
    </w:p>
    <w:p>
      <w:pPr>
        <w:rPr>
          <w:noProof/>
        </w:rPr>
      </w:pPr>
      <w:r>
        <w:rPr>
          <w:noProof/>
        </w:rPr>
        <w:t>Alte rapoarte furnizează informații relevante privind Insulele Canare în domenii relevante pentru examinarea impactului contingentelor tarifare, și anume Comunicarea Comisiei privind regiunile ultraperiferice din 2017</w:t>
      </w:r>
      <w:r>
        <w:rPr>
          <w:rStyle w:val="FootnoteReference"/>
          <w:noProof/>
        </w:rPr>
        <w:footnoteReference w:id="2"/>
      </w:r>
      <w:r>
        <w:rPr>
          <w:noProof/>
        </w:rPr>
        <w:t xml:space="preserve"> și raportul intitulat „Realizarea potențialului regiunilor ultraperiferice pentru o creștere albastră durabilă”</w:t>
      </w:r>
      <w:r>
        <w:rPr>
          <w:rStyle w:val="FootnoteReference"/>
          <w:noProof/>
        </w:rPr>
        <w:footnoteReference w:id="3"/>
      </w:r>
      <w:r>
        <w:rPr>
          <w:noProof/>
        </w:rPr>
        <w:t>.</w:t>
      </w:r>
    </w:p>
    <w:p>
      <w:pPr>
        <w:rPr>
          <w:noProof/>
        </w:rPr>
      </w:pPr>
      <w:r>
        <w:rPr>
          <w:noProof/>
        </w:rPr>
        <w:t>De asemenea, au fost colectate informații pentru anumite domenii, cum ar fi ocuparea forței de muncă (ISTAC – Institutul de Statistică din Insulele Canare), turismul (statisticile oficiale privind turismul în Insulele Canare) și consumul (Eurobarometru).</w:t>
      </w:r>
    </w:p>
    <w:p>
      <w:pPr>
        <w:pStyle w:val="ManualHeading2"/>
        <w:rPr>
          <w:rFonts w:eastAsia="Arial Unicode MS"/>
          <w:noProof/>
          <w:u w:color="000000"/>
          <w:bdr w:val="nil"/>
        </w:rPr>
      </w:pPr>
      <w:r>
        <w:rPr>
          <w:noProof/>
          <w:u w:color="000000"/>
          <w:bdr w:val="nil"/>
        </w:rPr>
        <w:t>•</w:t>
      </w:r>
      <w:r>
        <w:rPr>
          <w:noProof/>
        </w:rPr>
        <w:tab/>
      </w:r>
      <w:r>
        <w:rPr>
          <w:noProof/>
          <w:u w:color="000000"/>
          <w:bdr w:val="nil"/>
        </w:rPr>
        <w:t>Evaluarea impactului</w:t>
      </w:r>
    </w:p>
    <w:p>
      <w:pPr>
        <w:spacing w:before="0" w:after="240"/>
        <w:rPr>
          <w:rFonts w:eastAsia="Arial Unicode MS"/>
          <w:noProof/>
        </w:rPr>
      </w:pPr>
      <w:r>
        <w:rPr>
          <w:noProof/>
        </w:rPr>
        <w:t>Nu s-a efectuat nicio evaluare a impactului. Propunerea reînnoiește actualul act juridic care expiră la sfârșitul anului 2020. Nu se justifică o evaluare a impactului, având în vedere domeniul de aplicare foarte limitat al măsurilor și faptul că propunerea se referă la extinderea unor astfel de măsuri și că nu există modificări semnificative cu privire la efectele lor preconizate.</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Adecvarea reglementărilor și simplificarea</w:t>
      </w:r>
    </w:p>
    <w:p>
      <w:pPr>
        <w:pBdr>
          <w:top w:val="nil"/>
          <w:left w:val="nil"/>
          <w:bottom w:val="nil"/>
          <w:right w:val="nil"/>
          <w:between w:val="nil"/>
          <w:bar w:val="nil"/>
        </w:pBdr>
        <w:spacing w:before="0" w:after="240"/>
        <w:rPr>
          <w:noProof/>
        </w:rPr>
      </w:pPr>
      <w:r>
        <w:rPr>
          <w:noProof/>
        </w:rPr>
        <w:t>N/A</w:t>
      </w:r>
    </w:p>
    <w:p>
      <w:pPr>
        <w:pStyle w:val="ManualHeading2"/>
        <w:rPr>
          <w:rFonts w:eastAsia="Arial Unicode MS"/>
          <w:noProof/>
          <w:u w:color="000000"/>
          <w:bdr w:val="nil"/>
        </w:rPr>
      </w:pPr>
      <w:r>
        <w:rPr>
          <w:noProof/>
          <w:u w:color="000000"/>
          <w:bdr w:val="nil"/>
        </w:rPr>
        <w:t>•</w:t>
      </w:r>
      <w:r>
        <w:rPr>
          <w:noProof/>
        </w:rPr>
        <w:tab/>
      </w:r>
      <w:r>
        <w:rPr>
          <w:noProof/>
          <w:u w:color="000000"/>
          <w:bdr w:val="nil"/>
        </w:rPr>
        <w:t>Drepturile fundamentale</w:t>
      </w:r>
    </w:p>
    <w:p>
      <w:pPr>
        <w:pBdr>
          <w:top w:val="nil"/>
          <w:left w:val="nil"/>
          <w:bottom w:val="nil"/>
          <w:right w:val="nil"/>
          <w:between w:val="nil"/>
          <w:bar w:val="nil"/>
        </w:pBdr>
        <w:spacing w:before="0" w:after="240"/>
        <w:rPr>
          <w:noProof/>
        </w:rPr>
      </w:pPr>
      <w:r>
        <w:rPr>
          <w:noProof/>
        </w:rPr>
        <w:t>N/A</w:t>
      </w:r>
    </w:p>
    <w:p>
      <w:pPr>
        <w:pStyle w:val="ManualHeading1"/>
        <w:rPr>
          <w:noProof/>
        </w:rPr>
      </w:pPr>
      <w:r>
        <w:rPr>
          <w:noProof/>
        </w:rPr>
        <w:t>4.</w:t>
      </w:r>
      <w:r>
        <w:rPr>
          <w:noProof/>
        </w:rPr>
        <w:tab/>
        <w:t>IMPLICAȚIILE BUGETARE</w:t>
      </w:r>
    </w:p>
    <w:p>
      <w:pPr>
        <w:spacing w:before="0" w:after="240"/>
        <w:rPr>
          <w:rFonts w:eastAsia="Arial Unicode MS"/>
          <w:noProof/>
        </w:rPr>
      </w:pPr>
      <w:r>
        <w:rPr>
          <w:noProof/>
        </w:rPr>
        <w:t>Prezenta propunere nu are niciun impact bugetar pentru Comisie.</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rPr>
        <w:tab/>
      </w:r>
      <w:r>
        <w:rPr>
          <w:noProof/>
          <w:u w:color="000000"/>
          <w:bdr w:val="nil"/>
        </w:rPr>
        <w:t>Planuri de punere în aplicare și modalități de monitorizare, evaluare și raportare</w:t>
      </w:r>
    </w:p>
    <w:p>
      <w:pPr>
        <w:pBdr>
          <w:top w:val="nil"/>
          <w:left w:val="nil"/>
          <w:bottom w:val="nil"/>
          <w:right w:val="nil"/>
          <w:between w:val="nil"/>
          <w:bar w:val="nil"/>
        </w:pBdr>
        <w:spacing w:before="0" w:after="240"/>
        <w:rPr>
          <w:noProof/>
        </w:rPr>
      </w:pPr>
      <w:r>
        <w:rPr>
          <w:noProof/>
        </w:rPr>
        <w:t>N/A</w:t>
      </w:r>
    </w:p>
    <w:p>
      <w:pPr>
        <w:pStyle w:val="ManualHeading2"/>
        <w:rPr>
          <w:rFonts w:eastAsia="Arial Unicode MS"/>
          <w:noProof/>
          <w:u w:color="000000"/>
          <w:bdr w:val="nil"/>
        </w:rPr>
      </w:pPr>
      <w:r>
        <w:rPr>
          <w:noProof/>
          <w:u w:color="000000"/>
          <w:bdr w:val="nil"/>
        </w:rPr>
        <w:t>•</w:t>
      </w:r>
      <w:r>
        <w:rPr>
          <w:noProof/>
        </w:rPr>
        <w:tab/>
      </w:r>
      <w:r>
        <w:rPr>
          <w:noProof/>
          <w:u w:color="000000"/>
          <w:bdr w:val="nil"/>
        </w:rPr>
        <w:t>Documente explicative (pentru directive)</w:t>
      </w:r>
    </w:p>
    <w:p>
      <w:pPr>
        <w:pBdr>
          <w:top w:val="nil"/>
          <w:left w:val="nil"/>
          <w:bottom w:val="nil"/>
          <w:right w:val="nil"/>
          <w:between w:val="nil"/>
          <w:bar w:val="nil"/>
        </w:pBdr>
        <w:spacing w:before="0" w:after="240"/>
        <w:rPr>
          <w:noProof/>
        </w:rPr>
      </w:pPr>
      <w:r>
        <w:rPr>
          <w:noProof/>
        </w:rPr>
        <w:t>N/A</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Explicarea detaliată a dispozițiilor specifice ale propunerii</w:t>
      </w:r>
    </w:p>
    <w:p>
      <w:pPr>
        <w:pBdr>
          <w:top w:val="nil"/>
          <w:left w:val="nil"/>
          <w:bottom w:val="nil"/>
          <w:right w:val="nil"/>
          <w:between w:val="nil"/>
          <w:bar w:val="nil"/>
        </w:pBdr>
        <w:spacing w:before="0" w:after="240"/>
        <w:rPr>
          <w:noProof/>
        </w:rPr>
      </w:pPr>
      <w:r>
        <w:rPr>
          <w:noProof/>
        </w:rPr>
        <w:t>N/A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2020/0209 (CNS)</w:t>
      </w:r>
    </w:p>
    <w:p>
      <w:pPr>
        <w:pStyle w:val="Statut"/>
        <w:rPr>
          <w:noProof/>
        </w:rPr>
      </w:pPr>
      <w:r>
        <w:rPr>
          <w:noProof/>
        </w:rPr>
        <w:t>Propunere de</w:t>
      </w:r>
    </w:p>
    <w:p>
      <w:pPr>
        <w:pStyle w:val="Typedudocument"/>
        <w:rPr>
          <w:noProof/>
        </w:rPr>
      </w:pPr>
      <w:r>
        <w:rPr>
          <w:noProof/>
        </w:rPr>
        <w:t>REGULAMENT AL CONSILIULUI</w:t>
      </w:r>
    </w:p>
    <w:p>
      <w:pPr>
        <w:pStyle w:val="Titreobjet"/>
        <w:rPr>
          <w:noProof/>
        </w:rPr>
      </w:pPr>
      <w:r>
        <w:rPr>
          <w:noProof/>
        </w:rPr>
        <w:t>privind deschiderea și modul de gestionare a unor contingente tarifare autonome ale Uniunii la importul anumitor produse pescărești în Insulele Canare în perioada 2021-2027</w:t>
      </w:r>
    </w:p>
    <w:p>
      <w:pPr>
        <w:pStyle w:val="Institutionquiagit"/>
        <w:rPr>
          <w:noProof/>
        </w:rPr>
      </w:pPr>
      <w:r>
        <w:rPr>
          <w:noProof/>
        </w:rPr>
        <w:t>CONSILIUL UNIUNII EUROPENE,</w:t>
      </w:r>
    </w:p>
    <w:p>
      <w:pPr>
        <w:rPr>
          <w:noProof/>
        </w:rPr>
      </w:pPr>
      <w:r>
        <w:rPr>
          <w:noProof/>
        </w:rPr>
        <w:t>având în vedere Tratatul privind funcționarea Uniunii Europene, în special articolul 349,</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p>
    <w:p>
      <w:pPr>
        <w:rPr>
          <w:noProof/>
        </w:rPr>
      </w:pPr>
      <w:r>
        <w:rPr>
          <w:noProof/>
        </w:rPr>
        <w:t>după consultarea Comitetului Economic și Social European,</w:t>
      </w:r>
    </w:p>
    <w:p>
      <w:pPr>
        <w:rPr>
          <w:noProof/>
        </w:rPr>
      </w:pPr>
      <w:r>
        <w:rPr>
          <w:noProof/>
        </w:rPr>
        <w:t>având în vedere avizul Comitetului Regiunilor,</w:t>
      </w:r>
    </w:p>
    <w:p>
      <w:pPr>
        <w:rPr>
          <w:noProof/>
        </w:rPr>
      </w:pPr>
      <w:r>
        <w:rPr>
          <w:noProof/>
        </w:rPr>
        <w:t>hotărând în conformitate cu o procedură legislativă specială,</w:t>
      </w:r>
    </w:p>
    <w:p>
      <w:pPr>
        <w:rPr>
          <w:noProof/>
        </w:rPr>
      </w:pPr>
      <w:r>
        <w:rPr>
          <w:noProof/>
        </w:rPr>
        <w:t>întrucât:</w:t>
      </w:r>
    </w:p>
    <w:p>
      <w:pPr>
        <w:pStyle w:val="ManualConsidrant"/>
        <w:rPr>
          <w:noProof/>
        </w:rPr>
      </w:pPr>
      <w:r>
        <w:t>(1)</w:t>
      </w:r>
      <w:r>
        <w:tab/>
      </w:r>
      <w:r>
        <w:rPr>
          <w:noProof/>
        </w:rPr>
        <w:t>Situația geografică excepțională a Insulelor Canare în raport cu sursele de aprovizionare cu anumite produse pescărești esențiale pentru consumul intern antrenează costuri suplimentare pentru acest sector. Acest handicap natural, recunoscut la articolul 349 din tratat, cauzat de insularitate, depărtare și poziția ultraperiferică, poate fi remediat, printre altele, prin suspendarea temporară a taxelor vamale la importul produselor în cauză din țări terțe, în cadrul unor contingente tarifare autonome ale Uniunii de volum corespunzător.</w:t>
      </w:r>
    </w:p>
    <w:p>
      <w:pPr>
        <w:pStyle w:val="ManualConsidrant"/>
        <w:rPr>
          <w:noProof/>
        </w:rPr>
      </w:pPr>
      <w:r>
        <w:t>(2)</w:t>
      </w:r>
      <w:r>
        <w:tab/>
      </w:r>
      <w:r>
        <w:rPr>
          <w:noProof/>
          <w:snapToGrid w:val="0"/>
        </w:rPr>
        <w:t>Regulamentul (UE) nr. 1412/2013 al Consiliului</w:t>
      </w:r>
      <w:r>
        <w:rPr>
          <w:rStyle w:val="FootnoteReference"/>
          <w:noProof/>
          <w:snapToGrid w:val="0"/>
        </w:rPr>
        <w:footnoteReference w:id="4"/>
      </w:r>
      <w:r>
        <w:rPr>
          <w:noProof/>
          <w:snapToGrid w:val="0"/>
        </w:rPr>
        <w:t xml:space="preserve"> prevede deschiderea și modul de gestionare a unor contingente tarifare autonome ale Uniunii la importul anumitor produse pescărești în Insulele Canare pentru perioada 1 ianuarie 2014 – 31 decembrie 2020</w:t>
      </w:r>
      <w:r>
        <w:rPr>
          <w:noProof/>
        </w:rPr>
        <w:t>.</w:t>
      </w:r>
    </w:p>
    <w:p>
      <w:pPr>
        <w:pStyle w:val="ManualConsidrant"/>
        <w:rPr>
          <w:noProof/>
        </w:rPr>
      </w:pPr>
      <w:r>
        <w:t>(3)</w:t>
      </w:r>
      <w:r>
        <w:tab/>
      </w:r>
      <w:r>
        <w:rPr>
          <w:noProof/>
        </w:rPr>
        <w:t>În iulie 2019, Comisia a înaintat Consiliului o analiză a impactului măsurilor, oferind opțiuni pentru perioada ulterioară datei de 31 decembrie 2020.</w:t>
      </w:r>
    </w:p>
    <w:p>
      <w:pPr>
        <w:pStyle w:val="ManualConsidrant"/>
        <w:rPr>
          <w:noProof/>
        </w:rPr>
      </w:pPr>
      <w:r>
        <w:t>(4)</w:t>
      </w:r>
      <w:r>
        <w:tab/>
      </w:r>
      <w:r>
        <w:rPr>
          <w:noProof/>
        </w:rPr>
        <w:t>Examinarea a arătat că rata de utilizare a ambelor contingente, 09.2997 și 09.2651, a fost semnificativă. În cadrul contingentului 09.2651, codul NC 0308 nu a fost utilizat.</w:t>
      </w:r>
    </w:p>
    <w:p>
      <w:pPr>
        <w:pStyle w:val="ManualConsidrant"/>
        <w:rPr>
          <w:noProof/>
        </w:rPr>
      </w:pPr>
      <w:r>
        <w:t>(5)</w:t>
      </w:r>
      <w:r>
        <w:tab/>
      </w:r>
      <w:r>
        <w:rPr>
          <w:noProof/>
        </w:rPr>
        <w:t xml:space="preserve">Deschiderea unor contingente tarifare similare celor deschise prin Regulamentul (UE) nr. </w:t>
      </w:r>
      <w:r>
        <w:rPr>
          <w:noProof/>
          <w:snapToGrid w:val="0"/>
        </w:rPr>
        <w:t>1412/2013</w:t>
      </w:r>
      <w:r>
        <w:rPr>
          <w:noProof/>
        </w:rPr>
        <w:t xml:space="preserve"> pentru anumite produse pescărești este justificată, deoarece acestea ar acoperi nevoile pieței interne a Insulelor Canare, garantând, în același timp, că fluxurile importurilor scutite de taxe vamale în Uniune rămân previzibile și pot fi identificate cu precizie.</w:t>
      </w:r>
    </w:p>
    <w:p>
      <w:pPr>
        <w:pStyle w:val="ManualConsidrant"/>
        <w:rPr>
          <w:noProof/>
        </w:rPr>
      </w:pPr>
      <w:r>
        <w:lastRenderedPageBreak/>
        <w:t>(6)</w:t>
      </w:r>
      <w:r>
        <w:tab/>
      </w:r>
      <w:r>
        <w:rPr>
          <w:noProof/>
        </w:rPr>
        <w:t>Prin urmare, pentru a le oferi operatorilor economici o perspectivă pe termen lung astfel încât să atingă un nivel al activităților care să permită stabilizarea mediului economic și social din Insulele Canare, este oportun să se prelungească, pentru o perioadă suplimentară, sistemul de contingente tarifare autonome al taxelor din Tariful Vamal Comun pentru anumite mărfuri specificate în anexa la prezentul regulament.</w:t>
      </w:r>
    </w:p>
    <w:p>
      <w:pPr>
        <w:pStyle w:val="ManualConsidrant"/>
        <w:rPr>
          <w:noProof/>
        </w:rPr>
      </w:pPr>
      <w:r>
        <w:t>(7)</w:t>
      </w:r>
      <w:r>
        <w:tab/>
      </w:r>
      <w:r>
        <w:rPr>
          <w:noProof/>
        </w:rPr>
        <w:t xml:space="preserve">Pentru a se evita subminarea integrității și a coerenței pieței interne, trebuie luate măsuri care să garanteze faptul că produsele pescărești pentru care se acordă suspendarea sunt destinate exclusiv pieței interne a Insulelor Canare. </w:t>
      </w:r>
    </w:p>
    <w:p>
      <w:pPr>
        <w:pStyle w:val="ManualConsidrant"/>
        <w:rPr>
          <w:noProof/>
        </w:rPr>
      </w:pPr>
      <w:r>
        <w:t>(8)</w:t>
      </w:r>
      <w:r>
        <w:tab/>
      </w:r>
      <w:r>
        <w:rPr>
          <w:noProof/>
        </w:rPr>
        <w:t>Este necesar să se ia măsuri pentru a garanta informarea periodică a Comisiei cu privire la volumul importurilor în cauză, astfel încât aceasta să poată lua, dacă este cazul, măsuri pentru a împiedica orice mișcare speculativă sau orice deviere a traficului comercial.</w:t>
      </w:r>
    </w:p>
    <w:p>
      <w:pPr>
        <w:pStyle w:val="ManualConsidrant"/>
        <w:rPr>
          <w:noProof/>
        </w:rPr>
      </w:pPr>
      <w:r>
        <w:t>(9)</w:t>
      </w:r>
      <w:r>
        <w:tab/>
      </w:r>
      <w:r>
        <w:rPr>
          <w:rStyle w:val="apple-style-span"/>
          <w:noProof/>
          <w:color w:val="000000"/>
        </w:rPr>
        <w:t xml:space="preserve">Pentru a asigura condiții uniforme de punere în aplicare a prezentului regulament, este necesar să i se atribuie Comisiei competențe de executare care să-i permită să retragă temporar suspendarea în cazul devierii traficului comercial. </w:t>
      </w:r>
      <w:r>
        <w:rPr>
          <w:noProof/>
        </w:rPr>
        <w:t>Respectivele competențe trebuie exercitate în conformitate cu Regulamentul (UE) nr. 182/2011 al Parlamentului European și al Consiliului</w:t>
      </w:r>
      <w:r>
        <w:rPr>
          <w:rStyle w:val="FootnoteReference"/>
          <w:noProof/>
        </w:rPr>
        <w:footnoteReference w:id="5"/>
      </w:r>
      <w:r>
        <w:rPr>
          <w:noProof/>
        </w:rPr>
        <w:t>.</w:t>
      </w:r>
      <w:r>
        <w:rPr>
          <w:rStyle w:val="apple-style-span"/>
          <w:noProof/>
          <w:color w:val="000000"/>
        </w:rPr>
        <w:t xml:space="preserve"> </w:t>
      </w:r>
      <w:r>
        <w:rPr>
          <w:noProof/>
        </w:rPr>
        <w:t>Decizia definitivă referitoare la menținerea sau la retragerea definitivă a suspendării trebuie să fie luată, totuși, de către Consiliu, în conformitate cu articolul 349 din tratat, în perioada de timp pentru care suspendarea este retrasă temporar de Comisie.</w:t>
      </w:r>
    </w:p>
    <w:p>
      <w:pPr>
        <w:pStyle w:val="ManualConsidrant"/>
        <w:rPr>
          <w:noProof/>
        </w:rPr>
      </w:pPr>
      <w:r>
        <w:t>(10)</w:t>
      </w:r>
      <w:r>
        <w:tab/>
      </w:r>
      <w:r>
        <w:rPr>
          <w:noProof/>
        </w:rPr>
        <w:t>Măsurile prevăzute în prezentul regulament trebuie să asigure continuitatea după expirarea Regulamentului (CE) nr. 1412/2013.</w:t>
      </w:r>
      <w:r>
        <w:rPr>
          <w:noProof/>
          <w:snapToGrid w:val="0"/>
        </w:rPr>
        <w:t xml:space="preserve"> P</w:t>
      </w:r>
      <w:r>
        <w:rPr>
          <w:noProof/>
        </w:rPr>
        <w:t>rin urmare, este oportun ca măsurile prevăzute în prezentul regulament să se aplice în perioada cuprinsă între 1 ianuarie 2021 și 31 decembrie 2027,</w:t>
      </w:r>
    </w:p>
    <w:p>
      <w:pPr>
        <w:pStyle w:val="Formuledadoption"/>
        <w:rPr>
          <w:noProof/>
        </w:rPr>
      </w:pPr>
      <w:r>
        <w:rPr>
          <w:noProof/>
        </w:rPr>
        <w:t>ADOPTĂ PREZENTUL REGULAMENT:</w:t>
      </w:r>
    </w:p>
    <w:p>
      <w:pPr>
        <w:pStyle w:val="Titrearticle"/>
        <w:rPr>
          <w:noProof/>
        </w:rPr>
      </w:pPr>
      <w:r>
        <w:rPr>
          <w:noProof/>
        </w:rPr>
        <w:t>Articolul 1</w:t>
      </w:r>
    </w:p>
    <w:p>
      <w:pPr>
        <w:pStyle w:val="ManualNumPar1"/>
        <w:rPr>
          <w:noProof/>
        </w:rPr>
      </w:pPr>
      <w:r>
        <w:rPr>
          <w:noProof/>
        </w:rPr>
        <w:t>1.</w:t>
      </w:r>
      <w:r>
        <w:rPr>
          <w:noProof/>
        </w:rPr>
        <w:tab/>
        <w:t>În perioada cuprinsă între 1 ianuarie 2021 și 31 decembrie 2027, taxele din Tariful Vamal Comun aplicabile importurilor în Insulele Canare de produse pescărești, menționate în anexa la prezentul regulament, se suspendă în totalitate pentru cantitățile indicate în respectiva anexă.</w:t>
      </w:r>
    </w:p>
    <w:p>
      <w:pPr>
        <w:pStyle w:val="ManualNumPar1"/>
        <w:rPr>
          <w:noProof/>
        </w:rPr>
      </w:pPr>
      <w:r>
        <w:rPr>
          <w:noProof/>
        </w:rPr>
        <w:t>2.</w:t>
      </w:r>
      <w:r>
        <w:rPr>
          <w:noProof/>
        </w:rPr>
        <w:tab/>
        <w:t>Suspendarea menționată la alineatul (1) se acordă exclusiv pentru produsele destinate pieței interne din Insulele Canare. Suspendarea se aplică numai pentru produsele pescărești care sunt descărcate de pe o navă sau dintr-o aeronavă înainte ca declarația vamală de punere în liberă circulație să fie prezentată autorităților vamale din Insulele Canare.</w:t>
      </w:r>
    </w:p>
    <w:p>
      <w:pPr>
        <w:pStyle w:val="Titrearticle"/>
        <w:rPr>
          <w:noProof/>
        </w:rPr>
      </w:pPr>
      <w:r>
        <w:rPr>
          <w:noProof/>
        </w:rPr>
        <w:t>Articolul 2</w:t>
      </w:r>
    </w:p>
    <w:p>
      <w:pPr>
        <w:rPr>
          <w:noProof/>
        </w:rPr>
      </w:pPr>
      <w:r>
        <w:rPr>
          <w:noProof/>
        </w:rPr>
        <w:t>Contingentele tarifare menționate la articolul 1 se gestionează în conformitate cu articolele 49-54 din Regulamentul de punere în aplicare (UE) 2015/2447 al Comisiei</w:t>
      </w:r>
      <w:r>
        <w:rPr>
          <w:rStyle w:val="FootnoteReference"/>
          <w:noProof/>
        </w:rPr>
        <w:t xml:space="preserve"> </w:t>
      </w:r>
      <w:r>
        <w:rPr>
          <w:rStyle w:val="FootnoteReference"/>
          <w:noProof/>
        </w:rPr>
        <w:footnoteReference w:id="6"/>
      </w:r>
      <w:r>
        <w:rPr>
          <w:noProof/>
        </w:rPr>
        <w:t xml:space="preserve">. </w:t>
      </w:r>
    </w:p>
    <w:p>
      <w:pPr>
        <w:pStyle w:val="Titrearticle"/>
        <w:outlineLvl w:val="0"/>
        <w:rPr>
          <w:noProof/>
        </w:rPr>
      </w:pPr>
      <w:r>
        <w:rPr>
          <w:noProof/>
        </w:rPr>
        <w:lastRenderedPageBreak/>
        <w:t>Articolul 3</w:t>
      </w:r>
    </w:p>
    <w:p>
      <w:pPr>
        <w:rPr>
          <w:noProof/>
        </w:rPr>
      </w:pPr>
      <w:r>
        <w:rPr>
          <w:noProof/>
        </w:rPr>
        <w:t>Până la 30 iunie 2026, autoritățile spaniole competente înaintează Comisiei un raport cu privire la punerea în aplicare a măsurilor menționate la articolul 1. Comisia examinează efectele acestor măsuri și, ținând seama de constatările raportului, prezintă eventuale propuneri pertinente pentru perioada de după 2027.</w:t>
      </w:r>
    </w:p>
    <w:p>
      <w:pPr>
        <w:pStyle w:val="Titrearticle"/>
        <w:rPr>
          <w:noProof/>
        </w:rPr>
      </w:pPr>
      <w:r>
        <w:rPr>
          <w:noProof/>
        </w:rPr>
        <w:t>Articolul 4</w:t>
      </w:r>
    </w:p>
    <w:p>
      <w:pPr>
        <w:pStyle w:val="ManualNumPar1"/>
        <w:rPr>
          <w:noProof/>
        </w:rPr>
      </w:pPr>
      <w:r>
        <w:rPr>
          <w:noProof/>
        </w:rPr>
        <w:t>1.</w:t>
      </w:r>
      <w:r>
        <w:rPr>
          <w:noProof/>
        </w:rPr>
        <w:tab/>
        <w:t>În cazul în care Comisia are motive să considere că o suspendare prevăzută în prezentul regulament a condus la devierea fluxurilor comerciale pentru un anumit produs, aceasta poate să adopte acte de punere în aplicare prin care să retragă temporar suspendarea pentru o perioadă care să nu depășească 12 luni. Respectivele acte de punere în aplicare se adoptă în conformitate cu procedura de examinare menționată la articolul 5 alineatul (2).</w:t>
      </w:r>
    </w:p>
    <w:p>
      <w:pPr>
        <w:ind w:left="720"/>
        <w:rPr>
          <w:noProof/>
        </w:rPr>
      </w:pPr>
      <w:r>
        <w:rPr>
          <w:noProof/>
        </w:rPr>
        <w:t>Plata taxelor vamale la importul produselor pentru care suspendarea a fost retrasă temporar trebuie să fie acoperită de o garanție, iar punerea în liberă circulație a produselor în cauză în Insulele Canare este condiționată de constituirea unei astfel de garanții.</w:t>
      </w:r>
    </w:p>
    <w:p>
      <w:pPr>
        <w:pStyle w:val="ManualNumPar1"/>
        <w:rPr>
          <w:noProof/>
        </w:rPr>
      </w:pPr>
      <w:r>
        <w:rPr>
          <w:noProof/>
        </w:rPr>
        <w:t>2.</w:t>
      </w:r>
      <w:r>
        <w:rPr>
          <w:noProof/>
        </w:rPr>
        <w:tab/>
        <w:t>În perioada maximă de 12 luni menționată la alineatul (1), Consiliul adoptă, în conformitate cu articolul 349 din tratat, o decizie definitivă referitoare la menținerea sau la retragerea definitivă a suspendării. Dacă suspendarea este retrasă definitiv, taxele vamale acoperite de garanție se percep în mod definitiv.</w:t>
      </w:r>
    </w:p>
    <w:p>
      <w:pPr>
        <w:pStyle w:val="ManualNumPar1"/>
        <w:rPr>
          <w:noProof/>
        </w:rPr>
      </w:pPr>
      <w:r>
        <w:rPr>
          <w:noProof/>
        </w:rPr>
        <w:t>3.</w:t>
      </w:r>
      <w:r>
        <w:rPr>
          <w:noProof/>
        </w:rPr>
        <w:tab/>
        <w:t>Dacă la expirarea perioadei maxime de 12 luni nu a fost adoptată nicio decizie definitivă în conformitate cu alineatul (2), garanțiile constituite se eliberează.</w:t>
      </w:r>
    </w:p>
    <w:p>
      <w:pPr>
        <w:pStyle w:val="Titrearticle"/>
        <w:rPr>
          <w:noProof/>
        </w:rPr>
      </w:pPr>
      <w:r>
        <w:rPr>
          <w:noProof/>
        </w:rPr>
        <w:t>Articolul 5</w:t>
      </w:r>
    </w:p>
    <w:p>
      <w:pPr>
        <w:pStyle w:val="ManualNumPar1"/>
        <w:rPr>
          <w:noProof/>
          <w:sz w:val="16"/>
        </w:rPr>
      </w:pPr>
      <w:r>
        <w:rPr>
          <w:noProof/>
        </w:rPr>
        <w:t>1.</w:t>
      </w:r>
      <w:r>
        <w:rPr>
          <w:noProof/>
        </w:rPr>
        <w:tab/>
        <w:t>Comisia este asistată de Comitetul Codului vamal, instituit prin articolul 285 din Regulamentul (UE) nr. 952/2013 al Parlamentului European și al Consiliului</w:t>
      </w:r>
      <w:r>
        <w:rPr>
          <w:rStyle w:val="FootnoteReference"/>
          <w:noProof/>
        </w:rPr>
        <w:footnoteReference w:id="7"/>
      </w:r>
      <w:r>
        <w:rPr>
          <w:noProof/>
        </w:rPr>
        <w:t>. Respectivul comitet reprezintă un comitet în înțelesul Regulamentului (UE) nr. 182/2011.</w:t>
      </w:r>
    </w:p>
    <w:p>
      <w:pPr>
        <w:pStyle w:val="ManualNumPar1"/>
        <w:rPr>
          <w:noProof/>
        </w:rPr>
      </w:pPr>
      <w:r>
        <w:rPr>
          <w:noProof/>
        </w:rPr>
        <w:t>2.</w:t>
      </w:r>
      <w:r>
        <w:rPr>
          <w:noProof/>
        </w:rPr>
        <w:tab/>
        <w:t>Atunci când se face trimitere la prezentul alineat, se aplică articolul 5 din Regulamentul (UE) nr. 182/2011.</w:t>
      </w:r>
    </w:p>
    <w:p>
      <w:pPr>
        <w:pStyle w:val="Titrearticle"/>
        <w:rPr>
          <w:noProof/>
        </w:rPr>
      </w:pPr>
      <w:r>
        <w:rPr>
          <w:noProof/>
        </w:rPr>
        <w:t>Articolul 6</w:t>
      </w:r>
    </w:p>
    <w:p>
      <w:pPr>
        <w:rPr>
          <w:noProof/>
        </w:rPr>
      </w:pPr>
      <w:r>
        <w:rPr>
          <w:noProof/>
        </w:rPr>
        <w:t>Comisia și autoritățile vamale ale statelor membre cooperează îndeaproape pentru a garanta gestionarea și controlul adecvat al aplicării prezentului regulament.</w:t>
      </w:r>
    </w:p>
    <w:p>
      <w:pPr>
        <w:pStyle w:val="Titrearticle"/>
        <w:rPr>
          <w:noProof/>
        </w:rPr>
      </w:pPr>
      <w:r>
        <w:rPr>
          <w:noProof/>
        </w:rPr>
        <w:t>Articolul 7</w:t>
      </w:r>
    </w:p>
    <w:p>
      <w:pPr>
        <w:rPr>
          <w:noProof/>
        </w:rPr>
      </w:pPr>
      <w:r>
        <w:rPr>
          <w:noProof/>
        </w:rPr>
        <w:t xml:space="preserve">Prezentul regulament intră în vigoare în a treia zi de la data publicării în </w:t>
      </w:r>
      <w:r>
        <w:rPr>
          <w:i/>
          <w:noProof/>
        </w:rPr>
        <w:t>Jurnalul Oficial al Uniunii Europene</w:t>
      </w:r>
      <w:r>
        <w:rPr>
          <w:noProof/>
        </w:rPr>
        <w:t>.</w:t>
      </w:r>
    </w:p>
    <w:p>
      <w:pPr>
        <w:rPr>
          <w:noProof/>
        </w:rPr>
      </w:pPr>
      <w:r>
        <w:rPr>
          <w:noProof/>
        </w:rPr>
        <w:t>Prezentul regulament se aplică de la 1 ianuarie 2021 până la 31 decembrie 2027.</w:t>
      </w:r>
    </w:p>
    <w:p>
      <w:pPr>
        <w:pStyle w:val="Applicationdirecte"/>
        <w:rPr>
          <w:noProof/>
        </w:rPr>
      </w:pPr>
      <w:r>
        <w:rPr>
          <w:noProof/>
        </w:rPr>
        <w:lastRenderedPageBreak/>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se vedea anexa 1: Regulamentul 1412/2013 al Consiliului privind deschiderea și modul de gestionare a unor contingente tarifare autonome ale Uniunii la importul anumitor produse pescărești în Insulele Canare în perioada 2014-2020</w:t>
      </w:r>
    </w:p>
  </w:footnote>
  <w:footnote w:id="2">
    <w:p>
      <w:pPr>
        <w:pStyle w:val="FootnoteText"/>
      </w:pPr>
      <w:r>
        <w:rPr>
          <w:rStyle w:val="FootnoteReference"/>
        </w:rPr>
        <w:footnoteRef/>
      </w:r>
      <w:r>
        <w:tab/>
        <w:t xml:space="preserve">COM(2017) 623 final: „Un parteneriat strategic consolidat și reînnoit cu regiunile ultraperiferice ale UE” </w:t>
      </w:r>
    </w:p>
  </w:footnote>
  <w:footnote w:id="3">
    <w:p>
      <w:pPr>
        <w:pStyle w:val="FootnoteText"/>
      </w:pPr>
      <w:r>
        <w:rPr>
          <w:rStyle w:val="FootnoteReference"/>
        </w:rPr>
        <w:footnoteRef/>
      </w:r>
      <w:r>
        <w:tab/>
      </w:r>
      <w:hyperlink r:id="rId1" w:history="1">
        <w:r>
          <w:rPr>
            <w:rStyle w:val="Hyperlink"/>
          </w:rPr>
          <w:t>https://ec.europa.eu/regional_policy/en/information/publications/reports/2017/realising-the-potential-of-the-outermost-regions-for-sustainable-blue-growth</w:t>
        </w:r>
      </w:hyperlink>
      <w:r>
        <w:t xml:space="preserve"> </w:t>
      </w:r>
    </w:p>
  </w:footnote>
  <w:footnote w:id="4">
    <w:p>
      <w:pPr>
        <w:pStyle w:val="FootnoteText"/>
      </w:pPr>
      <w:r>
        <w:rPr>
          <w:rStyle w:val="FootnoteReference"/>
        </w:rPr>
        <w:footnoteRef/>
      </w:r>
      <w:r>
        <w:tab/>
        <w:t>Regulamentul (UE) nr. 1412/2013 al Consiliului din 17 decembrie 2013 privind deschiderea și modul de gestionare a unor contingente tarifare autonome ale Uniunii la importul anumitor produse pescărești în Insulele Canare în perioada 2014-2020 (JO L 353, 28.12.2013, p. 1.).</w:t>
      </w:r>
    </w:p>
  </w:footnote>
  <w:footnote w:id="5">
    <w:p>
      <w:pPr>
        <w:pStyle w:val="FootnoteText"/>
        <w:jc w:val="left"/>
      </w:pPr>
      <w:r>
        <w:rPr>
          <w:rStyle w:val="FootnoteReference"/>
        </w:rPr>
        <w:footnoteRef/>
      </w:r>
      <w:r>
        <w:tab/>
        <w:t>Regulamentul (UE) nr. 182/2011 al Parlamentului European și al Consiliului din 16 februarie 2011.</w:t>
      </w:r>
    </w:p>
    <w:p>
      <w:pPr>
        <w:pStyle w:val="FootnoteText"/>
        <w:ind w:firstLine="0"/>
        <w:jc w:val="left"/>
      </w:pPr>
      <w:r>
        <w:t>de stabilire a normelor și principiilor generale privind mecanismele de control de către statele membre al exercitării competențelor de executare de către Comisie (JO L 55, 28.2.2011, p. 13.).</w:t>
      </w:r>
    </w:p>
  </w:footnote>
  <w:footnote w:id="6">
    <w:p>
      <w:pPr>
        <w:pStyle w:val="FootnoteText"/>
        <w:ind w:left="0" w:firstLine="0"/>
      </w:pPr>
      <w:r>
        <w:rPr>
          <w:rStyle w:val="FootnoteReference"/>
        </w:rPr>
        <w:footnoteRef/>
      </w:r>
      <w:r>
        <w:tab/>
        <w:t>Regulamentul de punere în aplicare (UE) 2015/2447 al Comisiei din 24 noiembrie 2015 de stabilire a unor norme pentru punerea în aplicare a anumitor dispoziții din Regulamentul (UE) nr. 952/2013 al Parlamentului European și al Consiliului de stabilire a Codului vamal al Uniunii (JO L 343, 29.12.2015, p. 558).</w:t>
      </w:r>
    </w:p>
    <w:p>
      <w:pPr>
        <w:pStyle w:val="FootnoteText"/>
        <w:ind w:left="0" w:firstLine="0"/>
        <w:jc w:val="left"/>
      </w:pPr>
    </w:p>
  </w:footnote>
  <w:footnote w:id="7">
    <w:p>
      <w:pPr>
        <w:pStyle w:val="FootnoteText"/>
      </w:pPr>
      <w:r>
        <w:rPr>
          <w:rStyle w:val="FootnoteReference"/>
        </w:rPr>
        <w:footnoteRef/>
      </w:r>
      <w:r>
        <w:tab/>
        <w:t>Regulamentul (UE) nr. 952/2013 al Parlamentului European și al Consiliului din 9 octombrie 2013.</w:t>
      </w:r>
    </w:p>
    <w:p>
      <w:pPr>
        <w:pStyle w:val="FootnoteText"/>
        <w:ind w:firstLine="0"/>
      </w:pPr>
      <w:r>
        <w:t>de stabilire a Codului vamal al Uniunii, JO L 269, 10.10.2013,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908D8E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B2474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ACE0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0D843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E54D6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186DB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8CCADE"/>
    <w:lvl w:ilvl="0">
      <w:start w:val="1"/>
      <w:numFmt w:val="decimal"/>
      <w:pStyle w:val="ListNumber"/>
      <w:lvlText w:val="%1."/>
      <w:lvlJc w:val="left"/>
      <w:pPr>
        <w:tabs>
          <w:tab w:val="num" w:pos="360"/>
        </w:tabs>
        <w:ind w:left="360" w:hanging="360"/>
      </w:pPr>
    </w:lvl>
  </w:abstractNum>
  <w:abstractNum w:abstractNumId="7">
    <w:nsid w:val="FFFFFF89"/>
    <w:multiLevelType w:val="singleLevel"/>
    <w:tmpl w:val="51AC89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25 17:05: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B68F8AE-30EC-4A7C-A3AC-11FBF7210341"/>
    <w:docVar w:name="LW_COVERPAGE_TYPE" w:val="1"/>
    <w:docVar w:name="LW_CROSSREFERENCE" w:val="&lt;UNUSED&gt;"/>
    <w:docVar w:name="LW_DocType" w:val="COM"/>
    <w:docVar w:name="LW_EMISSION" w:val="31.8.2020"/>
    <w:docVar w:name="LW_EMISSION_ISODATE" w:val="2020-08-31"/>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NS"/>
    <w:docVar w:name="LW_REF.II.NEW.CP_NUMBER" w:val="0209"/>
    <w:docVar w:name="LW_REF.II.NEW.CP_YEAR" w:val="2020"/>
    <w:docVar w:name="LW_REF.INST.NEW" w:val="COM"/>
    <w:docVar w:name="LW_REF.INST.NEW_ADOPTED" w:val="final"/>
    <w:docVar w:name="LW_REF.INST.NEW_TEXT" w:val="(2020) 4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deschiderea \u537?i modul de gestionare a unor contingente tarifare autonome ale Uniunii la importul anumitor produse pesc\u259?re\u537?ti în Insulele Canare în perioada 2021-2027"/>
    <w:docVar w:name="LW_TYPE.DOC.CP" w:val="REGULAMENT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pple-style-span">
    <w:name w:val="apple-style-span"/>
    <w:rPr>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customStyle="1" w:styleId="Manual">
    <w:name w:val="Manual"/>
    <w:basedOn w:val="Point0number"/>
  </w:style>
  <w:style w:type="paragraph" w:customStyle="1" w:styleId="M">
    <w:name w:val="M"/>
    <w:basedOn w:val="Manual"/>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pple-style-span">
    <w:name w:val="apple-style-span"/>
    <w:rPr>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customStyle="1" w:styleId="Manual">
    <w:name w:val="Manual"/>
    <w:basedOn w:val="Point0number"/>
  </w:style>
  <w:style w:type="paragraph" w:customStyle="1" w:styleId="M">
    <w:name w:val="M"/>
    <w:basedOn w:val="Manual"/>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74467">
      <w:bodyDiv w:val="1"/>
      <w:marLeft w:val="0"/>
      <w:marRight w:val="0"/>
      <w:marTop w:val="0"/>
      <w:marBottom w:val="0"/>
      <w:divBdr>
        <w:top w:val="none" w:sz="0" w:space="0" w:color="auto"/>
        <w:left w:val="none" w:sz="0" w:space="0" w:color="auto"/>
        <w:bottom w:val="none" w:sz="0" w:space="0" w:color="auto"/>
        <w:right w:val="none" w:sz="0" w:space="0" w:color="auto"/>
      </w:divBdr>
    </w:div>
    <w:div w:id="1010647670">
      <w:bodyDiv w:val="1"/>
      <w:marLeft w:val="0"/>
      <w:marRight w:val="0"/>
      <w:marTop w:val="0"/>
      <w:marBottom w:val="0"/>
      <w:divBdr>
        <w:top w:val="none" w:sz="0" w:space="0" w:color="auto"/>
        <w:left w:val="none" w:sz="0" w:space="0" w:color="auto"/>
        <w:bottom w:val="none" w:sz="0" w:space="0" w:color="auto"/>
        <w:right w:val="none" w:sz="0" w:space="0" w:color="auto"/>
      </w:divBdr>
    </w:div>
    <w:div w:id="1324964755">
      <w:bodyDiv w:val="1"/>
      <w:marLeft w:val="0"/>
      <w:marRight w:val="0"/>
      <w:marTop w:val="0"/>
      <w:marBottom w:val="0"/>
      <w:divBdr>
        <w:top w:val="none" w:sz="0" w:space="0" w:color="auto"/>
        <w:left w:val="none" w:sz="0" w:space="0" w:color="auto"/>
        <w:bottom w:val="none" w:sz="0" w:space="0" w:color="auto"/>
        <w:right w:val="none" w:sz="0" w:space="0" w:color="auto"/>
      </w:divBdr>
    </w:div>
    <w:div w:id="1554195616">
      <w:bodyDiv w:val="1"/>
      <w:marLeft w:val="0"/>
      <w:marRight w:val="0"/>
      <w:marTop w:val="0"/>
      <w:marBottom w:val="0"/>
      <w:divBdr>
        <w:top w:val="none" w:sz="0" w:space="0" w:color="auto"/>
        <w:left w:val="none" w:sz="0" w:space="0" w:color="auto"/>
        <w:bottom w:val="none" w:sz="0" w:space="0" w:color="auto"/>
        <w:right w:val="none" w:sz="0" w:space="0" w:color="auto"/>
      </w:divBdr>
    </w:div>
    <w:div w:id="18411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en/information/publications/reports/2017/realising-the-potential-of-the-outermost-regions-for-sustainable-blue-grow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31A8A-EA11-460C-8A4C-B6A78741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1764</Words>
  <Characters>10818</Characters>
  <Application>Microsoft Office Word</Application>
  <DocSecurity>0</DocSecurity>
  <Lines>204</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2020-08-24T14:18:00Z</dcterms:created>
  <dcterms:modified xsi:type="dcterms:W3CDTF">2020-08-25T15:05:00Z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