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75A0DFAE-60AA-4383-AF24-E2E590EF962D" style="width:451.25pt;height:352.45pt">
            <v:imagedata r:id="rId9" o:title=""/>
          </v:shape>
        </w:pict>
      </w:r>
    </w:p>
    <w:p>
      <w:pPr>
        <w:rPr>
          <w:noProof/>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BEGRUNDELSE</w:t>
      </w:r>
    </w:p>
    <w:p>
      <w:pPr>
        <w:pStyle w:val="ManualHeading1"/>
        <w:rPr>
          <w:noProof/>
        </w:rPr>
      </w:pPr>
      <w:r>
        <w:rPr>
          <w:noProof/>
        </w:rPr>
        <w:t>1.</w:t>
      </w:r>
      <w:r>
        <w:rPr>
          <w:noProof/>
        </w:rPr>
        <w:tab/>
        <w:t>BAGGRUND FOR FORSLAGET</w:t>
      </w:r>
    </w:p>
    <w:p>
      <w:pPr>
        <w:pStyle w:val="ManualHeading2"/>
        <w:rPr>
          <w:rFonts w:eastAsia="Arial Unicode MS"/>
          <w:noProof/>
        </w:rPr>
      </w:pPr>
      <w:r>
        <w:rPr>
          <w:noProof/>
          <w:color w:val="000000"/>
          <w:u w:color="000000"/>
          <w:bdr w:val="nil"/>
        </w:rPr>
        <w:t>•</w:t>
      </w:r>
      <w:r>
        <w:rPr>
          <w:noProof/>
        </w:rPr>
        <w:tab/>
        <w:t>Forslagets begrundelse og formål</w:t>
      </w:r>
    </w:p>
    <w:p>
      <w:pPr>
        <w:rPr>
          <w:noProof/>
        </w:rPr>
      </w:pPr>
      <w:r>
        <w:rPr>
          <w:noProof/>
        </w:rPr>
        <w:t>Ved Rådets forordning (EF) nr. 1412/2013</w:t>
      </w:r>
      <w:r>
        <w:rPr>
          <w:rStyle w:val="FootnoteReference"/>
          <w:noProof/>
        </w:rPr>
        <w:footnoteReference w:id="1"/>
      </w:r>
      <w:r>
        <w:rPr>
          <w:noProof/>
        </w:rPr>
        <w:t xml:space="preserve"> er der fastsat autonome toldkontingenter (nultold) for import af 30 000 ton fiskevarer til De Kanariske Øer for perioden 2014-2020. Foranstaltningerne er berettiget på grund af De Kanariske Øers særlige geografiske beliggenhed i forhold til forsyningen med fiskevarer, som er vigtige for det indenlandske forbrug, indebærer omkostninger, der er en alvorlig byrde for sektoren. </w:t>
      </w:r>
    </w:p>
    <w:p>
      <w:pPr>
        <w:rPr>
          <w:noProof/>
        </w:rPr>
      </w:pPr>
      <w:r>
        <w:rPr>
          <w:noProof/>
        </w:rPr>
        <w:t>Denne situation er ikke ny. Før Spanien blev medlem af EU, havde De Kanariske Øer en "toldfri ordning" for varer, der indførtes i regionen. Efter at Spanien blev medlem af EU, var fiskevarer, der blev importeret til De Kanariske Øer, omfattet af særlige ordninger i form af toldsuspensioner indtil 2001. Siden da har De Kanariske Øer draget fordel af toldkontingenter.</w:t>
      </w:r>
    </w:p>
    <w:p>
      <w:pPr>
        <w:rPr>
          <w:noProof/>
        </w:rPr>
      </w:pPr>
      <w:r>
        <w:rPr>
          <w:noProof/>
        </w:rPr>
        <w:t>De gældende toldkontingenter udløber den 31. december 2020. For perioden efter 2020 skal Kommissionen i henhold til forordning (EU) nr. 1412/2013 undersøge virkningen af foranstaltningerne og på grundlag af resultaterne heraf forelægge relevante forslag for perioden efter den 31. december 2020.</w:t>
      </w:r>
    </w:p>
    <w:p>
      <w:pPr>
        <w:pStyle w:val="ManualHeading2"/>
        <w:rPr>
          <w:rFonts w:eastAsia="Arial Unicode MS"/>
          <w:noProof/>
          <w:color w:val="000000"/>
          <w:u w:color="000000"/>
          <w:bdr w:val="nil"/>
        </w:rPr>
      </w:pPr>
      <w:r>
        <w:rPr>
          <w:noProof/>
          <w:color w:val="000000"/>
          <w:u w:color="000000"/>
          <w:bdr w:val="nil"/>
        </w:rPr>
        <w:t>•</w:t>
      </w:r>
      <w:r>
        <w:rPr>
          <w:noProof/>
        </w:rPr>
        <w:tab/>
        <w:t>Sammenhæng med de gældende regler på samme område</w:t>
      </w:r>
    </w:p>
    <w:p>
      <w:pPr>
        <w:spacing w:before="0" w:after="240"/>
        <w:rPr>
          <w:noProof/>
        </w:rPr>
      </w:pPr>
      <w:bookmarkStart w:id="1" w:name="_Toc349729730"/>
      <w:r>
        <w:rPr>
          <w:noProof/>
        </w:rPr>
        <w:t>De Kanariske Øer og andre regioner i den yderste periferi</w:t>
      </w:r>
      <w:bookmarkEnd w:id="1"/>
      <w:r>
        <w:rPr>
          <w:noProof/>
        </w:rPr>
        <w:t xml:space="preserve"> drager fordel af forskellige lignende foranstaltninger (autonome toldnedsættelser). Rådets forordning (EU) nr. 1386/2011 af 19. december 2011 fastsætter f.eks. lignende foranstaltninger for import af industrivarer til De Kanariske Øer.</w:t>
      </w:r>
    </w:p>
    <w:p>
      <w:pPr>
        <w:spacing w:before="0" w:after="240"/>
        <w:rPr>
          <w:noProof/>
        </w:rPr>
      </w:pPr>
      <w:r>
        <w:rPr>
          <w:noProof/>
        </w:rPr>
        <w:t>Før Spanien blev medlem af EU, havde De Kanariske Øer en "toldfri ordning" for varer, der indførtes i regionen. Efter at Spanien blev medlem af EU, var fiskevarer, der blev importeret til De Kanariske Øer, omfattet af særlige ordninger i form af toldsuspensioner indtil 2001. Siden da har De Kanariske Øer draget fordel af toldkontingenter. Denne forordning er en videreførelse af disse foranstaltninger.</w:t>
      </w:r>
    </w:p>
    <w:p>
      <w:pPr>
        <w:pStyle w:val="ManualHeading2"/>
        <w:rPr>
          <w:rFonts w:eastAsia="Arial Unicode MS"/>
          <w:noProof/>
        </w:rPr>
      </w:pPr>
      <w:r>
        <w:rPr>
          <w:noProof/>
          <w:color w:val="000000"/>
          <w:u w:color="000000"/>
          <w:bdr w:val="nil"/>
        </w:rPr>
        <w:t>•</w:t>
      </w:r>
      <w:r>
        <w:rPr>
          <w:noProof/>
        </w:rPr>
        <w:tab/>
        <w:t>Sammenhæng med Unionens politik på andre områder</w:t>
      </w:r>
    </w:p>
    <w:p>
      <w:pPr>
        <w:pBdr>
          <w:top w:val="nil"/>
          <w:left w:val="nil"/>
          <w:bottom w:val="nil"/>
          <w:right w:val="nil"/>
          <w:between w:val="nil"/>
          <w:bar w:val="nil"/>
        </w:pBdr>
        <w:spacing w:before="0" w:after="240"/>
        <w:rPr>
          <w:noProof/>
        </w:rPr>
      </w:pPr>
      <w:r>
        <w:rPr>
          <w:noProof/>
        </w:rPr>
        <w:t>Ikke relevant.</w:t>
      </w:r>
    </w:p>
    <w:p>
      <w:pPr>
        <w:pStyle w:val="ManualHeading1"/>
        <w:rPr>
          <w:noProof/>
        </w:rPr>
      </w:pPr>
      <w:r>
        <w:rPr>
          <w:noProof/>
        </w:rPr>
        <w:t>2.</w:t>
      </w:r>
      <w:r>
        <w:rPr>
          <w:noProof/>
        </w:rPr>
        <w:tab/>
        <w:t>RETSGRUNDLAG, NÆRHEDSPRINCIPPET OG PROPORTIONALITETSPRINCIPPET</w:t>
      </w:r>
    </w:p>
    <w:p>
      <w:pPr>
        <w:pStyle w:val="ManualHeading2"/>
        <w:rPr>
          <w:rFonts w:eastAsia="Arial Unicode MS"/>
          <w:noProof/>
          <w:u w:color="000000"/>
          <w:bdr w:val="nil"/>
        </w:rPr>
      </w:pPr>
      <w:r>
        <w:rPr>
          <w:noProof/>
          <w:u w:color="000000"/>
          <w:bdr w:val="nil"/>
        </w:rPr>
        <w:t>•</w:t>
      </w:r>
      <w:r>
        <w:rPr>
          <w:noProof/>
        </w:rPr>
        <w:tab/>
      </w:r>
      <w:r>
        <w:rPr>
          <w:noProof/>
          <w:u w:color="000000"/>
          <w:bdr w:val="nil"/>
        </w:rPr>
        <w:t>Retsgrundlag</w:t>
      </w:r>
    </w:p>
    <w:p>
      <w:pPr>
        <w:pBdr>
          <w:top w:val="nil"/>
          <w:left w:val="nil"/>
          <w:bottom w:val="nil"/>
          <w:right w:val="nil"/>
          <w:between w:val="nil"/>
          <w:bar w:val="nil"/>
        </w:pBdr>
        <w:spacing w:before="0" w:after="240"/>
        <w:rPr>
          <w:noProof/>
        </w:rPr>
      </w:pPr>
      <w:r>
        <w:rPr>
          <w:noProof/>
        </w:rPr>
        <w:t>Artikel 349 i traktaten om Den Europæiske Unions funktionsmåde (TEUF).</w:t>
      </w:r>
    </w:p>
    <w:p>
      <w:pPr>
        <w:pStyle w:val="ManualHeading2"/>
        <w:rPr>
          <w:rFonts w:eastAsia="Arial Unicode MS"/>
          <w:noProof/>
          <w:u w:color="000000"/>
          <w:bdr w:val="nil"/>
        </w:rPr>
      </w:pPr>
      <w:r>
        <w:rPr>
          <w:noProof/>
          <w:u w:color="000000"/>
          <w:bdr w:val="nil"/>
        </w:rPr>
        <w:t>•</w:t>
      </w:r>
      <w:r>
        <w:rPr>
          <w:noProof/>
        </w:rPr>
        <w:tab/>
      </w:r>
      <w:r>
        <w:rPr>
          <w:noProof/>
          <w:u w:color="000000"/>
          <w:bdr w:val="nil"/>
        </w:rPr>
        <w:t xml:space="preserve">Nærhedsprincippet (for områder, der ikke er omfattet af enekompetence) </w:t>
      </w:r>
    </w:p>
    <w:p>
      <w:pPr>
        <w:spacing w:before="0" w:after="240"/>
        <w:rPr>
          <w:rFonts w:eastAsia="Arial Unicode MS"/>
          <w:noProof/>
        </w:rPr>
      </w:pPr>
      <w:r>
        <w:rPr>
          <w:noProof/>
        </w:rPr>
        <w:t>Den Europæiske Union er eneansvarlig for toldsatserne i den fælles toldtarif. Nærhedsprincippet finder derfor ikke anvendelse på dette forslag.</w:t>
      </w:r>
    </w:p>
    <w:p>
      <w:pPr>
        <w:pStyle w:val="ManualHeading2"/>
        <w:rPr>
          <w:rFonts w:eastAsia="Arial Unicode MS"/>
          <w:noProof/>
          <w:u w:color="000000"/>
          <w:bdr w:val="nil"/>
        </w:rPr>
      </w:pPr>
      <w:r>
        <w:rPr>
          <w:noProof/>
          <w:u w:color="000000"/>
          <w:bdr w:val="nil"/>
        </w:rPr>
        <w:lastRenderedPageBreak/>
        <w:t>•</w:t>
      </w:r>
      <w:r>
        <w:rPr>
          <w:noProof/>
        </w:rPr>
        <w:tab/>
      </w:r>
      <w:r>
        <w:rPr>
          <w:noProof/>
          <w:u w:color="000000"/>
          <w:bdr w:val="nil"/>
        </w:rPr>
        <w:t>Proportionalitetsprincippet</w:t>
      </w:r>
    </w:p>
    <w:p>
      <w:pPr>
        <w:spacing w:before="0" w:after="240"/>
        <w:rPr>
          <w:noProof/>
        </w:rPr>
      </w:pPr>
      <w:r>
        <w:rPr>
          <w:noProof/>
        </w:rPr>
        <w:t>Valget af politik står i et rimeligt forhold til målet, fordi der kun gives tilladelse til en begrænset mængde svarende til udnyttelsesgraden.</w:t>
      </w:r>
    </w:p>
    <w:p>
      <w:pPr>
        <w:pStyle w:val="ManualHeading2"/>
        <w:rPr>
          <w:rFonts w:eastAsia="Arial Unicode MS"/>
          <w:noProof/>
          <w:u w:color="000000"/>
          <w:bdr w:val="nil"/>
        </w:rPr>
      </w:pPr>
      <w:r>
        <w:rPr>
          <w:noProof/>
          <w:u w:color="000000"/>
          <w:bdr w:val="nil"/>
        </w:rPr>
        <w:t>•</w:t>
      </w:r>
      <w:r>
        <w:rPr>
          <w:noProof/>
        </w:rPr>
        <w:tab/>
      </w:r>
      <w:r>
        <w:rPr>
          <w:noProof/>
          <w:u w:color="000000"/>
          <w:bdr w:val="nil"/>
        </w:rPr>
        <w:t>Valg af retsakt</w:t>
      </w:r>
    </w:p>
    <w:p>
      <w:pPr>
        <w:pBdr>
          <w:top w:val="nil"/>
          <w:left w:val="nil"/>
          <w:bottom w:val="nil"/>
          <w:right w:val="nil"/>
          <w:between w:val="nil"/>
          <w:bar w:val="nil"/>
        </w:pBdr>
        <w:spacing w:before="0" w:after="240"/>
        <w:rPr>
          <w:noProof/>
        </w:rPr>
      </w:pPr>
      <w:r>
        <w:rPr>
          <w:noProof/>
        </w:rPr>
        <w:t>Ikke relevant.</w:t>
      </w:r>
    </w:p>
    <w:p>
      <w:pPr>
        <w:pStyle w:val="ManualHeading1"/>
        <w:rPr>
          <w:noProof/>
        </w:rPr>
      </w:pPr>
      <w:r>
        <w:rPr>
          <w:noProof/>
        </w:rPr>
        <w:t>3.</w:t>
      </w:r>
      <w:r>
        <w:rPr>
          <w:noProof/>
        </w:rPr>
        <w:tab/>
        <w:t>RESULTATER AF EFTERFØLGENDE EVALUERINGER, HØRINGER AF INTERESSEREDE PARTER OG KONSEKVENSANALYSER</w:t>
      </w:r>
    </w:p>
    <w:p>
      <w:pPr>
        <w:pStyle w:val="ManualHeading2"/>
        <w:rPr>
          <w:rFonts w:eastAsia="Arial Unicode MS"/>
          <w:noProof/>
          <w:u w:color="000000"/>
          <w:bdr w:val="nil"/>
        </w:rPr>
      </w:pPr>
      <w:r>
        <w:rPr>
          <w:noProof/>
          <w:u w:color="000000"/>
          <w:bdr w:val="nil"/>
        </w:rPr>
        <w:t>•</w:t>
      </w:r>
      <w:r>
        <w:rPr>
          <w:noProof/>
        </w:rPr>
        <w:tab/>
      </w:r>
      <w:r>
        <w:rPr>
          <w:noProof/>
          <w:u w:color="000000"/>
          <w:bdr w:val="nil"/>
        </w:rPr>
        <w:t>Efterfølgende evalueringer/kvalitetskontrol af gældende lovgivning</w:t>
      </w:r>
    </w:p>
    <w:p>
      <w:pPr>
        <w:pBdr>
          <w:top w:val="nil"/>
          <w:left w:val="nil"/>
          <w:bottom w:val="nil"/>
          <w:right w:val="nil"/>
          <w:between w:val="nil"/>
          <w:bar w:val="nil"/>
        </w:pBdr>
        <w:spacing w:before="0" w:after="240"/>
        <w:rPr>
          <w:noProof/>
        </w:rPr>
      </w:pPr>
      <w:r>
        <w:rPr>
          <w:noProof/>
        </w:rPr>
        <w:t>Ikke relevant.</w:t>
      </w:r>
    </w:p>
    <w:p>
      <w:pPr>
        <w:pStyle w:val="ManualHeading2"/>
        <w:rPr>
          <w:rFonts w:eastAsia="Arial Unicode MS"/>
          <w:noProof/>
          <w:u w:color="000000"/>
          <w:bdr w:val="nil"/>
        </w:rPr>
      </w:pPr>
      <w:r>
        <w:rPr>
          <w:noProof/>
          <w:u w:color="000000"/>
          <w:bdr w:val="nil"/>
        </w:rPr>
        <w:t>•</w:t>
      </w:r>
      <w:r>
        <w:rPr>
          <w:noProof/>
        </w:rPr>
        <w:tab/>
      </w:r>
      <w:r>
        <w:rPr>
          <w:noProof/>
          <w:u w:color="000000"/>
          <w:bdr w:val="nil"/>
        </w:rPr>
        <w:t>Høringer af interesserede parter</w:t>
      </w:r>
    </w:p>
    <w:p>
      <w:pPr>
        <w:rPr>
          <w:noProof/>
        </w:rPr>
      </w:pPr>
      <w:r>
        <w:rPr>
          <w:noProof/>
        </w:rPr>
        <w:t>Alle relevante interessenter blev hørt gennem Det Rådgivende Råd for Markederne og Det Rådgivende Råd for den Yderste Periferi. Sidstnævnte anmodede Kommissionen om at tage konklusionerne op til fornyet overvejelse i lyset af tilbagegangen i turismen på De Kanariske Øer som følge af covid-19-pandemien. Det er imidlertid meget vanskeligt at vurdere konsekvenserne over en periode på syv år, og afskaffelsen eller nedsættelsen af kontingenterne kan hindre en potentiel økonomisk genopretning i løbet af de 7 år. Kommissionen foreslår derfor, at foranstaltningerne forlænges som planlagt.</w:t>
      </w:r>
    </w:p>
    <w:p>
      <w:pPr>
        <w:pStyle w:val="ManualHeading2"/>
        <w:rPr>
          <w:rFonts w:eastAsia="Arial Unicode MS"/>
          <w:noProof/>
          <w:u w:color="000000"/>
          <w:bdr w:val="nil"/>
        </w:rPr>
      </w:pPr>
      <w:r>
        <w:rPr>
          <w:noProof/>
          <w:u w:color="000000"/>
          <w:bdr w:val="nil"/>
        </w:rPr>
        <w:t>•</w:t>
      </w:r>
      <w:r>
        <w:rPr>
          <w:noProof/>
        </w:rPr>
        <w:tab/>
      </w:r>
      <w:r>
        <w:rPr>
          <w:noProof/>
          <w:u w:color="000000"/>
          <w:bdr w:val="nil"/>
        </w:rPr>
        <w:t>Indhentning og brug af ekspertbistand</w:t>
      </w:r>
    </w:p>
    <w:p>
      <w:pPr>
        <w:rPr>
          <w:noProof/>
        </w:rPr>
      </w:pPr>
      <w:r>
        <w:rPr>
          <w:noProof/>
        </w:rPr>
        <w:t>For at undersøge virkningen af foranstaltningerne som krævet i forordningen anmodede Kommissionen de spanske myndigheder om de nødvendige oplysninger. De spanske myndigheder forelagde data om de pågældende varer, der var blevet importeret til De Kanariske Øer, og sammen med disse data en analyse af disse varer.</w:t>
      </w:r>
    </w:p>
    <w:p>
      <w:pPr>
        <w:rPr>
          <w:noProof/>
        </w:rPr>
      </w:pPr>
      <w:r>
        <w:rPr>
          <w:noProof/>
        </w:rPr>
        <w:t>Andre rapporter indeholder relevante oplysninger om De Kanariske Øer på områder af relevans for undersøgelsen af virkningerne af toldkontingenterne, navnlig Kommissionens meddelelse om regionerne i den yderste periferi fra 2017</w:t>
      </w:r>
      <w:r>
        <w:rPr>
          <w:rStyle w:val="FootnoteReference"/>
          <w:noProof/>
        </w:rPr>
        <w:footnoteReference w:id="2"/>
      </w:r>
      <w:r>
        <w:rPr>
          <w:noProof/>
        </w:rPr>
        <w:t xml:space="preserve"> og rapporten "Realising the potential of the Outermost Regions for sustainable blue growth"</w:t>
      </w:r>
      <w:r>
        <w:rPr>
          <w:rStyle w:val="FootnoteReference"/>
          <w:noProof/>
        </w:rPr>
        <w:footnoteReference w:id="3"/>
      </w:r>
      <w:r>
        <w:rPr>
          <w:noProof/>
        </w:rPr>
        <w:t>.</w:t>
      </w:r>
    </w:p>
    <w:p>
      <w:pPr>
        <w:rPr>
          <w:noProof/>
        </w:rPr>
      </w:pPr>
      <w:r>
        <w:rPr>
          <w:noProof/>
        </w:rPr>
        <w:t>Der blev også indsamlet oplysninger om specifikke emner, f.eks. beskæftigelse (ISTAC — De Kanariske Øers statistiske kontor), turisme (officielle statistikker om turisme på De Kanariske Øer) og forbrug (Eurobarometer).</w:t>
      </w:r>
    </w:p>
    <w:p>
      <w:pPr>
        <w:pStyle w:val="ManualHeading2"/>
        <w:rPr>
          <w:rFonts w:eastAsia="Arial Unicode MS"/>
          <w:noProof/>
          <w:u w:color="000000"/>
          <w:bdr w:val="nil"/>
        </w:rPr>
      </w:pPr>
      <w:r>
        <w:rPr>
          <w:noProof/>
          <w:u w:color="000000"/>
          <w:bdr w:val="nil"/>
        </w:rPr>
        <w:t>•</w:t>
      </w:r>
      <w:r>
        <w:rPr>
          <w:noProof/>
        </w:rPr>
        <w:tab/>
      </w:r>
      <w:r>
        <w:rPr>
          <w:noProof/>
          <w:u w:color="000000"/>
          <w:bdr w:val="nil"/>
        </w:rPr>
        <w:t>Konsekvensanalyse</w:t>
      </w:r>
    </w:p>
    <w:p>
      <w:pPr>
        <w:spacing w:before="0" w:after="240"/>
        <w:rPr>
          <w:rFonts w:eastAsia="Arial Unicode MS"/>
          <w:noProof/>
        </w:rPr>
      </w:pPr>
      <w:r>
        <w:rPr>
          <w:noProof/>
        </w:rPr>
        <w:t>Der er ikke foretaget nogen konsekvensanalyse. Med forslaget forlænges den nuværende retsakt, som udløber ved udgangen af 2020. En konsekvensanalyse er ikke berettiget i betragtning af foranstaltningernes meget begrænsede anvendelsesområde, det forhold, at forslaget vedrører en forlængelse af de pågældende foranstaltninger, og at der ikke forventes væsentlige ændringer af deres virkninger.</w:t>
      </w:r>
    </w:p>
    <w:p>
      <w:pPr>
        <w:pStyle w:val="ManualHeading2"/>
        <w:rPr>
          <w:rFonts w:eastAsia="Arial Unicode MS"/>
          <w:noProof/>
          <w:u w:color="000000"/>
          <w:bdr w:val="nil"/>
        </w:rPr>
      </w:pPr>
      <w:r>
        <w:rPr>
          <w:noProof/>
          <w:u w:color="000000"/>
          <w:bdr w:val="nil"/>
        </w:rPr>
        <w:t>•</w:t>
      </w:r>
      <w:r>
        <w:rPr>
          <w:noProof/>
        </w:rPr>
        <w:tab/>
      </w:r>
      <w:r>
        <w:rPr>
          <w:noProof/>
          <w:u w:color="000000"/>
          <w:bdr w:val="nil"/>
        </w:rPr>
        <w:t>Målrettet regulering og forenkling</w:t>
      </w:r>
    </w:p>
    <w:p>
      <w:pPr>
        <w:pBdr>
          <w:top w:val="nil"/>
          <w:left w:val="nil"/>
          <w:bottom w:val="nil"/>
          <w:right w:val="nil"/>
          <w:between w:val="nil"/>
          <w:bar w:val="nil"/>
        </w:pBdr>
        <w:spacing w:before="0" w:after="240"/>
        <w:rPr>
          <w:noProof/>
        </w:rPr>
      </w:pPr>
      <w:r>
        <w:rPr>
          <w:noProof/>
        </w:rPr>
        <w:t>Ikke relevant.</w:t>
      </w:r>
    </w:p>
    <w:p>
      <w:pPr>
        <w:pStyle w:val="ManualHeading2"/>
        <w:rPr>
          <w:rFonts w:eastAsia="Arial Unicode MS"/>
          <w:noProof/>
          <w:u w:color="000000"/>
          <w:bdr w:val="nil"/>
        </w:rPr>
      </w:pPr>
      <w:r>
        <w:rPr>
          <w:noProof/>
          <w:u w:color="000000"/>
          <w:bdr w:val="nil"/>
        </w:rPr>
        <w:lastRenderedPageBreak/>
        <w:t>•</w:t>
      </w:r>
      <w:r>
        <w:rPr>
          <w:noProof/>
        </w:rPr>
        <w:tab/>
      </w:r>
      <w:r>
        <w:rPr>
          <w:noProof/>
          <w:u w:color="000000"/>
          <w:bdr w:val="nil"/>
        </w:rPr>
        <w:t>Grundlæggende rettigheder</w:t>
      </w:r>
    </w:p>
    <w:p>
      <w:pPr>
        <w:pBdr>
          <w:top w:val="nil"/>
          <w:left w:val="nil"/>
          <w:bottom w:val="nil"/>
          <w:right w:val="nil"/>
          <w:between w:val="nil"/>
          <w:bar w:val="nil"/>
        </w:pBdr>
        <w:spacing w:before="0" w:after="240"/>
        <w:rPr>
          <w:noProof/>
        </w:rPr>
      </w:pPr>
      <w:r>
        <w:rPr>
          <w:noProof/>
        </w:rPr>
        <w:t>Ikke relevant.</w:t>
      </w:r>
    </w:p>
    <w:p>
      <w:pPr>
        <w:pStyle w:val="ManualHeading1"/>
        <w:rPr>
          <w:noProof/>
        </w:rPr>
      </w:pPr>
      <w:r>
        <w:rPr>
          <w:noProof/>
        </w:rPr>
        <w:t>4.</w:t>
      </w:r>
      <w:r>
        <w:rPr>
          <w:noProof/>
        </w:rPr>
        <w:tab/>
        <w:t>VIRKNINGER FOR BUDGETTET</w:t>
      </w:r>
    </w:p>
    <w:p>
      <w:pPr>
        <w:spacing w:before="0" w:after="240"/>
        <w:rPr>
          <w:rFonts w:eastAsia="Arial Unicode MS"/>
          <w:noProof/>
        </w:rPr>
      </w:pPr>
      <w:r>
        <w:rPr>
          <w:noProof/>
        </w:rPr>
        <w:t>Forslaget har ingen budgetmæssige virkninger for Kommissionen.</w:t>
      </w:r>
    </w:p>
    <w:p>
      <w:pPr>
        <w:pStyle w:val="ManualHeading1"/>
        <w:rPr>
          <w:noProof/>
        </w:rPr>
      </w:pPr>
      <w:r>
        <w:rPr>
          <w:noProof/>
        </w:rPr>
        <w:t>5.</w:t>
      </w:r>
      <w:r>
        <w:rPr>
          <w:noProof/>
        </w:rPr>
        <w:tab/>
        <w:t>ANDRE FORHOLD</w:t>
      </w:r>
    </w:p>
    <w:p>
      <w:pPr>
        <w:pStyle w:val="ManualHeading2"/>
        <w:rPr>
          <w:rFonts w:eastAsia="Arial Unicode MS"/>
          <w:noProof/>
          <w:u w:color="000000"/>
          <w:bdr w:val="nil"/>
        </w:rPr>
      </w:pPr>
      <w:r>
        <w:rPr>
          <w:noProof/>
          <w:u w:color="000000"/>
          <w:bdr w:val="nil"/>
        </w:rPr>
        <w:t>•</w:t>
      </w:r>
      <w:r>
        <w:rPr>
          <w:noProof/>
        </w:rPr>
        <w:tab/>
      </w:r>
      <w:r>
        <w:rPr>
          <w:noProof/>
          <w:u w:color="000000"/>
          <w:bdr w:val="nil"/>
        </w:rPr>
        <w:t>Planer for gennemførelsen og foranstaltninger til overvågning, evaluering og rapportering</w:t>
      </w:r>
    </w:p>
    <w:p>
      <w:pPr>
        <w:pBdr>
          <w:top w:val="nil"/>
          <w:left w:val="nil"/>
          <w:bottom w:val="nil"/>
          <w:right w:val="nil"/>
          <w:between w:val="nil"/>
          <w:bar w:val="nil"/>
        </w:pBdr>
        <w:spacing w:before="0" w:after="240"/>
        <w:rPr>
          <w:noProof/>
        </w:rPr>
      </w:pPr>
      <w:r>
        <w:rPr>
          <w:noProof/>
        </w:rPr>
        <w:t>Ikke relevant.</w:t>
      </w:r>
    </w:p>
    <w:p>
      <w:pPr>
        <w:pStyle w:val="ManualHeading2"/>
        <w:rPr>
          <w:rFonts w:eastAsia="Arial Unicode MS"/>
          <w:noProof/>
          <w:u w:color="000000"/>
          <w:bdr w:val="nil"/>
        </w:rPr>
      </w:pPr>
      <w:r>
        <w:rPr>
          <w:noProof/>
          <w:u w:color="000000"/>
          <w:bdr w:val="nil"/>
        </w:rPr>
        <w:t>•</w:t>
      </w:r>
      <w:r>
        <w:rPr>
          <w:noProof/>
        </w:rPr>
        <w:tab/>
      </w:r>
      <w:r>
        <w:rPr>
          <w:noProof/>
          <w:u w:color="000000"/>
          <w:bdr w:val="nil"/>
        </w:rPr>
        <w:t>Forklarende dokumenter (for direktiver)</w:t>
      </w:r>
    </w:p>
    <w:p>
      <w:pPr>
        <w:pBdr>
          <w:top w:val="nil"/>
          <w:left w:val="nil"/>
          <w:bottom w:val="nil"/>
          <w:right w:val="nil"/>
          <w:between w:val="nil"/>
          <w:bar w:val="nil"/>
        </w:pBdr>
        <w:spacing w:before="0" w:after="240"/>
        <w:rPr>
          <w:noProof/>
        </w:rPr>
      </w:pPr>
      <w:r>
        <w:rPr>
          <w:noProof/>
        </w:rPr>
        <w:t>Ikke relevant.</w:t>
      </w:r>
    </w:p>
    <w:p>
      <w:pPr>
        <w:pStyle w:val="ManualHeading2"/>
        <w:rPr>
          <w:rFonts w:eastAsia="Arial Unicode MS"/>
          <w:noProof/>
          <w:u w:color="000000"/>
          <w:bdr w:val="nil"/>
        </w:rPr>
      </w:pPr>
      <w:r>
        <w:rPr>
          <w:noProof/>
          <w:u w:color="000000"/>
          <w:bdr w:val="nil"/>
        </w:rPr>
        <w:t>•</w:t>
      </w:r>
      <w:r>
        <w:rPr>
          <w:noProof/>
        </w:rPr>
        <w:tab/>
      </w:r>
      <w:r>
        <w:rPr>
          <w:noProof/>
          <w:u w:color="000000"/>
          <w:bdr w:val="nil"/>
        </w:rPr>
        <w:t>Nærmere redegørelse for de enkelte bestemmelser i forslaget</w:t>
      </w:r>
    </w:p>
    <w:p>
      <w:pPr>
        <w:pBdr>
          <w:top w:val="nil"/>
          <w:left w:val="nil"/>
          <w:bottom w:val="nil"/>
          <w:right w:val="nil"/>
          <w:between w:val="nil"/>
          <w:bar w:val="nil"/>
        </w:pBdr>
        <w:spacing w:before="0" w:after="240"/>
        <w:rPr>
          <w:noProof/>
        </w:rPr>
      </w:pPr>
      <w:r>
        <w:rPr>
          <w:noProof/>
        </w:rPr>
        <w:t>Ikke relevant.</w:t>
      </w: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2020/0209 (CNS)</w:t>
      </w:r>
    </w:p>
    <w:p>
      <w:pPr>
        <w:pStyle w:val="Statut"/>
        <w:rPr>
          <w:noProof/>
        </w:rPr>
      </w:pPr>
      <w:r>
        <w:rPr>
          <w:noProof/>
        </w:rPr>
        <w:t>Forslag til</w:t>
      </w:r>
    </w:p>
    <w:p>
      <w:pPr>
        <w:pStyle w:val="Typedudocument"/>
        <w:rPr>
          <w:noProof/>
        </w:rPr>
      </w:pPr>
      <w:r>
        <w:rPr>
          <w:noProof/>
        </w:rPr>
        <w:t>RÅDETS FORORDNING</w:t>
      </w:r>
    </w:p>
    <w:p>
      <w:pPr>
        <w:pStyle w:val="Titreobjet"/>
        <w:rPr>
          <w:noProof/>
        </w:rPr>
      </w:pPr>
      <w:r>
        <w:rPr>
          <w:noProof/>
        </w:rPr>
        <w:t>om åbning og forvaltning af autonome EU-toldkontingenter for import af visse fiskevarer til De Kanariske Øer i perioden 2021-2027</w:t>
      </w:r>
    </w:p>
    <w:p>
      <w:pPr>
        <w:pStyle w:val="Institutionquiagit"/>
        <w:rPr>
          <w:noProof/>
        </w:rPr>
      </w:pPr>
      <w:r>
        <w:rPr>
          <w:noProof/>
        </w:rPr>
        <w:t>RÅDET FOR DEN EUROPÆISKE UNION HAR —</w:t>
      </w:r>
    </w:p>
    <w:p>
      <w:pPr>
        <w:rPr>
          <w:noProof/>
        </w:rPr>
      </w:pPr>
      <w:r>
        <w:rPr>
          <w:noProof/>
        </w:rPr>
        <w:t>under henvisning til traktaten om Den Europæiske Unions funktionsmåde, særlig artikel 349,</w:t>
      </w:r>
    </w:p>
    <w:p>
      <w:pPr>
        <w:rPr>
          <w:noProof/>
        </w:rPr>
      </w:pPr>
      <w:r>
        <w:rPr>
          <w:noProof/>
        </w:rPr>
        <w:t>under henvisning til forslag fra Europa-Kommissionen,</w:t>
      </w:r>
    </w:p>
    <w:p>
      <w:pPr>
        <w:rPr>
          <w:noProof/>
        </w:rPr>
      </w:pPr>
      <w:r>
        <w:rPr>
          <w:noProof/>
        </w:rPr>
        <w:t>efter fremsendelse af udkast til lovgivningsmæssig retsakt til de nationale parlamenter,</w:t>
      </w:r>
    </w:p>
    <w:p>
      <w:pPr>
        <w:rPr>
          <w:noProof/>
        </w:rPr>
      </w:pPr>
      <w:r>
        <w:rPr>
          <w:noProof/>
        </w:rPr>
        <w:t>under henvisning til udtalelse fra Europa-Parlamentet,</w:t>
      </w:r>
    </w:p>
    <w:p>
      <w:pPr>
        <w:rPr>
          <w:noProof/>
        </w:rPr>
      </w:pPr>
      <w:r>
        <w:rPr>
          <w:noProof/>
        </w:rPr>
        <w:t>under henvisning til udtalelse fra Det Europæiske Økonomiske og Sociale Udvalg,</w:t>
      </w:r>
    </w:p>
    <w:p>
      <w:pPr>
        <w:rPr>
          <w:noProof/>
        </w:rPr>
      </w:pPr>
      <w:r>
        <w:rPr>
          <w:noProof/>
        </w:rPr>
        <w:t>under henvisning til udtalelse fra Regionsudvalget,</w:t>
      </w:r>
    </w:p>
    <w:p>
      <w:pPr>
        <w:rPr>
          <w:noProof/>
        </w:rPr>
      </w:pPr>
      <w:r>
        <w:rPr>
          <w:noProof/>
        </w:rPr>
        <w:t>efter en særlig lovgivningsprocedure, og</w:t>
      </w:r>
    </w:p>
    <w:p>
      <w:pPr>
        <w:rPr>
          <w:noProof/>
        </w:rPr>
      </w:pPr>
      <w:r>
        <w:rPr>
          <w:noProof/>
        </w:rPr>
        <w:t>ud fra følgende betragtninger:</w:t>
      </w:r>
    </w:p>
    <w:p>
      <w:pPr>
        <w:pStyle w:val="ManualConsidrant"/>
        <w:rPr>
          <w:noProof/>
        </w:rPr>
      </w:pPr>
      <w:r>
        <w:t>(1)</w:t>
      </w:r>
      <w:r>
        <w:tab/>
      </w:r>
      <w:r>
        <w:rPr>
          <w:noProof/>
        </w:rPr>
        <w:t>De Kanariske Øers særlige geografiske beliggenhed i forhold til forsyningen med visse fiskevarer, som er vigtige for det indenlandske forbrug, indebærer yderligere omkostninger for sektoren. Dette naturbetingede handicap, der anerkendes i traktatens artikel 349, og som skyldes deres status som øsamfund og deres fjerne beliggenhed i den yderste periferi, kan bl.a. afhjælpes med midlertidig suspension af toldsatserne ved import af de pågældende varer fra tredjelande inden for rammerne af autonome EU-toldkontingenter af en passende størrelse.</w:t>
      </w:r>
    </w:p>
    <w:p>
      <w:pPr>
        <w:pStyle w:val="ManualConsidrant"/>
        <w:rPr>
          <w:noProof/>
        </w:rPr>
      </w:pPr>
      <w:r>
        <w:t>(2)</w:t>
      </w:r>
      <w:r>
        <w:tab/>
      </w:r>
      <w:r>
        <w:rPr>
          <w:noProof/>
          <w:snapToGrid w:val="0"/>
        </w:rPr>
        <w:t>Ved Rådets forordning (EU) nr. 1412/2013</w:t>
      </w:r>
      <w:r>
        <w:rPr>
          <w:rStyle w:val="FootnoteReference"/>
          <w:noProof/>
          <w:snapToGrid w:val="0"/>
        </w:rPr>
        <w:footnoteReference w:id="4"/>
      </w:r>
      <w:r>
        <w:rPr>
          <w:noProof/>
          <w:snapToGrid w:val="0"/>
        </w:rPr>
        <w:t xml:space="preserve"> fastsættes der regler om åbning og forvaltning af autonome kontingenter i den fælles toldtarif ved import af visse fiskevarer til De Kanariske Øer for perioden fra den 1. januar 2014 til den 31. december 2020</w:t>
      </w:r>
      <w:r>
        <w:rPr>
          <w:noProof/>
        </w:rPr>
        <w:t>.</w:t>
      </w:r>
    </w:p>
    <w:p>
      <w:pPr>
        <w:pStyle w:val="ManualConsidrant"/>
        <w:rPr>
          <w:noProof/>
        </w:rPr>
      </w:pPr>
      <w:r>
        <w:t>(3)</w:t>
      </w:r>
      <w:r>
        <w:tab/>
      </w:r>
      <w:r>
        <w:rPr>
          <w:noProof/>
        </w:rPr>
        <w:t>I juli 2019 forelagde Kommissionen Rådet en undersøgelse af virkningen af foranstaltningerne og valgmulighederne for perioden efter den 31. december 2020.</w:t>
      </w:r>
    </w:p>
    <w:p>
      <w:pPr>
        <w:pStyle w:val="ManualConsidrant"/>
        <w:rPr>
          <w:noProof/>
        </w:rPr>
      </w:pPr>
      <w:r>
        <w:t>(4)</w:t>
      </w:r>
      <w:r>
        <w:tab/>
      </w:r>
      <w:r>
        <w:rPr>
          <w:noProof/>
        </w:rPr>
        <w:t>Af undersøgelsen fremgik det, at udnyttelsesgraden for både kontingent 09.2997 og 09.2651 var betydelig. Under kontingent 09.2651 blev KN-kode 0308 ikke udnyttet.</w:t>
      </w:r>
    </w:p>
    <w:p>
      <w:pPr>
        <w:pStyle w:val="ManualConsidrant"/>
        <w:rPr>
          <w:noProof/>
        </w:rPr>
      </w:pPr>
      <w:r>
        <w:t>(5)</w:t>
      </w:r>
      <w:r>
        <w:tab/>
      </w:r>
      <w:r>
        <w:rPr>
          <w:noProof/>
        </w:rPr>
        <w:t xml:space="preserve">Toldkontingenter i lighed med dem, der er åbnet ved forordning (EU) nr. </w:t>
      </w:r>
      <w:r>
        <w:rPr>
          <w:noProof/>
          <w:snapToGrid w:val="0"/>
        </w:rPr>
        <w:t>1412/2013</w:t>
      </w:r>
      <w:r>
        <w:rPr>
          <w:noProof/>
        </w:rPr>
        <w:t xml:space="preserve"> for visse fiskevarer, er berettiget, fordi de vil dække behovene på De Kanariske Øers hjemmemarked og samtidig sikre, at det stadig er muligt at forudsige og identificere importstrømmen til Unionen til nultold.</w:t>
      </w:r>
    </w:p>
    <w:p>
      <w:pPr>
        <w:pStyle w:val="ManualConsidrant"/>
        <w:rPr>
          <w:noProof/>
        </w:rPr>
      </w:pPr>
      <w:r>
        <w:t>(6)</w:t>
      </w:r>
      <w:r>
        <w:tab/>
      </w:r>
      <w:r>
        <w:rPr>
          <w:noProof/>
        </w:rPr>
        <w:t xml:space="preserve">For at give de økonomiske aktører langsigtede perspektiver med henblik på at realisere et aktivitetsniveau, som kan stabilisere de økonomiske og finansielle forhold på De </w:t>
      </w:r>
      <w:r>
        <w:rPr>
          <w:noProof/>
        </w:rPr>
        <w:lastRenderedPageBreak/>
        <w:t>Kanariske Øer, bør den autonome EU-toldkontingentordning i den fælles toldtarif for visse varer, der er angivet i bilaget til denne forordning, videreføres for yderligere en periode.</w:t>
      </w:r>
    </w:p>
    <w:p>
      <w:pPr>
        <w:pStyle w:val="ManualConsidrant"/>
        <w:rPr>
          <w:noProof/>
        </w:rPr>
      </w:pPr>
      <w:r>
        <w:t>(7)</w:t>
      </w:r>
      <w:r>
        <w:tab/>
      </w:r>
      <w:r>
        <w:rPr>
          <w:noProof/>
        </w:rPr>
        <w:t xml:space="preserve">For ikke at underminere det indre markeds integritet og sammenhæng bør der træffes foranstaltninger til at sikre, at fiskevarer, som der indrømmes suspension for, udelukkende er bestemt til hjemmemarkedet på De Kanariske Øer. </w:t>
      </w:r>
    </w:p>
    <w:p>
      <w:pPr>
        <w:pStyle w:val="ManualConsidrant"/>
        <w:rPr>
          <w:noProof/>
        </w:rPr>
      </w:pPr>
      <w:r>
        <w:t>(8)</w:t>
      </w:r>
      <w:r>
        <w:tab/>
      </w:r>
      <w:r>
        <w:rPr>
          <w:noProof/>
        </w:rPr>
        <w:t>Der bør træffes foranstaltninger til at sikre, at Kommissionen holdes regelmæssigt underrettet om omfanget af den pågældende import og i givet fald kan tage skridt til at forhindre spekulation eller handelsforvridninger.</w:t>
      </w:r>
    </w:p>
    <w:p>
      <w:pPr>
        <w:pStyle w:val="ManualConsidrant"/>
        <w:rPr>
          <w:noProof/>
        </w:rPr>
      </w:pPr>
      <w:r>
        <w:t>(9)</w:t>
      </w:r>
      <w:r>
        <w:tab/>
      </w:r>
      <w:r>
        <w:rPr>
          <w:rStyle w:val="apple-style-span"/>
          <w:noProof/>
          <w:color w:val="000000"/>
        </w:rPr>
        <w:t>For at sikre ensartede vilkår for gennemførelsen af denne forordning bør Kommissionen tillægges gennemførelsesbeføjelser, der giver den mulighed for midlertidigt at trække suspensionen tilbage i tilfælde af handelsforvridninger. Disse beføjelser bør udøves i overensstemmelse med Europa-Parlamentets og Rådets forordning (EU) nr. 182/2011</w:t>
      </w:r>
      <w:r>
        <w:rPr>
          <w:rStyle w:val="FootnoteReference"/>
          <w:noProof/>
          <w:color w:val="000000"/>
        </w:rPr>
        <w:footnoteReference w:id="5"/>
      </w:r>
      <w:r>
        <w:rPr>
          <w:rStyle w:val="apple-style-span"/>
          <w:noProof/>
          <w:color w:val="000000"/>
        </w:rPr>
        <w:t xml:space="preserve">. </w:t>
      </w:r>
      <w:r>
        <w:rPr>
          <w:noProof/>
        </w:rPr>
        <w:t>Den endelige afgørelse om opretholdelse eller endelig ophævelse af suspensionen bør imidlertid træffes af Rådet i overensstemmelse med artikel 349 i traktaten inden for det tidsrum, hvori suspensionen er midlertidigt ophævet af Kommissionen.</w:t>
      </w:r>
    </w:p>
    <w:p>
      <w:pPr>
        <w:pStyle w:val="ManualConsidrant"/>
        <w:rPr>
          <w:noProof/>
        </w:rPr>
      </w:pPr>
      <w:r>
        <w:t>(10)</w:t>
      </w:r>
      <w:r>
        <w:tab/>
      </w:r>
      <w:r>
        <w:rPr>
          <w:noProof/>
        </w:rPr>
        <w:t xml:space="preserve">Foranstaltningerne i denne forordning bør sikre kontinuitet efter udløbet af </w:t>
      </w:r>
      <w:r>
        <w:rPr>
          <w:noProof/>
          <w:snapToGrid w:val="0"/>
        </w:rPr>
        <w:t>forordning</w:t>
      </w:r>
      <w:r>
        <w:rPr>
          <w:noProof/>
        </w:rPr>
        <w:t xml:space="preserve"> (EF) nr. </w:t>
      </w:r>
      <w:r>
        <w:rPr>
          <w:noProof/>
          <w:snapToGrid w:val="0"/>
        </w:rPr>
        <w:t>1412/2013</w:t>
      </w:r>
      <w:r>
        <w:rPr>
          <w:noProof/>
        </w:rPr>
        <w:t>.</w:t>
      </w:r>
      <w:r>
        <w:rPr>
          <w:noProof/>
          <w:snapToGrid w:val="0"/>
        </w:rPr>
        <w:t xml:space="preserve"> D</w:t>
      </w:r>
      <w:r>
        <w:rPr>
          <w:noProof/>
        </w:rPr>
        <w:t>erfor bør bestemmelserne i denne forordning anvendes fra den 1. januar 2021 til den 31. december 2027 —</w:t>
      </w:r>
    </w:p>
    <w:p>
      <w:pPr>
        <w:pStyle w:val="Formuledadoption"/>
        <w:rPr>
          <w:noProof/>
        </w:rPr>
      </w:pPr>
      <w:r>
        <w:rPr>
          <w:noProof/>
        </w:rPr>
        <w:t>VEDTAGET DENNE FORORDNING:</w:t>
      </w:r>
    </w:p>
    <w:p>
      <w:pPr>
        <w:pStyle w:val="Titrearticle"/>
        <w:rPr>
          <w:noProof/>
        </w:rPr>
      </w:pPr>
      <w:r>
        <w:rPr>
          <w:noProof/>
        </w:rPr>
        <w:t>Artikel 1</w:t>
      </w:r>
    </w:p>
    <w:p>
      <w:pPr>
        <w:pStyle w:val="ManualNumPar1"/>
        <w:rPr>
          <w:noProof/>
        </w:rPr>
      </w:pPr>
      <w:r>
        <w:rPr>
          <w:noProof/>
        </w:rPr>
        <w:t>1.</w:t>
      </w:r>
      <w:r>
        <w:rPr>
          <w:noProof/>
        </w:rPr>
        <w:tab/>
        <w:t>Fra den 1. januar 2021 til den 31. december 2027 suspenderes toldsatserne i den fælles toldtarif fuldstændigt ved import til De Kanariske Øer af de fiskevarer og for de mængder, der er opført i bilaget til denne forordning.</w:t>
      </w:r>
    </w:p>
    <w:p>
      <w:pPr>
        <w:pStyle w:val="ManualNumPar1"/>
        <w:rPr>
          <w:noProof/>
        </w:rPr>
      </w:pPr>
      <w:r>
        <w:rPr>
          <w:noProof/>
        </w:rPr>
        <w:t>2.</w:t>
      </w:r>
      <w:r>
        <w:rPr>
          <w:noProof/>
        </w:rPr>
        <w:tab/>
        <w:t>Den i stk. 1 omhandlede suspension indrømmes udelukkende for varer, der er bestemt til De Kanariske Øers hjemmemarked. Den gælder kun for fiskevarer udlosset fra skib eller fly, inden toldangivelsen til overgang til fri omsætning er forelagt toldmyndighederne på De Kanariske Øer.</w:t>
      </w:r>
    </w:p>
    <w:p>
      <w:pPr>
        <w:pStyle w:val="Titrearticle"/>
        <w:rPr>
          <w:noProof/>
        </w:rPr>
      </w:pPr>
      <w:r>
        <w:rPr>
          <w:noProof/>
        </w:rPr>
        <w:t>Artikel 2</w:t>
      </w:r>
    </w:p>
    <w:p>
      <w:pPr>
        <w:rPr>
          <w:noProof/>
        </w:rPr>
      </w:pPr>
      <w:r>
        <w:rPr>
          <w:noProof/>
        </w:rPr>
        <w:t>De toldkontingenter, der er nævnt i bilag 1, forvaltes i overensstemmelse med artikel 49-54 i Kommissionens gennemførelsesforordning (EU)</w:t>
      </w:r>
      <w:r>
        <w:rPr>
          <w:rStyle w:val="FootnoteReference"/>
          <w:noProof/>
        </w:rPr>
        <w:t xml:space="preserve"> </w:t>
      </w:r>
      <w:r>
        <w:rPr>
          <w:noProof/>
        </w:rPr>
        <w:t>2015/2447</w:t>
      </w:r>
      <w:r>
        <w:rPr>
          <w:rStyle w:val="FootnoteReference"/>
          <w:noProof/>
        </w:rPr>
        <w:footnoteReference w:id="6"/>
      </w:r>
      <w:r>
        <w:rPr>
          <w:noProof/>
        </w:rPr>
        <w:t xml:space="preserve">. </w:t>
      </w:r>
    </w:p>
    <w:p>
      <w:pPr>
        <w:pStyle w:val="Titrearticle"/>
        <w:outlineLvl w:val="0"/>
        <w:rPr>
          <w:noProof/>
        </w:rPr>
      </w:pPr>
      <w:r>
        <w:rPr>
          <w:noProof/>
        </w:rPr>
        <w:t>Artikel 3</w:t>
      </w:r>
    </w:p>
    <w:p>
      <w:pPr>
        <w:rPr>
          <w:noProof/>
        </w:rPr>
      </w:pPr>
      <w:r>
        <w:rPr>
          <w:noProof/>
        </w:rPr>
        <w:t xml:space="preserve">Senest den 30. juni 2026 forelægger de kompetente myndigheder i Spanien Kommissionen en rapport om gennemførelsen af foranstaltningerne i artikel 1. Kommissionen undersøger </w:t>
      </w:r>
      <w:r>
        <w:rPr>
          <w:noProof/>
        </w:rPr>
        <w:lastRenderedPageBreak/>
        <w:t>virkningen af disse foranstaltninger og forelægger under hensyntagen til resultaterne i rapporten relevante forslag for perioden efter 2027.</w:t>
      </w:r>
    </w:p>
    <w:p>
      <w:pPr>
        <w:pStyle w:val="Titrearticle"/>
        <w:rPr>
          <w:noProof/>
        </w:rPr>
      </w:pPr>
      <w:r>
        <w:rPr>
          <w:noProof/>
        </w:rPr>
        <w:t>Artikel 4</w:t>
      </w:r>
    </w:p>
    <w:p>
      <w:pPr>
        <w:pStyle w:val="ManualNumPar1"/>
        <w:rPr>
          <w:noProof/>
        </w:rPr>
      </w:pPr>
      <w:r>
        <w:rPr>
          <w:noProof/>
        </w:rPr>
        <w:t>1.</w:t>
      </w:r>
      <w:r>
        <w:rPr>
          <w:noProof/>
        </w:rPr>
        <w:tab/>
        <w:t>Har Kommissionen grund til at tro, at den i denne forordning fastsatte suspension har ført til en forvridning af handelen med en bestemt vare, kan den vedtage gennemførelsesretsakter, som midlertidigt trækker suspensionen tilbage i højst 12 måneder. Disse gennemførelsesretsakter vedtages efter undersøgelsesproceduren, jf. artikel 5, stk. 2.</w:t>
      </w:r>
    </w:p>
    <w:p>
      <w:pPr>
        <w:ind w:left="720"/>
        <w:rPr>
          <w:noProof/>
        </w:rPr>
      </w:pPr>
      <w:r>
        <w:rPr>
          <w:noProof/>
        </w:rPr>
        <w:t>Der stilles sikkerhed for betalingen af importtolden for varer, for hvilke suspensionen er blevet midlertidigt ophævet, og de pågældende varers overgang til fri omsætning i De Kanariske Øer er betinget af, at der stilles en sådan sikkerhed.</w:t>
      </w:r>
    </w:p>
    <w:p>
      <w:pPr>
        <w:pStyle w:val="ManualNumPar1"/>
        <w:rPr>
          <w:noProof/>
        </w:rPr>
      </w:pPr>
      <w:r>
        <w:rPr>
          <w:noProof/>
        </w:rPr>
        <w:t>2.</w:t>
      </w:r>
      <w:r>
        <w:rPr>
          <w:noProof/>
        </w:rPr>
        <w:tab/>
        <w:t>Inden for den maksimale 12-månedersperiode, der er omhandlet i stk. 1, vedtager Rådet i overensstemmelse med artikel 349 i traktaten en endelig afgørelse om, hvorvidt suspensionen skal opretholdes eller endeligt ophæves. Hvis suspensionen ophæves endeligt, foretages der også en endelig opkrævning af de toldbeløb, der er stillet sikkerhed for.</w:t>
      </w:r>
    </w:p>
    <w:p>
      <w:pPr>
        <w:pStyle w:val="ManualNumPar1"/>
        <w:rPr>
          <w:noProof/>
        </w:rPr>
      </w:pPr>
      <w:r>
        <w:rPr>
          <w:noProof/>
        </w:rPr>
        <w:t>3.</w:t>
      </w:r>
      <w:r>
        <w:rPr>
          <w:noProof/>
        </w:rPr>
        <w:tab/>
        <w:t>Sikkerhedsstillelserne frigives, hvis der ikke inden udløbet af 12-månedersperioden træffes en endelig afgørelse i henhold til stk. 2.</w:t>
      </w:r>
    </w:p>
    <w:p>
      <w:pPr>
        <w:pStyle w:val="Titrearticle"/>
        <w:rPr>
          <w:noProof/>
        </w:rPr>
      </w:pPr>
      <w:r>
        <w:rPr>
          <w:noProof/>
        </w:rPr>
        <w:t>Artikel 5</w:t>
      </w:r>
    </w:p>
    <w:p>
      <w:pPr>
        <w:pStyle w:val="ManualNumPar1"/>
        <w:rPr>
          <w:noProof/>
          <w:sz w:val="16"/>
        </w:rPr>
      </w:pPr>
      <w:r>
        <w:rPr>
          <w:noProof/>
        </w:rPr>
        <w:t>1.</w:t>
      </w:r>
      <w:r>
        <w:rPr>
          <w:noProof/>
        </w:rPr>
        <w:tab/>
        <w:t>Kommissionen bistås af Toldkodeksudvalget, der er nedsat ved artikel 285 i Europa-Parlamentets og Rådets forordning (EU) nr. 952/2013</w:t>
      </w:r>
      <w:r>
        <w:rPr>
          <w:rStyle w:val="FootnoteReference"/>
          <w:noProof/>
        </w:rPr>
        <w:footnoteReference w:id="7"/>
      </w:r>
      <w:r>
        <w:rPr>
          <w:noProof/>
        </w:rPr>
        <w:t>. Dette udvalg er et udvalg som omhandlet i forordning (EU) nr. 182/2011.</w:t>
      </w:r>
    </w:p>
    <w:p>
      <w:pPr>
        <w:pStyle w:val="ManualNumPar1"/>
        <w:rPr>
          <w:noProof/>
        </w:rPr>
      </w:pPr>
      <w:r>
        <w:rPr>
          <w:noProof/>
        </w:rPr>
        <w:t>2.</w:t>
      </w:r>
      <w:r>
        <w:rPr>
          <w:noProof/>
        </w:rPr>
        <w:tab/>
        <w:t>Når der henvises til dette stykke, finder artikel 5 i forordning (EU) nr. 182/2011 anvendelse.</w:t>
      </w:r>
    </w:p>
    <w:p>
      <w:pPr>
        <w:pStyle w:val="Titrearticle"/>
        <w:rPr>
          <w:noProof/>
        </w:rPr>
      </w:pPr>
      <w:r>
        <w:rPr>
          <w:noProof/>
        </w:rPr>
        <w:t>Artikel 6</w:t>
      </w:r>
    </w:p>
    <w:p>
      <w:pPr>
        <w:rPr>
          <w:noProof/>
        </w:rPr>
      </w:pPr>
      <w:r>
        <w:rPr>
          <w:noProof/>
        </w:rPr>
        <w:t>Kommissionen og medlemsstaternes toldmyndigheder arbejder tæt sammen for at sikre en korrekt forvaltning af og kontrol med anvendelsen af denne forordning.</w:t>
      </w:r>
    </w:p>
    <w:p>
      <w:pPr>
        <w:pStyle w:val="Titrearticle"/>
        <w:rPr>
          <w:noProof/>
        </w:rPr>
      </w:pPr>
      <w:r>
        <w:rPr>
          <w:noProof/>
        </w:rPr>
        <w:t>Artikel 7</w:t>
      </w:r>
    </w:p>
    <w:p>
      <w:pPr>
        <w:rPr>
          <w:noProof/>
        </w:rPr>
      </w:pPr>
      <w:r>
        <w:rPr>
          <w:noProof/>
        </w:rPr>
        <w:t xml:space="preserve">Denne forordning træder i kraft på tredjedagen efter offentliggørelsen i </w:t>
      </w:r>
      <w:r>
        <w:rPr>
          <w:i/>
          <w:noProof/>
        </w:rPr>
        <w:t>Den Europæiske Unions Tidende</w:t>
      </w:r>
      <w:r>
        <w:rPr>
          <w:noProof/>
        </w:rPr>
        <w:t>.</w:t>
      </w:r>
    </w:p>
    <w:p>
      <w:pPr>
        <w:rPr>
          <w:noProof/>
        </w:rPr>
      </w:pPr>
      <w:r>
        <w:rPr>
          <w:noProof/>
        </w:rPr>
        <w:t>Den anvendes fra den 1. januar 2021 til den 31. december 2027.</w:t>
      </w:r>
    </w:p>
    <w:p>
      <w:pPr>
        <w:pStyle w:val="Applicationdirecte"/>
        <w:keepNext/>
        <w:keepLines/>
        <w:rPr>
          <w:noProof/>
        </w:rPr>
      </w:pPr>
      <w:r>
        <w:rPr>
          <w:noProof/>
        </w:rPr>
        <w:lastRenderedPageBreak/>
        <w:t>Denne forordning er bindende i alle enkeltheder og gælder umiddelbart i hver medlemsstat.</w:t>
      </w:r>
    </w:p>
    <w:p>
      <w:pPr>
        <w:pStyle w:val="Fait"/>
        <w:rPr>
          <w:noProof/>
        </w:rPr>
      </w:pPr>
      <w:r>
        <w:t xml:space="preserve">Udfærdiget i Bruxelles, den </w:t>
      </w:r>
      <w:r>
        <w:rPr>
          <w:rStyle w:val="Marker"/>
        </w:rPr>
        <w:t>[…]</w:t>
      </w:r>
      <w:r>
        <w:t>.</w:t>
      </w:r>
    </w:p>
    <w:p>
      <w:pPr>
        <w:pStyle w:val="Institutionquisigne"/>
        <w:rPr>
          <w:noProof/>
        </w:rPr>
      </w:pPr>
      <w:r>
        <w:rPr>
          <w:noProof/>
        </w:rPr>
        <w:tab/>
        <w:t>På Rådets vegne</w:t>
      </w:r>
    </w:p>
    <w:p>
      <w:pPr>
        <w:pStyle w:val="Personnequisigne"/>
        <w:rPr>
          <w:noProof/>
        </w:rPr>
      </w:pPr>
      <w:r>
        <w:rPr>
          <w:noProof/>
        </w:rPr>
        <w:tab/>
        <w:t>Formand</w:t>
      </w:r>
    </w:p>
    <w:sectPr>
      <w:footnotePr>
        <w:numRestart w:val="eachSect"/>
      </w:footnote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DA</w:t>
    </w:r>
    <w:r>
      <w:rPr>
        <w:rFonts w:ascii="Arial" w:hAnsi="Arial" w:cs="Arial"/>
        <w:b/>
        <w:sz w:val="48"/>
      </w:rPr>
      <w:tab/>
    </w:r>
    <w:r>
      <w:rPr>
        <w:rFonts w:ascii="Arial" w:hAnsi="Arial" w:cs="Arial"/>
        <w:b/>
        <w:sz w:val="48"/>
      </w:rPr>
      <w:tab/>
    </w:r>
    <w:r>
      <w:tab/>
    </w:r>
    <w:r>
      <w:rPr>
        <w:rFonts w:ascii="Arial" w:hAnsi="Arial" w:cs="Arial"/>
        <w:b/>
        <w:sz w:val="48"/>
      </w:rPr>
      <w:t>DA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DA</w:t>
    </w:r>
    <w:r>
      <w:rPr>
        <w:rFonts w:ascii="Arial" w:hAnsi="Arial" w:cs="Arial"/>
        <w:b/>
        <w:sz w:val="48"/>
      </w:rPr>
      <w:tab/>
    </w:r>
    <w:r>
      <w:fldChar w:fldCharType="begin"/>
    </w:r>
    <w:r>
      <w:instrText xml:space="preserve"> PAGE  \* MERGEFORMAT </w:instrText>
    </w:r>
    <w:r>
      <w:fldChar w:fldCharType="separate"/>
    </w:r>
    <w:r>
      <w:rPr>
        <w:noProof/>
      </w:rPr>
      <w:t>7</w:t>
    </w:r>
    <w:r>
      <w:fldChar w:fldCharType="end"/>
    </w:r>
    <w:r>
      <w:tab/>
    </w:r>
    <w:r>
      <w:tab/>
    </w:r>
    <w:r>
      <w:rPr>
        <w:rFonts w:ascii="Arial" w:hAnsi="Arial" w:cs="Arial"/>
        <w:b/>
        <w:sz w:val="48"/>
      </w:rPr>
      <w:t>DA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Jf. bilag 1: Rådets forordning (EU) nr. 1412/2013 om åbning og forvaltning af autonome EU-toldkontingenter for import af visse fiskevarer til De Kanariske Øer i perioden 2014-2020.</w:t>
      </w:r>
    </w:p>
  </w:footnote>
  <w:footnote w:id="2">
    <w:p>
      <w:pPr>
        <w:pStyle w:val="FootnoteText"/>
      </w:pPr>
      <w:r>
        <w:rPr>
          <w:rStyle w:val="FootnoteReference"/>
        </w:rPr>
        <w:footnoteRef/>
      </w:r>
      <w:r>
        <w:tab/>
        <w:t xml:space="preserve">COM(2017) 623 final: "Et stærkere og fornyet strategisk partnerskab med regionerne i EU's yderste periferi". </w:t>
      </w:r>
    </w:p>
  </w:footnote>
  <w:footnote w:id="3">
    <w:p>
      <w:pPr>
        <w:pStyle w:val="FootnoteText"/>
      </w:pPr>
      <w:r>
        <w:rPr>
          <w:rStyle w:val="FootnoteReference"/>
        </w:rPr>
        <w:footnoteRef/>
      </w:r>
      <w:r>
        <w:tab/>
      </w:r>
      <w:hyperlink r:id="rId1" w:history="1">
        <w:r>
          <w:rPr>
            <w:rStyle w:val="Hyperlink"/>
          </w:rPr>
          <w:t>https://ec.europa.eu/regional_policy/en/information/publications/reports/2017/realising-the-potential-of-the-outermost-regions-for-sustainable-blue-growth</w:t>
        </w:r>
      </w:hyperlink>
      <w:r>
        <w:t xml:space="preserve"> </w:t>
      </w:r>
    </w:p>
  </w:footnote>
  <w:footnote w:id="4">
    <w:p>
      <w:pPr>
        <w:pStyle w:val="FootnoteText"/>
      </w:pPr>
      <w:r>
        <w:rPr>
          <w:rStyle w:val="FootnoteReference"/>
        </w:rPr>
        <w:footnoteRef/>
      </w:r>
      <w:r>
        <w:tab/>
        <w:t>Rådets forordning (EU) nr. 1412/2013 af 17. december 2013 om åbning og forvaltning af autonome EU-toldkontingenter for import af visse fiskevarer til De Kanariske Øer i perioden 2014-2020 (EUT L 353 af 28.12.2013, s. 1).</w:t>
      </w:r>
    </w:p>
  </w:footnote>
  <w:footnote w:id="5">
    <w:p>
      <w:pPr>
        <w:pStyle w:val="FootnoteText"/>
        <w:jc w:val="left"/>
      </w:pPr>
      <w:r>
        <w:rPr>
          <w:rStyle w:val="FootnoteReference"/>
        </w:rPr>
        <w:footnoteRef/>
      </w:r>
      <w:r>
        <w:tab/>
        <w:t>Europa-Parlamentets og Rådets forordning (EU) nr. 182/2011 af 16. februar 2011</w:t>
      </w:r>
    </w:p>
    <w:p>
      <w:pPr>
        <w:pStyle w:val="FootnoteText"/>
        <w:ind w:firstLine="0"/>
        <w:jc w:val="left"/>
      </w:pPr>
      <w:r>
        <w:t>om de generelle regler og principper for, hvordan medlemsstaterne skal kontrollere Kommissionens udøvelse af gennemførelsesbeføjelser (EUT L 55 af 28.2.2011, s. 13).</w:t>
      </w:r>
    </w:p>
  </w:footnote>
  <w:footnote w:id="6">
    <w:p>
      <w:pPr>
        <w:pStyle w:val="FootnoteText"/>
        <w:ind w:left="0" w:firstLine="0"/>
      </w:pPr>
      <w:r>
        <w:rPr>
          <w:rStyle w:val="FootnoteReference"/>
        </w:rPr>
        <w:footnoteRef/>
      </w:r>
      <w:r>
        <w:tab/>
        <w:t>Kommissionens gennemførelsesforordning (EU) 2015/2447 af 24. november 2015 om gennemførelsesbestemmelser til visse bestemmelser i Europa-Parlamentets og Rådets forordning (EU) nr. 952/2013 om EU-toldkodeksen (EUT L 343 af 29.12.2015, s. 558).</w:t>
      </w:r>
    </w:p>
    <w:p>
      <w:pPr>
        <w:pStyle w:val="FootnoteText"/>
        <w:ind w:left="0" w:firstLine="0"/>
        <w:jc w:val="left"/>
      </w:pPr>
    </w:p>
  </w:footnote>
  <w:footnote w:id="7">
    <w:p>
      <w:pPr>
        <w:pStyle w:val="FootnoteText"/>
      </w:pPr>
      <w:r>
        <w:rPr>
          <w:rStyle w:val="FootnoteReference"/>
        </w:rPr>
        <w:footnoteRef/>
      </w:r>
      <w:r>
        <w:tab/>
        <w:t>Europa-Parlamentets og Rådets forordning (EU) nr. 952/2013 af 9. oktober 2013</w:t>
      </w:r>
    </w:p>
    <w:p>
      <w:pPr>
        <w:pStyle w:val="FootnoteText"/>
        <w:ind w:firstLine="0"/>
      </w:pPr>
      <w:r>
        <w:t>om EU-toldkodeksen (EUT L 269 af 10.10.2013, s. 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5908D8E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1B2474E0"/>
    <w:lvl w:ilvl="0">
      <w:start w:val="1"/>
      <w:numFmt w:val="decimal"/>
      <w:pStyle w:val="ListNumber3"/>
      <w:lvlText w:val="%1."/>
      <w:lvlJc w:val="left"/>
      <w:pPr>
        <w:tabs>
          <w:tab w:val="num" w:pos="926"/>
        </w:tabs>
        <w:ind w:left="926" w:hanging="360"/>
      </w:pPr>
    </w:lvl>
  </w:abstractNum>
  <w:abstractNum w:abstractNumId="2">
    <w:nsid w:val="FFFFFF7F"/>
    <w:multiLevelType w:val="singleLevel"/>
    <w:tmpl w:val="D0ACE020"/>
    <w:lvl w:ilvl="0">
      <w:start w:val="1"/>
      <w:numFmt w:val="decimal"/>
      <w:pStyle w:val="ListNumber2"/>
      <w:lvlText w:val="%1."/>
      <w:lvlJc w:val="left"/>
      <w:pPr>
        <w:tabs>
          <w:tab w:val="num" w:pos="643"/>
        </w:tabs>
        <w:ind w:left="643" w:hanging="360"/>
      </w:pPr>
    </w:lvl>
  </w:abstractNum>
  <w:abstractNum w:abstractNumId="3">
    <w:nsid w:val="FFFFFF81"/>
    <w:multiLevelType w:val="singleLevel"/>
    <w:tmpl w:val="90D8438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2E54D68C"/>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B186DBF2"/>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568CCADE"/>
    <w:lvl w:ilvl="0">
      <w:start w:val="1"/>
      <w:numFmt w:val="decimal"/>
      <w:pStyle w:val="ListNumber"/>
      <w:lvlText w:val="%1."/>
      <w:lvlJc w:val="left"/>
      <w:pPr>
        <w:tabs>
          <w:tab w:val="num" w:pos="360"/>
        </w:tabs>
        <w:ind w:left="360" w:hanging="360"/>
      </w:pPr>
    </w:lvl>
  </w:abstractNum>
  <w:abstractNum w:abstractNumId="7">
    <w:nsid w:val="FFFFFF89"/>
    <w:multiLevelType w:val="singleLevel"/>
    <w:tmpl w:val="51AC89E0"/>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21"/>
    <w:lvlOverride w:ilvl="0">
      <w:startOverride w:val="1"/>
    </w:lvlOverride>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 w:numId="24">
    <w:abstractNumId w:val="18"/>
  </w:num>
  <w:num w:numId="25">
    <w:abstractNumId w:val="12"/>
  </w:num>
  <w:num w:numId="26">
    <w:abstractNumId w:val="20"/>
  </w:num>
  <w:num w:numId="27">
    <w:abstractNumId w:val="11"/>
  </w:num>
  <w:num w:numId="28">
    <w:abstractNumId w:val="13"/>
  </w:num>
  <w:num w:numId="29">
    <w:abstractNumId w:val="9"/>
  </w:num>
  <w:num w:numId="30">
    <w:abstractNumId w:val="19"/>
  </w:num>
  <w:num w:numId="31">
    <w:abstractNumId w:val="8"/>
  </w:num>
  <w:num w:numId="32">
    <w:abstractNumId w:val="14"/>
  </w:num>
  <w:num w:numId="33">
    <w:abstractNumId w:val="16"/>
  </w:num>
  <w:num w:numId="34">
    <w:abstractNumId w:val="17"/>
  </w:num>
  <w:num w:numId="35">
    <w:abstractNumId w:val="10"/>
  </w:num>
  <w:num w:numId="36">
    <w:abstractNumId w:val="15"/>
  </w:num>
  <w:num w:numId="37">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hideSpellingErrors/>
  <w:hideGrammaticalErrors/>
  <w:attachedTemplate r:id="rId1"/>
  <w:revisionView w:markup="0"/>
  <w:defaultTabStop w:val="720"/>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08-25 17:06:21"/>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4"/>
    <w:docVar w:name="DQCResult_ModifiedMarkers" w:val="0;0"/>
    <w:docVar w:name="DQCResult_ModifiedNumbering" w:val="0;0"/>
    <w:docVar w:name="DQCResult_Objects" w:val="0;0"/>
    <w:docVar w:name="DQCResult_Sections" w:val="0;0"/>
    <w:docVar w:name="DQCResult_StructureCheck" w:val="0;0"/>
    <w:docVar w:name="DQCResult_SuperfluousWhitespace" w:val="0;1"/>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75A0DFAE-60AA-4383-AF24-E2E590EF962D"/>
    <w:docVar w:name="LW_COVERPAGE_TYPE" w:val="1"/>
    <w:docVar w:name="LW_CROSSREFERENCE" w:val="&lt;UNUSED&gt;"/>
    <w:docVar w:name="LW_DocType" w:val="COM"/>
    <w:docVar w:name="LW_EMISSION" w:val="31.8.2020"/>
    <w:docVar w:name="LW_EMISSION_ISODATE" w:val="2020-08-31"/>
    <w:docVar w:name="LW_EMISSION_LOCATION" w:val="BRX"/>
    <w:docVar w:name="LW_EMISSION_PREFIX" w:val="Bruxelles, den "/>
    <w:docVar w:name="LW_EMISSION_SUFFIX" w:val=" "/>
    <w:docVar w:name="LW_ID_DOCMODEL" w:val="SJ-016"/>
    <w:docVar w:name="LW_ID_DOCSIGNATURE" w:val="SJ-016"/>
    <w:docVar w:name="LW_ID_DOCSTRUCTURE" w:val="COM/PL/ORG"/>
    <w:docVar w:name="LW_ID_DOCTYPE" w:val="SJ-016"/>
    <w:docVar w:name="LW_ID_EXP.MOTIFS.NEW" w:val="EM_PL_"/>
    <w:docVar w:name="LW_ID_STATUT" w:val="SJ-016"/>
    <w:docVar w:name="LW_INTERETEEE.CP" w:val="&lt;UNUSED&gt;"/>
    <w:docVar w:name="LW_LANGUE" w:val="DA"/>
    <w:docVar w:name="LW_LEVEL_OF_SENSITIVITY" w:val="Standard treatment"/>
    <w:docVar w:name="LW_NOM.INST" w:val="EUROPA-KOMMISSIONEN"/>
    <w:docVar w:name="LW_NOM.INST_JOINTDOC" w:val="&lt;EMPTY&gt;"/>
    <w:docVar w:name="LW_PART_NBR" w:val="1"/>
    <w:docVar w:name="LW_PART_NBR_TOTAL" w:val="1"/>
    <w:docVar w:name="LW_REF.II.NEW.CP" w:val="CNS"/>
    <w:docVar w:name="LW_REF.II.NEW.CP_NUMBER" w:val="0209"/>
    <w:docVar w:name="LW_REF.II.NEW.CP_YEAR" w:val="2020"/>
    <w:docVar w:name="LW_REF.INST.NEW" w:val="COM"/>
    <w:docVar w:name="LW_REF.INST.NEW_ADOPTED" w:val="final"/>
    <w:docVar w:name="LW_REF.INST.NEW_TEXT" w:val="(2020) 43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Forslag til"/>
    <w:docVar w:name="LW_SUPERTITRE" w:val="&lt;UNUSED&gt;"/>
    <w:docVar w:name="LW_TITRE.OBJ.CP" w:val="om åbning og forvaltning af autonome EU-toldkontingenter for import af visse fiskevarer til De Kanariske Øer i perioden 2021-2027"/>
    <w:docVar w:name="LW_TYPE.DOC.CP" w:val="RÅDETS FORORDNING"/>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da-DK"/>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styleId="Hyperlink">
    <w:name w:val="Hyperlink"/>
    <w:basedOn w:val="DefaultParagraphFont"/>
    <w:uiPriority w:val="99"/>
    <w:unhideWhenUsed/>
    <w:rPr>
      <w:color w:val="0000FF" w:themeColor="hyperlink"/>
      <w:u w:val="single"/>
    </w:rPr>
  </w:style>
  <w:style w:type="character" w:customStyle="1" w:styleId="apple-style-span">
    <w:name w:val="apple-style-span"/>
    <w:rPr>
      <w:shd w:val="clear" w:color="auto" w:fill="auto"/>
    </w:rPr>
  </w:style>
  <w:style w:type="paragraph" w:styleId="ListParagraph">
    <w:name w:val="List Paragraph"/>
    <w:basedOn w:val="Normal"/>
    <w:uiPriority w:val="34"/>
    <w:qFormat/>
    <w:pPr>
      <w:ind w:left="720"/>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rPr>
      <w:rFonts w:ascii="Times New Roman" w:hAnsi="Times New Roman" w:cs="Times New Roman"/>
      <w:sz w:val="20"/>
      <w:szCs w:val="20"/>
      <w:lang w:val="da-D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da-DK"/>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da-DK"/>
    </w:rPr>
  </w:style>
  <w:style w:type="paragraph" w:customStyle="1" w:styleId="Manual">
    <w:name w:val="Manual"/>
    <w:basedOn w:val="Point0number"/>
  </w:style>
  <w:style w:type="paragraph" w:customStyle="1" w:styleId="M">
    <w:name w:val="M"/>
    <w:basedOn w:val="Manual"/>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da-DK"/>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da-DK"/>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da-DK"/>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styleId="Hyperlink">
    <w:name w:val="Hyperlink"/>
    <w:basedOn w:val="DefaultParagraphFont"/>
    <w:uiPriority w:val="99"/>
    <w:unhideWhenUsed/>
    <w:rPr>
      <w:color w:val="0000FF" w:themeColor="hyperlink"/>
      <w:u w:val="single"/>
    </w:rPr>
  </w:style>
  <w:style w:type="character" w:customStyle="1" w:styleId="apple-style-span">
    <w:name w:val="apple-style-span"/>
    <w:rPr>
      <w:shd w:val="clear" w:color="auto" w:fill="auto"/>
    </w:rPr>
  </w:style>
  <w:style w:type="paragraph" w:styleId="ListParagraph">
    <w:name w:val="List Paragraph"/>
    <w:basedOn w:val="Normal"/>
    <w:uiPriority w:val="34"/>
    <w:qFormat/>
    <w:pPr>
      <w:ind w:left="720"/>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rPr>
      <w:rFonts w:ascii="Times New Roman" w:hAnsi="Times New Roman" w:cs="Times New Roman"/>
      <w:sz w:val="20"/>
      <w:szCs w:val="20"/>
      <w:lang w:val="da-D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da-DK"/>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da-DK"/>
    </w:rPr>
  </w:style>
  <w:style w:type="paragraph" w:customStyle="1" w:styleId="Manual">
    <w:name w:val="Manual"/>
    <w:basedOn w:val="Point0number"/>
  </w:style>
  <w:style w:type="paragraph" w:customStyle="1" w:styleId="M">
    <w:name w:val="M"/>
    <w:basedOn w:val="Manual"/>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da-DK"/>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da-DK"/>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874467">
      <w:bodyDiv w:val="1"/>
      <w:marLeft w:val="0"/>
      <w:marRight w:val="0"/>
      <w:marTop w:val="0"/>
      <w:marBottom w:val="0"/>
      <w:divBdr>
        <w:top w:val="none" w:sz="0" w:space="0" w:color="auto"/>
        <w:left w:val="none" w:sz="0" w:space="0" w:color="auto"/>
        <w:bottom w:val="none" w:sz="0" w:space="0" w:color="auto"/>
        <w:right w:val="none" w:sz="0" w:space="0" w:color="auto"/>
      </w:divBdr>
    </w:div>
    <w:div w:id="1010647670">
      <w:bodyDiv w:val="1"/>
      <w:marLeft w:val="0"/>
      <w:marRight w:val="0"/>
      <w:marTop w:val="0"/>
      <w:marBottom w:val="0"/>
      <w:divBdr>
        <w:top w:val="none" w:sz="0" w:space="0" w:color="auto"/>
        <w:left w:val="none" w:sz="0" w:space="0" w:color="auto"/>
        <w:bottom w:val="none" w:sz="0" w:space="0" w:color="auto"/>
        <w:right w:val="none" w:sz="0" w:space="0" w:color="auto"/>
      </w:divBdr>
    </w:div>
    <w:div w:id="1324964755">
      <w:bodyDiv w:val="1"/>
      <w:marLeft w:val="0"/>
      <w:marRight w:val="0"/>
      <w:marTop w:val="0"/>
      <w:marBottom w:val="0"/>
      <w:divBdr>
        <w:top w:val="none" w:sz="0" w:space="0" w:color="auto"/>
        <w:left w:val="none" w:sz="0" w:space="0" w:color="auto"/>
        <w:bottom w:val="none" w:sz="0" w:space="0" w:color="auto"/>
        <w:right w:val="none" w:sz="0" w:space="0" w:color="auto"/>
      </w:divBdr>
    </w:div>
    <w:div w:id="1554195616">
      <w:bodyDiv w:val="1"/>
      <w:marLeft w:val="0"/>
      <w:marRight w:val="0"/>
      <w:marTop w:val="0"/>
      <w:marBottom w:val="0"/>
      <w:divBdr>
        <w:top w:val="none" w:sz="0" w:space="0" w:color="auto"/>
        <w:left w:val="none" w:sz="0" w:space="0" w:color="auto"/>
        <w:bottom w:val="none" w:sz="0" w:space="0" w:color="auto"/>
        <w:right w:val="none" w:sz="0" w:space="0" w:color="auto"/>
      </w:divBdr>
    </w:div>
    <w:div w:id="1841116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regional_policy/en/information/publications/reports/2017/realising-the-potential-of-the-outermost-regions-for-sustainable-blue-growt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B8F0B0-E0F8-43C6-94B6-9EA2704E4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3</TotalTime>
  <Pages>8</Pages>
  <Words>1656</Words>
  <Characters>10139</Characters>
  <Application>Microsoft Office Word</Application>
  <DocSecurity>0</DocSecurity>
  <Lines>194</Lines>
  <Paragraphs>107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DIGIT/C6</cp:lastModifiedBy>
  <cp:revision>19</cp:revision>
  <dcterms:created xsi:type="dcterms:W3CDTF">2020-08-21T15:24:00Z</dcterms:created>
  <dcterms:modified xsi:type="dcterms:W3CDTF">2020-08-25T15:06:00Z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7.0.9.0</vt:lpwstr>
  </property>
  <property fmtid="{D5CDD505-2E9C-101B-9397-08002B2CF9AE}" pid="4" name="Last edited using">
    <vt:lpwstr>LW 7.0.1, Build 20190916</vt:lpwstr>
  </property>
  <property fmtid="{D5CDD505-2E9C-101B-9397-08002B2CF9AE}" pid="5" name="Created using">
    <vt:lpwstr>LW 7.0.1, Build 20190916</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SJ-016</vt:lpwstr>
  </property>
  <property fmtid="{D5CDD505-2E9C-101B-9397-08002B2CF9AE}" pid="10" name="DQCStatus">
    <vt:lpwstr>Green (DQC version 03)</vt:lpwstr>
  </property>
</Properties>
</file>