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5B05FD8-BA6A-4634-A908-1B234A0F7156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rPr>
          <w:noProof/>
        </w:rPr>
      </w:pPr>
    </w:p>
    <w:tbl>
      <w:tblPr>
        <w:tblW w:w="8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182"/>
        <w:gridCol w:w="3921"/>
        <w:gridCol w:w="992"/>
        <w:gridCol w:w="1134"/>
      </w:tblGrid>
      <w:tr>
        <w:trPr>
          <w:trHeight w:hRule="exact" w:val="1495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Serijski br.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Oznaka KN</w:t>
            </w:r>
          </w:p>
        </w:tc>
        <w:tc>
          <w:tcPr>
            <w:tcW w:w="3921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Godišnja količina kvote (u tonama)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Carina unutar kvote</w:t>
            </w:r>
          </w:p>
        </w:tc>
      </w:tr>
      <w:tr>
        <w:trPr>
          <w:trHeight w:hRule="exact" w:val="103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118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392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Riba, smrznuta, isključujući riblje filete i ostalo riblje meso iz tarifnog broja 0304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392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Riblji fileti i ostalo riblje meso (neovisno o tome je li mljeveno), svježe, rashlađeno ili smrznuto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2448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118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392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Rakovi, neovisno o tome jesu li u ljusci ili ne, živi, svježi, rashlađeni, smrznuti, sušeni, soljeni ili u salamuri; dimljeni rakovi, neovisno o tome jesu li u ljusci ili ne, neovisno o tome jesu li kuhani prije ili tijekom postupka dimljenja ili ne; rakovi, u ljusci, kuhani u vodi ili na pari, neovisno o tome jesu li rashlađeni, smrznuti, sušeni, soljeni ili u salamuri ili ne; brašno, krupica i pelete od rakova, prikladni za prehranu ljudi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1823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392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Mekušci, neovisno o tome jesu li u ljusci ili ne, živi, svježi, rashlađeni, smrznuti, sušeni, soljeni ili u salamuri; dimljeni mekušci, neovisno o tome jesu li u ljusci ili ne, neovisno o tome jesu li kuhani prije ili tijekom postupka dimljenja ili ne; brašno, krupica i pelete od mekušaca, prikladni za prehranu ljudi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6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5B05FD8-BA6A-4634-A908-1B234A0F7156"/>
    <w:docVar w:name="LW_COVERPAGE_TYPE" w:val="1"/>
    <w:docVar w:name="LW_CROSSREFERENCE" w:val="&lt;UNUSED&gt;"/>
    <w:docVar w:name="LW_DocType" w:val="ANNEX"/>
    <w:docVar w:name="LW_EMISSION" w:val="31.8.2020."/>
    <w:docVar w:name="LW_EMISSION_ISODATE" w:val="2020-08-3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&lt;FMT:Bold&gt;o otvaranju i upravljanju autonomnim carinskim kvotama Unije za uvoz odre\u273?enih proizvoda ribarstva na Kanarske otoke u razdoblju od 2021. do 2027.&lt;/FMT&gt;"/>
    <w:docVar w:name="LW_OBJETACTEPRINCIPAL.CP" w:val="&lt;FMT:Bold&gt;o otvaranju i upravljanju autonomnim carinskim kvotama Unije za uvoz odre\u273?enih proizvoda ribarstva na Kanarske otoke u razdoblju od 2021. do 2027.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uredbe Vije\u263?a"/>
    <w:docVar w:name="LW_TYPEACTEPRINCIPAL.CP" w:val="Prijedlogu uredb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192</Words>
  <Characters>931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2020-08-25T10:21:00Z</dcterms:created>
  <dcterms:modified xsi:type="dcterms:W3CDTF">2020-08-25T15:06:00Z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