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DMBM_18940"/>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9E1C75F9-DC18-4BB6-AAF2-92EF981D41FC" style="width:450.75pt;height:293.25pt">
            <v:imagedata r:id="rId10" o:title=""/>
          </v:shape>
        </w:pict>
      </w:r>
    </w:p>
    <w:bookmarkEnd w:id="2"/>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pPr>
        <w:pStyle w:val="CoverPage"/>
        <w:spacing w:before="0" w:after="240"/>
        <w:rPr>
          <w:noProof/>
        </w:rPr>
      </w:pPr>
      <w:bookmarkStart w:id="3" w:name="_GoBack"/>
      <w:bookmarkEnd w:id="3"/>
    </w:p>
    <w:bookmarkEnd w:id="0"/>
    <w:bookmarkEnd w:id="1"/>
    <w:p>
      <w:pPr>
        <w:spacing w:after="240" w:line="360" w:lineRule="auto"/>
        <w:ind w:left="1418"/>
        <w:rPr>
          <w:rFonts w:ascii="Verdana" w:hAnsi="Verdana"/>
          <w:i/>
          <w:noProof/>
          <w:color w:val="016794"/>
          <w:sz w:val="52"/>
          <w:szCs w:val="52"/>
          <w:lang w:val="bg-BG"/>
        </w:rPr>
      </w:pPr>
      <w:r>
        <w:rPr>
          <w:rFonts w:ascii="Verdana" w:hAnsi="Verdana"/>
          <w:noProof/>
          <w:color w:val="016794"/>
          <w:sz w:val="52"/>
          <w:szCs w:val="52"/>
          <w:lang w:val="bg-BG"/>
        </w:rPr>
        <w:t>Годишни отчети на Европейския фонд за развитие</w:t>
      </w:r>
    </w:p>
    <w:p>
      <w:pPr>
        <w:spacing w:before="240" w:line="360" w:lineRule="auto"/>
        <w:ind w:left="1418"/>
        <w:rPr>
          <w:rFonts w:ascii="Verdana" w:hAnsi="Verdana"/>
          <w:noProof/>
          <w:color w:val="016794"/>
          <w:sz w:val="52"/>
          <w:szCs w:val="52"/>
          <w:lang w:val="bg-BG"/>
        </w:rPr>
      </w:pPr>
    </w:p>
    <w:p>
      <w:pPr>
        <w:spacing w:before="240" w:after="720" w:line="360" w:lineRule="auto"/>
        <w:ind w:left="1418"/>
        <w:rPr>
          <w:rFonts w:ascii="Verdana" w:hAnsi="Verdana"/>
          <w:noProof/>
          <w:color w:val="016794"/>
          <w:sz w:val="52"/>
          <w:szCs w:val="52"/>
          <w:lang w:val="bg-BG"/>
        </w:rPr>
      </w:pPr>
      <w:r>
        <w:rPr>
          <w:rFonts w:ascii="Verdana" w:hAnsi="Verdana"/>
          <w:noProof/>
          <w:color w:val="016794"/>
          <w:sz w:val="52"/>
          <w:szCs w:val="52"/>
          <w:lang w:val="bg-BG"/>
        </w:rPr>
        <w:t>2019 финансова година</w:t>
      </w:r>
    </w:p>
    <w:p>
      <w:pPr>
        <w:spacing w:before="240" w:after="240"/>
        <w:jc w:val="both"/>
        <w:rPr>
          <w:rFonts w:ascii="Verdana" w:hAnsi="Verdana"/>
          <w:noProof/>
          <w:sz w:val="18"/>
          <w:szCs w:val="18"/>
          <w:lang w:val="bg-BG" w:eastAsia="en-US"/>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cols w:space="720"/>
          <w:docGrid w:linePitch="360"/>
        </w:sectPr>
      </w:pPr>
    </w:p>
    <w:p>
      <w:pPr>
        <w:spacing w:after="240"/>
        <w:rPr>
          <w:rFonts w:ascii="Verdana" w:hAnsi="Verdana"/>
          <w:b/>
          <w:noProof/>
          <w:color w:val="016794"/>
          <w:sz w:val="28"/>
          <w:szCs w:val="28"/>
          <w:lang w:val="bg-BG"/>
        </w:rPr>
      </w:pPr>
      <w:bookmarkStart w:id="4" w:name="_DMBM_18958"/>
      <w:r>
        <w:rPr>
          <w:rFonts w:ascii="Verdana" w:hAnsi="Verdana"/>
          <w:b/>
          <w:noProof/>
          <w:color w:val="016794"/>
          <w:sz w:val="28"/>
          <w:szCs w:val="28"/>
          <w:lang w:val="bg-BG"/>
        </w:rPr>
        <w:t>СЪДЪРЖАНИЕ</w:t>
      </w:r>
    </w:p>
    <w:p>
      <w:pPr>
        <w:spacing w:before="240" w:after="240"/>
        <w:jc w:val="both"/>
        <w:rPr>
          <w:rFonts w:ascii="Verdana" w:hAnsi="Verdana"/>
          <w:noProof/>
          <w:sz w:val="18"/>
          <w:szCs w:val="18"/>
          <w:lang w:val="fr-BE" w:eastAsia="en-US"/>
        </w:rPr>
      </w:pPr>
    </w:p>
    <w:sdt>
      <w:sdtPr>
        <w:rPr>
          <w:noProof/>
          <w:lang w:val="bg-BG"/>
        </w:rPr>
        <w:id w:val="-1501265022"/>
        <w:docPartObj>
          <w:docPartGallery w:val="Table of Contents"/>
          <w:docPartUnique/>
        </w:docPartObj>
      </w:sdtPr>
      <w:sdtContent>
        <w:p>
          <w:pPr>
            <w:keepNext/>
            <w:keepLines/>
            <w:spacing w:before="480" w:line="276" w:lineRule="auto"/>
            <w:rPr>
              <w:rFonts w:asciiTheme="majorHAnsi" w:eastAsiaTheme="majorEastAsia" w:hAnsiTheme="majorHAnsi" w:cstheme="majorBidi"/>
              <w:b/>
              <w:bCs/>
              <w:noProof/>
              <w:color w:val="365F91" w:themeColor="accent1" w:themeShade="BF"/>
              <w:sz w:val="28"/>
              <w:szCs w:val="28"/>
              <w:lang w:val="bg-BG" w:eastAsia="ja-JP"/>
            </w:rPr>
          </w:pPr>
        </w:p>
        <w:p>
          <w:pPr>
            <w:pStyle w:val="TOC1"/>
            <w:tabs>
              <w:tab w:val="right" w:leader="dot" w:pos="9628"/>
            </w:tabs>
            <w:rPr>
              <w:rFonts w:asciiTheme="minorHAnsi" w:eastAsiaTheme="minorEastAsia" w:hAnsiTheme="minorHAnsi" w:cstheme="minorBidi"/>
              <w:noProof/>
              <w:color w:val="auto"/>
              <w:szCs w:val="22"/>
              <w:lang w:val="en-US" w:eastAsia="en-US"/>
            </w:rPr>
          </w:pPr>
          <w:r>
            <w:rPr>
              <w:noProof/>
              <w:lang w:val="bg-BG"/>
            </w:rPr>
            <w:fldChar w:fldCharType="begin"/>
          </w:r>
          <w:r>
            <w:rPr>
              <w:noProof/>
              <w:lang w:val="bg-BG"/>
            </w:rPr>
            <w:instrText xml:space="preserve"> TOC \o "1-3" \h \z \t "FIRST_CHAPTER_PAGE;1;FIRST CHAPTER_PAGE_1;2" </w:instrText>
          </w:r>
          <w:r>
            <w:rPr>
              <w:noProof/>
              <w:lang w:val="bg-BG"/>
            </w:rPr>
            <w:fldChar w:fldCharType="separate"/>
          </w:r>
          <w:hyperlink w:anchor="_Toc49527801" w:history="1">
            <w:r>
              <w:rPr>
                <w:rStyle w:val="Hyperlink"/>
                <w:noProof/>
                <w:lang w:val="bg-BG"/>
              </w:rPr>
              <w:t>УДОСТОВЕРЯВАНЕ НА ОТЧЕТИТЕ</w:t>
            </w:r>
            <w:r>
              <w:rPr>
                <w:noProof/>
                <w:webHidden/>
              </w:rPr>
              <w:tab/>
            </w:r>
            <w:r>
              <w:rPr>
                <w:noProof/>
                <w:webHidden/>
              </w:rPr>
              <w:fldChar w:fldCharType="begin"/>
            </w:r>
            <w:r>
              <w:rPr>
                <w:noProof/>
                <w:webHidden/>
              </w:rPr>
              <w:instrText xml:space="preserve"> PAGEREF _Toc49527801 \h </w:instrText>
            </w:r>
            <w:r>
              <w:rPr>
                <w:noProof/>
                <w:webHidden/>
              </w:rPr>
            </w:r>
            <w:r>
              <w:rPr>
                <w:noProof/>
                <w:webHidden/>
              </w:rPr>
              <w:fldChar w:fldCharType="separate"/>
            </w:r>
            <w:r>
              <w:rPr>
                <w:noProof/>
                <w:webHidden/>
              </w:rPr>
              <w:t>3</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9527802" w:history="1">
            <w:r>
              <w:rPr>
                <w:rStyle w:val="Hyperlink"/>
                <w:noProof/>
                <w:lang w:val="bg-BG"/>
              </w:rPr>
              <w:t>ИЗПЪЛНЕНИЕ И ОТЧИТАНЕ НА РЕСУРСИТЕ НА ЕФР</w:t>
            </w:r>
            <w:r>
              <w:rPr>
                <w:noProof/>
                <w:webHidden/>
              </w:rPr>
              <w:tab/>
            </w:r>
            <w:r>
              <w:rPr>
                <w:noProof/>
                <w:webHidden/>
              </w:rPr>
              <w:fldChar w:fldCharType="begin"/>
            </w:r>
            <w:r>
              <w:rPr>
                <w:noProof/>
                <w:webHidden/>
              </w:rPr>
              <w:instrText xml:space="preserve"> PAGEREF _Toc49527802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9527803" w:history="1">
            <w:r>
              <w:rPr>
                <w:rStyle w:val="Hyperlink"/>
                <w:noProof/>
                <w:lang w:val="bg-BG"/>
              </w:rPr>
              <w:t>СРЕДСТВА, УПРАВЛЯВАНИ ОТ ЕВРОПЕЙСКАТА КОМИСИЯ</w:t>
            </w:r>
            <w:r>
              <w:rPr>
                <w:noProof/>
                <w:webHidden/>
              </w:rPr>
              <w:tab/>
            </w:r>
            <w:r>
              <w:rPr>
                <w:noProof/>
                <w:webHidden/>
              </w:rPr>
              <w:fldChar w:fldCharType="begin"/>
            </w:r>
            <w:r>
              <w:rPr>
                <w:noProof/>
                <w:webHidden/>
              </w:rPr>
              <w:instrText xml:space="preserve"> PAGEREF _Toc49527803 \h </w:instrText>
            </w:r>
            <w:r>
              <w:rPr>
                <w:noProof/>
                <w:webHidden/>
              </w:rPr>
            </w:r>
            <w:r>
              <w:rPr>
                <w:noProof/>
                <w:webHidden/>
              </w:rPr>
              <w:fldChar w:fldCharType="separate"/>
            </w:r>
            <w:r>
              <w:rPr>
                <w:noProof/>
                <w:webHidden/>
              </w:rPr>
              <w:t>7</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527804" w:history="1">
            <w:r>
              <w:rPr>
                <w:rStyle w:val="Hyperlink"/>
                <w:noProof/>
                <w:lang w:val="bg-BG"/>
              </w:rPr>
              <w:t>ФИНАНСОВИ ОТЧЕТИ НА ЕФР</w:t>
            </w:r>
            <w:r>
              <w:rPr>
                <w:noProof/>
                <w:webHidden/>
              </w:rPr>
              <w:tab/>
            </w:r>
            <w:r>
              <w:rPr>
                <w:noProof/>
                <w:webHidden/>
              </w:rPr>
              <w:fldChar w:fldCharType="begin"/>
            </w:r>
            <w:r>
              <w:rPr>
                <w:noProof/>
                <w:webHidden/>
              </w:rPr>
              <w:instrText xml:space="preserve"> PAGEREF _Toc49527804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527805" w:history="1">
            <w:r>
              <w:rPr>
                <w:rStyle w:val="Hyperlink"/>
                <w:noProof/>
                <w:lang w:val="bg-BG"/>
              </w:rPr>
              <w:t>ФИНАНСОВИ ОТЧЕТИ НА ДОВЕРИТЕЛНИТЕ ФОНДОВЕ НА ЕС, КОНСОЛИДИРАНИ В ЕФР</w:t>
            </w:r>
            <w:r>
              <w:rPr>
                <w:noProof/>
                <w:webHidden/>
              </w:rPr>
              <w:tab/>
            </w:r>
            <w:r>
              <w:rPr>
                <w:noProof/>
                <w:webHidden/>
              </w:rPr>
              <w:fldChar w:fldCharType="begin"/>
            </w:r>
            <w:r>
              <w:rPr>
                <w:noProof/>
                <w:webHidden/>
              </w:rPr>
              <w:instrText xml:space="preserve"> PAGEREF _Toc49527805 \h </w:instrText>
            </w:r>
            <w:r>
              <w:rPr>
                <w:noProof/>
                <w:webHidden/>
              </w:rPr>
            </w:r>
            <w:r>
              <w:rPr>
                <w:noProof/>
                <w:webHidden/>
              </w:rPr>
              <w:fldChar w:fldCharType="separate"/>
            </w:r>
            <w:r>
              <w:rPr>
                <w:noProof/>
                <w:webHidden/>
              </w:rPr>
              <w:t>52</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527808" w:history="1">
            <w:r>
              <w:rPr>
                <w:rStyle w:val="Hyperlink"/>
                <w:noProof/>
                <w:lang w:val="bg-BG"/>
              </w:rPr>
              <w:t>КОНСОЛИДИРАНИ ФИНАНСОВИ ОТЧЕТИ НА ЕФР И ДОВЕРИТЕЛНИТЕ ФОНДОВЕ НА ЕС</w:t>
            </w:r>
            <w:r>
              <w:rPr>
                <w:noProof/>
                <w:webHidden/>
              </w:rPr>
              <w:tab/>
            </w:r>
            <w:r>
              <w:rPr>
                <w:noProof/>
                <w:webHidden/>
              </w:rPr>
              <w:fldChar w:fldCharType="begin"/>
            </w:r>
            <w:r>
              <w:rPr>
                <w:noProof/>
                <w:webHidden/>
              </w:rPr>
              <w:instrText xml:space="preserve"> PAGEREF _Toc49527808 \h </w:instrText>
            </w:r>
            <w:r>
              <w:rPr>
                <w:noProof/>
                <w:webHidden/>
              </w:rPr>
            </w:r>
            <w:r>
              <w:rPr>
                <w:noProof/>
                <w:webHidden/>
              </w:rPr>
              <w:fldChar w:fldCharType="separate"/>
            </w:r>
            <w:r>
              <w:rPr>
                <w:noProof/>
                <w:webHidden/>
              </w:rPr>
              <w:t>68</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527809" w:history="1">
            <w:r>
              <w:rPr>
                <w:rStyle w:val="Hyperlink"/>
                <w:noProof/>
                <w:lang w:val="bg-BG"/>
              </w:rPr>
              <w:t>ОТЧЕТ ЗА ФИНАНСОВОТО ИЗПЪЛНЕНИЕ НА ЕФР</w:t>
            </w:r>
            <w:r>
              <w:rPr>
                <w:noProof/>
                <w:webHidden/>
              </w:rPr>
              <w:tab/>
            </w:r>
            <w:r>
              <w:rPr>
                <w:noProof/>
                <w:webHidden/>
              </w:rPr>
              <w:fldChar w:fldCharType="begin"/>
            </w:r>
            <w:r>
              <w:rPr>
                <w:noProof/>
                <w:webHidden/>
              </w:rPr>
              <w:instrText xml:space="preserve"> PAGEREF _Toc49527809 \h </w:instrText>
            </w:r>
            <w:r>
              <w:rPr>
                <w:noProof/>
                <w:webHidden/>
              </w:rPr>
            </w:r>
            <w:r>
              <w:rPr>
                <w:noProof/>
                <w:webHidden/>
              </w:rPr>
              <w:fldChar w:fldCharType="separate"/>
            </w:r>
            <w:r>
              <w:rPr>
                <w:noProof/>
                <w:webHidden/>
              </w:rPr>
              <w:t>73</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9527810" w:history="1">
            <w:r>
              <w:rPr>
                <w:rStyle w:val="Hyperlink"/>
                <w:noProof/>
                <w:lang w:val="bg-BG"/>
              </w:rPr>
              <w:t>ГОДИШЕН ДОКЛАД ЗА ИЗПЪЛНЕНИЕТО — ФОНДОВЕ, УПРАВЛЯВАНИ ОТ ЕВРОПЕЙСКАТА ИНВЕСТИЦИОННА БАНКА</w:t>
            </w:r>
            <w:r>
              <w:rPr>
                <w:noProof/>
                <w:webHidden/>
              </w:rPr>
              <w:tab/>
            </w:r>
            <w:r>
              <w:rPr>
                <w:noProof/>
                <w:webHidden/>
              </w:rPr>
              <w:fldChar w:fldCharType="begin"/>
            </w:r>
            <w:r>
              <w:rPr>
                <w:noProof/>
                <w:webHidden/>
              </w:rPr>
              <w:instrText xml:space="preserve"> PAGEREF _Toc49527810 \h </w:instrText>
            </w:r>
            <w:r>
              <w:rPr>
                <w:noProof/>
                <w:webHidden/>
              </w:rPr>
            </w:r>
            <w:r>
              <w:rPr>
                <w:noProof/>
                <w:webHidden/>
              </w:rPr>
              <w:fldChar w:fldCharType="separate"/>
            </w:r>
            <w:r>
              <w:rPr>
                <w:noProof/>
                <w:webHidden/>
              </w:rPr>
              <w:t>91</w:t>
            </w:r>
            <w:r>
              <w:rPr>
                <w:noProof/>
                <w:webHidden/>
              </w:rPr>
              <w:fldChar w:fldCharType="end"/>
            </w:r>
          </w:hyperlink>
        </w:p>
        <w:p>
          <w:pPr>
            <w:rPr>
              <w:noProof/>
              <w:lang w:val="bg-BG"/>
            </w:rPr>
          </w:pPr>
          <w:r>
            <w:rPr>
              <w:b/>
              <w:bCs/>
              <w:noProof/>
              <w:lang w:val="bg-BG"/>
            </w:rPr>
            <w:fldChar w:fldCharType="end"/>
          </w:r>
        </w:p>
      </w:sdtContent>
    </w:sdt>
    <w:bookmarkEnd w:id="4"/>
    <w:p>
      <w:pPr>
        <w:spacing w:before="240" w:after="240"/>
        <w:jc w:val="both"/>
        <w:rPr>
          <w:rFonts w:ascii="Verdana" w:hAnsi="Verdana"/>
          <w:noProof/>
          <w:sz w:val="18"/>
          <w:szCs w:val="18"/>
          <w:lang w:val="bg-BG" w:eastAsia="en-US"/>
        </w:rPr>
        <w:sectPr>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p>
    <w:p>
      <w:pPr>
        <w:pStyle w:val="FIRSTCHAPTERPAGE"/>
        <w:rPr>
          <w:noProof/>
          <w:lang w:val="bg-BG"/>
        </w:rPr>
      </w:pPr>
      <w:bookmarkStart w:id="5" w:name="_Toc49527801"/>
      <w:bookmarkStart w:id="6" w:name="_DMBM_18950"/>
      <w:r>
        <w:rPr>
          <w:noProof/>
          <w:lang w:val="bg-BG"/>
        </w:rPr>
        <w:t>УДОСТОВЕРЯВАНЕ НА ОТЧЕТИТЕ</w:t>
      </w:r>
      <w:bookmarkEnd w:id="5"/>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Годишните отчети на Европейския фонд за развитие за 2019 г. са изготвени в съответствие с дял X от Финансовия регламент, приложим за 11-ия Европейски фонд за развитие, и в съответствие със счетоводните принципи, правила и методи, посочени в забележките към финансовите отчети.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Потвърждавам своята отговорност за изготвянето и представянето на годишните отчети на Европейския фонд за развитие в съответствие с член 18 от Финансовия регламент за 11-ия Европейски фонд за развитие.</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От разпоредителя с бюджетни кредити и от ЕИБ, които гарантират нейната надеждност, получих цялата информация, необходима за изготвянето на отчетите, които показват активите и пасивите на Европейския фонд за развитие и изпълнението на бюджета.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 настоящото удостоверявам, че въз основа на тази информация и на проверките, които прецених за необходими, за да подпиша отчетите, имам достатъчна увереност, че отчетите дават вярна и точна представа за финансовото състояние на Европейския фонд за развитие във всички съществени аспекти.</w:t>
      </w:r>
    </w:p>
    <w:p>
      <w:pPr>
        <w:spacing w:before="240" w:after="240"/>
        <w:jc w:val="both"/>
        <w:rPr>
          <w:rFonts w:ascii="Verdana" w:hAnsi="Verdana"/>
          <w:noProof/>
          <w:sz w:val="18"/>
          <w:szCs w:val="18"/>
          <w:lang w:val="bg-BG" w:eastAsia="en-US"/>
        </w:rPr>
      </w:pPr>
    </w:p>
    <w:p>
      <w:pPr>
        <w:spacing w:before="240" w:after="240"/>
        <w:jc w:val="both"/>
        <w:rPr>
          <w:rFonts w:ascii="Verdana" w:hAnsi="Verdana"/>
          <w:noProof/>
          <w:sz w:val="18"/>
          <w:szCs w:val="18"/>
          <w:lang w:val="bg-BG" w:eastAsia="en-US"/>
        </w:rPr>
      </w:pPr>
    </w:p>
    <w:p>
      <w:pPr>
        <w:spacing w:before="60" w:after="60"/>
        <w:ind w:left="4820" w:right="1128"/>
        <w:jc w:val="center"/>
        <w:rPr>
          <w:rFonts w:ascii="Verdana" w:hAnsi="Verdana"/>
          <w:noProof/>
          <w:sz w:val="18"/>
          <w:szCs w:val="18"/>
          <w:lang w:val="bg-BG"/>
        </w:rPr>
      </w:pPr>
      <w:r>
        <w:rPr>
          <w:rFonts w:ascii="Verdana" w:hAnsi="Verdana"/>
          <w:noProof/>
          <w:sz w:val="18"/>
          <w:szCs w:val="18"/>
          <w:lang w:val="bg-BG"/>
        </w:rPr>
        <w:t>Rosa ALDEA BUSQUETS</w:t>
      </w:r>
    </w:p>
    <w:p>
      <w:pPr>
        <w:spacing w:before="60" w:after="60"/>
        <w:ind w:left="4820" w:right="1128"/>
        <w:jc w:val="center"/>
        <w:rPr>
          <w:rFonts w:ascii="Verdana" w:hAnsi="Verdana"/>
          <w:b/>
          <w:noProof/>
          <w:sz w:val="18"/>
          <w:szCs w:val="18"/>
          <w:lang w:val="bg-BG"/>
        </w:rPr>
      </w:pPr>
      <w:r>
        <w:rPr>
          <w:rFonts w:ascii="Verdana" w:hAnsi="Verdana"/>
          <w:b/>
          <w:noProof/>
          <w:sz w:val="18"/>
          <w:szCs w:val="18"/>
          <w:lang w:val="bg-BG"/>
        </w:rPr>
        <w:t>Счетоводител</w:t>
      </w:r>
    </w:p>
    <w:bookmarkEnd w:id="6"/>
    <w:p>
      <w:pPr>
        <w:spacing w:before="60" w:after="60"/>
        <w:ind w:left="4820" w:right="1128"/>
        <w:jc w:val="center"/>
        <w:rPr>
          <w:rFonts w:ascii="Verdana" w:hAnsi="Verdana"/>
          <w:i/>
          <w:noProof/>
          <w:sz w:val="18"/>
          <w:szCs w:val="18"/>
          <w:lang w:val="bg-BG"/>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rFonts w:ascii="Verdana" w:hAnsi="Verdana"/>
          <w:i/>
          <w:noProof/>
          <w:sz w:val="18"/>
          <w:szCs w:val="18"/>
          <w:lang w:val="bg-BG"/>
        </w:rPr>
        <w:t>16 юни 2020 г.</w:t>
      </w:r>
    </w:p>
    <w:p>
      <w:pPr>
        <w:pStyle w:val="FIRSTCHAPTERPAGE"/>
        <w:rPr>
          <w:noProof/>
          <w:lang w:val="bg-BG"/>
        </w:rPr>
      </w:pPr>
      <w:bookmarkStart w:id="7" w:name="_Toc9959659"/>
      <w:bookmarkStart w:id="8" w:name="_Toc49527802"/>
      <w:bookmarkStart w:id="9" w:name="_DMBM_18954"/>
      <w:r>
        <w:rPr>
          <w:noProof/>
          <w:lang w:val="bg-BG"/>
        </w:rPr>
        <w:t>ИЗПЪЛНЕНИЕ И ОТЧИТАНЕ НА РЕСУРСИТЕ НА ЕФР</w:t>
      </w:r>
      <w:bookmarkEnd w:id="7"/>
      <w:bookmarkEnd w:id="8"/>
    </w:p>
    <w:p>
      <w:pPr>
        <w:pStyle w:val="HEADER1Part1"/>
        <w:rPr>
          <w:noProof/>
          <w:lang w:val="bg-BG"/>
        </w:rPr>
      </w:pPr>
      <w:r>
        <w:rPr>
          <w:noProof/>
          <w:lang w:val="bg-BG"/>
        </w:rPr>
        <w:t>КОНТЕКСТ</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Европейският съюз (наричан по-нататък „ЕС“) поддържа отношения на сътрудничество с голям брой развиващи се страни. Основната цел е насърчаване на икономическото, социалното и екологичното развитие, като се наблегне главно на намаляването и премахването на бедността в дългосрочен план чрез предоставяне на помощ за развитие и техническа подкрепа на развиващите се страни. За постигане на това ЕС изготвя стратегии за сътрудничество заедно със страните партньори и мобилизира финансови ресурси за тяхното изпълнение. Ресурсите на Съюза, предназначени за сътрудничеството за развитие, произхождат от три източника:</w:t>
      </w:r>
    </w:p>
    <w:p>
      <w:pPr>
        <w:numPr>
          <w:ilvl w:val="0"/>
          <w:numId w:val="13"/>
        </w:numPr>
        <w:spacing w:after="240"/>
        <w:ind w:left="357" w:hanging="357"/>
        <w:contextualSpacing/>
        <w:rPr>
          <w:rFonts w:ascii="Verdana" w:hAnsi="Verdana"/>
          <w:noProof/>
          <w:sz w:val="18"/>
          <w:szCs w:val="18"/>
          <w:lang w:val="bg-BG"/>
        </w:rPr>
      </w:pPr>
      <w:r>
        <w:rPr>
          <w:rFonts w:ascii="Verdana" w:hAnsi="Verdana"/>
          <w:noProof/>
          <w:sz w:val="18"/>
          <w:szCs w:val="18"/>
          <w:lang w:val="bg-BG"/>
        </w:rPr>
        <w:t>бюджета на ЕС;</w:t>
      </w:r>
    </w:p>
    <w:p>
      <w:pPr>
        <w:numPr>
          <w:ilvl w:val="0"/>
          <w:numId w:val="13"/>
        </w:numPr>
        <w:spacing w:after="240"/>
        <w:ind w:left="357" w:hanging="357"/>
        <w:contextualSpacing/>
        <w:rPr>
          <w:rFonts w:ascii="Verdana" w:hAnsi="Verdana"/>
          <w:noProof/>
          <w:sz w:val="18"/>
          <w:szCs w:val="18"/>
          <w:lang w:val="bg-BG"/>
        </w:rPr>
      </w:pPr>
      <w:r>
        <w:rPr>
          <w:rFonts w:ascii="Verdana" w:hAnsi="Verdana"/>
          <w:noProof/>
          <w:sz w:val="18"/>
          <w:szCs w:val="18"/>
          <w:lang w:val="bg-BG"/>
        </w:rPr>
        <w:t>Европейския фонд за развитие;</w:t>
      </w:r>
    </w:p>
    <w:p>
      <w:pPr>
        <w:numPr>
          <w:ilvl w:val="0"/>
          <w:numId w:val="13"/>
        </w:numPr>
        <w:spacing w:after="240"/>
        <w:ind w:left="357" w:hanging="357"/>
        <w:contextualSpacing/>
        <w:rPr>
          <w:rFonts w:ascii="Verdana" w:hAnsi="Verdana"/>
          <w:noProof/>
          <w:sz w:val="18"/>
          <w:szCs w:val="18"/>
          <w:lang w:val="bg-BG"/>
        </w:rPr>
      </w:pPr>
      <w:r>
        <w:rPr>
          <w:rFonts w:ascii="Verdana" w:hAnsi="Verdana"/>
          <w:noProof/>
          <w:sz w:val="18"/>
          <w:szCs w:val="18"/>
          <w:lang w:val="bg-BG"/>
        </w:rPr>
        <w:t>Европейската инвестиционна банка.</w:t>
      </w:r>
    </w:p>
    <w:p>
      <w:pPr>
        <w:spacing w:before="400" w:after="240"/>
        <w:jc w:val="both"/>
        <w:rPr>
          <w:rFonts w:ascii="Verdana" w:hAnsi="Verdana"/>
          <w:noProof/>
          <w:sz w:val="18"/>
          <w:szCs w:val="18"/>
          <w:lang w:val="bg-BG" w:eastAsia="en-US"/>
        </w:rPr>
      </w:pPr>
      <w:r>
        <w:rPr>
          <w:rFonts w:ascii="Verdana" w:hAnsi="Verdana"/>
          <w:noProof/>
          <w:sz w:val="18"/>
          <w:szCs w:val="18"/>
          <w:lang w:val="bg-BG" w:eastAsia="en-US"/>
        </w:rPr>
        <w:t>Европейският фонд за развитие (наричан по-нататък „ЕФР“) е основният инструмент за предоставяне на помощ от ЕС за сътрудничество за развитие на държавите от Африка, Карибите и Тихоокеанския басейн (наричани по-нататък „АКТБ“) и Отвъдморските страни и територии (наричани по-нататък „OCT“).</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ЕФР не се финансира от бюджета на ЕС. Той е създаден по силата на вътрешно споразумение на представителите на държавите членки, заседаващи в рамките на Съвета, и се управлява от специален комитет. Европейската комисия (наричана по-нататък „Комисията“) отговаря за финансовото изпълнение на операциите, провеждани с ресурси на ЕФР. Европейската инвестиционна банка (наричана по-нататък „ЕИБ“) управлява Инвестиционния механизъм.</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През периода 2014—2020 г. географската помощ, предоставяна на държавите от АКТБ и ОСТ, ще продължи да се финансира главно от ЕФР. Всеки ЕФР обикновено се учредява за срок от около пет години и се урежда от свой собствен финансов регламент, който изисква изготвяне на финансови отчети за всеки отделен ЕФР. Съответно финансовите отчети се изготвят поотделно за всеки ЕФР по отношение на частта, която се управлява от Комисията. Тези финансови отчети се представят и в консолидиран вид, за да се даде обща представа за финансовото състояние на средствата, за които е отговорна Комисията.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Вътрешното споразумение за създаване на 11-ия ЕФР беше подписано от участващите държави членки, заседаващи в рамките на Съвета, през юни 2013 г.</w:t>
      </w:r>
      <w:r>
        <w:rPr>
          <w:rFonts w:ascii="Verdana" w:hAnsi="Verdana"/>
          <w:noProof/>
          <w:sz w:val="18"/>
          <w:szCs w:val="18"/>
          <w:vertAlign w:val="superscript"/>
          <w:lang w:val="bg-BG" w:eastAsia="en-US"/>
        </w:rPr>
        <w:footnoteReference w:id="1"/>
      </w:r>
      <w:r>
        <w:rPr>
          <w:rFonts w:ascii="Verdana" w:hAnsi="Verdana"/>
          <w:noProof/>
          <w:sz w:val="18"/>
          <w:szCs w:val="18"/>
          <w:lang w:val="bg-BG" w:eastAsia="en-US"/>
        </w:rPr>
        <w:t xml:space="preserve"> То влезе в сила на 1 март 2015 г.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През 2018 г. Съветът прие Финансовия регламент, приложим за 11-ия ЕФР</w:t>
      </w:r>
      <w:r>
        <w:rPr>
          <w:rFonts w:ascii="Verdana" w:hAnsi="Verdana"/>
          <w:noProof/>
          <w:sz w:val="18"/>
          <w:szCs w:val="18"/>
          <w:vertAlign w:val="superscript"/>
          <w:lang w:val="bg-BG" w:eastAsia="en-US"/>
        </w:rPr>
        <w:footnoteReference w:id="2"/>
      </w:r>
      <w:r>
        <w:rPr>
          <w:rFonts w:ascii="Verdana" w:hAnsi="Verdana"/>
          <w:noProof/>
          <w:sz w:val="18"/>
          <w:szCs w:val="18"/>
          <w:lang w:val="bg-BG" w:eastAsia="en-US"/>
        </w:rPr>
        <w:t xml:space="preserve">. Той отмени предишния действащ регламент и се прилага за операции, финансирани от предходни ЕФР, без да се засягат съществуващите правни задължения. Настоящият регламент не се прилага по отношение на Инвестиционния механизъм в рамките на предходни ЕФР.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рамките на Споразумението за партньорство АКТБ—ЕС Инвестиционният механизъм беше създаден, управляван от ЕИБ и използван за подкрепа на развитието на частния сектор в страните от АКТБ чрез финансиране главно, но не изключително, на частни инвестиции. Механизмът е създаден като подновяем фонд, така че плащанията по заеми да бъдат наново инвестирани в други операции, като по този начин механизмът се подновява самостоятелно и е финансово независим. Тъй като Инвестиционният механизъм не се управлява от Комисията, той не е консолидиран в първата част на годишните отчети — финансовите отчети за ЕФР и свързаните отчети за финансовото изпълнение. Финансовите отчети на Инвестиционния механизъм са включени в отделна част на годишните отчети (част II), за да се предостави пълна картина на помощта за развитие от ЕФР.</w:t>
      </w:r>
    </w:p>
    <w:p>
      <w:pPr>
        <w:numPr>
          <w:ilvl w:val="0"/>
          <w:numId w:val="5"/>
        </w:numPr>
        <w:tabs>
          <w:tab w:val="left" w:pos="907"/>
        </w:tabs>
        <w:spacing w:after="240"/>
        <w:jc w:val="both"/>
        <w:rPr>
          <w:rFonts w:ascii="Verdana" w:hAnsi="Verdana"/>
          <w:b/>
          <w:noProof/>
          <w:color w:val="016794"/>
          <w:sz w:val="32"/>
          <w:szCs w:val="32"/>
          <w:lang w:val="bg-BG"/>
        </w:rPr>
        <w:sectPr>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pPr>
        <w:pStyle w:val="HEADER1Part1"/>
        <w:rPr>
          <w:noProof/>
          <w:lang w:val="bg-BG"/>
        </w:rPr>
      </w:pPr>
      <w:r>
        <w:rPr>
          <w:noProof/>
          <w:lang w:val="bg-BG"/>
        </w:rPr>
        <w:t>КАК СЕ ФИНАНСИРА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На 2 декември 2013 г. Европейският съвет прие многогодишната финансова рамка за 2014—2020 г. В този контекст бе решено, че географското сътрудничество с държавите от АКТБ няма да бъде включено в бюджета на ЕС (бюджетирано), но ще продължи да се финансира чрез съществуващия междуправителствен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Бюджетът на ЕС е годишен и според бюджетния принцип на ежегодност разходите и приходите се планират и разрешават за една година. За разлика от бюджета на ЕС, ЕФР е фонд, който функционира на многогодишен принцип. Всеки ЕФР създава общ фонд за осъществяване на сътрудничество за развитие обикновено за период от пет години. Тъй като ресурсите са разпределят на многогодишна база, разпределените средства могат да се използват през целия период на ЕФР. Липсата на бюджетна ежегодност е подчертана в бюджетното отчитане, където бюджетното изпълнение на ЕФР се измерва спрямо общите средства.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Ресурсите на ЕФР са вноски „ad hoc“ от държавите — членки на ЕС. Приблизително на всеки пет години представителите на държавите членки се срещат на междуправителствено равнище, за да вземат решение за общата сума, която ще бъде предоставена на фонда, и да инспектират неговото изпълнение. След това Комисията управлява фонда в съответствие с политиката на Съюза за сътрудничество за развитие. Тъй като държавите членки имат свои собствени политики на развитие и помощ паралелно с политиката на Съюза, държавите членки трябва да координират своите политики с ЕС, за да се гарантира тяхната допълняемост.</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Освен посочените по-горе вноски държавите членки могат също да сключват споразумения за съфинансиране или да правят доброволни финансови вноски за ЕФР.</w:t>
      </w:r>
    </w:p>
    <w:p>
      <w:pPr>
        <w:pStyle w:val="HEADER1Part1"/>
        <w:rPr>
          <w:noProof/>
          <w:lang w:val="bg-BG"/>
        </w:rPr>
      </w:pPr>
      <w:r>
        <w:rPr>
          <w:noProof/>
          <w:lang w:val="bg-BG"/>
        </w:rPr>
        <w:t>ОТЧИТАНЕ В КРАЯ НА ГОДИНАТА</w:t>
      </w:r>
    </w:p>
    <w:p>
      <w:pPr>
        <w:pStyle w:val="HEADER2Part1"/>
        <w:rPr>
          <w:noProof/>
          <w:lang w:val="bg-BG"/>
        </w:rPr>
      </w:pPr>
      <w:r>
        <w:rPr>
          <w:noProof/>
          <w:lang w:val="bg-BG"/>
        </w:rPr>
        <w:t>ГОДИШНИ ОТЧЕТИ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В съответствие с член 18, параграф 3 от Финансовия регламент за ЕФР финансовите отчети на ЕФР се изготвят въз основа на правилата за счетоводна отчетност на базата на текущо начисляване, които от своя страна се основават на международните счетоводни стандарти за публичния сектор (МССПС). Правилата за счетоводна отчетност, приети от счетоводителя на Комисията, се прилагат от всички институции и органи на ЕС, с цел да бъде установен единен набор от правила за счетоводна отчетност, оценка и представяне на отчетите с оглед на хармонизиране на процеса на съставяне на финансовите отчети. Тези правила на ЕС за счетоводна отчетност се прилагат и за ЕФР, като се взема предвид специфичното естество на неговите дейности.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Изготвянето на годишните отчети на ЕФР е поверено на счетоводителя на Комисията, който е счетоводителят на ЕФР. Той гарантира, че годишните отчети на ЕФР дават вярна и точна представа за финансовото състояние на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Годишните отчети са представени, както следва:</w:t>
      </w:r>
    </w:p>
    <w:p>
      <w:pPr>
        <w:spacing w:after="240"/>
        <w:ind w:left="720"/>
        <w:rPr>
          <w:rFonts w:ascii="Verdana" w:hAnsi="Verdana"/>
          <w:noProof/>
          <w:sz w:val="18"/>
          <w:szCs w:val="18"/>
          <w:lang w:val="bg-BG"/>
        </w:rPr>
      </w:pPr>
      <w:r>
        <w:rPr>
          <w:rFonts w:ascii="Verdana" w:hAnsi="Verdana"/>
          <w:noProof/>
          <w:sz w:val="18"/>
          <w:szCs w:val="18"/>
          <w:lang w:val="bg-BG"/>
        </w:rPr>
        <w:t>Част I: Средства, управлявани от Комисията</w:t>
      </w:r>
    </w:p>
    <w:p>
      <w:pPr>
        <w:numPr>
          <w:ilvl w:val="0"/>
          <w:numId w:val="14"/>
        </w:numPr>
        <w:tabs>
          <w:tab w:val="clear" w:pos="0"/>
          <w:tab w:val="left" w:pos="1418"/>
        </w:tabs>
        <w:spacing w:after="240"/>
        <w:ind w:left="1440" w:hanging="447"/>
        <w:rPr>
          <w:rFonts w:ascii="Verdana" w:hAnsi="Verdana"/>
          <w:noProof/>
          <w:sz w:val="18"/>
          <w:szCs w:val="18"/>
          <w:lang w:val="bg-BG"/>
        </w:rPr>
      </w:pPr>
      <w:r>
        <w:rPr>
          <w:rFonts w:ascii="Verdana" w:hAnsi="Verdana"/>
          <w:noProof/>
          <w:sz w:val="18"/>
          <w:szCs w:val="18"/>
          <w:lang w:val="bg-BG"/>
        </w:rPr>
        <w:t>Финансови отчети и обяснителни бележки на ЕФР</w:t>
      </w:r>
    </w:p>
    <w:p>
      <w:pPr>
        <w:numPr>
          <w:ilvl w:val="0"/>
          <w:numId w:val="14"/>
        </w:numPr>
        <w:tabs>
          <w:tab w:val="clear" w:pos="0"/>
          <w:tab w:val="left" w:pos="1418"/>
        </w:tabs>
        <w:spacing w:after="240"/>
        <w:ind w:left="1440" w:hanging="447"/>
        <w:rPr>
          <w:rFonts w:ascii="Verdana" w:hAnsi="Verdana"/>
          <w:noProof/>
          <w:sz w:val="18"/>
          <w:szCs w:val="18"/>
          <w:lang w:val="bg-BG"/>
        </w:rPr>
      </w:pPr>
      <w:r>
        <w:rPr>
          <w:rFonts w:ascii="Verdana" w:hAnsi="Verdana"/>
          <w:noProof/>
          <w:sz w:val="18"/>
          <w:szCs w:val="18"/>
          <w:lang w:val="bg-BG"/>
        </w:rPr>
        <w:t>Финансови отчети на доверителните фондове на ЕС, консолидирани в ЕФР</w:t>
      </w:r>
    </w:p>
    <w:p>
      <w:pPr>
        <w:numPr>
          <w:ilvl w:val="0"/>
          <w:numId w:val="14"/>
        </w:numPr>
        <w:tabs>
          <w:tab w:val="clear" w:pos="0"/>
          <w:tab w:val="left" w:pos="1418"/>
        </w:tabs>
        <w:spacing w:after="240"/>
        <w:ind w:left="1440" w:hanging="447"/>
        <w:rPr>
          <w:rFonts w:ascii="Verdana" w:hAnsi="Verdana"/>
          <w:noProof/>
          <w:sz w:val="18"/>
          <w:szCs w:val="18"/>
          <w:lang w:val="bg-BG"/>
        </w:rPr>
      </w:pPr>
      <w:r>
        <w:rPr>
          <w:rFonts w:ascii="Verdana" w:hAnsi="Verdana"/>
          <w:noProof/>
          <w:sz w:val="18"/>
          <w:szCs w:val="18"/>
          <w:lang w:val="bg-BG"/>
        </w:rPr>
        <w:t>Консолидирани финансови отчети на ЕФР и доверителните фондове на ЕС</w:t>
      </w:r>
    </w:p>
    <w:p>
      <w:pPr>
        <w:numPr>
          <w:ilvl w:val="0"/>
          <w:numId w:val="14"/>
        </w:numPr>
        <w:tabs>
          <w:tab w:val="clear" w:pos="0"/>
          <w:tab w:val="left" w:pos="1418"/>
        </w:tabs>
        <w:spacing w:after="240"/>
        <w:ind w:left="1440" w:hanging="447"/>
        <w:rPr>
          <w:rFonts w:ascii="Verdana" w:hAnsi="Verdana"/>
          <w:noProof/>
          <w:sz w:val="18"/>
          <w:szCs w:val="18"/>
          <w:lang w:val="bg-BG"/>
        </w:rPr>
      </w:pPr>
      <w:r>
        <w:rPr>
          <w:rFonts w:ascii="Verdana" w:hAnsi="Verdana"/>
          <w:noProof/>
          <w:sz w:val="18"/>
          <w:szCs w:val="18"/>
          <w:lang w:val="bg-BG"/>
        </w:rPr>
        <w:t>Отчет за финансовото изпълнение на ЕФР</w:t>
      </w:r>
    </w:p>
    <w:p>
      <w:pPr>
        <w:spacing w:after="240"/>
        <w:ind w:left="720"/>
        <w:rPr>
          <w:rFonts w:ascii="Verdana" w:hAnsi="Verdana"/>
          <w:noProof/>
          <w:sz w:val="18"/>
          <w:szCs w:val="18"/>
          <w:lang w:val="bg-BG"/>
        </w:rPr>
      </w:pPr>
      <w:r>
        <w:rPr>
          <w:rFonts w:ascii="Verdana" w:hAnsi="Verdana"/>
          <w:noProof/>
          <w:sz w:val="18"/>
          <w:szCs w:val="18"/>
          <w:lang w:val="bg-BG"/>
        </w:rPr>
        <w:t>Част II: Годишен доклад за изпълнението — фондове, управлявани от ЕИБ</w:t>
      </w:r>
    </w:p>
    <w:p>
      <w:pPr>
        <w:numPr>
          <w:ilvl w:val="0"/>
          <w:numId w:val="15"/>
        </w:numPr>
        <w:tabs>
          <w:tab w:val="clear" w:pos="418"/>
          <w:tab w:val="num" w:pos="1418"/>
        </w:tabs>
        <w:spacing w:after="240"/>
        <w:ind w:left="1418" w:hanging="425"/>
        <w:rPr>
          <w:rFonts w:ascii="Verdana" w:hAnsi="Verdana"/>
          <w:noProof/>
          <w:sz w:val="18"/>
          <w:szCs w:val="18"/>
          <w:lang w:val="bg-BG"/>
        </w:rPr>
      </w:pPr>
      <w:r>
        <w:rPr>
          <w:rFonts w:ascii="Verdana" w:hAnsi="Verdana"/>
          <w:noProof/>
          <w:sz w:val="18"/>
          <w:szCs w:val="18"/>
          <w:lang w:val="bg-BG"/>
        </w:rPr>
        <w:t>Финансови отчети на Инвестиционния механизъм</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Частта „Финансови отчети на доверителните фондове на ЕС, консолидирани в ЕФР“ включва финансовите отчето на двата доверителни фонда, създадени по линия на ЕФР: доверителния фонд на ЕС „Беку“(вж. раздел „Финансови отчети на доверителния фонд на ЕС „Беку“) и Доверителния фонд на ЕС за Африка (вж. раздел „Финансови отчети на Доверителния фонд на ЕС за Африка“). Индивидуалните финансови отчети на доверителните фондове се изготвят под отговорността на счетоводителя на Комисията и подлежат на външен одит, извършван от частен одитор. Данните за доверителните фондове, включени в тези годишни отчети, са предварителни.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Годишните отчети на ЕФР трябва да бъдат приети от Комисията не по-късно от 31 юли на годината след датата на счетоводния баланс и представени на Европейския парламент и Съвета за освобождаване от отговорност.</w:t>
      </w:r>
    </w:p>
    <w:p>
      <w:pPr>
        <w:pStyle w:val="HEADER1Part1"/>
        <w:rPr>
          <w:noProof/>
          <w:lang w:val="bg-BG"/>
        </w:rPr>
      </w:pPr>
      <w:r>
        <w:rPr>
          <w:noProof/>
          <w:lang w:val="bg-BG"/>
        </w:rPr>
        <w:t>ОДИТ И ОСВОБОЖДАВАНЕ ОТ ОТГОВОРНОСТ ВЪВ ВРЪЗКА С ИЗПЪЛНЕНИЕТО НА БЮДЖЕТА</w:t>
      </w:r>
    </w:p>
    <w:p>
      <w:pPr>
        <w:pStyle w:val="HEADER2Part1"/>
        <w:rPr>
          <w:noProof/>
          <w:lang w:val="bg-BG"/>
        </w:rPr>
      </w:pPr>
      <w:r>
        <w:rPr>
          <w:noProof/>
          <w:lang w:val="bg-BG"/>
        </w:rPr>
        <w:t>ОДИТ</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Годишните отчети на ЕФР се проверяват от неговия външен одитор — Европейската сметна палата (наричана по-нататък „ЕСП“), която изготвя годишен доклад за Европейския парламент и Съвета.</w:t>
      </w:r>
    </w:p>
    <w:p>
      <w:pPr>
        <w:pStyle w:val="HEADER2Part1"/>
        <w:rPr>
          <w:noProof/>
          <w:lang w:val="bg-BG"/>
        </w:rPr>
      </w:pPr>
      <w:r>
        <w:rPr>
          <w:noProof/>
          <w:lang w:val="bg-BG"/>
        </w:rPr>
        <w:t>ОСВОБОЖДАВАНЕ ОТ ОТГОВОРНОСТ ВЪВ ВРЪЗКА С ИЗПЪЛНЕНИЕТО НА БЮДЖЕТА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Окончателната проверка на финансовото изпълнение на ресурсите на ЕФР за дадена финансова година е освобождаването от отговорност. След одита и приключването на годишните отчети Съветът е този, който прави препоръка, а Европейският парламент решава дали да освободи Комисията от отговорност във връзка с финансовото изпълнение на ресурсите на ЕФР за дадена финансова година. Това решение се основава на преглед на отчетите, на годишния доклад на ЕСП (който включва официална декларация за достоверност) и на отговорите на Комисията на въпроси и искания за допълнителна информация, отправени от органа, който взема решение за освобождаване от отговорност във връзка с изпълнението на бюджета.</w:t>
      </w:r>
    </w:p>
    <w:bookmarkEnd w:id="9"/>
    <w:p>
      <w:pPr>
        <w:rPr>
          <w:noProof/>
          <w:lang w:val="bg-BG"/>
        </w:rPr>
        <w:sectPr>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p>
    <w:p>
      <w:pPr>
        <w:jc w:val="right"/>
        <w:rPr>
          <w:rFonts w:ascii="Verdana" w:hAnsi="Verdana"/>
          <w:noProof/>
          <w:color w:val="016794"/>
          <w:sz w:val="22"/>
          <w:szCs w:val="22"/>
          <w:lang w:val="bg-BG"/>
        </w:rPr>
      </w:pPr>
      <w:bookmarkStart w:id="10" w:name="_DMBM_18944"/>
      <w:r>
        <w:rPr>
          <w:rFonts w:ascii="Verdana" w:hAnsi="Verdana"/>
          <w:noProof/>
          <w:color w:val="016794"/>
          <w:sz w:val="22"/>
          <w:szCs w:val="22"/>
          <w:lang w:val="bg-BG"/>
        </w:rPr>
        <w:t>ЕВРОПЕЙСКИ ФОНД ЗА РАЗВИТИЕ</w:t>
      </w:r>
    </w:p>
    <w:p>
      <w:pPr>
        <w:jc w:val="right"/>
        <w:rPr>
          <w:rFonts w:ascii="Verdana" w:hAnsi="Verdana"/>
          <w:noProof/>
          <w:color w:val="016794"/>
          <w:sz w:val="22"/>
          <w:szCs w:val="22"/>
          <w:lang w:val="bg-BG"/>
        </w:rPr>
      </w:pPr>
      <w:r>
        <w:rPr>
          <w:rFonts w:ascii="Verdana" w:hAnsi="Verdana"/>
          <w:noProof/>
          <w:color w:val="016794"/>
          <w:sz w:val="22"/>
          <w:szCs w:val="22"/>
          <w:lang w:val="bg-BG"/>
        </w:rPr>
        <w:t>2019 ФИНАНСОВА ГОДИНА</w:t>
      </w:r>
    </w:p>
    <w:p>
      <w:pPr>
        <w:spacing w:after="240"/>
        <w:rPr>
          <w:rFonts w:ascii="Verdana" w:hAnsi="Verdana"/>
          <w:b/>
          <w:noProof/>
          <w:color w:val="016794"/>
          <w:sz w:val="28"/>
          <w:szCs w:val="28"/>
          <w:lang w:val="bg-BG"/>
        </w:rPr>
      </w:pPr>
    </w:p>
    <w:p>
      <w:pPr>
        <w:spacing w:after="240"/>
        <w:rPr>
          <w:rFonts w:ascii="Verdana" w:hAnsi="Verdana"/>
          <w:b/>
          <w:noProof/>
          <w:color w:val="016794"/>
          <w:sz w:val="28"/>
          <w:szCs w:val="28"/>
          <w:lang w:val="bg-BG"/>
        </w:rPr>
      </w:pPr>
    </w:p>
    <w:p>
      <w:pPr>
        <w:spacing w:after="240"/>
        <w:rPr>
          <w:rFonts w:ascii="Verdana" w:hAnsi="Verdana"/>
          <w:b/>
          <w:noProof/>
          <w:color w:val="016794"/>
          <w:sz w:val="28"/>
          <w:szCs w:val="28"/>
          <w:lang w:val="bg-BG"/>
        </w:rPr>
      </w:pPr>
    </w:p>
    <w:p>
      <w:pPr>
        <w:spacing w:after="240"/>
        <w:rPr>
          <w:rFonts w:ascii="Verdana" w:hAnsi="Verdana"/>
          <w:b/>
          <w:noProof/>
          <w:color w:val="016794"/>
          <w:sz w:val="28"/>
          <w:szCs w:val="28"/>
          <w:lang w:val="bg-BG"/>
        </w:rPr>
      </w:pPr>
    </w:p>
    <w:p>
      <w:pPr>
        <w:spacing w:before="240" w:after="720"/>
        <w:rPr>
          <w:rFonts w:ascii="Verdana" w:hAnsi="Verdana"/>
          <w:b/>
          <w:noProof/>
          <w:color w:val="016794"/>
          <w:sz w:val="40"/>
          <w:szCs w:val="40"/>
          <w:lang w:val="bg-BG"/>
        </w:rPr>
      </w:pPr>
    </w:p>
    <w:p>
      <w:pPr>
        <w:spacing w:before="240" w:after="720"/>
        <w:rPr>
          <w:rFonts w:ascii="Verdana" w:hAnsi="Verdana"/>
          <w:b/>
          <w:noProof/>
          <w:color w:val="016794"/>
          <w:sz w:val="40"/>
          <w:szCs w:val="40"/>
          <w:lang w:val="bg-BG"/>
        </w:rPr>
      </w:pPr>
    </w:p>
    <w:p>
      <w:pPr>
        <w:pStyle w:val="FIRSTCHAPTERPAGE"/>
        <w:rPr>
          <w:noProof/>
          <w:lang w:val="bg-BG"/>
        </w:rPr>
      </w:pPr>
      <w:bookmarkStart w:id="11" w:name="_Toc49527803"/>
      <w:r>
        <w:rPr>
          <w:noProof/>
          <w:lang w:val="bg-BG"/>
        </w:rPr>
        <w:t>СРЕДСТВА, УПРАВЛЯВАНИ ОТ ЕВРОПЕЙСКАТА КОМИСИЯ</w:t>
      </w:r>
      <w:bookmarkEnd w:id="11"/>
    </w:p>
    <w:p>
      <w:pPr>
        <w:spacing w:before="240" w:after="720"/>
        <w:rPr>
          <w:rFonts w:ascii="Verdana" w:hAnsi="Verdana"/>
          <w:b/>
          <w:noProof/>
          <w:color w:val="016794"/>
          <w:sz w:val="40"/>
          <w:szCs w:val="40"/>
          <w:lang w:val="bg-BG"/>
        </w:rPr>
        <w:sectPr>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p>
    <w:p>
      <w:pPr>
        <w:spacing w:after="240"/>
        <w:rPr>
          <w:rFonts w:ascii="Verdana" w:hAnsi="Verdana"/>
          <w:b/>
          <w:noProof/>
          <w:color w:val="016794"/>
          <w:sz w:val="28"/>
          <w:szCs w:val="28"/>
          <w:lang w:val="bg-BG"/>
        </w:rPr>
      </w:pPr>
      <w:r>
        <w:rPr>
          <w:rFonts w:ascii="Verdana" w:hAnsi="Verdana"/>
          <w:b/>
          <w:noProof/>
          <w:color w:val="016794"/>
          <w:sz w:val="28"/>
          <w:szCs w:val="28"/>
          <w:lang w:val="bg-BG"/>
        </w:rPr>
        <w:t>СЪДЪРЖАНИЕ</w:t>
      </w:r>
    </w:p>
    <w:p>
      <w:pPr>
        <w:spacing w:before="240" w:after="240"/>
        <w:jc w:val="both"/>
        <w:rPr>
          <w:rFonts w:ascii="Verdana" w:hAnsi="Verdana"/>
          <w:noProof/>
          <w:sz w:val="18"/>
          <w:szCs w:val="18"/>
          <w:lang w:val="bg-BG" w:eastAsia="en-US"/>
        </w:rPr>
      </w:pPr>
    </w:p>
    <w:sdt>
      <w:sdtPr>
        <w:rPr>
          <w:noProof/>
          <w:lang w:val="bg-BG"/>
        </w:rPr>
        <w:id w:val="-421329050"/>
        <w:docPartObj>
          <w:docPartGallery w:val="Table of Contents"/>
          <w:docPartUnique/>
        </w:docPartObj>
      </w:sdtPr>
      <w:sdtEndPr>
        <w:rPr>
          <w:bCs/>
        </w:rPr>
      </w:sdtEndPr>
      <w:sdtContent>
        <w:p>
          <w:pPr>
            <w:keepNext/>
            <w:keepLines/>
            <w:spacing w:before="480" w:line="276" w:lineRule="auto"/>
            <w:rPr>
              <w:rFonts w:asciiTheme="majorHAnsi" w:eastAsiaTheme="majorEastAsia" w:hAnsiTheme="majorHAnsi" w:cstheme="majorBidi"/>
              <w:b/>
              <w:bCs/>
              <w:noProof/>
              <w:color w:val="365F91" w:themeColor="accent1" w:themeShade="BF"/>
              <w:sz w:val="28"/>
              <w:szCs w:val="28"/>
              <w:lang w:val="bg-BG" w:eastAsia="ja-JP"/>
            </w:rPr>
          </w:pPr>
        </w:p>
        <w:p>
          <w:pPr>
            <w:pStyle w:val="TOC1"/>
            <w:tabs>
              <w:tab w:val="right" w:leader="dot" w:pos="9628"/>
            </w:tabs>
            <w:rPr>
              <w:rFonts w:asciiTheme="minorHAnsi" w:eastAsiaTheme="minorEastAsia" w:hAnsiTheme="minorHAnsi" w:cstheme="minorBidi"/>
              <w:noProof/>
              <w:color w:val="auto"/>
              <w:szCs w:val="22"/>
              <w:lang w:val="bg-BG" w:eastAsia="en-US"/>
            </w:rPr>
          </w:pPr>
          <w:r>
            <w:rPr>
              <w:caps/>
              <w:noProof/>
              <w:color w:val="016794"/>
              <w:lang w:val="bg-BG"/>
            </w:rPr>
            <w:fldChar w:fldCharType="begin"/>
          </w:r>
          <w:r>
            <w:rPr>
              <w:caps/>
              <w:noProof/>
              <w:color w:val="016794"/>
              <w:lang w:val="bg-BG"/>
            </w:rPr>
            <w:instrText xml:space="preserve"> TOC \o "1-3" \t "FIRST CHAPTER_PAGE_1;1;HEADER_TITLE_1;2" </w:instrText>
          </w:r>
          <w:r>
            <w:rPr>
              <w:caps/>
              <w:noProof/>
              <w:color w:val="016794"/>
              <w:lang w:val="bg-BG"/>
            </w:rPr>
            <w:fldChar w:fldCharType="separate"/>
          </w:r>
          <w:r>
            <w:rPr>
              <w:noProof/>
              <w:lang w:val="bg-BG"/>
            </w:rPr>
            <w:t>ФИНАНСОВИ ОТЧЕТИ НА ЕФР</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49527926 \</w:instrText>
          </w:r>
          <w:r>
            <w:rPr>
              <w:noProof/>
            </w:rPr>
            <w:instrText>h</w:instrText>
          </w:r>
          <w:r>
            <w:rPr>
              <w:noProof/>
              <w:lang w:val="bg-BG"/>
            </w:rPr>
            <w:instrText xml:space="preserve"> </w:instrText>
          </w:r>
          <w:r>
            <w:rPr>
              <w:noProof/>
            </w:rPr>
          </w:r>
          <w:r>
            <w:rPr>
              <w:noProof/>
            </w:rPr>
            <w:fldChar w:fldCharType="separate"/>
          </w:r>
          <w:r>
            <w:rPr>
              <w:noProof/>
              <w:lang w:val="bg-BG"/>
            </w:rPr>
            <w:t>9</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СЧЕТОВОДЕН БАЛАНС НА ЕФР</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49527927 \</w:instrText>
          </w:r>
          <w:r>
            <w:rPr>
              <w:noProof/>
            </w:rPr>
            <w:instrText>h</w:instrText>
          </w:r>
          <w:r>
            <w:rPr>
              <w:noProof/>
              <w:lang w:val="bg-BG"/>
            </w:rPr>
            <w:instrText xml:space="preserve"> </w:instrText>
          </w:r>
          <w:r>
            <w:rPr>
              <w:noProof/>
            </w:rPr>
          </w:r>
          <w:r>
            <w:rPr>
              <w:noProof/>
            </w:rPr>
            <w:fldChar w:fldCharType="separate"/>
          </w:r>
          <w:r>
            <w:rPr>
              <w:noProof/>
              <w:lang w:val="bg-BG"/>
            </w:rPr>
            <w:t>10</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ОТЧЕТ ЗА ФИНАНСОВИЯ РЕЗУЛТАТ НА ЕФР</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49527928 \</w:instrText>
          </w:r>
          <w:r>
            <w:rPr>
              <w:noProof/>
            </w:rPr>
            <w:instrText>h</w:instrText>
          </w:r>
          <w:r>
            <w:rPr>
              <w:noProof/>
              <w:lang w:val="bg-BG"/>
            </w:rPr>
            <w:instrText xml:space="preserve"> </w:instrText>
          </w:r>
          <w:r>
            <w:rPr>
              <w:noProof/>
            </w:rPr>
          </w:r>
          <w:r>
            <w:rPr>
              <w:noProof/>
            </w:rPr>
            <w:fldChar w:fldCharType="separate"/>
          </w:r>
          <w:r>
            <w:rPr>
              <w:noProof/>
              <w:lang w:val="bg-BG"/>
            </w:rPr>
            <w:t>11</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ОТЧЕТ ЗА ПАРИЧНИТЕ ПОТОЦИ НА ЕФР</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49527929 \</w:instrText>
          </w:r>
          <w:r>
            <w:rPr>
              <w:noProof/>
            </w:rPr>
            <w:instrText>h</w:instrText>
          </w:r>
          <w:r>
            <w:rPr>
              <w:noProof/>
              <w:lang w:val="bg-BG"/>
            </w:rPr>
            <w:instrText xml:space="preserve"> </w:instrText>
          </w:r>
          <w:r>
            <w:rPr>
              <w:noProof/>
            </w:rPr>
          </w:r>
          <w:r>
            <w:rPr>
              <w:noProof/>
            </w:rPr>
            <w:fldChar w:fldCharType="separate"/>
          </w:r>
          <w:r>
            <w:rPr>
              <w:noProof/>
              <w:lang w:val="bg-BG"/>
            </w:rPr>
            <w:t>12</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ОТЧЕТ ЗА ПРОМЕНИТЕ В НЕТНИТЕ АКТИВИ НА ЕФР</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49527930 \</w:instrText>
          </w:r>
          <w:r>
            <w:rPr>
              <w:noProof/>
            </w:rPr>
            <w:instrText>h</w:instrText>
          </w:r>
          <w:r>
            <w:rPr>
              <w:noProof/>
              <w:lang w:val="bg-BG"/>
            </w:rPr>
            <w:instrText xml:space="preserve"> </w:instrText>
          </w:r>
          <w:r>
            <w:rPr>
              <w:noProof/>
            </w:rPr>
          </w:r>
          <w:r>
            <w:rPr>
              <w:noProof/>
            </w:rPr>
            <w:fldChar w:fldCharType="separate"/>
          </w:r>
          <w:r>
            <w:rPr>
              <w:noProof/>
              <w:lang w:val="bg-BG"/>
            </w:rPr>
            <w:t>13</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СЧЕТОВОДЕН БАЛАНС — ПО ЕФР</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49527931 \</w:instrText>
          </w:r>
          <w:r>
            <w:rPr>
              <w:noProof/>
            </w:rPr>
            <w:instrText>h</w:instrText>
          </w:r>
          <w:r>
            <w:rPr>
              <w:noProof/>
              <w:lang w:val="bg-BG"/>
            </w:rPr>
            <w:instrText xml:space="preserve"> </w:instrText>
          </w:r>
          <w:r>
            <w:rPr>
              <w:noProof/>
            </w:rPr>
          </w:r>
          <w:r>
            <w:rPr>
              <w:noProof/>
            </w:rPr>
            <w:fldChar w:fldCharType="separate"/>
          </w:r>
          <w:r>
            <w:rPr>
              <w:noProof/>
              <w:lang w:val="bg-BG"/>
            </w:rPr>
            <w:t>14</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ОТЧЕТ ЗА ФИНАНСОВИЯ РЕЗУЛТАТ ПО ЕФР</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49527932 \</w:instrText>
          </w:r>
          <w:r>
            <w:rPr>
              <w:noProof/>
            </w:rPr>
            <w:instrText>h</w:instrText>
          </w:r>
          <w:r>
            <w:rPr>
              <w:noProof/>
              <w:lang w:val="bg-BG"/>
            </w:rPr>
            <w:instrText xml:space="preserve"> </w:instrText>
          </w:r>
          <w:r>
            <w:rPr>
              <w:noProof/>
            </w:rPr>
          </w:r>
          <w:r>
            <w:rPr>
              <w:noProof/>
            </w:rPr>
            <w:fldChar w:fldCharType="separate"/>
          </w:r>
          <w:r>
            <w:rPr>
              <w:noProof/>
              <w:lang w:val="bg-BG"/>
            </w:rPr>
            <w:t>16</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ОТЧЕТ ЗА ПРОМЕНИТЕ В НЕТНИТЕ АКТИВИ ПО ЕФР</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49527933 \</w:instrText>
          </w:r>
          <w:r>
            <w:rPr>
              <w:noProof/>
            </w:rPr>
            <w:instrText>h</w:instrText>
          </w:r>
          <w:r>
            <w:rPr>
              <w:noProof/>
              <w:lang w:val="bg-BG"/>
            </w:rPr>
            <w:instrText xml:space="preserve"> </w:instrText>
          </w:r>
          <w:r>
            <w:rPr>
              <w:noProof/>
            </w:rPr>
          </w:r>
          <w:r>
            <w:rPr>
              <w:noProof/>
            </w:rPr>
            <w:fldChar w:fldCharType="separate"/>
          </w:r>
          <w:r>
            <w:rPr>
              <w:noProof/>
              <w:lang w:val="bg-BG"/>
            </w:rPr>
            <w:t>17</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БЕЛЕЖКИ КЪМ ФИНАНСОВИТЕ ОТЧЕТИ НА ЕФР</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49527934 \</w:instrText>
          </w:r>
          <w:r>
            <w:rPr>
              <w:noProof/>
            </w:rPr>
            <w:instrText>h</w:instrText>
          </w:r>
          <w:r>
            <w:rPr>
              <w:noProof/>
              <w:lang w:val="bg-BG"/>
            </w:rPr>
            <w:instrText xml:space="preserve"> </w:instrText>
          </w:r>
          <w:r>
            <w:rPr>
              <w:noProof/>
            </w:rPr>
          </w:r>
          <w:r>
            <w:rPr>
              <w:noProof/>
            </w:rPr>
            <w:fldChar w:fldCharType="separate"/>
          </w:r>
          <w:r>
            <w:rPr>
              <w:noProof/>
              <w:lang w:val="bg-BG"/>
            </w:rPr>
            <w:t>20</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bg-BG" w:eastAsia="en-US"/>
            </w:rPr>
          </w:pPr>
          <w:r>
            <w:rPr>
              <w:noProof/>
              <w:lang w:val="bg-BG"/>
            </w:rPr>
            <w:t>ФИНАНСОВИ ОТЧЕТИ НА ДОВЕРИТЕЛНИТЕ ФОНДОВЕ НА ЕС, КОНСОЛИДИРАНИ В ЕФР</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49527935 \</w:instrText>
          </w:r>
          <w:r>
            <w:rPr>
              <w:noProof/>
            </w:rPr>
            <w:instrText>h</w:instrText>
          </w:r>
          <w:r>
            <w:rPr>
              <w:noProof/>
              <w:lang w:val="bg-BG"/>
            </w:rPr>
            <w:instrText xml:space="preserve"> </w:instrText>
          </w:r>
          <w:r>
            <w:rPr>
              <w:noProof/>
            </w:rPr>
          </w:r>
          <w:r>
            <w:rPr>
              <w:noProof/>
            </w:rPr>
            <w:fldChar w:fldCharType="separate"/>
          </w:r>
          <w:r>
            <w:rPr>
              <w:noProof/>
              <w:lang w:val="bg-BG"/>
            </w:rPr>
            <w:t>52</w:t>
          </w:r>
          <w:r>
            <w:rPr>
              <w:noProof/>
            </w:rPr>
            <w:fldChar w:fldCharType="end"/>
          </w:r>
        </w:p>
        <w:p>
          <w:pPr>
            <w:pStyle w:val="TOC2"/>
            <w:tabs>
              <w:tab w:val="right" w:leader="dot" w:pos="9628"/>
            </w:tabs>
            <w:rPr>
              <w:noProof/>
              <w:lang w:val="bg-BG"/>
            </w:rPr>
          </w:pPr>
          <w:r>
            <w:rPr>
              <w:noProof/>
              <w:lang w:val="bg-BG"/>
            </w:rPr>
            <w:t>ФИНАНСОВИ ОТЧЕТИ НА ДОВЕРИТЕЛЕН ФОНД „БЕКУ“ ЗА 2019 Г.</w:t>
          </w:r>
          <w:r>
            <w:rPr>
              <w:noProof/>
              <w:lang w:val="bg-BG"/>
            </w:rPr>
            <w:tab/>
          </w:r>
          <w:r>
            <w:rPr>
              <w:noProof/>
              <w:lang w:val="bg-BG"/>
            </w:rPr>
            <w:fldChar w:fldCharType="begin"/>
          </w:r>
          <w:r>
            <w:rPr>
              <w:noProof/>
              <w:lang w:val="bg-BG"/>
            </w:rPr>
            <w:instrText xml:space="preserve"> PAGEREF _Toc49527936 \h </w:instrText>
          </w:r>
          <w:r>
            <w:rPr>
              <w:noProof/>
              <w:lang w:val="bg-BG"/>
            </w:rPr>
          </w:r>
          <w:r>
            <w:rPr>
              <w:noProof/>
              <w:lang w:val="bg-BG"/>
            </w:rPr>
            <w:fldChar w:fldCharType="separate"/>
          </w:r>
          <w:r>
            <w:rPr>
              <w:noProof/>
              <w:lang w:val="bg-BG"/>
            </w:rPr>
            <w:t>53</w:t>
          </w:r>
          <w:r>
            <w:rPr>
              <w:noProof/>
              <w:lang w:val="bg-BG"/>
            </w:rPr>
            <w:fldChar w:fldCharType="end"/>
          </w:r>
        </w:p>
        <w:p>
          <w:pPr>
            <w:pStyle w:val="TOC2"/>
            <w:tabs>
              <w:tab w:val="right" w:leader="dot" w:pos="9628"/>
            </w:tabs>
            <w:rPr>
              <w:noProof/>
              <w:lang w:val="bg-BG"/>
            </w:rPr>
          </w:pPr>
          <w:r>
            <w:rPr>
              <w:noProof/>
              <w:lang w:val="bg-BG"/>
            </w:rPr>
            <w:t>ФИНАНСОВИ ОТЧЕТИ НА ДОВЕРИТЕЛНИЯ ФОНД НА ЕС ЗА АФРИКА ЗА 2019 Г.</w:t>
          </w:r>
          <w:r>
            <w:rPr>
              <w:noProof/>
              <w:lang w:val="bg-BG"/>
            </w:rPr>
            <w:tab/>
          </w:r>
          <w:r>
            <w:rPr>
              <w:noProof/>
              <w:lang w:val="bg-BG"/>
            </w:rPr>
            <w:fldChar w:fldCharType="begin"/>
          </w:r>
          <w:r>
            <w:rPr>
              <w:noProof/>
              <w:lang w:val="bg-BG"/>
            </w:rPr>
            <w:instrText xml:space="preserve"> PAGEREF _Toc49527940 \h </w:instrText>
          </w:r>
          <w:r>
            <w:rPr>
              <w:noProof/>
              <w:lang w:val="bg-BG"/>
            </w:rPr>
          </w:r>
          <w:r>
            <w:rPr>
              <w:noProof/>
              <w:lang w:val="bg-BG"/>
            </w:rPr>
            <w:fldChar w:fldCharType="separate"/>
          </w:r>
          <w:r>
            <w:rPr>
              <w:noProof/>
              <w:lang w:val="bg-BG"/>
            </w:rPr>
            <w:t>60</w:t>
          </w:r>
          <w:r>
            <w:rPr>
              <w:noProof/>
              <w:lang w:val="bg-BG"/>
            </w:rPr>
            <w:fldChar w:fldCharType="end"/>
          </w:r>
        </w:p>
        <w:p>
          <w:pPr>
            <w:pStyle w:val="TOC1"/>
            <w:tabs>
              <w:tab w:val="right" w:leader="dot" w:pos="9628"/>
            </w:tabs>
            <w:rPr>
              <w:rFonts w:asciiTheme="minorHAnsi" w:eastAsiaTheme="minorEastAsia" w:hAnsiTheme="minorHAnsi" w:cstheme="minorBidi"/>
              <w:noProof/>
              <w:color w:val="auto"/>
              <w:szCs w:val="22"/>
              <w:lang w:val="bg-BG" w:eastAsia="en-US"/>
            </w:rPr>
          </w:pPr>
          <w:r>
            <w:rPr>
              <w:noProof/>
              <w:lang w:val="bg-BG"/>
            </w:rPr>
            <w:t>КОНСОЛИДИРАНИ ФИНАНСОВИ ОТЧЕТИ НА ЕФР И ДОВЕРИТЕЛНИТЕ ФОНДОВЕ НА ЕС</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49527944 \</w:instrText>
          </w:r>
          <w:r>
            <w:rPr>
              <w:noProof/>
            </w:rPr>
            <w:instrText>h</w:instrText>
          </w:r>
          <w:r>
            <w:rPr>
              <w:noProof/>
              <w:lang w:val="bg-BG"/>
            </w:rPr>
            <w:instrText xml:space="preserve"> </w:instrText>
          </w:r>
          <w:r>
            <w:rPr>
              <w:noProof/>
            </w:rPr>
          </w:r>
          <w:r>
            <w:rPr>
              <w:noProof/>
            </w:rPr>
            <w:fldChar w:fldCharType="separate"/>
          </w:r>
          <w:r>
            <w:rPr>
              <w:noProof/>
              <w:lang w:val="bg-BG"/>
            </w:rPr>
            <w:t>68</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КОНСОЛИДИРАН СЧЕТОВОДЕН БАЛАНС</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49527945 \</w:instrText>
          </w:r>
          <w:r>
            <w:rPr>
              <w:noProof/>
            </w:rPr>
            <w:instrText>h</w:instrText>
          </w:r>
          <w:r>
            <w:rPr>
              <w:noProof/>
              <w:lang w:val="bg-BG"/>
            </w:rPr>
            <w:instrText xml:space="preserve"> </w:instrText>
          </w:r>
          <w:r>
            <w:rPr>
              <w:noProof/>
            </w:rPr>
          </w:r>
          <w:r>
            <w:rPr>
              <w:noProof/>
            </w:rPr>
            <w:fldChar w:fldCharType="separate"/>
          </w:r>
          <w:r>
            <w:rPr>
              <w:noProof/>
              <w:lang w:val="bg-BG"/>
            </w:rPr>
            <w:t>69</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КОНСОЛИДИРАН ОТЧЕТ ЗА ФИНАНСОВИЯ РЕЗУЛТАТ</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49527946 \</w:instrText>
          </w:r>
          <w:r>
            <w:rPr>
              <w:noProof/>
            </w:rPr>
            <w:instrText>h</w:instrText>
          </w:r>
          <w:r>
            <w:rPr>
              <w:noProof/>
              <w:lang w:val="bg-BG"/>
            </w:rPr>
            <w:instrText xml:space="preserve"> </w:instrText>
          </w:r>
          <w:r>
            <w:rPr>
              <w:noProof/>
            </w:rPr>
          </w:r>
          <w:r>
            <w:rPr>
              <w:noProof/>
            </w:rPr>
            <w:fldChar w:fldCharType="separate"/>
          </w:r>
          <w:r>
            <w:rPr>
              <w:noProof/>
              <w:lang w:val="bg-BG"/>
            </w:rPr>
            <w:t>70</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КОНСОЛИДИРАН ОТЧЕТ ЗА ПАРИЧНИТЕ ПОТОЦИ</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49527947 \</w:instrText>
          </w:r>
          <w:r>
            <w:rPr>
              <w:noProof/>
            </w:rPr>
            <w:instrText>h</w:instrText>
          </w:r>
          <w:r>
            <w:rPr>
              <w:noProof/>
              <w:lang w:val="bg-BG"/>
            </w:rPr>
            <w:instrText xml:space="preserve"> </w:instrText>
          </w:r>
          <w:r>
            <w:rPr>
              <w:noProof/>
            </w:rPr>
          </w:r>
          <w:r>
            <w:rPr>
              <w:noProof/>
            </w:rPr>
            <w:fldChar w:fldCharType="separate"/>
          </w:r>
          <w:r>
            <w:rPr>
              <w:noProof/>
              <w:lang w:val="bg-BG"/>
            </w:rPr>
            <w:t>71</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bg-BG" w:eastAsia="en-US"/>
            </w:rPr>
          </w:pPr>
          <w:r>
            <w:rPr>
              <w:noProof/>
              <w:lang w:val="bg-BG"/>
            </w:rPr>
            <w:t>КОНСОЛИДИРАН ОТЧЕТ ЗА ПРОМЕНИТЕ В НЕТНИТЕ АКТИВИ</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49527948 \</w:instrText>
          </w:r>
          <w:r>
            <w:rPr>
              <w:noProof/>
            </w:rPr>
            <w:instrText>h</w:instrText>
          </w:r>
          <w:r>
            <w:rPr>
              <w:noProof/>
              <w:lang w:val="bg-BG"/>
            </w:rPr>
            <w:instrText xml:space="preserve"> </w:instrText>
          </w:r>
          <w:r>
            <w:rPr>
              <w:noProof/>
            </w:rPr>
          </w:r>
          <w:r>
            <w:rPr>
              <w:noProof/>
            </w:rPr>
            <w:fldChar w:fldCharType="separate"/>
          </w:r>
          <w:r>
            <w:rPr>
              <w:noProof/>
              <w:lang w:val="bg-BG"/>
            </w:rPr>
            <w:t>72</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bg-BG" w:eastAsia="en-US"/>
            </w:rPr>
          </w:pPr>
          <w:r>
            <w:rPr>
              <w:noProof/>
              <w:lang w:val="bg-BG"/>
            </w:rPr>
            <w:t>ОТЧЕТ ЗА ФИНАНСОВОТО ИЗПЪЛНЕНИЕ НА ЕФР</w:t>
          </w:r>
          <w:r>
            <w:rPr>
              <w:noProof/>
              <w:lang w:val="bg-BG"/>
            </w:rPr>
            <w:tab/>
          </w:r>
          <w:r>
            <w:rPr>
              <w:noProof/>
            </w:rPr>
            <w:fldChar w:fldCharType="begin"/>
          </w:r>
          <w:r>
            <w:rPr>
              <w:noProof/>
              <w:lang w:val="bg-BG"/>
            </w:rPr>
            <w:instrText xml:space="preserve"> </w:instrText>
          </w:r>
          <w:r>
            <w:rPr>
              <w:noProof/>
            </w:rPr>
            <w:instrText>PAGEREF</w:instrText>
          </w:r>
          <w:r>
            <w:rPr>
              <w:noProof/>
              <w:lang w:val="bg-BG"/>
            </w:rPr>
            <w:instrText xml:space="preserve"> _</w:instrText>
          </w:r>
          <w:r>
            <w:rPr>
              <w:noProof/>
            </w:rPr>
            <w:instrText>Toc</w:instrText>
          </w:r>
          <w:r>
            <w:rPr>
              <w:noProof/>
              <w:lang w:val="bg-BG"/>
            </w:rPr>
            <w:instrText>49527949 \</w:instrText>
          </w:r>
          <w:r>
            <w:rPr>
              <w:noProof/>
            </w:rPr>
            <w:instrText>h</w:instrText>
          </w:r>
          <w:r>
            <w:rPr>
              <w:noProof/>
              <w:lang w:val="bg-BG"/>
            </w:rPr>
            <w:instrText xml:space="preserve"> </w:instrText>
          </w:r>
          <w:r>
            <w:rPr>
              <w:noProof/>
            </w:rPr>
          </w:r>
          <w:r>
            <w:rPr>
              <w:noProof/>
            </w:rPr>
            <w:fldChar w:fldCharType="separate"/>
          </w:r>
          <w:r>
            <w:rPr>
              <w:noProof/>
              <w:lang w:val="bg-BG"/>
            </w:rPr>
            <w:t>73</w:t>
          </w:r>
          <w:r>
            <w:rPr>
              <w:noProof/>
            </w:rPr>
            <w:fldChar w:fldCharType="end"/>
          </w:r>
        </w:p>
        <w:p>
          <w:pPr>
            <w:rPr>
              <w:noProof/>
              <w:lang w:val="bg-BG"/>
            </w:rPr>
          </w:pPr>
          <w:r>
            <w:rPr>
              <w:rFonts w:ascii="Verdana" w:hAnsi="Verdana"/>
              <w:caps/>
              <w:noProof/>
              <w:color w:val="016794"/>
              <w:sz w:val="22"/>
              <w:lang w:val="bg-BG"/>
            </w:rPr>
            <w:fldChar w:fldCharType="end"/>
          </w:r>
        </w:p>
      </w:sdtContent>
    </w:sdt>
    <w:p>
      <w:pPr>
        <w:spacing w:before="240" w:after="240"/>
        <w:jc w:val="both"/>
        <w:rPr>
          <w:rFonts w:ascii="Verdana" w:hAnsi="Verdana"/>
          <w:noProof/>
          <w:sz w:val="18"/>
          <w:szCs w:val="18"/>
          <w:lang w:val="bg-BG" w:eastAsia="en-US"/>
        </w:rPr>
      </w:pPr>
    </w:p>
    <w:p>
      <w:pPr>
        <w:spacing w:before="240" w:after="240"/>
        <w:jc w:val="both"/>
        <w:rPr>
          <w:rFonts w:ascii="Verdana" w:hAnsi="Verdana"/>
          <w:noProof/>
          <w:sz w:val="18"/>
          <w:szCs w:val="18"/>
          <w:lang w:val="bg-BG" w:eastAsia="en-US"/>
        </w:rPr>
      </w:pPr>
    </w:p>
    <w:p>
      <w:pPr>
        <w:tabs>
          <w:tab w:val="left" w:pos="907"/>
        </w:tabs>
        <w:spacing w:before="240" w:after="720"/>
        <w:rPr>
          <w:rFonts w:ascii="Verdana" w:hAnsi="Verdana"/>
          <w:b/>
          <w:noProof/>
          <w:color w:val="016794"/>
          <w:sz w:val="40"/>
          <w:szCs w:val="18"/>
          <w:lang w:val="bg-BG" w:eastAsia="en-US"/>
        </w:rPr>
        <w:sectPr>
          <w:headerReference w:type="even" r:id="rId53"/>
          <w:headerReference w:type="default" r:id="rId54"/>
          <w:footerReference w:type="even" r:id="rId55"/>
          <w:footerReference w:type="default" r:id="rId56"/>
          <w:headerReference w:type="first" r:id="rId57"/>
          <w:footerReference w:type="first" r:id="rId58"/>
          <w:pgSz w:w="11906" w:h="16838" w:code="9"/>
          <w:pgMar w:top="1134" w:right="1134" w:bottom="1134" w:left="1134" w:header="709" w:footer="709" w:gutter="0"/>
          <w:cols w:space="708"/>
          <w:docGrid w:linePitch="360"/>
        </w:sect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pStyle w:val="FIRSTCHAPTERPAGE1"/>
        <w:rPr>
          <w:lang w:val="bg-BG"/>
        </w:rPr>
      </w:pPr>
      <w:bookmarkStart w:id="12" w:name="_Toc49527804"/>
      <w:bookmarkStart w:id="13" w:name="_Toc49527926"/>
      <w:r>
        <w:rPr>
          <w:lang w:val="bg-BG"/>
        </w:rPr>
        <w:t>ФИНАНСОВИ ОТЧЕТИ НА ЕФР</w:t>
      </w:r>
      <w:bookmarkEnd w:id="12"/>
      <w:bookmarkEnd w:id="13"/>
    </w:p>
    <w:p>
      <w:pPr>
        <w:spacing w:before="240" w:after="720"/>
        <w:rPr>
          <w:rFonts w:ascii="Verdana" w:hAnsi="Verdana"/>
          <w:b/>
          <w:noProof/>
          <w:color w:val="016794"/>
          <w:sz w:val="40"/>
          <w:szCs w:val="40"/>
          <w:lang w:val="bg-BG"/>
        </w:rPr>
      </w:pPr>
    </w:p>
    <w:p>
      <w:pPr>
        <w:spacing w:before="240" w:after="720"/>
        <w:rPr>
          <w:rFonts w:ascii="Verdana" w:hAnsi="Verdana"/>
          <w:b/>
          <w:noProof/>
          <w:color w:val="016794"/>
          <w:sz w:val="40"/>
          <w:szCs w:val="40"/>
          <w:lang w:val="bg-BG"/>
        </w:rPr>
      </w:pPr>
    </w:p>
    <w:p>
      <w:pPr>
        <w:spacing w:before="240" w:after="720"/>
        <w:rPr>
          <w:rFonts w:ascii="Verdana" w:hAnsi="Verdana"/>
          <w:b/>
          <w:noProof/>
          <w:color w:val="016794"/>
          <w:sz w:val="40"/>
          <w:szCs w:val="40"/>
          <w:lang w:val="bg-BG"/>
        </w:rPr>
      </w:pPr>
    </w:p>
    <w:p>
      <w:pPr>
        <w:spacing w:before="240" w:after="720"/>
        <w:rPr>
          <w:rFonts w:ascii="Verdana" w:hAnsi="Verdana"/>
          <w:b/>
          <w:noProof/>
          <w:color w:val="016794"/>
          <w:sz w:val="40"/>
          <w:szCs w:val="40"/>
          <w:lang w:val="bg-BG"/>
        </w:rPr>
      </w:pPr>
    </w:p>
    <w:p>
      <w:pPr>
        <w:spacing w:before="240" w:after="720"/>
        <w:rPr>
          <w:rFonts w:ascii="Verdana" w:hAnsi="Verdana"/>
          <w:b/>
          <w:noProof/>
          <w:color w:val="016794"/>
          <w:sz w:val="40"/>
          <w:szCs w:val="40"/>
          <w:lang w:val="bg-BG"/>
        </w:rPr>
      </w:pPr>
    </w:p>
    <w:p>
      <w:pPr>
        <w:rPr>
          <w:rFonts w:ascii="Verdana" w:hAnsi="Verdana"/>
          <w:i/>
          <w:noProof/>
          <w:color w:val="016794"/>
          <w:sz w:val="18"/>
          <w:lang w:val="bg-BG"/>
        </w:rPr>
      </w:pPr>
    </w:p>
    <w:p>
      <w:pPr>
        <w:rPr>
          <w:rFonts w:ascii="Verdana" w:hAnsi="Verdana"/>
          <w:i/>
          <w:noProof/>
          <w:color w:val="016794"/>
          <w:sz w:val="18"/>
          <w:lang w:val="bg-BG"/>
        </w:rPr>
      </w:pPr>
      <w:r>
        <w:rPr>
          <w:rFonts w:ascii="Verdana" w:hAnsi="Verdana"/>
          <w:i/>
          <w:noProof/>
          <w:color w:val="016794"/>
          <w:sz w:val="18"/>
          <w:lang w:val="bg-BG"/>
        </w:rPr>
        <w:t>Следва да се отбележи, че поради закръглянето на цифрите в милиони евро някои финансови данни в таблиците по-долу може да изглеждат грешни.</w:t>
      </w:r>
    </w:p>
    <w:p>
      <w:pPr>
        <w:rPr>
          <w:rFonts w:ascii="Verdana" w:hAnsi="Verdana"/>
          <w:i/>
          <w:noProof/>
          <w:color w:val="016794"/>
          <w:sz w:val="18"/>
          <w:lang w:val="bg-BG"/>
        </w:rPr>
        <w:sectPr>
          <w:headerReference w:type="even" r:id="rId59"/>
          <w:headerReference w:type="default" r:id="rId60"/>
          <w:footerReference w:type="even" r:id="rId61"/>
          <w:footerReference w:type="default" r:id="rId62"/>
          <w:headerReference w:type="first" r:id="rId63"/>
          <w:footerReference w:type="first" r:id="rId64"/>
          <w:pgSz w:w="11906" w:h="16838" w:code="9"/>
          <w:pgMar w:top="1134" w:right="1134" w:bottom="1134" w:left="1134" w:header="709" w:footer="709" w:gutter="0"/>
          <w:cols w:space="708"/>
          <w:docGrid w:linePitch="360"/>
        </w:sectPr>
      </w:pPr>
    </w:p>
    <w:p>
      <w:pPr>
        <w:pStyle w:val="HEADERTITLE1"/>
        <w:rPr>
          <w:lang w:val="bg-BG"/>
        </w:rPr>
      </w:pPr>
      <w:bookmarkStart w:id="14" w:name="_Toc34838958"/>
      <w:bookmarkStart w:id="15" w:name="_Toc49527927"/>
      <w:r>
        <w:rPr>
          <w:lang w:val="bg-BG"/>
        </w:rPr>
        <w:t>СЧЕТОВОДЕН БАЛАНС НА ЕФР</w:t>
      </w:r>
      <w:bookmarkEnd w:id="14"/>
      <w:bookmarkEnd w:id="15"/>
    </w:p>
    <w:tbl>
      <w:tblPr>
        <w:tblW w:w="1051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5"/>
        <w:gridCol w:w="1121"/>
        <w:gridCol w:w="1556"/>
        <w:gridCol w:w="1556"/>
      </w:tblGrid>
      <w:tr>
        <w:trPr>
          <w:trHeight w:hRule="exact" w:val="255"/>
        </w:trPr>
        <w:tc>
          <w:tcPr>
            <w:tcW w:w="6285" w:type="dxa"/>
            <w:tcBorders>
              <w:top w:val="nil"/>
              <w:left w:val="nil"/>
              <w:bottom w:val="nil"/>
              <w:right w:val="nil"/>
              <w:tl2br w:val="nil"/>
              <w:tr2bl w:val="nil"/>
            </w:tcBorders>
            <w:shd w:val="clear" w:color="auto" w:fill="auto"/>
            <w:tcMar>
              <w:left w:w="60" w:type="dxa"/>
              <w:right w:w="60" w:type="dxa"/>
            </w:tcMar>
            <w:vAlign w:val="bottom"/>
          </w:tcPr>
          <w:p>
            <w:pPr>
              <w:rPr>
                <w:rFonts w:ascii="Arial" w:eastAsia="Arial" w:hAnsi="Arial" w:cs="Arial"/>
                <w:noProof/>
                <w:color w:val="000000"/>
                <w:sz w:val="20"/>
                <w:szCs w:val="20"/>
                <w:lang w:val="bg-BG"/>
              </w:rPr>
            </w:pPr>
            <w:bookmarkStart w:id="16" w:name="DOC_TBL00005_1_1"/>
            <w:bookmarkEnd w:id="16"/>
          </w:p>
        </w:tc>
        <w:tc>
          <w:tcPr>
            <w:tcW w:w="1121" w:type="dxa"/>
            <w:tcBorders>
              <w:top w:val="nil"/>
              <w:left w:val="nil"/>
              <w:bottom w:val="nil"/>
              <w:right w:val="nil"/>
              <w:tl2br w:val="nil"/>
              <w:tr2bl w:val="nil"/>
            </w:tcBorders>
            <w:shd w:val="clear" w:color="auto" w:fill="auto"/>
            <w:tcMar>
              <w:left w:w="60" w:type="dxa"/>
              <w:right w:w="60" w:type="dxa"/>
            </w:tcMar>
            <w:vAlign w:val="bottom"/>
          </w:tcPr>
          <w:p>
            <w:pPr>
              <w:jc w:val="center"/>
              <w:rPr>
                <w:rFonts w:ascii="Arial" w:eastAsia="Arial" w:hAnsi="Arial" w:cs="Arial"/>
                <w:noProof/>
                <w:color w:val="000000"/>
                <w:sz w:val="20"/>
                <w:szCs w:val="20"/>
                <w:lang w:val="bg-BG"/>
              </w:rPr>
            </w:pPr>
          </w:p>
        </w:tc>
        <w:tc>
          <w:tcPr>
            <w:tcW w:w="1556" w:type="dxa"/>
            <w:tcBorders>
              <w:top w:val="nil"/>
              <w:left w:val="nil"/>
              <w:bottom w:val="nil"/>
              <w:right w:val="nil"/>
              <w:tl2br w:val="nil"/>
              <w:tr2bl w:val="nil"/>
            </w:tcBorders>
            <w:shd w:val="clear" w:color="auto" w:fill="auto"/>
            <w:tcMar>
              <w:left w:w="60" w:type="dxa"/>
              <w:right w:w="60" w:type="dxa"/>
            </w:tcMar>
            <w:vAlign w:val="bottom"/>
          </w:tcPr>
          <w:p>
            <w:pPr>
              <w:jc w:val="right"/>
              <w:rPr>
                <w:rFonts w:ascii="Arial" w:eastAsia="Arial" w:hAnsi="Arial" w:cs="Arial"/>
                <w:noProof/>
                <w:color w:val="000000"/>
                <w:sz w:val="20"/>
                <w:szCs w:val="20"/>
                <w:lang w:val="bg-BG"/>
              </w:rPr>
            </w:pPr>
          </w:p>
        </w:tc>
        <w:tc>
          <w:tcPr>
            <w:tcW w:w="155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милиони евро</w:t>
            </w:r>
          </w:p>
        </w:tc>
      </w:tr>
      <w:tr>
        <w:trPr>
          <w:trHeight w:hRule="exact" w:val="238"/>
        </w:trPr>
        <w:tc>
          <w:tcPr>
            <w:tcW w:w="6285"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p>
        </w:tc>
        <w:tc>
          <w:tcPr>
            <w:tcW w:w="1121"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1556"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556"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НЕТЕКУЩИ АКТИВИ</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активи</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2.1</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36</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Предварително финансиране</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2.2</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910</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887</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Вноски за доверителния фонд</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2.3</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266</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201</w:t>
            </w:r>
          </w:p>
        </w:tc>
      </w:tr>
      <w:tr>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1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1 213</w:t>
            </w:r>
          </w:p>
        </w:tc>
        <w:tc>
          <w:tcPr>
            <w:tcW w:w="15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1 088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ТЕКУЩИ АКТИВИ</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Предварително финансиране</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2.2</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1 288</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1 448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Вземания по операции с размяна и средства, подлежащи на събиране, по операции без размяна</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2.4</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123</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Пари и парични еквиваленти </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2.5</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1 179</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387</w:t>
            </w:r>
          </w:p>
        </w:tc>
      </w:tr>
      <w:tr>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121" w:type="dxa"/>
            <w:tcBorders>
              <w:top w:val="single" w:sz="4" w:space="0" w:color="016794"/>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2 590</w:t>
            </w:r>
          </w:p>
        </w:tc>
        <w:tc>
          <w:tcPr>
            <w:tcW w:w="1556"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1 973</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АКТИВИ</w:t>
            </w:r>
          </w:p>
        </w:tc>
        <w:tc>
          <w:tcPr>
            <w:tcW w:w="1121"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3 803</w:t>
            </w:r>
          </w:p>
        </w:tc>
        <w:tc>
          <w:tcPr>
            <w:tcW w:w="155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3 061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rPr>
            </w:pP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НЕТЕКУЩИ ПАСИВИ</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пасиви</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2.6</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(19)</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w:t>
            </w:r>
          </w:p>
        </w:tc>
      </w:tr>
      <w:tr>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1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(19)</w:t>
            </w:r>
          </w:p>
        </w:tc>
        <w:tc>
          <w:tcPr>
            <w:tcW w:w="15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ТЕКУЩИ ПАСИВИ</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Задължения</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2.7</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(516)</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(241)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Начислени разходи и приходи за бъдещи периоди</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2.8</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(1 319)</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(1 281)</w:t>
            </w:r>
          </w:p>
        </w:tc>
      </w:tr>
      <w:tr>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121" w:type="dxa"/>
            <w:tcBorders>
              <w:top w:val="single" w:sz="4" w:space="0" w:color="016794"/>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(1 835)</w:t>
            </w:r>
          </w:p>
        </w:tc>
        <w:tc>
          <w:tcPr>
            <w:tcW w:w="1556"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(1 523)</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ПАСИВИ</w:t>
            </w:r>
          </w:p>
        </w:tc>
        <w:tc>
          <w:tcPr>
            <w:tcW w:w="1121"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(1 854)</w:t>
            </w:r>
          </w:p>
        </w:tc>
        <w:tc>
          <w:tcPr>
            <w:tcW w:w="155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(1 540)</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rPr>
            </w:pP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АКТИВИ</w:t>
            </w:r>
          </w:p>
        </w:tc>
        <w:tc>
          <w:tcPr>
            <w:tcW w:w="1121"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1 948</w:t>
            </w:r>
          </w:p>
        </w:tc>
        <w:tc>
          <w:tcPr>
            <w:tcW w:w="155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1 521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rPr>
            </w:pP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ФОНДОВЕ И РЕЗЕРВИ</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Резерв по справедлива стойност</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2.9</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Поискан капитал на фонда — активни ЕФР</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2.10</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54 809</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50 423</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Поискан капитал на фонда от пренесени закрити ЕФР</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2.10</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2 252</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2 252</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пренесен от предходни години</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(51 155)</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(47 037)</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121" w:type="dxa"/>
            <w:tcBorders>
              <w:top w:val="nil"/>
              <w:left w:val="nil"/>
              <w:bottom w:val="nil"/>
              <w:right w:val="nil"/>
              <w:tl2br w:val="nil"/>
              <w:tr2bl w:val="nil"/>
            </w:tcBorders>
            <w:shd w:val="solid" w:color="FFFFFF" w:fill="FFFFFF"/>
            <w:tcMar>
              <w:left w:w="60" w:type="dxa"/>
              <w:right w:w="60" w:type="dxa"/>
            </w:tcMar>
            <w:vAlign w:val="center"/>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(3 956)</w:t>
            </w:r>
          </w:p>
        </w:tc>
        <w:tc>
          <w:tcPr>
            <w:tcW w:w="155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(4 118)</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АКТИВИ</w:t>
            </w:r>
          </w:p>
        </w:tc>
        <w:tc>
          <w:tcPr>
            <w:tcW w:w="1121"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noProof/>
                <w:color w:val="000000"/>
                <w:sz w:val="18"/>
                <w:szCs w:val="20"/>
                <w:lang w:val="bg-BG"/>
              </w:rPr>
            </w:pPr>
          </w:p>
        </w:tc>
        <w:tc>
          <w:tcPr>
            <w:tcW w:w="155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1 948</w:t>
            </w:r>
          </w:p>
        </w:tc>
        <w:tc>
          <w:tcPr>
            <w:tcW w:w="155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1 521</w:t>
            </w:r>
          </w:p>
        </w:tc>
      </w:tr>
    </w:tbl>
    <w:p>
      <w:pPr>
        <w:tabs>
          <w:tab w:val="left" w:pos="907"/>
        </w:tabs>
        <w:spacing w:after="240"/>
        <w:rPr>
          <w:rFonts w:ascii="Verdana" w:hAnsi="Verdana"/>
          <w:b/>
          <w:noProof/>
          <w:color w:val="016794"/>
          <w:sz w:val="28"/>
          <w:szCs w:val="18"/>
          <w:lang w:val="bg-BG" w:eastAsia="en-US"/>
        </w:rPr>
      </w:pPr>
    </w:p>
    <w:p>
      <w:pPr>
        <w:spacing w:before="240" w:after="240"/>
        <w:jc w:val="both"/>
        <w:rPr>
          <w:rFonts w:ascii="Verdana" w:hAnsi="Verdana"/>
          <w:noProof/>
          <w:sz w:val="18"/>
          <w:szCs w:val="18"/>
          <w:lang w:val="bg-BG" w:eastAsia="en-US"/>
        </w:rPr>
      </w:pPr>
    </w:p>
    <w:p>
      <w:pPr>
        <w:spacing w:before="240" w:after="240"/>
        <w:jc w:val="both"/>
        <w:rPr>
          <w:rFonts w:ascii="Verdana" w:hAnsi="Verdana"/>
          <w:noProof/>
          <w:sz w:val="18"/>
          <w:szCs w:val="18"/>
          <w:lang w:val="bg-BG" w:eastAsia="en-US"/>
        </w:rPr>
        <w:sectPr>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pPr>
        <w:pStyle w:val="HEADERTITLE1"/>
        <w:rPr>
          <w:lang w:val="bg-BG"/>
        </w:rPr>
      </w:pPr>
      <w:bookmarkStart w:id="17" w:name="_Toc34838959"/>
      <w:bookmarkStart w:id="18" w:name="_Toc49527928"/>
      <w:r>
        <w:rPr>
          <w:lang w:val="bg-BG"/>
        </w:rPr>
        <w:t>ОТЧЕТ ЗА ФИНАНСОВИЯ РЕЗУЛТАТ НА ЕФР</w:t>
      </w:r>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1128"/>
        <w:gridCol w:w="1716"/>
        <w:gridCol w:w="1282"/>
      </w:tblGrid>
      <w:tr>
        <w:trPr>
          <w:trHeight w:hRule="exact" w:val="300"/>
        </w:trPr>
        <w:tc>
          <w:tcPr>
            <w:tcW w:w="5632" w:type="dxa"/>
            <w:tcBorders>
              <w:top w:val="nil"/>
              <w:left w:val="nil"/>
              <w:bottom w:val="nil"/>
              <w:right w:val="nil"/>
              <w:tl2br w:val="nil"/>
              <w:tr2bl w:val="nil"/>
            </w:tcBorders>
            <w:shd w:val="clear" w:color="auto" w:fill="auto"/>
            <w:tcMar>
              <w:left w:w="60" w:type="dxa"/>
              <w:right w:w="60" w:type="dxa"/>
            </w:tcMar>
            <w:vAlign w:val="bottom"/>
          </w:tcPr>
          <w:p>
            <w:pPr>
              <w:rPr>
                <w:rFonts w:ascii="Arial" w:eastAsia="Arial" w:hAnsi="Arial" w:cs="Arial"/>
                <w:noProof/>
                <w:color w:val="000000"/>
                <w:sz w:val="20"/>
                <w:szCs w:val="20"/>
                <w:lang w:val="bg-BG"/>
              </w:rPr>
            </w:pPr>
            <w:bookmarkStart w:id="19" w:name="DOC_TBL00001_1_1"/>
            <w:bookmarkEnd w:id="19"/>
          </w:p>
        </w:tc>
        <w:tc>
          <w:tcPr>
            <w:tcW w:w="1128" w:type="dxa"/>
            <w:tcBorders>
              <w:top w:val="nil"/>
              <w:left w:val="nil"/>
              <w:bottom w:val="nil"/>
              <w:right w:val="nil"/>
              <w:tl2br w:val="nil"/>
              <w:tr2bl w:val="nil"/>
            </w:tcBorders>
            <w:shd w:val="clear" w:color="auto" w:fill="auto"/>
            <w:tcMar>
              <w:left w:w="60" w:type="dxa"/>
              <w:right w:w="60" w:type="dxa"/>
            </w:tcMar>
            <w:vAlign w:val="bottom"/>
          </w:tcPr>
          <w:p>
            <w:pPr>
              <w:jc w:val="center"/>
              <w:rPr>
                <w:rFonts w:ascii="Arial" w:eastAsia="Arial" w:hAnsi="Arial" w:cs="Arial"/>
                <w:noProof/>
                <w:color w:val="000000"/>
                <w:sz w:val="20"/>
                <w:szCs w:val="20"/>
                <w:lang w:val="bg-BG"/>
              </w:rPr>
            </w:pPr>
          </w:p>
        </w:tc>
        <w:tc>
          <w:tcPr>
            <w:tcW w:w="1716" w:type="dxa"/>
            <w:tcBorders>
              <w:top w:val="nil"/>
              <w:left w:val="nil"/>
              <w:bottom w:val="nil"/>
              <w:right w:val="nil"/>
              <w:tl2br w:val="nil"/>
              <w:tr2bl w:val="nil"/>
            </w:tcBorders>
            <w:shd w:val="clear" w:color="auto" w:fill="auto"/>
            <w:tcMar>
              <w:left w:w="60" w:type="dxa"/>
              <w:right w:w="60" w:type="dxa"/>
            </w:tcMar>
            <w:vAlign w:val="bottom"/>
          </w:tcPr>
          <w:p>
            <w:pPr>
              <w:jc w:val="right"/>
              <w:rPr>
                <w:rFonts w:ascii="Arial" w:eastAsia="Arial" w:hAnsi="Arial" w:cs="Arial"/>
                <w:noProof/>
                <w:color w:val="000000"/>
                <w:sz w:val="20"/>
                <w:szCs w:val="20"/>
                <w:lang w:val="bg-BG"/>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милиони евро</w:t>
            </w:r>
          </w:p>
        </w:tc>
      </w:tr>
      <w:tr>
        <w:trPr>
          <w:trHeight w:hRule="exact" w:val="338"/>
        </w:trPr>
        <w:tc>
          <w:tcPr>
            <w:tcW w:w="5632"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p>
        </w:tc>
        <w:tc>
          <w:tcPr>
            <w:tcW w:w="1128"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1716"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282"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w:t>
            </w:r>
          </w:p>
        </w:tc>
        <w:tc>
          <w:tcPr>
            <w:tcW w:w="112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 от операции без размяна</w:t>
            </w:r>
          </w:p>
        </w:tc>
        <w:tc>
          <w:tcPr>
            <w:tcW w:w="1128"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3.1</w:t>
            </w:r>
          </w:p>
        </w:tc>
        <w:tc>
          <w:tcPr>
            <w:tcW w:w="171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Дейности по събиране</w:t>
            </w:r>
          </w:p>
        </w:tc>
        <w:tc>
          <w:tcPr>
            <w:tcW w:w="112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28</w:t>
            </w:r>
          </w:p>
        </w:tc>
        <w:tc>
          <w:tcPr>
            <w:tcW w:w="128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r>
      <w:tr>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noProof/>
                <w:color w:val="000000"/>
                <w:sz w:val="18"/>
                <w:szCs w:val="20"/>
                <w:lang w:val="bg-BG"/>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28</w:t>
            </w: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 от операции с размяна</w:t>
            </w:r>
          </w:p>
        </w:tc>
        <w:tc>
          <w:tcPr>
            <w:tcW w:w="1128"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3.2</w:t>
            </w:r>
          </w:p>
        </w:tc>
        <w:tc>
          <w:tcPr>
            <w:tcW w:w="171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приходи</w:t>
            </w:r>
          </w:p>
        </w:tc>
        <w:tc>
          <w:tcPr>
            <w:tcW w:w="112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128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10</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 приходи</w:t>
            </w:r>
          </w:p>
        </w:tc>
        <w:tc>
          <w:tcPr>
            <w:tcW w:w="112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39</w:t>
            </w:r>
          </w:p>
        </w:tc>
        <w:tc>
          <w:tcPr>
            <w:tcW w:w="128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46</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noProof/>
                <w:color w:val="000000"/>
                <w:sz w:val="18"/>
                <w:szCs w:val="20"/>
                <w:lang w:val="bg-BG"/>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46</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57</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приходи</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noProof/>
                <w:color w:val="000000"/>
                <w:sz w:val="18"/>
                <w:szCs w:val="20"/>
                <w:lang w:val="bg-BG"/>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74</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60</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РАЗХОДИ</w:t>
            </w:r>
          </w:p>
        </w:tc>
        <w:tc>
          <w:tcPr>
            <w:tcW w:w="112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Инструменти за помощ</w:t>
            </w:r>
          </w:p>
        </w:tc>
        <w:tc>
          <w:tcPr>
            <w:tcW w:w="112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3.3</w:t>
            </w:r>
          </w:p>
        </w:tc>
        <w:tc>
          <w:tcPr>
            <w:tcW w:w="171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(3 755)</w:t>
            </w:r>
          </w:p>
        </w:tc>
        <w:tc>
          <w:tcPr>
            <w:tcW w:w="128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(4 054)</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Разходи за съфинансиране</w:t>
            </w:r>
          </w:p>
        </w:tc>
        <w:tc>
          <w:tcPr>
            <w:tcW w:w="112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3.4</w:t>
            </w:r>
          </w:p>
        </w:tc>
        <w:tc>
          <w:tcPr>
            <w:tcW w:w="171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(14)</w:t>
            </w:r>
          </w:p>
        </w:tc>
        <w:tc>
          <w:tcPr>
            <w:tcW w:w="128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17</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разходи</w:t>
            </w:r>
          </w:p>
        </w:tc>
        <w:tc>
          <w:tcPr>
            <w:tcW w:w="112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3.5</w:t>
            </w:r>
          </w:p>
        </w:tc>
        <w:tc>
          <w:tcPr>
            <w:tcW w:w="171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28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 разходи</w:t>
            </w:r>
          </w:p>
        </w:tc>
        <w:tc>
          <w:tcPr>
            <w:tcW w:w="112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3.6</w:t>
            </w:r>
          </w:p>
        </w:tc>
        <w:tc>
          <w:tcPr>
            <w:tcW w:w="171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(260)</w:t>
            </w:r>
          </w:p>
        </w:tc>
        <w:tc>
          <w:tcPr>
            <w:tcW w:w="128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(148)</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разходи</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(4 030)</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(4 178)</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p>
        </w:tc>
        <w:tc>
          <w:tcPr>
            <w:tcW w:w="112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hRule="exact" w:val="225"/>
        </w:trPr>
        <w:tc>
          <w:tcPr>
            <w:tcW w:w="5632"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ИКОНОМИЧЕСКИ РЕЗУЛТАТ ЗА ГОДИНАТА</w:t>
            </w:r>
          </w:p>
        </w:tc>
        <w:tc>
          <w:tcPr>
            <w:tcW w:w="1128"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71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(3 956)</w:t>
            </w:r>
          </w:p>
        </w:tc>
        <w:tc>
          <w:tcPr>
            <w:tcW w:w="128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(4 118)</w:t>
            </w:r>
          </w:p>
        </w:tc>
      </w:tr>
    </w:tbl>
    <w:p>
      <w:pPr>
        <w:tabs>
          <w:tab w:val="left" w:pos="907"/>
        </w:tabs>
        <w:spacing w:after="240"/>
        <w:rPr>
          <w:rFonts w:ascii="Verdana" w:hAnsi="Verdana"/>
          <w:b/>
          <w:noProof/>
          <w:color w:val="016794"/>
          <w:sz w:val="28"/>
          <w:szCs w:val="18"/>
          <w:lang w:val="bg-BG" w:eastAsia="en-US"/>
        </w:rPr>
      </w:pPr>
    </w:p>
    <w:p>
      <w:pPr>
        <w:spacing w:before="240" w:after="240"/>
        <w:jc w:val="both"/>
        <w:rPr>
          <w:rFonts w:ascii="Verdana" w:hAnsi="Verdana"/>
          <w:noProof/>
          <w:sz w:val="18"/>
          <w:szCs w:val="18"/>
          <w:lang w:val="bg-BG" w:eastAsia="en-US"/>
        </w:rPr>
      </w:pPr>
    </w:p>
    <w:p>
      <w:pPr>
        <w:spacing w:before="240" w:after="240"/>
        <w:jc w:val="both"/>
        <w:rPr>
          <w:rFonts w:ascii="Verdana" w:hAnsi="Verdana"/>
          <w:noProof/>
          <w:sz w:val="18"/>
          <w:szCs w:val="18"/>
          <w:lang w:val="bg-BG" w:eastAsia="en-US"/>
        </w:rPr>
      </w:pPr>
    </w:p>
    <w:p>
      <w:pPr>
        <w:spacing w:before="240" w:after="240"/>
        <w:jc w:val="both"/>
        <w:rPr>
          <w:rFonts w:ascii="Verdana" w:hAnsi="Verdana"/>
          <w:noProof/>
          <w:sz w:val="18"/>
          <w:szCs w:val="18"/>
          <w:lang w:val="bg-BG" w:eastAsia="en-US"/>
        </w:rPr>
        <w:sectPr>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pPr>
        <w:pStyle w:val="HEADERTITLE1"/>
        <w:rPr>
          <w:lang w:val="bg-BG"/>
        </w:rPr>
      </w:pPr>
      <w:bookmarkStart w:id="20" w:name="_Toc34838960"/>
      <w:bookmarkStart w:id="21" w:name="_Toc49527929"/>
      <w:r>
        <w:rPr>
          <w:lang w:val="bg-BG"/>
        </w:rPr>
        <w:t>ОТЧЕТ ЗА ПАРИЧНИТЕ ПОТОЦИ НА ЕФР</w:t>
      </w:r>
      <w:bookmarkEnd w:id="20"/>
      <w:bookmarkEnd w:id="21"/>
    </w:p>
    <w:tbl>
      <w:tblPr>
        <w:tblW w:w="54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1"/>
        <w:gridCol w:w="1180"/>
        <w:gridCol w:w="1087"/>
        <w:gridCol w:w="1090"/>
      </w:tblGrid>
      <w:tr>
        <w:trPr>
          <w:trHeight w:val="255"/>
        </w:trPr>
        <w:tc>
          <w:tcPr>
            <w:tcW w:w="10642" w:type="dxa"/>
            <w:gridSpan w:val="4"/>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6"/>
                <w:szCs w:val="20"/>
                <w:lang w:val="bg-BG"/>
              </w:rPr>
            </w:pPr>
            <w:bookmarkStart w:id="22" w:name="DOC_TBL00002_1_1"/>
            <w:bookmarkEnd w:id="22"/>
            <w:r>
              <w:rPr>
                <w:rFonts w:ascii="Verdana" w:eastAsia="Calibri" w:hAnsi="Verdana"/>
                <w:i/>
                <w:noProof/>
                <w:color w:val="000000"/>
                <w:sz w:val="16"/>
                <w:szCs w:val="20"/>
                <w:lang w:val="bg-BG"/>
              </w:rPr>
              <w:t>милиони евро</w:t>
            </w:r>
          </w:p>
        </w:tc>
      </w:tr>
      <w:tr>
        <w:trPr>
          <w:trHeight w:val="380"/>
        </w:trPr>
        <w:tc>
          <w:tcPr>
            <w:tcW w:w="7290"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p>
        </w:tc>
        <w:tc>
          <w:tcPr>
            <w:tcW w:w="1180"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1087"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090"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(3 956)</w:t>
            </w:r>
          </w:p>
        </w:tc>
        <w:tc>
          <w:tcPr>
            <w:tcW w:w="109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(4 118)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Оперативни дейности</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0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 на капитала — вноски (нето)</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4 385</w:t>
            </w:r>
          </w:p>
        </w:tc>
        <w:tc>
          <w:tcPr>
            <w:tcW w:w="10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4 250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вноските в доверителните фондове</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(65)</w:t>
            </w:r>
          </w:p>
        </w:tc>
        <w:tc>
          <w:tcPr>
            <w:tcW w:w="10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предварителното финансиране</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136</w:t>
            </w:r>
          </w:p>
        </w:tc>
        <w:tc>
          <w:tcPr>
            <w:tcW w:w="10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(235)</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вземанията по операции с размяна и на средствата, подлежащи на събиране, по операции без размяна</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15</w:t>
            </w:r>
          </w:p>
        </w:tc>
        <w:tc>
          <w:tcPr>
            <w:tcW w:w="109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(46)</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провизиите</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0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финансовите пасиви</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0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задълженията</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275</w:t>
            </w:r>
          </w:p>
        </w:tc>
        <w:tc>
          <w:tcPr>
            <w:tcW w:w="10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(322)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начислените разходи и приходите за бъдещи периоди</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37</w:t>
            </w:r>
          </w:p>
        </w:tc>
        <w:tc>
          <w:tcPr>
            <w:tcW w:w="10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548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 непарични движения</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0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Инвестиционни дейности</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0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(Увеличение)/намаление на финансовите активи на разположение за продажба </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(36)</w:t>
            </w:r>
          </w:p>
        </w:tc>
        <w:tc>
          <w:tcPr>
            <w:tcW w:w="109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ПАРИЧНИ ПОТОЦИ</w:t>
            </w:r>
          </w:p>
        </w:tc>
        <w:tc>
          <w:tcPr>
            <w:tcW w:w="1180"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792</w:t>
            </w:r>
          </w:p>
        </w:tc>
        <w:tc>
          <w:tcPr>
            <w:tcW w:w="1090"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i/>
                <w:noProof/>
                <w:color w:val="000000"/>
                <w:sz w:val="18"/>
                <w:szCs w:val="20"/>
                <w:lang w:val="bg-BG"/>
              </w:rPr>
            </w:pP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b/>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0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Нетно увеличение/(намаление) на парите и паричните еквиваленти</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792</w:t>
            </w:r>
          </w:p>
        </w:tc>
        <w:tc>
          <w:tcPr>
            <w:tcW w:w="109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Пари и парични еквиваленти в началото на годината</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2.5</w:t>
            </w:r>
          </w:p>
        </w:tc>
        <w:tc>
          <w:tcPr>
            <w:tcW w:w="108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387</w:t>
            </w:r>
          </w:p>
        </w:tc>
        <w:tc>
          <w:tcPr>
            <w:tcW w:w="109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347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Пари и парични еквиваленти в края на годината</w:t>
            </w:r>
          </w:p>
        </w:tc>
        <w:tc>
          <w:tcPr>
            <w:tcW w:w="1180"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2.5</w:t>
            </w:r>
          </w:p>
        </w:tc>
        <w:tc>
          <w:tcPr>
            <w:tcW w:w="108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1 179</w:t>
            </w:r>
          </w:p>
        </w:tc>
        <w:tc>
          <w:tcPr>
            <w:tcW w:w="109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387</w:t>
            </w:r>
          </w:p>
        </w:tc>
      </w:tr>
    </w:tbl>
    <w:p>
      <w:pPr>
        <w:tabs>
          <w:tab w:val="left" w:pos="907"/>
        </w:tabs>
        <w:spacing w:after="240"/>
        <w:rPr>
          <w:rFonts w:ascii="Verdana" w:hAnsi="Verdana"/>
          <w:b/>
          <w:noProof/>
          <w:color w:val="016794"/>
          <w:sz w:val="28"/>
          <w:szCs w:val="18"/>
          <w:lang w:val="bg-BG" w:eastAsia="en-US"/>
        </w:rPr>
      </w:pPr>
    </w:p>
    <w:p>
      <w:pPr>
        <w:spacing w:before="240" w:after="240"/>
        <w:jc w:val="both"/>
        <w:rPr>
          <w:rFonts w:ascii="Verdana" w:hAnsi="Verdana"/>
          <w:noProof/>
          <w:sz w:val="18"/>
          <w:szCs w:val="18"/>
          <w:lang w:val="bg-BG" w:eastAsia="en-US"/>
        </w:rPr>
      </w:pPr>
    </w:p>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pPr>
    </w:p>
    <w:bookmarkEnd w:id="10"/>
    <w:p>
      <w:pPr>
        <w:tabs>
          <w:tab w:val="left" w:pos="907"/>
        </w:tabs>
        <w:spacing w:after="240"/>
        <w:rPr>
          <w:rFonts w:ascii="Verdana" w:hAnsi="Verdana"/>
          <w:b/>
          <w:noProof/>
          <w:color w:val="016794"/>
          <w:sz w:val="28"/>
          <w:szCs w:val="18"/>
          <w:lang w:val="bg-BG" w:eastAsia="en-US"/>
        </w:rPr>
        <w:sectPr>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cols w:space="708"/>
          <w:docGrid w:linePitch="360"/>
        </w:sectPr>
      </w:pPr>
    </w:p>
    <w:p>
      <w:pPr>
        <w:pStyle w:val="HEADERTITLE1"/>
        <w:rPr>
          <w:lang w:val="bg-BG"/>
        </w:rPr>
      </w:pPr>
      <w:bookmarkStart w:id="23" w:name="_Toc49527930"/>
      <w:bookmarkStart w:id="24" w:name="_DMBM_18979"/>
      <w:r>
        <w:rPr>
          <w:lang w:val="bg-BG"/>
        </w:rPr>
        <w:t>ОТЧЕТ ЗА ПРОМЕНИТЕ В НЕТНИТЕ АКТИВИ НА ЕФР</w:t>
      </w:r>
      <w:bookmarkEnd w:id="23"/>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7"/>
        <w:gridCol w:w="998"/>
        <w:gridCol w:w="1280"/>
        <w:gridCol w:w="1564"/>
        <w:gridCol w:w="1715"/>
        <w:gridCol w:w="1878"/>
        <w:gridCol w:w="1517"/>
        <w:gridCol w:w="1732"/>
      </w:tblGrid>
      <w:tr>
        <w:trPr>
          <w:trHeight w:hRule="exact" w:val="240"/>
        </w:trPr>
        <w:tc>
          <w:tcPr>
            <w:tcW w:w="3461" w:type="dxa"/>
            <w:tcBorders>
              <w:top w:val="nil"/>
              <w:left w:val="nil"/>
              <w:bottom w:val="nil"/>
              <w:right w:val="nil"/>
              <w:tl2br w:val="nil"/>
              <w:tr2bl w:val="nil"/>
            </w:tcBorders>
            <w:shd w:val="clear" w:color="auto" w:fill="auto"/>
            <w:tcMar>
              <w:left w:w="60" w:type="dxa"/>
              <w:right w:w="60" w:type="dxa"/>
            </w:tcMar>
            <w:vAlign w:val="bottom"/>
          </w:tcPr>
          <w:p>
            <w:pPr>
              <w:rPr>
                <w:rFonts w:ascii="Arial" w:eastAsia="Arial" w:hAnsi="Arial" w:cs="Arial"/>
                <w:i/>
                <w:noProof/>
                <w:color w:val="000000"/>
                <w:sz w:val="16"/>
                <w:szCs w:val="20"/>
                <w:lang w:val="bg-BG"/>
              </w:rPr>
            </w:pPr>
            <w:bookmarkStart w:id="25" w:name="DOC_TBL00008_1_1"/>
            <w:bookmarkEnd w:id="25"/>
          </w:p>
        </w:tc>
        <w:tc>
          <w:tcPr>
            <w:tcW w:w="927" w:type="dxa"/>
            <w:tcBorders>
              <w:top w:val="nil"/>
              <w:left w:val="nil"/>
              <w:bottom w:val="nil"/>
              <w:right w:val="nil"/>
              <w:tl2br w:val="nil"/>
              <w:tr2bl w:val="nil"/>
            </w:tcBorders>
            <w:shd w:val="clear" w:color="auto" w:fill="auto"/>
            <w:tcMar>
              <w:left w:w="60" w:type="dxa"/>
              <w:right w:w="60" w:type="dxa"/>
            </w:tcMar>
            <w:vAlign w:val="bottom"/>
          </w:tcPr>
          <w:p>
            <w:pPr>
              <w:jc w:val="center"/>
              <w:rPr>
                <w:rFonts w:ascii="Arial" w:eastAsia="Arial" w:hAnsi="Arial" w:cs="Arial"/>
                <w:i/>
                <w:noProof/>
                <w:color w:val="000000"/>
                <w:sz w:val="16"/>
                <w:szCs w:val="20"/>
                <w:lang w:val="bg-BG"/>
              </w:rPr>
            </w:pPr>
          </w:p>
        </w:tc>
        <w:tc>
          <w:tcPr>
            <w:tcW w:w="1189" w:type="dxa"/>
            <w:tcBorders>
              <w:top w:val="nil"/>
              <w:left w:val="nil"/>
              <w:bottom w:val="nil"/>
              <w:right w:val="nil"/>
              <w:tl2br w:val="nil"/>
              <w:tr2bl w:val="nil"/>
            </w:tcBorders>
            <w:shd w:val="clear" w:color="auto" w:fill="auto"/>
            <w:tcMar>
              <w:left w:w="60" w:type="dxa"/>
              <w:right w:w="60" w:type="dxa"/>
            </w:tcMar>
            <w:vAlign w:val="bottom"/>
          </w:tcPr>
          <w:p>
            <w:pPr>
              <w:jc w:val="right"/>
              <w:rPr>
                <w:rFonts w:ascii="Arial" w:eastAsia="Arial" w:hAnsi="Arial" w:cs="Arial"/>
                <w:i/>
                <w:noProof/>
                <w:color w:val="000000"/>
                <w:sz w:val="16"/>
                <w:szCs w:val="20"/>
                <w:lang w:val="bg-BG"/>
              </w:rPr>
            </w:pPr>
          </w:p>
        </w:tc>
        <w:tc>
          <w:tcPr>
            <w:tcW w:w="14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6"/>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bottom"/>
          </w:tcPr>
          <w:p>
            <w:pPr>
              <w:rPr>
                <w:rFonts w:ascii="Arial" w:eastAsia="Arial" w:hAnsi="Arial" w:cs="Arial"/>
                <w:i/>
                <w:noProof/>
                <w:color w:val="000000"/>
                <w:sz w:val="16"/>
                <w:szCs w:val="20"/>
                <w:lang w:val="bg-BG"/>
              </w:rPr>
            </w:pPr>
          </w:p>
        </w:tc>
        <w:tc>
          <w:tcPr>
            <w:tcW w:w="1744" w:type="dxa"/>
            <w:tcBorders>
              <w:top w:val="nil"/>
              <w:left w:val="nil"/>
              <w:bottom w:val="nil"/>
              <w:right w:val="nil"/>
              <w:tl2br w:val="nil"/>
              <w:tr2bl w:val="nil"/>
            </w:tcBorders>
            <w:shd w:val="clear" w:color="auto" w:fill="auto"/>
            <w:tcMar>
              <w:left w:w="60" w:type="dxa"/>
              <w:right w:w="60" w:type="dxa"/>
            </w:tcMar>
            <w:vAlign w:val="bottom"/>
          </w:tcPr>
          <w:p>
            <w:pPr>
              <w:jc w:val="center"/>
              <w:rPr>
                <w:rFonts w:ascii="Arial" w:eastAsia="Arial" w:hAnsi="Arial" w:cs="Arial"/>
                <w:i/>
                <w:noProof/>
                <w:color w:val="000000"/>
                <w:sz w:val="16"/>
                <w:szCs w:val="20"/>
                <w:lang w:val="bg-BG"/>
              </w:rPr>
            </w:pPr>
          </w:p>
        </w:tc>
        <w:tc>
          <w:tcPr>
            <w:tcW w:w="1409" w:type="dxa"/>
            <w:tcBorders>
              <w:top w:val="nil"/>
              <w:left w:val="nil"/>
              <w:bottom w:val="nil"/>
              <w:right w:val="nil"/>
              <w:tl2br w:val="nil"/>
              <w:tr2bl w:val="nil"/>
            </w:tcBorders>
            <w:shd w:val="clear" w:color="auto" w:fill="auto"/>
            <w:tcMar>
              <w:left w:w="60" w:type="dxa"/>
              <w:right w:w="60" w:type="dxa"/>
            </w:tcMar>
            <w:vAlign w:val="bottom"/>
          </w:tcPr>
          <w:p>
            <w:pPr>
              <w:jc w:val="center"/>
              <w:rPr>
                <w:rFonts w:ascii="Arial" w:eastAsia="Arial" w:hAnsi="Arial" w:cs="Arial"/>
                <w:i/>
                <w:noProof/>
                <w:color w:val="000000"/>
                <w:sz w:val="16"/>
                <w:szCs w:val="20"/>
                <w:lang w:val="bg-BG"/>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jc w:val="right"/>
              <w:rPr>
                <w:rFonts w:ascii="Arial" w:eastAsia="Arial" w:hAnsi="Arial" w:cs="Arial"/>
                <w:i/>
                <w:noProof/>
                <w:color w:val="000000"/>
                <w:sz w:val="16"/>
                <w:szCs w:val="20"/>
                <w:lang w:val="bg-BG"/>
              </w:rPr>
            </w:pPr>
            <w:r>
              <w:rPr>
                <w:rFonts w:ascii="Arial" w:eastAsia="Calibri" w:hAnsi="Arial"/>
                <w:i/>
                <w:noProof/>
                <w:color w:val="000000"/>
                <w:sz w:val="16"/>
                <w:szCs w:val="20"/>
                <w:lang w:val="bg-BG"/>
              </w:rPr>
              <w:t>милиони евро</w:t>
            </w:r>
          </w:p>
        </w:tc>
      </w:tr>
      <w:tr>
        <w:trPr>
          <w:trHeight w:hRule="exact" w:val="1245"/>
        </w:trPr>
        <w:tc>
          <w:tcPr>
            <w:tcW w:w="3461"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p>
        </w:tc>
        <w:tc>
          <w:tcPr>
            <w:tcW w:w="927"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(A)</w:t>
            </w:r>
          </w:p>
        </w:tc>
        <w:tc>
          <w:tcPr>
            <w:tcW w:w="1189"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Непоискани средства — активни ЕФР (B)</w:t>
            </w:r>
          </w:p>
        </w:tc>
        <w:tc>
          <w:tcPr>
            <w:tcW w:w="1453"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(C) = (A)-(B)</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Натрупани резерви (D)</w:t>
            </w:r>
          </w:p>
        </w:tc>
        <w:tc>
          <w:tcPr>
            <w:tcW w:w="1744"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от пренесени закрити ЕФР (E)</w:t>
            </w:r>
          </w:p>
        </w:tc>
        <w:tc>
          <w:tcPr>
            <w:tcW w:w="1409"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Резерв по справедлива стойност (F)</w:t>
            </w:r>
          </w:p>
        </w:tc>
        <w:tc>
          <w:tcPr>
            <w:tcW w:w="1609"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 нетни активи (C)+(D)+(E)+(F)</w:t>
            </w:r>
          </w:p>
        </w:tc>
      </w:tr>
      <w:tr>
        <w:trPr>
          <w:trHeight w:hRule="exact" w:val="225"/>
        </w:trPr>
        <w:tc>
          <w:tcPr>
            <w:tcW w:w="3461"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31.12.2017 г.</w:t>
            </w:r>
          </w:p>
        </w:tc>
        <w:tc>
          <w:tcPr>
            <w:tcW w:w="927"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73 264</w:t>
            </w:r>
          </w:p>
        </w:tc>
        <w:tc>
          <w:tcPr>
            <w:tcW w:w="1189"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27 090</w:t>
            </w:r>
          </w:p>
        </w:tc>
        <w:tc>
          <w:tcPr>
            <w:tcW w:w="145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46 173</w:t>
            </w:r>
          </w:p>
        </w:tc>
        <w:tc>
          <w:tcPr>
            <w:tcW w:w="159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(47 037)</w:t>
            </w:r>
          </w:p>
        </w:tc>
        <w:tc>
          <w:tcPr>
            <w:tcW w:w="174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2 252</w:t>
            </w:r>
          </w:p>
        </w:tc>
        <w:tc>
          <w:tcPr>
            <w:tcW w:w="140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609"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1 389</w:t>
            </w:r>
          </w:p>
        </w:tc>
      </w:tr>
      <w:tr>
        <w:trPr>
          <w:trHeight w:hRule="exact" w:val="345"/>
        </w:trPr>
        <w:tc>
          <w:tcPr>
            <w:tcW w:w="346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 на капитала — вноски</w:t>
            </w:r>
          </w:p>
        </w:tc>
        <w:tc>
          <w:tcPr>
            <w:tcW w:w="92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(4 250)</w:t>
            </w:r>
          </w:p>
        </w:tc>
        <w:tc>
          <w:tcPr>
            <w:tcW w:w="14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4 250</w:t>
            </w:r>
          </w:p>
        </w:tc>
        <w:tc>
          <w:tcPr>
            <w:tcW w:w="15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744"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4 250</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92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5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(4 118)</w:t>
            </w:r>
          </w:p>
        </w:tc>
        <w:tc>
          <w:tcPr>
            <w:tcW w:w="1744"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(4 118)</w:t>
            </w:r>
          </w:p>
        </w:tc>
      </w:tr>
      <w:tr>
        <w:trPr>
          <w:trHeight w:hRule="exact" w:val="225"/>
        </w:trPr>
        <w:tc>
          <w:tcPr>
            <w:tcW w:w="3461"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31.12.2018 г.</w:t>
            </w:r>
          </w:p>
        </w:tc>
        <w:tc>
          <w:tcPr>
            <w:tcW w:w="927"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73 264</w:t>
            </w:r>
          </w:p>
        </w:tc>
        <w:tc>
          <w:tcPr>
            <w:tcW w:w="1189"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22 840</w:t>
            </w:r>
          </w:p>
        </w:tc>
        <w:tc>
          <w:tcPr>
            <w:tcW w:w="145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50 423</w:t>
            </w:r>
          </w:p>
        </w:tc>
        <w:tc>
          <w:tcPr>
            <w:tcW w:w="159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(51 155)</w:t>
            </w:r>
          </w:p>
        </w:tc>
        <w:tc>
          <w:tcPr>
            <w:tcW w:w="174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2 252</w:t>
            </w:r>
          </w:p>
        </w:tc>
        <w:tc>
          <w:tcPr>
            <w:tcW w:w="140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609"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1 521</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Движения на справедливата стойност</w:t>
            </w:r>
          </w:p>
        </w:tc>
        <w:tc>
          <w:tcPr>
            <w:tcW w:w="92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p>
        </w:tc>
        <w:tc>
          <w:tcPr>
            <w:tcW w:w="118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p>
        </w:tc>
        <w:tc>
          <w:tcPr>
            <w:tcW w:w="14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p>
        </w:tc>
        <w:tc>
          <w:tcPr>
            <w:tcW w:w="1744"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p>
        </w:tc>
        <w:tc>
          <w:tcPr>
            <w:tcW w:w="140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60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 на капитала — вноски</w:t>
            </w:r>
          </w:p>
        </w:tc>
        <w:tc>
          <w:tcPr>
            <w:tcW w:w="92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(4 385)</w:t>
            </w:r>
          </w:p>
        </w:tc>
        <w:tc>
          <w:tcPr>
            <w:tcW w:w="14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4 385</w:t>
            </w:r>
          </w:p>
        </w:tc>
        <w:tc>
          <w:tcPr>
            <w:tcW w:w="15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744"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4 385</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92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5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(3 956)</w:t>
            </w:r>
          </w:p>
        </w:tc>
        <w:tc>
          <w:tcPr>
            <w:tcW w:w="1744"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(3 956)</w:t>
            </w:r>
          </w:p>
        </w:tc>
      </w:tr>
      <w:tr>
        <w:trPr>
          <w:trHeight w:hRule="exact" w:val="225"/>
        </w:trPr>
        <w:tc>
          <w:tcPr>
            <w:tcW w:w="3461"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31.12.2019 г.</w:t>
            </w:r>
          </w:p>
        </w:tc>
        <w:tc>
          <w:tcPr>
            <w:tcW w:w="927"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73 264</w:t>
            </w:r>
          </w:p>
        </w:tc>
        <w:tc>
          <w:tcPr>
            <w:tcW w:w="1189"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18 455</w:t>
            </w:r>
          </w:p>
        </w:tc>
        <w:tc>
          <w:tcPr>
            <w:tcW w:w="145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54 809</w:t>
            </w:r>
          </w:p>
        </w:tc>
        <w:tc>
          <w:tcPr>
            <w:tcW w:w="159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(55 111)</w:t>
            </w:r>
          </w:p>
        </w:tc>
        <w:tc>
          <w:tcPr>
            <w:tcW w:w="174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2 252</w:t>
            </w:r>
          </w:p>
        </w:tc>
        <w:tc>
          <w:tcPr>
            <w:tcW w:w="140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w:t>
            </w:r>
          </w:p>
        </w:tc>
        <w:tc>
          <w:tcPr>
            <w:tcW w:w="1609"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1 948</w:t>
            </w:r>
          </w:p>
        </w:tc>
      </w:tr>
    </w:tbl>
    <w:p>
      <w:pPr>
        <w:spacing w:before="240" w:after="240"/>
        <w:jc w:val="both"/>
        <w:rPr>
          <w:rFonts w:ascii="Verdana" w:hAnsi="Verdana"/>
          <w:noProof/>
          <w:sz w:val="18"/>
          <w:szCs w:val="18"/>
          <w:lang w:val="bg-BG" w:eastAsia="en-US"/>
        </w:rPr>
      </w:pPr>
    </w:p>
    <w:p>
      <w:pPr>
        <w:spacing w:before="240" w:after="240"/>
        <w:jc w:val="both"/>
        <w:rPr>
          <w:rFonts w:ascii="Verdana" w:hAnsi="Verdana"/>
          <w:noProof/>
          <w:sz w:val="18"/>
          <w:szCs w:val="18"/>
          <w:lang w:val="bg-BG" w:eastAsia="en-US"/>
        </w:rPr>
        <w:sectPr>
          <w:headerReference w:type="even" r:id="rId83"/>
          <w:headerReference w:type="default" r:id="rId84"/>
          <w:footerReference w:type="even" r:id="rId85"/>
          <w:footerReference w:type="default" r:id="rId86"/>
          <w:headerReference w:type="first" r:id="rId87"/>
          <w:footerReference w:type="first" r:id="rId88"/>
          <w:pgSz w:w="16838" w:h="11906" w:orient="landscape" w:code="9"/>
          <w:pgMar w:top="1134" w:right="1134" w:bottom="1134" w:left="1134" w:header="709" w:footer="709" w:gutter="0"/>
          <w:cols w:space="708"/>
          <w:docGrid w:linePitch="360"/>
        </w:sectPr>
      </w:pPr>
    </w:p>
    <w:p>
      <w:pPr>
        <w:pStyle w:val="HEADERTITLE1"/>
        <w:rPr>
          <w:lang w:val="bg-BG"/>
        </w:rPr>
      </w:pPr>
      <w:bookmarkStart w:id="26" w:name="_Toc49527931"/>
      <w:r>
        <w:rPr>
          <w:lang w:val="bg-BG"/>
        </w:rPr>
        <w:t>СЧЕТОВОДЕН БАЛАНС — ПО ЕФР</w:t>
      </w:r>
      <w:bookmarkEnd w:id="26"/>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688"/>
        <w:gridCol w:w="962"/>
        <w:gridCol w:w="962"/>
        <w:gridCol w:w="962"/>
        <w:gridCol w:w="963"/>
        <w:gridCol w:w="962"/>
        <w:gridCol w:w="962"/>
        <w:gridCol w:w="962"/>
        <w:gridCol w:w="963"/>
        <w:gridCol w:w="962"/>
        <w:gridCol w:w="1243"/>
      </w:tblGrid>
      <w:tr>
        <w:trPr>
          <w:cantSplit/>
          <w:trHeight w:val="106"/>
          <w:tblHeader/>
        </w:trPr>
        <w:tc>
          <w:tcPr>
            <w:tcW w:w="3107" w:type="dxa"/>
            <w:gridSpan w:val="12"/>
            <w:tcBorders>
              <w:top w:val="nil"/>
              <w:left w:val="nil"/>
              <w:bottom w:val="nil"/>
              <w:right w:val="nil"/>
              <w:tl2br w:val="nil"/>
              <w:tr2bl w:val="nil"/>
            </w:tcBorders>
            <w:shd w:val="solid" w:color="FFFFFF" w:fill="FFFFFF"/>
            <w:tcMar>
              <w:left w:w="60" w:type="dxa"/>
              <w:right w:w="60" w:type="dxa"/>
            </w:tcMar>
            <w:vAlign w:val="center"/>
          </w:tcPr>
          <w:p>
            <w:pPr>
              <w:jc w:val="right"/>
              <w:rPr>
                <w:rFonts w:ascii="Verdana" w:eastAsia="Verdana" w:hAnsi="Verdana" w:cs="Verdana"/>
                <w:i/>
                <w:noProof/>
                <w:color w:val="000000"/>
                <w:sz w:val="18"/>
                <w:szCs w:val="20"/>
                <w:lang w:val="bg-BG"/>
              </w:rPr>
            </w:pPr>
            <w:bookmarkStart w:id="27" w:name="DOC_TBL00009_1_1"/>
            <w:bookmarkEnd w:id="27"/>
            <w:r>
              <w:rPr>
                <w:rFonts w:ascii="Verdana" w:eastAsia="Calibri" w:hAnsi="Verdana"/>
                <w:i/>
                <w:noProof/>
                <w:color w:val="000000"/>
                <w:sz w:val="18"/>
                <w:szCs w:val="20"/>
                <w:lang w:val="bg-BG"/>
              </w:rPr>
              <w:t xml:space="preserve"> милиони евро</w:t>
            </w:r>
          </w:p>
        </w:tc>
      </w:tr>
      <w:tr>
        <w:trPr>
          <w:cantSplit/>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972" w:type="dxa"/>
            <w:gridSpan w:val="4"/>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31.12.2018 г.</w:t>
            </w:r>
          </w:p>
        </w:tc>
        <w:tc>
          <w:tcPr>
            <w:tcW w:w="1257"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bidi="en-GB"/>
              </w:rPr>
            </w:pPr>
          </w:p>
        </w:tc>
      </w:tr>
      <w:tr>
        <w:trPr>
          <w:cantSplit/>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pP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973"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973"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257"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НЕТЕКУЩИ АКТИВИ</w:t>
            </w:r>
          </w:p>
        </w:tc>
        <w:tc>
          <w:tcPr>
            <w:tcW w:w="695"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активи</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Предварително финансиране</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325</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580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23</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520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344</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887</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Вноски за доверителния фонд</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2.3</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201</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201</w:t>
            </w:r>
          </w:p>
        </w:tc>
      </w:tr>
      <w:tr>
        <w:trPr>
          <w:cantSplit/>
          <w:trHeight w:val="255"/>
        </w:trPr>
        <w:tc>
          <w:tcPr>
            <w:tcW w:w="31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325</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882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1 213</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23</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520</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546</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1 088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ТЕКУЩИ АКТИВИ</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Предварително финансиране</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441</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1 288</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445</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984</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1 448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Вземания по операции с размяна и средства, подлежащи на събиране, по операции без размяна</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2.4</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2 201</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(2 382)</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123</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176</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2 457</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(2 679)</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Сметки между ЕФР</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182</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53</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2 160</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(2 395)</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111</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2 421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(2 715)</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Пари и парични еквиваленти</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1 179</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1 179</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387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387</w:t>
            </w:r>
          </w:p>
        </w:tc>
      </w:tr>
      <w:tr>
        <w:trPr>
          <w:cantSplit/>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365</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201</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4 801</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(2 777)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2 590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367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306</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5 323</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(4 023)</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1 973</w:t>
            </w: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АКТИВИ</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365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207</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5 127</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(1 896)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3 803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367</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329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5 843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(3 477)</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3 061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i/>
                <w:noProof/>
                <w:color w:val="000000"/>
                <w:sz w:val="18"/>
                <w:szCs w:val="20"/>
                <w:lang w:val="bg-BG"/>
              </w:rPr>
            </w:pPr>
            <w:r>
              <w:rPr>
                <w:rFonts w:ascii="Verdana" w:eastAsia="Calibri" w:hAnsi="Verdana"/>
                <w:b/>
                <w:i/>
                <w:noProof/>
                <w:color w:val="000000"/>
                <w:sz w:val="18"/>
                <w:szCs w:val="20"/>
                <w:lang w:val="bg-BG"/>
              </w:rPr>
              <w:t>НЕТЕКУЩИ ПАСИВИ</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пасиви</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(19)</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(16)</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w:t>
            </w:r>
          </w:p>
        </w:tc>
      </w:tr>
      <w:tr>
        <w:trPr>
          <w:cantSplit/>
          <w:trHeight w:val="255"/>
        </w:trPr>
        <w:tc>
          <w:tcPr>
            <w:tcW w:w="310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jc w:val="right"/>
              <w:rPr>
                <w:rFonts w:ascii="Verdana" w:eastAsia="Verdana" w:hAnsi="Verdana" w:cs="Verdana"/>
                <w:b/>
                <w:noProof/>
                <w:color w:val="000000"/>
                <w:sz w:val="18"/>
                <w:szCs w:val="20"/>
                <w:lang w:val="bg-BG"/>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(19)</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(16)</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ТЕКУЩИ ПАСИВИ</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Задължения</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(108)</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(404)</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(516)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(111)</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(241)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Начислени разходи и приходи за бъдещи периоди</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2.8</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(240)</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(1 319)</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(83)</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(358)</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(840)</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(1 281)</w:t>
            </w:r>
          </w:p>
        </w:tc>
      </w:tr>
      <w:tr>
        <w:trPr>
          <w:cantSplit/>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(101)</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(348)</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(1 386)</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(1 835)</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(89)</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(482)</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(951)</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(1 522)</w:t>
            </w: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ПАСИВИ</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(101)</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(349)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(1 405)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(1 854)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(89)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(484)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(967)</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(1 540)</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bidi="en-GB"/>
              </w:rPr>
            </w:pP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АКТИВИ</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365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4 778</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(3 300)</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1 948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366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240</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5 359</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(4 444)</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1 521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Резерви по справедлива стойност</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Поискан капитал на фонда — активни ЕФР</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10 758</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20 960</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10 927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54 809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10 773</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20 960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6 527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50 423</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Поискан капитал на фонда от пренесени закрити ЕФР</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1 625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2 252</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1 625</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2 252</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Поискан капитал на фонда, трансфери между активни ЕФР</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(2 510)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2 109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265</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(2 509)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2 137</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55</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317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пренесен от предходни години</w:t>
            </w:r>
          </w:p>
        </w:tc>
        <w:tc>
          <w:tcPr>
            <w:tcW w:w="69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(14 406)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(18 077)</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(8 573)</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(51 155)</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(14 352)</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(17 078)</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(5 508)</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(47 037)</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695"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(34)</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(529)</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(3 393)</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(3 956)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(53)</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(1 000)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(3 065)</w:t>
            </w: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(4 118)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bidi="en-GB"/>
              </w:rPr>
            </w:pPr>
          </w:p>
        </w:tc>
      </w:tr>
      <w:tr>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АКТИВИ</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jc w:val="center"/>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2 618</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(905)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1 948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2 938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(1 729)</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1 521</w:t>
            </w:r>
          </w:p>
        </w:tc>
      </w:tr>
    </w:tbl>
    <w:p>
      <w:pPr>
        <w:tabs>
          <w:tab w:val="left" w:pos="907"/>
        </w:tabs>
        <w:spacing w:after="240"/>
        <w:rPr>
          <w:rFonts w:ascii="Verdana" w:hAnsi="Verdana"/>
          <w:b/>
          <w:noProof/>
          <w:color w:val="016794"/>
          <w:sz w:val="28"/>
          <w:szCs w:val="18"/>
          <w:lang w:val="bg-BG" w:eastAsia="en-US"/>
        </w:rPr>
        <w:sectPr>
          <w:headerReference w:type="even" r:id="rId89"/>
          <w:headerReference w:type="default" r:id="rId90"/>
          <w:footerReference w:type="even" r:id="rId91"/>
          <w:footerReference w:type="default" r:id="rId92"/>
          <w:headerReference w:type="first" r:id="rId93"/>
          <w:footerReference w:type="first" r:id="rId94"/>
          <w:pgSz w:w="16838" w:h="11906" w:orient="landscape" w:code="9"/>
          <w:pgMar w:top="1134" w:right="1134" w:bottom="1134" w:left="1134" w:header="708" w:footer="708" w:gutter="0"/>
          <w:cols w:space="708"/>
          <w:docGrid w:linePitch="360"/>
        </w:sectPr>
      </w:pPr>
    </w:p>
    <w:p>
      <w:pPr>
        <w:pStyle w:val="HEADERTITLE1"/>
        <w:rPr>
          <w:lang w:val="bg-BG"/>
        </w:rPr>
      </w:pPr>
      <w:bookmarkStart w:id="28" w:name="_Toc49527932"/>
      <w:r>
        <w:rPr>
          <w:lang w:val="bg-BG"/>
        </w:rPr>
        <w:t>ОТЧЕТ ЗА ФИНАНСОВИЯ РЕЗУЛТАТ ПО ЕФР</w:t>
      </w:r>
      <w:bookmarkEnd w:id="28"/>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1"/>
        <w:gridCol w:w="652"/>
        <w:gridCol w:w="827"/>
        <w:gridCol w:w="826"/>
        <w:gridCol w:w="827"/>
        <w:gridCol w:w="962"/>
        <w:gridCol w:w="962"/>
        <w:gridCol w:w="827"/>
        <w:gridCol w:w="826"/>
        <w:gridCol w:w="962"/>
        <w:gridCol w:w="963"/>
        <w:gridCol w:w="1391"/>
      </w:tblGrid>
      <w:tr>
        <w:trPr>
          <w:trHeight w:val="255"/>
        </w:trPr>
        <w:tc>
          <w:tcPr>
            <w:tcW w:w="3976" w:type="dxa"/>
            <w:gridSpan w:val="12"/>
            <w:tcBorders>
              <w:top w:val="nil"/>
              <w:left w:val="nil"/>
              <w:bottom w:val="nil"/>
              <w:right w:val="nil"/>
              <w:tl2br w:val="nil"/>
              <w:tr2bl w:val="nil"/>
            </w:tcBorders>
            <w:shd w:val="solid" w:color="FFFFFF" w:fill="FFFFFF"/>
            <w:tcMar>
              <w:left w:w="60" w:type="dxa"/>
              <w:right w:w="60" w:type="dxa"/>
            </w:tcMar>
            <w:vAlign w:val="center"/>
          </w:tcPr>
          <w:p>
            <w:pPr>
              <w:jc w:val="right"/>
              <w:rPr>
                <w:rFonts w:ascii="Verdana" w:eastAsia="Verdana" w:hAnsi="Verdana" w:cs="Verdana"/>
                <w:i/>
                <w:noProof/>
                <w:color w:val="000000"/>
                <w:sz w:val="18"/>
                <w:szCs w:val="20"/>
                <w:lang w:val="bg-BG"/>
              </w:rPr>
            </w:pPr>
            <w:bookmarkStart w:id="29" w:name="DOC_TBL00003_1_1"/>
            <w:bookmarkEnd w:id="29"/>
            <w:r>
              <w:rPr>
                <w:rFonts w:ascii="Verdana" w:eastAsia="Calibri" w:hAnsi="Verdana"/>
                <w:i/>
                <w:noProof/>
                <w:color w:val="000000"/>
                <w:sz w:val="18"/>
                <w:szCs w:val="20"/>
                <w:lang w:val="bg-BG"/>
              </w:rPr>
              <w:t>милиони евро</w:t>
            </w:r>
          </w:p>
        </w:tc>
      </w:tr>
      <w:tr>
        <w:trPr>
          <w:trHeigh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835"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834"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835"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w:t>
            </w:r>
          </w:p>
        </w:tc>
        <w:tc>
          <w:tcPr>
            <w:tcW w:w="835"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834"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973"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406"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b/>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w:t>
            </w: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 от операции без размяна</w:t>
            </w: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3.1</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Дейности по събиране</w:t>
            </w: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28</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r>
      <w:tr>
        <w:trPr>
          <w:trHeigh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28</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w:t>
            </w: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 от операции с размяна</w:t>
            </w: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3.2</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приходи</w:t>
            </w: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10</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 приходи</w:t>
            </w: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6</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39</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27</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w:t>
            </w: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46</w:t>
            </w:r>
          </w:p>
        </w:tc>
      </w:tr>
      <w:tr>
        <w:trPr>
          <w:trHeigh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46</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8</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35</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13</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57</w:t>
            </w:r>
          </w:p>
        </w:tc>
      </w:tr>
      <w:tr>
        <w:trPr>
          <w:trHeigh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приходи</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74</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32</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17</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60</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РАЗХОДИ</w:t>
            </w: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Инструменти за помощ</w:t>
            </w: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3.3</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(35)</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(579)</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(3 141)</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(3 755)</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(59)</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(984)</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(3 012)</w:t>
            </w: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(4 054)</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Разходи за съфинансиране</w:t>
            </w: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3.4</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(14)</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17</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разходи</w:t>
            </w: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3.5</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 разходи</w:t>
            </w: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3.6</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20</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(272)</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(260)</w:t>
            </w: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(71)</w:t>
            </w: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(70)</w:t>
            </w: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(148)</w:t>
            </w:r>
          </w:p>
        </w:tc>
      </w:tr>
      <w:tr>
        <w:trPr>
          <w:trHeigh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разходи</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(40)</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(571)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(3 418)</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(4 030)</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(1 031)</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(3 082)</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(4 178)</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658" w:type="dxa"/>
            <w:tcBorders>
              <w:top w:val="nil"/>
              <w:left w:val="nil"/>
              <w:bottom w:val="nil"/>
              <w:right w:val="nil"/>
              <w:tl2br w:val="nil"/>
              <w:tr2bl w:val="nil"/>
            </w:tcBorders>
            <w:shd w:val="clear" w:color="auto" w:fill="auto"/>
            <w:tcMar>
              <w:left w:w="60" w:type="dxa"/>
              <w:right w:w="60" w:type="dxa"/>
            </w:tcMar>
            <w:vAlign w:val="center"/>
          </w:tcPr>
          <w:p>
            <w:pPr>
              <w:jc w:val="center"/>
              <w:rPr>
                <w:rFonts w:ascii="Verdana" w:eastAsia="Verdana" w:hAnsi="Verdana" w:cs="Verdana"/>
                <w:i/>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3976"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ИКОНОМИЧЕСКИ РЕЗУЛТАТ ЗА ГОДИНАТА</w:t>
            </w:r>
          </w:p>
        </w:tc>
        <w:tc>
          <w:tcPr>
            <w:tcW w:w="658"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p>
        </w:tc>
        <w:tc>
          <w:tcPr>
            <w:tcW w:w="83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3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(34)</w:t>
            </w:r>
          </w:p>
        </w:tc>
        <w:tc>
          <w:tcPr>
            <w:tcW w:w="83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(529)</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(3 393)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(3 956)</w:t>
            </w:r>
          </w:p>
        </w:tc>
        <w:tc>
          <w:tcPr>
            <w:tcW w:w="83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3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(1 000)</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(3 065)</w:t>
            </w:r>
          </w:p>
        </w:tc>
        <w:tc>
          <w:tcPr>
            <w:tcW w:w="140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(4 118)</w:t>
            </w:r>
          </w:p>
        </w:tc>
      </w:tr>
    </w:tbl>
    <w:p>
      <w:pPr>
        <w:spacing w:before="240" w:after="240"/>
        <w:jc w:val="both"/>
        <w:rPr>
          <w:rFonts w:ascii="Verdana" w:hAnsi="Verdana"/>
          <w:noProof/>
          <w:sz w:val="18"/>
          <w:szCs w:val="18"/>
          <w:lang w:val="bg-BG" w:eastAsia="en-US"/>
        </w:rPr>
      </w:pPr>
    </w:p>
    <w:p>
      <w:pPr>
        <w:spacing w:before="240" w:after="240"/>
        <w:jc w:val="both"/>
        <w:rPr>
          <w:rFonts w:ascii="Verdana" w:hAnsi="Verdana"/>
          <w:noProof/>
          <w:sz w:val="18"/>
          <w:szCs w:val="18"/>
          <w:lang w:val="bg-BG" w:eastAsia="en-US"/>
        </w:rPr>
        <w:sectPr>
          <w:headerReference w:type="even" r:id="rId95"/>
          <w:headerReference w:type="default" r:id="rId96"/>
          <w:footerReference w:type="even" r:id="rId97"/>
          <w:footerReference w:type="default" r:id="rId98"/>
          <w:headerReference w:type="first" r:id="rId99"/>
          <w:footerReference w:type="first" r:id="rId100"/>
          <w:pgSz w:w="16838" w:h="11906" w:orient="landscape" w:code="9"/>
          <w:pgMar w:top="1134" w:right="1134" w:bottom="1134" w:left="1134" w:header="708" w:footer="708" w:gutter="0"/>
          <w:cols w:space="708"/>
          <w:docGrid w:linePitch="360"/>
        </w:sectPr>
      </w:pPr>
    </w:p>
    <w:p>
      <w:pPr>
        <w:pStyle w:val="HEADERTITLE1"/>
        <w:rPr>
          <w:lang w:val="bg-BG"/>
        </w:rPr>
      </w:pPr>
      <w:bookmarkStart w:id="30" w:name="_Toc49527933"/>
      <w:r>
        <w:rPr>
          <w:lang w:val="bg-BG"/>
        </w:rPr>
        <w:t>ОТЧЕТ ЗА ПРОМЕНИТЕ В НЕТНИТЕ АКТИВИ ПО ЕФР</w:t>
      </w:r>
      <w:bookmarkEnd w:id="30"/>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1407"/>
        <w:gridCol w:w="1613"/>
        <w:gridCol w:w="1676"/>
        <w:gridCol w:w="1843"/>
        <w:gridCol w:w="1447"/>
        <w:gridCol w:w="1447"/>
        <w:gridCol w:w="1496"/>
      </w:tblGrid>
      <w:tr>
        <w:trPr>
          <w:trHeight w:val="255"/>
        </w:trPr>
        <w:tc>
          <w:tcPr>
            <w:tcW w:w="3462" w:type="dxa"/>
            <w:gridSpan w:val="8"/>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6"/>
                <w:szCs w:val="20"/>
                <w:lang w:val="bg-BG"/>
              </w:rPr>
            </w:pPr>
            <w:bookmarkStart w:id="31" w:name="DOC_TBL00004_1_1"/>
            <w:bookmarkEnd w:id="31"/>
            <w:r>
              <w:rPr>
                <w:rFonts w:ascii="Verdana" w:eastAsia="Calibri" w:hAnsi="Verdana"/>
                <w:i/>
                <w:noProof/>
                <w:color w:val="000000"/>
                <w:sz w:val="16"/>
                <w:szCs w:val="20"/>
                <w:lang w:val="bg-BG"/>
              </w:rPr>
              <w:t>милиони евро</w:t>
            </w:r>
          </w:p>
        </w:tc>
      </w:tr>
      <w:tr>
        <w:trPr>
          <w:trHeight w:val="255"/>
        </w:trPr>
        <w:tc>
          <w:tcPr>
            <w:tcW w:w="3462"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1405"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(A)</w:t>
            </w:r>
          </w:p>
        </w:tc>
        <w:tc>
          <w:tcPr>
            <w:tcW w:w="1611"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Непоискани средства — активни ЕФР (B)</w:t>
            </w:r>
          </w:p>
        </w:tc>
        <w:tc>
          <w:tcPr>
            <w:tcW w:w="1674"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(C) = (A)-(B)</w:t>
            </w:r>
          </w:p>
        </w:tc>
        <w:tc>
          <w:tcPr>
            <w:tcW w:w="1841"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Натрупани резерви (D)</w:t>
            </w:r>
          </w:p>
        </w:tc>
        <w:tc>
          <w:tcPr>
            <w:tcW w:w="1445"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от пренесени закрити ЕФР (E)</w:t>
            </w:r>
          </w:p>
        </w:tc>
        <w:tc>
          <w:tcPr>
            <w:tcW w:w="1445"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трансфери между активни ЕФР (F)</w:t>
            </w:r>
          </w:p>
        </w:tc>
        <w:tc>
          <w:tcPr>
            <w:tcW w:w="1494"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 нетни активи (C)+(D)+(E)+(F)</w:t>
            </w:r>
          </w:p>
        </w:tc>
      </w:tr>
      <w:tr>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31.12.2017 г.</w:t>
            </w:r>
          </w:p>
        </w:tc>
        <w:tc>
          <w:tcPr>
            <w:tcW w:w="140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(2 503)</w:t>
            </w:r>
          </w:p>
        </w:tc>
        <w:tc>
          <w:tcPr>
            <w:tcW w:w="149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190</w:t>
            </w:r>
          </w:p>
        </w:tc>
      </w:tr>
      <w:tr>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Трансфери от/към 10-ия ЕФР</w:t>
            </w:r>
          </w:p>
        </w:tc>
        <w:tc>
          <w:tcPr>
            <w:tcW w:w="140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61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67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149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r>
      <w:tr>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31.12.2018 г.</w:t>
            </w:r>
          </w:p>
        </w:tc>
        <w:tc>
          <w:tcPr>
            <w:tcW w:w="140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(2 509)</w:t>
            </w:r>
          </w:p>
        </w:tc>
        <w:tc>
          <w:tcPr>
            <w:tcW w:w="149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183</w:t>
            </w:r>
          </w:p>
        </w:tc>
      </w:tr>
      <w:tr>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Трансфери от/към 10-ия ЕФР</w:t>
            </w:r>
          </w:p>
        </w:tc>
        <w:tc>
          <w:tcPr>
            <w:tcW w:w="140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61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67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49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r>
      <w:tr>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31.12.2019 г.</w:t>
            </w:r>
          </w:p>
        </w:tc>
        <w:tc>
          <w:tcPr>
            <w:tcW w:w="140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(2 510)</w:t>
            </w:r>
          </w:p>
        </w:tc>
        <w:tc>
          <w:tcPr>
            <w:tcW w:w="149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183</w:t>
            </w:r>
          </w:p>
        </w:tc>
      </w:tr>
    </w:tbl>
    <w:p>
      <w:pPr>
        <w:spacing w:before="240" w:after="240"/>
        <w:jc w:val="both"/>
        <w:rPr>
          <w:rFonts w:ascii="Verdana" w:hAnsi="Verdana"/>
          <w:noProof/>
          <w:sz w:val="18"/>
          <w:szCs w:val="18"/>
          <w:lang w:val="bg-BG" w:eastAsia="en-US"/>
        </w:rPr>
      </w:pP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1276"/>
        <w:gridCol w:w="1466"/>
        <w:gridCol w:w="2078"/>
        <w:gridCol w:w="1701"/>
        <w:gridCol w:w="1466"/>
        <w:gridCol w:w="1466"/>
        <w:gridCol w:w="1301"/>
      </w:tblGrid>
      <w:tr>
        <w:trPr>
          <w:trHeight w:val="255"/>
        </w:trPr>
        <w:tc>
          <w:tcPr>
            <w:tcW w:w="3604" w:type="dxa"/>
            <w:gridSpan w:val="8"/>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6"/>
                <w:szCs w:val="20"/>
                <w:lang w:val="bg-BG"/>
              </w:rPr>
            </w:pPr>
            <w:bookmarkStart w:id="32" w:name="DOC_TBL00010_1_1"/>
            <w:bookmarkEnd w:id="32"/>
            <w:r>
              <w:rPr>
                <w:rFonts w:ascii="Verdana" w:eastAsia="Calibri" w:hAnsi="Verdana"/>
                <w:i/>
                <w:noProof/>
                <w:color w:val="000000"/>
                <w:sz w:val="16"/>
                <w:szCs w:val="20"/>
                <w:lang w:val="bg-BG"/>
              </w:rPr>
              <w:t>милиони евро</w:t>
            </w:r>
          </w:p>
        </w:tc>
      </w:tr>
      <w:tr>
        <w:trPr>
          <w:trHeight w:val="255"/>
        </w:trPr>
        <w:tc>
          <w:tcPr>
            <w:tcW w:w="3604"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1276"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(A)</w:t>
            </w:r>
          </w:p>
        </w:tc>
        <w:tc>
          <w:tcPr>
            <w:tcW w:w="1466"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Непоискани средства — активни ЕФР (B)</w:t>
            </w:r>
          </w:p>
        </w:tc>
        <w:tc>
          <w:tcPr>
            <w:tcW w:w="2078"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(C) = (A)-(B)</w:t>
            </w:r>
          </w:p>
        </w:tc>
        <w:tc>
          <w:tcPr>
            <w:tcW w:w="1701"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Натрупани резерви (D)</w:t>
            </w:r>
          </w:p>
        </w:tc>
        <w:tc>
          <w:tcPr>
            <w:tcW w:w="1466"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от пренесени закрити ЕФР (E)</w:t>
            </w:r>
          </w:p>
        </w:tc>
        <w:tc>
          <w:tcPr>
            <w:tcW w:w="1466"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трансфери между активни ЕФР (F)</w:t>
            </w:r>
          </w:p>
        </w:tc>
        <w:tc>
          <w:tcPr>
            <w:tcW w:w="1301"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 нетни активи (C)+(D)+(E)+(F)</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31.12.2017 г.</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2078"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10 773</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(14 352)</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2 177</w:t>
            </w:r>
          </w:p>
        </w:tc>
        <w:tc>
          <w:tcPr>
            <w:tcW w:w="130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222</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Трансфери от/към 10-ия ЕФР</w:t>
            </w:r>
          </w:p>
        </w:tc>
        <w:tc>
          <w:tcPr>
            <w:tcW w:w="12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(40)</w:t>
            </w:r>
          </w:p>
        </w:tc>
        <w:tc>
          <w:tcPr>
            <w:tcW w:w="130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(40)</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2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(53)</w:t>
            </w: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30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(53)</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31.12.2018 г.</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2078"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10 773</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(14 406)</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2 137</w:t>
            </w:r>
          </w:p>
        </w:tc>
        <w:tc>
          <w:tcPr>
            <w:tcW w:w="130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129</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 на капитала — вноски</w:t>
            </w:r>
          </w:p>
        </w:tc>
        <w:tc>
          <w:tcPr>
            <w:tcW w:w="12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15</w:t>
            </w:r>
          </w:p>
        </w:tc>
        <w:tc>
          <w:tcPr>
            <w:tcW w:w="207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(15)</w:t>
            </w:r>
          </w:p>
        </w:tc>
        <w:tc>
          <w:tcPr>
            <w:tcW w:w="170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30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(15)</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Трансфери от/към 10-ия ЕФР</w:t>
            </w:r>
          </w:p>
        </w:tc>
        <w:tc>
          <w:tcPr>
            <w:tcW w:w="12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(27)</w:t>
            </w:r>
          </w:p>
        </w:tc>
        <w:tc>
          <w:tcPr>
            <w:tcW w:w="130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(27)</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2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(34)</w:t>
            </w: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30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(34)</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31.12.2019 г.</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10 758</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(14 440)</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2 109</w:t>
            </w:r>
          </w:p>
        </w:tc>
        <w:tc>
          <w:tcPr>
            <w:tcW w:w="130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53</w:t>
            </w:r>
          </w:p>
        </w:tc>
      </w:tr>
    </w:tbl>
    <w:p>
      <w:pPr>
        <w:tabs>
          <w:tab w:val="left" w:pos="907"/>
        </w:tabs>
        <w:spacing w:after="240"/>
        <w:rPr>
          <w:rFonts w:ascii="Verdana" w:hAnsi="Verdana"/>
          <w:b/>
          <w:noProof/>
          <w:color w:val="016794"/>
          <w:sz w:val="28"/>
          <w:szCs w:val="18"/>
          <w:lang w:val="bg-BG" w:eastAsia="en-US"/>
        </w:rPr>
        <w:sectPr>
          <w:headerReference w:type="even" r:id="rId101"/>
          <w:headerReference w:type="default" r:id="rId102"/>
          <w:footerReference w:type="even" r:id="rId103"/>
          <w:footerReference w:type="default" r:id="rId104"/>
          <w:headerReference w:type="first" r:id="rId105"/>
          <w:footerReference w:type="first" r:id="rId106"/>
          <w:pgSz w:w="16838" w:h="11906" w:orient="landscape" w:code="9"/>
          <w:pgMar w:top="1134" w:right="1134" w:bottom="1134" w:left="1134" w:header="708" w:footer="708" w:gutter="0"/>
          <w:cols w:space="708"/>
          <w:docGrid w:linePitch="360"/>
        </w:sect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1577"/>
        <w:gridCol w:w="1577"/>
        <w:gridCol w:w="1577"/>
        <w:gridCol w:w="1519"/>
        <w:gridCol w:w="1823"/>
        <w:gridCol w:w="1824"/>
        <w:gridCol w:w="1142"/>
      </w:tblGrid>
      <w:tr>
        <w:trPr>
          <w:trHeight w:val="255"/>
        </w:trPr>
        <w:tc>
          <w:tcPr>
            <w:tcW w:w="3245" w:type="dxa"/>
            <w:gridSpan w:val="8"/>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6"/>
                <w:szCs w:val="20"/>
                <w:lang w:val="bg-BG"/>
              </w:rPr>
            </w:pPr>
            <w:bookmarkStart w:id="33" w:name="DOC_TBL00006_1_1"/>
            <w:bookmarkEnd w:id="33"/>
            <w:r>
              <w:rPr>
                <w:rFonts w:ascii="Verdana" w:eastAsia="Calibri" w:hAnsi="Verdana"/>
                <w:i/>
                <w:noProof/>
                <w:color w:val="000000"/>
                <w:sz w:val="16"/>
                <w:szCs w:val="20"/>
                <w:lang w:val="bg-BG"/>
              </w:rPr>
              <w:t>милиони евро</w:t>
            </w:r>
          </w:p>
        </w:tc>
      </w:tr>
      <w:tr>
        <w:trPr>
          <w:trHeight w:val="255"/>
        </w:trPr>
        <w:tc>
          <w:tcPr>
            <w:tcW w:w="3245"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(A)</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Непоискани средства — активни ЕФР (B)</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(C) = (A)-(B)</w:t>
            </w:r>
          </w:p>
        </w:tc>
        <w:tc>
          <w:tcPr>
            <w:tcW w:w="1534"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Натрупани резерви (D)</w:t>
            </w:r>
          </w:p>
        </w:tc>
        <w:tc>
          <w:tcPr>
            <w:tcW w:w="1842"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от пренесени закрити ЕФР (E)</w:t>
            </w:r>
          </w:p>
        </w:tc>
        <w:tc>
          <w:tcPr>
            <w:tcW w:w="1843"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трансфери между активни ЕФР (F)</w:t>
            </w:r>
          </w:p>
        </w:tc>
        <w:tc>
          <w:tcPr>
            <w:tcW w:w="1153"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 нетни активи (C)+(D)+(E)+(F)</w:t>
            </w:r>
          </w:p>
        </w:tc>
      </w:tr>
      <w:tr>
        <w:trPr>
          <w:trHeigh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31.12.2017 г.</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(17 078)</w:t>
            </w:r>
          </w:p>
        </w:tc>
        <w:tc>
          <w:tcPr>
            <w:tcW w:w="184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84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120</w:t>
            </w:r>
          </w:p>
        </w:tc>
        <w:tc>
          <w:tcPr>
            <w:tcW w:w="115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4 003</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Трансфери от/към осмия и деветия ЕФР</w:t>
            </w: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47</w:t>
            </w:r>
          </w:p>
        </w:tc>
        <w:tc>
          <w:tcPr>
            <w:tcW w:w="115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47</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Трансфери от/към 11-ия ЕФР</w:t>
            </w: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(112)</w:t>
            </w:r>
          </w:p>
        </w:tc>
        <w:tc>
          <w:tcPr>
            <w:tcW w:w="115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(112)</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(1 000)</w:t>
            </w:r>
          </w:p>
        </w:tc>
        <w:tc>
          <w:tcPr>
            <w:tcW w:w="184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15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(1 000)</w:t>
            </w:r>
          </w:p>
        </w:tc>
      </w:tr>
      <w:tr>
        <w:trPr>
          <w:trHeigh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31.12.2018 г.</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(18 077)</w:t>
            </w:r>
          </w:p>
        </w:tc>
        <w:tc>
          <w:tcPr>
            <w:tcW w:w="184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84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55</w:t>
            </w:r>
          </w:p>
        </w:tc>
        <w:tc>
          <w:tcPr>
            <w:tcW w:w="115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2 938</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Трансфери от/към осмия и деветия ЕФР</w:t>
            </w: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28</w:t>
            </w:r>
          </w:p>
        </w:tc>
        <w:tc>
          <w:tcPr>
            <w:tcW w:w="115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28</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Трансфери от/към 11-ия ЕФР</w:t>
            </w: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181</w:t>
            </w:r>
          </w:p>
        </w:tc>
        <w:tc>
          <w:tcPr>
            <w:tcW w:w="115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181</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(529)</w:t>
            </w:r>
          </w:p>
        </w:tc>
        <w:tc>
          <w:tcPr>
            <w:tcW w:w="184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(529)</w:t>
            </w:r>
          </w:p>
        </w:tc>
      </w:tr>
      <w:tr>
        <w:trPr>
          <w:trHeigh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31.12.2019 г.</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(18 606)</w:t>
            </w:r>
          </w:p>
        </w:tc>
        <w:tc>
          <w:tcPr>
            <w:tcW w:w="184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84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265</w:t>
            </w:r>
          </w:p>
        </w:tc>
        <w:tc>
          <w:tcPr>
            <w:tcW w:w="115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2 618</w:t>
            </w:r>
          </w:p>
        </w:tc>
      </w:tr>
    </w:tbl>
    <w:p>
      <w:pPr>
        <w:spacing w:before="240" w:after="240"/>
        <w:jc w:val="both"/>
        <w:rPr>
          <w:rFonts w:ascii="Verdana" w:hAnsi="Verdana"/>
          <w:noProof/>
          <w:sz w:val="18"/>
          <w:szCs w:val="18"/>
          <w:lang w:val="bg-BG" w:eastAsia="en-US"/>
        </w:rPr>
      </w:pP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277"/>
        <w:gridCol w:w="1436"/>
        <w:gridCol w:w="1436"/>
        <w:gridCol w:w="1381"/>
        <w:gridCol w:w="1276"/>
        <w:gridCol w:w="1436"/>
        <w:gridCol w:w="1436"/>
        <w:gridCol w:w="1540"/>
      </w:tblGrid>
      <w:tr>
        <w:trPr>
          <w:trHeight w:val="255"/>
        </w:trPr>
        <w:tc>
          <w:tcPr>
            <w:tcW w:w="3034" w:type="dxa"/>
            <w:gridSpan w:val="9"/>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6"/>
                <w:szCs w:val="20"/>
                <w:lang w:val="bg-BG"/>
              </w:rPr>
            </w:pPr>
            <w:bookmarkStart w:id="34" w:name="DOC_TBL00007_1_1"/>
            <w:bookmarkEnd w:id="34"/>
            <w:r>
              <w:rPr>
                <w:rFonts w:ascii="Verdana" w:eastAsia="Calibri" w:hAnsi="Verdana"/>
                <w:i/>
                <w:noProof/>
                <w:color w:val="000000"/>
                <w:sz w:val="16"/>
                <w:szCs w:val="20"/>
                <w:lang w:val="bg-BG"/>
              </w:rPr>
              <w:t>милиони евро</w:t>
            </w:r>
          </w:p>
        </w:tc>
      </w:tr>
      <w:tr>
        <w:trPr>
          <w:trHeight w:val="255"/>
        </w:trPr>
        <w:tc>
          <w:tcPr>
            <w:tcW w:w="3034"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277"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(A)</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Непоискани средства — активни ЕФР (B)</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(C) = (A)-(B)</w:t>
            </w:r>
          </w:p>
        </w:tc>
        <w:tc>
          <w:tcPr>
            <w:tcW w:w="1381"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Натрупани резерви (D)</w:t>
            </w:r>
          </w:p>
        </w:tc>
        <w:tc>
          <w:tcPr>
            <w:tcW w:w="1276"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от пренесени закрити ЕФР (E)</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трансфери между активни ЕФР (F)</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Резерв по справедлива стойност (G)</w:t>
            </w:r>
          </w:p>
        </w:tc>
        <w:tc>
          <w:tcPr>
            <w:tcW w:w="1540"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 нетни активи (C)+(D)+(E)+(F)+(G)</w:t>
            </w:r>
          </w:p>
        </w:tc>
      </w:tr>
      <w:tr>
        <w:trPr>
          <w:trHeigh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31.12.2017 г.</w:t>
            </w:r>
          </w:p>
        </w:tc>
        <w:tc>
          <w:tcPr>
            <w:tcW w:w="1277"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27 090</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2 277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(5 508)</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206</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(3 025)</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 на капитала — вноски</w:t>
            </w:r>
          </w:p>
        </w:tc>
        <w:tc>
          <w:tcPr>
            <w:tcW w:w="127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(4 250)</w:t>
            </w: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4 250</w:t>
            </w:r>
          </w:p>
        </w:tc>
        <w:tc>
          <w:tcPr>
            <w:tcW w:w="138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4 250</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Трансфери от/към осмия, деветия и 10-ия ЕФР</w:t>
            </w:r>
          </w:p>
        </w:tc>
        <w:tc>
          <w:tcPr>
            <w:tcW w:w="127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112</w:t>
            </w: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112</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27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(3 065)</w:t>
            </w:r>
          </w:p>
        </w:tc>
        <w:tc>
          <w:tcPr>
            <w:tcW w:w="12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(3 065)</w:t>
            </w:r>
          </w:p>
        </w:tc>
      </w:tr>
      <w:tr>
        <w:trPr>
          <w:trHeigh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31.12.2018 г.</w:t>
            </w:r>
          </w:p>
        </w:tc>
        <w:tc>
          <w:tcPr>
            <w:tcW w:w="1277"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22 840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6 527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(8 573)</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317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(1 729)</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Движения на справедливата стойност</w:t>
            </w:r>
          </w:p>
        </w:tc>
        <w:tc>
          <w:tcPr>
            <w:tcW w:w="127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38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54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 на капитала — вноски</w:t>
            </w:r>
          </w:p>
        </w:tc>
        <w:tc>
          <w:tcPr>
            <w:tcW w:w="127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(4 400)</w:t>
            </w: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4 400</w:t>
            </w:r>
          </w:p>
        </w:tc>
        <w:tc>
          <w:tcPr>
            <w:tcW w:w="138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(181)</w:t>
            </w: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4 219</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27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(3 393)</w:t>
            </w:r>
          </w:p>
        </w:tc>
        <w:tc>
          <w:tcPr>
            <w:tcW w:w="12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(3 393)</w:t>
            </w:r>
          </w:p>
        </w:tc>
      </w:tr>
      <w:tr>
        <w:trPr>
          <w:trHeigh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31.12.2019 г.</w:t>
            </w:r>
          </w:p>
        </w:tc>
        <w:tc>
          <w:tcPr>
            <w:tcW w:w="1277"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18 440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10 927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(11 966)</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136</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w:t>
            </w:r>
          </w:p>
        </w:tc>
        <w:tc>
          <w:tcPr>
            <w:tcW w:w="1540"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(905)</w:t>
            </w:r>
          </w:p>
        </w:tc>
      </w:tr>
      <w:bookmarkEnd w:id="24"/>
    </w:tbl>
    <w:p>
      <w:pPr>
        <w:spacing w:before="240" w:after="240"/>
        <w:jc w:val="both"/>
        <w:rPr>
          <w:rFonts w:ascii="Verdana" w:hAnsi="Verdana"/>
          <w:noProof/>
          <w:sz w:val="18"/>
          <w:szCs w:val="18"/>
          <w:lang w:val="bg-BG" w:eastAsia="en-US"/>
        </w:rPr>
        <w:sectPr>
          <w:headerReference w:type="even" r:id="rId107"/>
          <w:headerReference w:type="default" r:id="rId108"/>
          <w:footerReference w:type="even" r:id="rId109"/>
          <w:footerReference w:type="default" r:id="rId110"/>
          <w:headerReference w:type="first" r:id="rId111"/>
          <w:footerReference w:type="first" r:id="rId112"/>
          <w:pgSz w:w="16838" w:h="11906" w:orient="landscape" w:code="9"/>
          <w:pgMar w:top="1134" w:right="1134" w:bottom="1134" w:left="1134" w:header="708" w:footer="708" w:gutter="0"/>
          <w:cols w:space="708"/>
          <w:docGrid w:linePitch="360"/>
        </w:sectPr>
      </w:pPr>
    </w:p>
    <w:p>
      <w:pPr>
        <w:tabs>
          <w:tab w:val="left" w:pos="907"/>
        </w:tabs>
        <w:spacing w:before="240" w:after="720"/>
        <w:rPr>
          <w:rFonts w:ascii="Verdana" w:hAnsi="Verdana"/>
          <w:b/>
          <w:noProof/>
          <w:color w:val="016794"/>
          <w:sz w:val="40"/>
          <w:szCs w:val="18"/>
          <w:lang w:val="bg-BG" w:eastAsia="en-US"/>
        </w:rPr>
      </w:pPr>
      <w:bookmarkStart w:id="35" w:name="_Toc9948393"/>
      <w:bookmarkStart w:id="36" w:name="_DMBM_18995"/>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pStyle w:val="HEADERTITLE1"/>
        <w:rPr>
          <w:sz w:val="40"/>
          <w:szCs w:val="40"/>
          <w:lang w:val="bg-BG"/>
        </w:rPr>
      </w:pPr>
      <w:bookmarkStart w:id="37" w:name="_Toc49527934"/>
      <w:r>
        <w:rPr>
          <w:sz w:val="40"/>
          <w:szCs w:val="40"/>
          <w:lang w:val="bg-BG"/>
        </w:rPr>
        <w:t>БЕЛЕЖКИ КЪМ ФИНАНСОВИТЕ ОТЧЕТИ НА ЕФР</w:t>
      </w:r>
      <w:bookmarkEnd w:id="35"/>
      <w:bookmarkEnd w:id="37"/>
    </w:p>
    <w:p>
      <w:pPr>
        <w:rPr>
          <w:rFonts w:ascii="Verdana" w:hAnsi="Verdana"/>
          <w:i/>
          <w:noProof/>
          <w:color w:val="016794"/>
          <w:sz w:val="18"/>
          <w:lang w:val="bg-BG"/>
        </w:rPr>
      </w:pPr>
      <w:r>
        <w:rPr>
          <w:rFonts w:ascii="Verdana" w:hAnsi="Verdana"/>
          <w:i/>
          <w:noProof/>
          <w:color w:val="016794"/>
          <w:sz w:val="18"/>
          <w:lang w:val="bg-BG"/>
        </w:rPr>
        <w:t xml:space="preserve"> </w:t>
      </w: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sectPr>
          <w:headerReference w:type="even" r:id="rId113"/>
          <w:headerReference w:type="default" r:id="rId114"/>
          <w:footerReference w:type="even" r:id="rId115"/>
          <w:footerReference w:type="default" r:id="rId116"/>
          <w:headerReference w:type="first" r:id="rId117"/>
          <w:footerReference w:type="first" r:id="rId118"/>
          <w:pgSz w:w="11906" w:h="16838" w:code="9"/>
          <w:pgMar w:top="1134" w:right="1134" w:bottom="1134" w:left="1134" w:header="709" w:footer="709" w:gutter="0"/>
          <w:cols w:space="708"/>
          <w:docGrid w:linePitch="360"/>
        </w:sectPr>
      </w:pPr>
      <w:r>
        <w:rPr>
          <w:rFonts w:ascii="Verdana" w:hAnsi="Verdana"/>
          <w:i/>
          <w:noProof/>
          <w:color w:val="016794"/>
          <w:sz w:val="18"/>
          <w:lang w:val="bg-BG"/>
        </w:rPr>
        <w:t>Следва да се отбележи, че поради закръглянето на цифрите в милиони евро някои финансови данни в таблиците може да изглеждат грешни.</w:t>
      </w:r>
      <w:bookmarkEnd w:id="36"/>
    </w:p>
    <w:p>
      <w:pPr>
        <w:pStyle w:val="HEADER1Part2"/>
        <w:rPr>
          <w:noProof/>
          <w:lang w:val="bg-BG"/>
        </w:rPr>
      </w:pPr>
      <w:bookmarkStart w:id="38" w:name="Significant_acc_pol"/>
      <w:bookmarkStart w:id="39" w:name="_Toc393205650"/>
      <w:bookmarkStart w:id="40" w:name="_Toc457387394"/>
      <w:bookmarkStart w:id="41" w:name="_CSF_TOC_1_0"/>
      <w:bookmarkStart w:id="42" w:name="_DMBM_17676"/>
      <w:r>
        <w:rPr>
          <w:noProof/>
          <w:lang w:val="bg-BG"/>
        </w:rPr>
        <w:t>ВАЖНИ СЧЕТОВОДНИ ПОЛИТИКИ</w:t>
      </w:r>
      <w:bookmarkEnd w:id="38"/>
      <w:bookmarkEnd w:id="39"/>
      <w:bookmarkEnd w:id="40"/>
    </w:p>
    <w:p>
      <w:pPr>
        <w:pStyle w:val="HEADER2Part2"/>
        <w:rPr>
          <w:noProof/>
          <w:lang w:val="bg-BG"/>
        </w:rPr>
      </w:pPr>
      <w:r>
        <w:rPr>
          <w:noProof/>
          <w:lang w:val="bg-BG"/>
        </w:rPr>
        <w:t>СЧЕТОВОДНИ ПРИНЦИПИ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Целта на финансовите отчети е да се предостави информация за финансовото състояние, резултатите и паричните потоци на даден субект, която е полезна за широк кръг ползватели.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Общите съображения (или счетоводни принципи), които трябва да бъдат съблюдавани при съставянето на финансовите отчети, са посочени в счетоводно правило 1 „Финансови отчети“ на ЕС и са същите като описаните в МССПС 1: обективно представяне, текущо начисляване, действащо предприятие, последователно представяне, същественост, агрегиране, прихващане и сравнителна информация. Качествените характеристики на финансовото отчитане са релевантност, достоверно представяне (надеждност), разбираемост, навременност, сравнимост и проверимост.</w:t>
      </w:r>
    </w:p>
    <w:p>
      <w:pPr>
        <w:pStyle w:val="HEADER2Part2"/>
        <w:rPr>
          <w:noProof/>
          <w:lang w:val="bg-BG"/>
        </w:rPr>
      </w:pPr>
      <w:r>
        <w:rPr>
          <w:noProof/>
          <w:lang w:val="bg-BG"/>
        </w:rPr>
        <w:t>БАЗА ЗА ИЗГОТВЯНЕТО</w:t>
      </w:r>
    </w:p>
    <w:p>
      <w:pPr>
        <w:pStyle w:val="HEADER3Part2"/>
        <w:rPr>
          <w:noProof/>
          <w:lang w:val="bg-BG"/>
        </w:rPr>
      </w:pPr>
      <w:r>
        <w:rPr>
          <w:noProof/>
          <w:lang w:val="bg-BG"/>
        </w:rPr>
        <w:t>Отчетен период</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Финансовите отчети се представят ежегодно. Счетоводната година започва на 1 януари и приключва             на 31 декември.</w:t>
      </w:r>
    </w:p>
    <w:p>
      <w:pPr>
        <w:pStyle w:val="HEADER3Part2"/>
        <w:rPr>
          <w:noProof/>
          <w:lang w:val="bg-BG"/>
        </w:rPr>
      </w:pPr>
      <w:r>
        <w:rPr>
          <w:noProof/>
          <w:lang w:val="bg-BG"/>
        </w:rPr>
        <w:t>Валута и база за конвертиране</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Годишните отчети са представени в хиляди евро — функционалната валута на ЕС. Операциите в чуждестранна валута се конвертират в евро по валутните курсове, които са в сила към датата на операциите. Печалбите и загубите от курсови разлики, произтичащи от уреждането на операции в чуждестранна валута и от повторното конвертиране на паричните активи и пасиви в чуждестранна валута по обменните курсове в края на годината, се признават в отчета за финансовия резултат. Различни методи за конвертиране се прилагат за имотите, машините и съоръженията и за нематериалните активи, които запазват стойността си в евро към датата, на която са закупени.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Салдата в края на годината на паричните активи и пасиви, изразени в чуждестранна валута, се конвертират в евро по валутните курсове на Европейската централна банка (ЕЦБ), прилагани на 31 декември.</w:t>
      </w:r>
    </w:p>
    <w:p>
      <w:pPr>
        <w:rPr>
          <w:rFonts w:ascii="Verdana" w:hAnsi="Verdana"/>
          <w:b/>
          <w:noProof/>
          <w:color w:val="016794"/>
          <w:sz w:val="18"/>
          <w:szCs w:val="18"/>
          <w:lang w:val="bg-BG"/>
        </w:rPr>
      </w:pPr>
      <w:r>
        <w:rPr>
          <w:rFonts w:ascii="Verdana" w:hAnsi="Verdana"/>
          <w:b/>
          <w:noProof/>
          <w:color w:val="016794"/>
          <w:sz w:val="18"/>
          <w:szCs w:val="18"/>
          <w:lang w:val="bg-BG"/>
        </w:rPr>
        <w:t>Обменен курс на еврото</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1862"/>
        <w:gridCol w:w="1964"/>
        <w:gridCol w:w="1309"/>
        <w:gridCol w:w="1657"/>
        <w:gridCol w:w="1657"/>
      </w:tblGrid>
      <w:tr>
        <w:trPr>
          <w:trHeight w:hRule="exact" w:val="510"/>
        </w:trPr>
        <w:tc>
          <w:tcPr>
            <w:tcW w:w="1309" w:type="dxa"/>
            <w:tcBorders>
              <w:top w:val="nil"/>
              <w:left w:val="nil"/>
              <w:bottom w:val="nil"/>
              <w:right w:val="nil"/>
            </w:tcBorders>
            <w:shd w:val="solid" w:color="016794" w:fill="FFFFFF"/>
            <w:tcMar>
              <w:top w:w="0" w:type="dxa"/>
              <w:left w:w="60" w:type="dxa"/>
              <w:bottom w:w="0" w:type="dxa"/>
              <w:right w:w="60" w:type="dxa"/>
            </w:tcMar>
            <w:vAlign w:val="center"/>
          </w:tcPr>
          <w:p>
            <w:pPr>
              <w:rPr>
                <w:rFonts w:ascii="Verdana" w:hAnsi="Verdana" w:cs="Verdana"/>
                <w:noProof/>
                <w:color w:val="FFFFFF"/>
                <w:sz w:val="20"/>
                <w:szCs w:val="20"/>
                <w:lang w:val="bg-BG"/>
              </w:rPr>
            </w:pPr>
            <w:bookmarkStart w:id="43" w:name="DOC_TBL00011_1_1"/>
            <w:bookmarkEnd w:id="43"/>
            <w:r>
              <w:rPr>
                <w:rFonts w:ascii="Verdana" w:eastAsia="Calibri" w:hAnsi="Verdana"/>
                <w:noProof/>
                <w:color w:val="FFFFFF"/>
                <w:sz w:val="20"/>
                <w:szCs w:val="20"/>
                <w:lang w:val="bg-BG"/>
              </w:rPr>
              <w:t>Валута</w:t>
            </w:r>
          </w:p>
        </w:tc>
        <w:tc>
          <w:tcPr>
            <w:tcW w:w="186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96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c>
          <w:tcPr>
            <w:tcW w:w="1309" w:type="dxa"/>
            <w:tcBorders>
              <w:top w:val="nil"/>
              <w:left w:val="nil"/>
              <w:bottom w:val="nil"/>
              <w:right w:val="nil"/>
            </w:tcBorders>
            <w:shd w:val="solid" w:color="016794" w:fill="FFFFFF"/>
            <w:tcMar>
              <w:top w:w="0" w:type="dxa"/>
              <w:left w:w="60" w:type="dxa"/>
              <w:bottom w:w="0" w:type="dxa"/>
              <w:right w:w="60" w:type="dxa"/>
            </w:tcMar>
            <w:vAlign w:val="center"/>
          </w:tcPr>
          <w:p>
            <w:pPr>
              <w:rPr>
                <w:rFonts w:ascii="Verdana" w:hAnsi="Verdana" w:cs="Verdana"/>
                <w:noProof/>
                <w:color w:val="FFFFFF"/>
                <w:sz w:val="20"/>
                <w:szCs w:val="20"/>
                <w:lang w:val="bg-BG"/>
              </w:rPr>
            </w:pPr>
            <w:r>
              <w:rPr>
                <w:rFonts w:ascii="Verdana" w:eastAsia="Calibri" w:hAnsi="Verdana"/>
                <w:noProof/>
                <w:color w:val="FFFFFF"/>
                <w:sz w:val="20"/>
                <w:szCs w:val="20"/>
                <w:lang w:val="bg-BG"/>
              </w:rPr>
              <w:t>Валута</w:t>
            </w:r>
          </w:p>
        </w:tc>
        <w:tc>
          <w:tcPr>
            <w:tcW w:w="165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65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BGN</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1,9558</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1,9558</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PLN</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4,2568</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4,3014</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CZK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25,4080</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25,7240</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RON</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4,783</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4,6635</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DKK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7,4715</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7,4673</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SEK</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10,4468</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10,2548</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GBP</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0,8508</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0,8945</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CHF</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1,0854</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1,1269</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HRK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7,4395</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7,4125</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JPY</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121,9400</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125,8500</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HUF</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330,5300</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320,9800</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USD</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1,1234</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1,145</w:t>
            </w:r>
          </w:p>
        </w:tc>
      </w:tr>
    </w:tbl>
    <w:p>
      <w:pPr>
        <w:pStyle w:val="HEADER3Part2"/>
        <w:rPr>
          <w:noProof/>
          <w:lang w:val="bg-BG"/>
        </w:rPr>
      </w:pPr>
      <w:r>
        <w:rPr>
          <w:noProof/>
          <w:lang w:val="bg-BG"/>
        </w:rPr>
        <w:t>Използване на приблизителни оценки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В съответствие с МССПС и общоприетите счетоводни принципи финансовите отчети по необходимост включват суми, основани на приблизителни оценки и предположения на ръководството, основаващи се на най-надеждната налична информация. Съществените приблизителни оценки включват, но не се ограничават до: суми за задължения, свързани с доходите на наети лица, начислени приходи и разходи и приходи и разходи за бъдещи периоди, провизии, финансов риск, свързан с вземанията, условни активи и пасиви и степен на обезценка на активите. Действителните резултати могат да се различават от тези приблизителни оценки.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Разумните приблизителни оценки са основен елемент в изготвянето на финансовите отчети и не намаляват тяхната надеждност. Може да се наложи преразглеждане на приблизителна оценка, ако настъпят промени в обстоятелствата, на които тя се основава, или в резултат на нова информация или допълнително натрупан опит. По своята същност преразглеждането на приблизителната оценка не се свързва с предходни периоди и не представлява корекция на грешка. Ефектът от промяната в счетоводната приблизителна оценка се признава като излишък или дефицит за периодите, в които той стане известен. </w:t>
      </w:r>
    </w:p>
    <w:p>
      <w:pPr>
        <w:pStyle w:val="HEADER2Part2"/>
        <w:rPr>
          <w:noProof/>
          <w:lang w:val="bg-BG"/>
        </w:rPr>
      </w:pPr>
      <w:r>
        <w:rPr>
          <w:noProof/>
          <w:lang w:val="bg-BG"/>
        </w:rPr>
        <w:t>СЧЕТОВОДЕН БАЛАНС</w:t>
      </w:r>
    </w:p>
    <w:p>
      <w:pPr>
        <w:pStyle w:val="HEADER3Part2"/>
        <w:rPr>
          <w:noProof/>
          <w:lang w:val="bg-BG"/>
        </w:rPr>
      </w:pPr>
      <w:r>
        <w:rPr>
          <w:noProof/>
          <w:lang w:val="bg-BG"/>
        </w:rPr>
        <w:t>Нематериални активи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Нематериален актив е разграничим непаричен актив без физическа субстанция. Даден актив може да бъде разграничим, ако е възможно да се отдели (т.е. може да бъде отделен или разграничен от субекта, например чрез продажба, прехвърляне, лиценз, наем или размяна, самостоятелно или заедно със свързан договор, разграничим актив или пасив, независимо от това дали субектът възнамерява да направи това), или произтича от обвързващи договорености (включително права от договори или други законни права), независимо дали тези права могат да се прехвърлят или делят от субекта или от други права и задължения).</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Придобитите нематериални активи се посочват по историческа стойност минус натрупаната амортизация и загубите от обезценка. Вътрешно разработените нематериални активи се капитализират, когато съответните критерии на правилата за счетоводна отчетност на ЕС бъдат изпълнени и разходите са свързани единствено с етапа на разработка на актива. Капитализируемите разходи включват всички разходи, които могат директно да се припишат и които са необходими за създаването, производството и подготвянето на актива за работа по предвидения от ръководството начин. Разходите, свързани с научноизследователски дейности, некапитализируемите разходи по разработката и разходите за поддръжка се признават като разходи в момента на възникването им.</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Нематериалните активи се амортизират по линейния метод през очаквания за тях полезен живот (3—11 години). Очакваният полезен живот на нематериалните активи зависи от специфичния им икономически живот или от правния им живот, който се определя от споразумение.</w:t>
      </w:r>
    </w:p>
    <w:p>
      <w:pPr>
        <w:pStyle w:val="HEADER3Part2"/>
        <w:rPr>
          <w:noProof/>
          <w:lang w:val="bg-BG"/>
        </w:rPr>
      </w:pPr>
      <w:r>
        <w:rPr>
          <w:noProof/>
          <w:lang w:val="bg-BG"/>
        </w:rPr>
        <w:t>Имоти, машини и съоръжения</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Всички имоти, машини и съоръжения се посочват по историческа стойност минус натрупаната амортизация и загубите от обезценка. Стойността включва разходите, които могат директно да се припишат на придобиването, създаването или прехвърлянето на актива. Последващите разходи се включват в балансовата стойност на актива или се признават като отделен актив, както е уместно, единствено когато е вероятно бъдещите икономически ползи или потенциалът за предоставяне на услуга, свързани с него, да са по посока на субекта и стойността на актива може да бъде надеждно оценена. Разходите за ремонт и поддръжка се включват в отчета за финансовия резултат през финансовия период, през който са били извършени. Земята не се амортизира, тъй като се счита, че има неограничен полезен живот. Активите в процес на изграждане не се амортизират, тъй като тези активи все още не са на разположение за употреба. Амортизацията на другите активи се изчислява чрез линейния метод, за да бъде разпределена тяхната стойност минус остатъчната им стойност през очаквания им полезен живот,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5196"/>
      </w:tblGrid>
      <w:tr>
        <w:trPr>
          <w:trHeight w:hRule="exact" w:val="255"/>
        </w:trPr>
        <w:tc>
          <w:tcPr>
            <w:tcW w:w="3135" w:type="dxa"/>
            <w:tcBorders>
              <w:top w:val="nil"/>
              <w:left w:val="nil"/>
              <w:bottom w:val="nil"/>
              <w:right w:val="nil"/>
            </w:tcBorders>
            <w:shd w:val="solid" w:color="016794" w:fill="FFFFFF"/>
            <w:tcMar>
              <w:top w:w="0" w:type="dxa"/>
              <w:left w:w="60" w:type="dxa"/>
              <w:bottom w:w="0" w:type="dxa"/>
              <w:right w:w="60" w:type="dxa"/>
            </w:tcMar>
            <w:vAlign w:val="center"/>
          </w:tcPr>
          <w:p>
            <w:pPr>
              <w:rPr>
                <w:rFonts w:ascii="Verdana" w:hAnsi="Verdana" w:cs="Verdana"/>
                <w:noProof/>
                <w:color w:val="FFFFFF"/>
                <w:sz w:val="20"/>
                <w:szCs w:val="20"/>
                <w:lang w:val="bg-BG"/>
              </w:rPr>
            </w:pPr>
            <w:bookmarkStart w:id="44" w:name="DOC_TBL00012_1_1"/>
            <w:bookmarkEnd w:id="44"/>
            <w:r>
              <w:rPr>
                <w:rFonts w:ascii="Verdana" w:eastAsia="Calibri" w:hAnsi="Verdana"/>
                <w:noProof/>
                <w:color w:val="FFFFFF"/>
                <w:sz w:val="20"/>
                <w:szCs w:val="20"/>
                <w:lang w:val="bg-BG"/>
              </w:rPr>
              <w:t>Вид актив</w:t>
            </w:r>
          </w:p>
        </w:tc>
        <w:tc>
          <w:tcPr>
            <w:tcW w:w="3570"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r>
              <w:rPr>
                <w:rFonts w:ascii="Verdana" w:eastAsia="Calibri" w:hAnsi="Verdana"/>
                <w:noProof/>
                <w:color w:val="FFFFFF"/>
                <w:sz w:val="20"/>
                <w:szCs w:val="20"/>
                <w:lang w:val="bg-BG"/>
              </w:rPr>
              <w:t>Норма на линейна амортизация</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Сгради</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от 4 % до 10 %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Машини и съоръжения</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от 10 % до 25 %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Обзавеждане и превозни средства</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от 10 % до 25 %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Компютърен хардуер</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от 25 % до 33 %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Други</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от 10 % до 33 %</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Печалбите и загубите от намаленията на активи се определят чрез сравняване на приходите минус разходите по продажбата с балансовата стойност на актива, от който институцията се освобождава, и се включват в отчета за финансовия резултат.</w:t>
      </w:r>
    </w:p>
    <w:p>
      <w:pPr>
        <w:spacing w:before="240" w:after="240"/>
        <w:jc w:val="both"/>
        <w:rPr>
          <w:rFonts w:ascii="Verdana" w:hAnsi="Verdana"/>
          <w:noProof/>
          <w:sz w:val="18"/>
          <w:szCs w:val="18"/>
          <w:lang w:val="bg-BG" w:eastAsia="en-US"/>
        </w:rPr>
        <w:sectPr>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9" w:footer="709" w:gutter="0"/>
          <w:cols w:space="708"/>
          <w:docGrid w:linePitch="360"/>
        </w:sectPr>
      </w:pPr>
    </w:p>
    <w:p>
      <w:pPr>
        <w:rPr>
          <w:rFonts w:ascii="Verdana" w:hAnsi="Verdana"/>
          <w:b/>
          <w:noProof/>
          <w:color w:val="016794"/>
          <w:sz w:val="18"/>
          <w:szCs w:val="18"/>
          <w:lang w:val="bg-BG"/>
        </w:rPr>
      </w:pPr>
      <w:r>
        <w:rPr>
          <w:rFonts w:ascii="Verdana" w:hAnsi="Verdana"/>
          <w:b/>
          <w:noProof/>
          <w:color w:val="016794"/>
          <w:sz w:val="18"/>
          <w:szCs w:val="18"/>
          <w:lang w:val="bg-BG"/>
        </w:rPr>
        <w:t>Лизинг</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Лизингът е споразумение, по силата на което лизингодателят предоставя на лизингополучателя правото да използва актив срещу еднократно плащане или поредица от плащания за договорен срок. Лизингите се класифицират като финансови лизинги или като оперативни лизинги.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Финансовите лизинги са лизинги, при които по същество всички рискове и изгоди, произтичащи от собствеността, се прехвърлят на лизингополучателя. При сключването на финансов лизинг от лизингополучателя активите, придобити съгласно финансовия лизинг, се признават като активи и свързаните с тях лизингови задължения като пасиви от началото на срока на лизинговия договор. Активите и пасивите се признават като суми, равни на справедливата стойност на имота на лизинг, или, ако са по-ниски, на настоящата стойност на минималните лизингови плащания, всяка от които е определена в началото на лизинговия договор. Докато тече срокът на лизинговия договор, държаните чрез финансов лизинг активи се амортизират през по-краткия от следните периоди — полезния живот на активите или срока на лизинговия договор. Минималните лизингови плащания се разпределят между финансовия разход (частта от плащането, която съответства на лихвата) и намаляването на размера на неизплатеното задължение (частта от плащането, която съответства на капитала). Финансовият разход се разпределя за всеки период от срока на лизинговия договор, така че да се получи постоянен периодичен лихвен процент за оставащото салдо по пасива, който според случая се представя като текущ/нетекущ. Условните наеми се начисляват като разход за периода, в който са извършени.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Оперативният лизинг е лизингов договор, различен от финансов лизинг, т.е. лизинг, при който лизингодателят запазва по същество всички рискове и изгоди, произтичащи от собствеността върху даден актив. При сключването на оперативен лизинг от лизингополучателя плащанията по оперативния лизинг се признават като разход в отчета за финансовия резултат по линейния метод за срока на лизинговия договор, като в отчета за финансовото състояние не се представят нито активи, нито пасиви по лизинга.</w:t>
      </w:r>
    </w:p>
    <w:p>
      <w:pPr>
        <w:pStyle w:val="HEADER3Part2"/>
        <w:rPr>
          <w:noProof/>
          <w:lang w:val="bg-BG"/>
        </w:rPr>
      </w:pPr>
      <w:r>
        <w:rPr>
          <w:noProof/>
          <w:lang w:val="bg-BG"/>
        </w:rPr>
        <w:t>Обезценка на нефинансови активи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Активите, имащи безкраен полезен живот, не подлежат на амортизация и се проверяват всяка година за обезценка. Активите, които подлежат на амортизация, се проверяват за обезценка, когато към отчетната дата има индикации, че стойността на даден актив може да е обезценена. Загуба от обезценка се признава за сумата, с която балансовата стойност на актива надвишава възстановимата му стойност (на ползване). Възстановимата стойност (на ползване) е по-високата от следните две стойности — справедливата стойност на актива, намалена с разходите по продажбата му, и стойността му в употреба.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Остатъчната стойност и полезният живот на нематериалните активи и на имотите, машините и съоръженията се преразглеждат и ако е необходимо, се коригират поне веднъж годишно. Ако основанията за обезценки, признати през предходни години, вече не са валидни, загубите от обезценка съответно се сторнират.</w:t>
      </w:r>
      <w:r>
        <w:rPr>
          <w:rFonts w:ascii="Verdana" w:hAnsi="Verdana"/>
          <w:noProof/>
          <w:sz w:val="18"/>
          <w:szCs w:val="18"/>
          <w:lang w:val="bg-BG" w:eastAsia="en-US"/>
        </w:rPr>
        <w:tab/>
      </w:r>
    </w:p>
    <w:p>
      <w:pPr>
        <w:pStyle w:val="HEADER3Part2"/>
        <w:rPr>
          <w:noProof/>
          <w:lang w:val="bg-BG"/>
        </w:rPr>
      </w:pPr>
      <w:bookmarkStart w:id="45" w:name="_Ref471899148"/>
      <w:r>
        <w:rPr>
          <w:noProof/>
          <w:lang w:val="bg-BG"/>
        </w:rPr>
        <w:t>Финансови активи</w:t>
      </w:r>
      <w:bookmarkEnd w:id="45"/>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Финансовите активи са класифицирани в следните категории: „финансови активи, отчитани по справедлива стойност чрез излишъка или дефицита“, „заеми и вземания“, „инвестиции, държани до падеж“ и „финансови активи на разположение за продажба“. Класификацията на финансовите инструменти се определя при първоначалното им признаване и се преоценява към датата на всеки счетоводен баланс.</w:t>
      </w:r>
    </w:p>
    <w:p>
      <w:pPr>
        <w:numPr>
          <w:ilvl w:val="0"/>
          <w:numId w:val="111"/>
        </w:numPr>
        <w:ind w:left="284"/>
        <w:rPr>
          <w:rFonts w:ascii="Verdana" w:hAnsi="Verdana"/>
          <w:i/>
          <w:noProof/>
          <w:sz w:val="18"/>
          <w:szCs w:val="18"/>
          <w:lang w:val="bg-BG"/>
        </w:rPr>
      </w:pPr>
      <w:r>
        <w:rPr>
          <w:rFonts w:ascii="Verdana" w:hAnsi="Verdana"/>
          <w:i/>
          <w:noProof/>
          <w:sz w:val="18"/>
          <w:szCs w:val="18"/>
          <w:lang w:val="bg-BG"/>
        </w:rPr>
        <w:t>Финансови активи по справедлива стойност чрез излишъка или дефицита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Финансов актив бива класифициран в тази категория, ако е придобит главно с цел продажба в краткосрочен план или ако е посочен като такъв от субекта. Дериватите също попадат в тази категория. Активите в тази категория се класифицират като текущи активи, ако се очаква да бъдат реализирани в срок от 12 месеца от датата на счетоводния баланс. През тази финансова година субектът не е държал инвестиции в тази категория.</w:t>
      </w:r>
    </w:p>
    <w:p>
      <w:pPr>
        <w:keepNext/>
        <w:numPr>
          <w:ilvl w:val="0"/>
          <w:numId w:val="111"/>
        </w:numPr>
        <w:ind w:left="425" w:hanging="425"/>
        <w:rPr>
          <w:rFonts w:ascii="Verdana" w:hAnsi="Verdana"/>
          <w:i/>
          <w:noProof/>
          <w:sz w:val="18"/>
          <w:szCs w:val="18"/>
          <w:lang w:val="bg-BG"/>
        </w:rPr>
      </w:pPr>
      <w:r>
        <w:rPr>
          <w:rFonts w:ascii="Verdana" w:hAnsi="Verdana"/>
          <w:i/>
          <w:noProof/>
          <w:sz w:val="18"/>
          <w:szCs w:val="18"/>
          <w:lang w:val="bg-BG"/>
        </w:rPr>
        <w:t>Заеми и вземания</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Заемите и вземанията са недериватни финансови активи с фиксирани или определими плащания, които не се котират на активен пазар. Те възникват, когато субектът предоставя пари, стоки или услуги пряко на длъжник, без намерение да търгува с вземането. Те се включват в нетекущите активи, освен ако падежът им настъпва в рамките на 12 месеца от датата на счетоводния баланс. Заемите и вземанията включват срочните депозити с първоначален срок от над три месеца.</w:t>
      </w:r>
    </w:p>
    <w:p>
      <w:pPr>
        <w:numPr>
          <w:ilvl w:val="0"/>
          <w:numId w:val="111"/>
        </w:numPr>
        <w:ind w:left="426" w:hanging="426"/>
        <w:rPr>
          <w:rFonts w:ascii="Verdana" w:hAnsi="Verdana"/>
          <w:i/>
          <w:noProof/>
          <w:sz w:val="18"/>
          <w:szCs w:val="18"/>
          <w:lang w:val="bg-BG"/>
        </w:rPr>
      </w:pPr>
      <w:r>
        <w:rPr>
          <w:rFonts w:ascii="Verdana" w:hAnsi="Verdana"/>
          <w:i/>
          <w:noProof/>
          <w:sz w:val="18"/>
          <w:szCs w:val="18"/>
          <w:lang w:val="bg-BG"/>
        </w:rPr>
        <w:t>Инвестиции, държани до падеж</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Инвестициите, държани до падеж, представляват недериватни финансови активи с фиксирани или определими плащания и фиксиран падеж, които субектът има категоричното намерение и възможност да държи до падеж. През тази финансова година субектът не е държал инвестиции в тази категория. </w:t>
      </w:r>
    </w:p>
    <w:p>
      <w:pPr>
        <w:numPr>
          <w:ilvl w:val="0"/>
          <w:numId w:val="111"/>
        </w:numPr>
        <w:ind w:left="426" w:hanging="426"/>
        <w:rPr>
          <w:rFonts w:ascii="Verdana" w:hAnsi="Verdana"/>
          <w:i/>
          <w:noProof/>
          <w:sz w:val="18"/>
          <w:szCs w:val="18"/>
          <w:lang w:val="bg-BG"/>
        </w:rPr>
      </w:pPr>
      <w:r>
        <w:rPr>
          <w:rFonts w:ascii="Verdana" w:hAnsi="Verdana"/>
          <w:i/>
          <w:noProof/>
          <w:sz w:val="18"/>
          <w:szCs w:val="18"/>
          <w:lang w:val="bg-BG"/>
        </w:rPr>
        <w:t>Финансови активи на разположение за продажба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Финансовите активи на разположение за продажба са недериватни инструменти, които или са посочени в тази категория, или не са класифицирани в никоя от другите категории. Те се класифицират или като текущи, или като нетекущи активи в зависимост от периода от време, през който субектът очаква да ги държи и който обикновено е срокът до настъпването на падежа. През тази финансова година субектът не е държал инвестиции в тази категория.</w:t>
      </w:r>
    </w:p>
    <w:p>
      <w:pPr>
        <w:keepNext/>
        <w:keepLines/>
        <w:rPr>
          <w:rFonts w:ascii="Verdana" w:hAnsi="Verdana"/>
          <w:b/>
          <w:noProof/>
          <w:color w:val="016794"/>
          <w:sz w:val="18"/>
          <w:szCs w:val="18"/>
          <w:lang w:val="bg-BG"/>
        </w:rPr>
      </w:pPr>
      <w:r>
        <w:rPr>
          <w:rFonts w:ascii="Verdana" w:hAnsi="Verdana"/>
          <w:b/>
          <w:noProof/>
          <w:color w:val="016794"/>
          <w:sz w:val="18"/>
          <w:szCs w:val="18"/>
          <w:lang w:val="bg-BG"/>
        </w:rPr>
        <w:t>Първоначално признаване и оценяване</w:t>
      </w:r>
    </w:p>
    <w:p>
      <w:pPr>
        <w:keepNext/>
        <w:keepLines/>
        <w:spacing w:before="240" w:after="240"/>
        <w:jc w:val="both"/>
        <w:rPr>
          <w:rFonts w:ascii="Verdana" w:hAnsi="Verdana"/>
          <w:noProof/>
          <w:sz w:val="18"/>
          <w:szCs w:val="18"/>
          <w:lang w:val="bg-BG" w:eastAsia="en-US"/>
        </w:rPr>
      </w:pPr>
      <w:r>
        <w:rPr>
          <w:rFonts w:ascii="Verdana" w:hAnsi="Verdana"/>
          <w:noProof/>
          <w:sz w:val="18"/>
          <w:szCs w:val="18"/>
          <w:lang w:val="bg-BG" w:eastAsia="en-US"/>
        </w:rPr>
        <w:t>Покупките и продажбите на финансови активи по справедлива стойност чрез излишъка или дефицита, държани до падеж и обявени за продажба, се признават на датата на търгуване, т.е. датата, на която субектът поема задължение да закупи или продаде актива. Паричните еквиваленти и заемите се признават, когато паричните средства се депозират във финансова институция или се отпускат авансово на заемополучатели. Финансовите инструменти първоначално се признават по справедлива стойност. Трансакционните разходи за всички финансови активи, които не са отчетени по справедлива стойност чрез излишъка или дефицита, се добавят към справедливата стойност при първоначалното признаване.</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Финансовите инструменти се отписват, когато правата за получаване на парични потоци от инвестициите са изтекли или субектът по същество е прехвърлил всички рискове и ползи от собствеността на друга страна.</w:t>
      </w:r>
    </w:p>
    <w:p>
      <w:pPr>
        <w:keepNext/>
        <w:keepLines/>
        <w:rPr>
          <w:rFonts w:ascii="Verdana" w:hAnsi="Verdana"/>
          <w:b/>
          <w:noProof/>
          <w:color w:val="016794"/>
          <w:sz w:val="18"/>
          <w:szCs w:val="18"/>
          <w:lang w:val="bg-BG"/>
        </w:rPr>
      </w:pPr>
      <w:r>
        <w:rPr>
          <w:rFonts w:ascii="Verdana" w:hAnsi="Verdana"/>
          <w:b/>
          <w:noProof/>
          <w:color w:val="016794"/>
          <w:sz w:val="18"/>
          <w:szCs w:val="18"/>
          <w:lang w:val="bg-BG"/>
        </w:rPr>
        <w:t>Последващо оценяване</w:t>
      </w:r>
    </w:p>
    <w:p>
      <w:pPr>
        <w:keepNext/>
        <w:keepLines/>
        <w:spacing w:before="240" w:after="240"/>
        <w:jc w:val="both"/>
        <w:rPr>
          <w:rFonts w:ascii="Verdana" w:hAnsi="Verdana"/>
          <w:noProof/>
          <w:sz w:val="18"/>
          <w:szCs w:val="18"/>
          <w:lang w:val="bg-BG" w:eastAsia="en-US"/>
        </w:rPr>
      </w:pPr>
      <w:r>
        <w:rPr>
          <w:rFonts w:ascii="Verdana" w:hAnsi="Verdana"/>
          <w:noProof/>
          <w:sz w:val="18"/>
          <w:szCs w:val="18"/>
          <w:lang w:val="bg-BG" w:eastAsia="en-US"/>
        </w:rPr>
        <w:t>Финансовите активи, отчитани по справедлива стойност чрез излишъка или дефицита, впоследствие се осчетоводяват по справедлива стойност, като печалбите и загубите, възникнали от промени в справедливата стойност, се включват в отчета за финансовия резултат за периода, в който възникват.</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Заемите и вземанията и инвестициите, държани до падеж, се отчитат по амортизирана стойност чрез метода на ефективната лихва.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Финансовите активи на разположение за продажба впоследствие се отчитат по справедлива стойност. Печалбите и загубите от промени в справедливата стойност се признават в резерва на справедливата стойност. Лихвата по финансовите активи на разположение за продажба, изчислена по метода на ефективната лихва, се признава в отчета за финансовия резултат.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Субектът преценява на датата на всеки счетоводен баланс дали има обективни доказателства, че даден финансов актив се е обезценил, и дали в отчета за финансовия резултат следва да се впише загуба от обезценка.</w:t>
      </w:r>
    </w:p>
    <w:p>
      <w:pPr>
        <w:pStyle w:val="HEADER3Part2"/>
        <w:rPr>
          <w:noProof/>
          <w:lang w:val="bg-BG"/>
        </w:rPr>
      </w:pPr>
      <w:r>
        <w:rPr>
          <w:noProof/>
          <w:lang w:val="bg-BG"/>
        </w:rPr>
        <w:t>Суми по предварителното финансиране</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Предварителното финансиране е плащане, предназначено да осигури на бенефициера паричен аванс, т.е. налични средства. То може да се раздели на няколко плащания в продължение на период от време, определен в конкретния договор, решение, споразумение или основен правен акт. Наличните средства, или авансът, се използват за целта, за която са осигурени, през периода, определен в споразумението, или се връщат. Ако бенефициерът не направи допустими разходи, той е длъжен да върне авансово предоставената сума на субекта. Следователно, тъй като субектът запазва контрол върху предварителното финансиране и има право на възстановяване за недопустимата част, сумата се представя като актив.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Първоначално предварителното финансиране се признава в счетоводния баланс, когато паричните средства се прехвърлят на получателя. То се оценява по стойността на сумата за насрещна престация. В последващи периоди предварителното финансиране се оценява по стойността, призната първоначално в счетоводния баланс, минус допустимите разходи (включително прогнозните суми, когато е необходимо), направени в съответния период.</w:t>
      </w:r>
    </w:p>
    <w:p>
      <w:pPr>
        <w:pStyle w:val="HEADER3Part2"/>
        <w:rPr>
          <w:noProof/>
          <w:lang w:val="bg-BG"/>
        </w:rPr>
      </w:pPr>
      <w:r>
        <w:rPr>
          <w:noProof/>
          <w:lang w:val="bg-BG"/>
        </w:rPr>
        <w:t>Вземания и средства, подлежащи на събиране</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Счетоводните правила на ЕС изискват отделно представяне на операциите с размяна и без размяна. За да се направи разграничение между двете категории, терминът „вземане“ се използва за операции с размяна, докато за операции без размяна, т.е. когато ЕС получава стойност от друг субект, без да дава пряко приблизително същата стойност в замяна на това, се използва терминът „средства, подлежащи на събиране“ (средства, подлежащи на събиране от държавите членки, свързани със собствените ресурси).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Вземанията от операции с размяна отговарят на определението за финансови инструменти и поради това се класифицират като заеми и вземания и се оценяват по съответния начин (вж. точка 1.3.4 above).</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Средствата, подлежащи на събиране, от операции без размяна се отчитат по първоначална стойност (коригирана с лихвите и глобите) минус намалението за обезценка. Намаляване за обезценка се прави, когато има обективно доказателство, че субектът няма да може да събере всички дължими суми в съответствие с първоначалните срокове за средствата, подлежащи на събиране. Размерът на намалението е разликата между балансовата стойност на актива и възстановимата стойност. Размерът на намалението се признава в отчета за финансовия резултат.</w:t>
      </w:r>
    </w:p>
    <w:p>
      <w:pPr>
        <w:pStyle w:val="HEADER3Part2"/>
        <w:rPr>
          <w:noProof/>
          <w:lang w:val="bg-BG"/>
        </w:rPr>
      </w:pPr>
      <w:r>
        <w:rPr>
          <w:noProof/>
          <w:lang w:val="bg-BG"/>
        </w:rPr>
        <w:t>Пари и парични еквиваленти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Парите и паричните еквиваленти представляват финансови инструменти и включват парите в брой, депозитите по разплащателни или краткосрочни спестовни сметки в банки и другите краткосрочни високоликвидни инвестиции с първоначален срок от три месеца или под три месеца.</w:t>
      </w:r>
    </w:p>
    <w:p>
      <w:pPr>
        <w:pStyle w:val="HEADER3Part2"/>
        <w:rPr>
          <w:noProof/>
          <w:lang w:val="bg-BG"/>
        </w:rPr>
      </w:pPr>
      <w:r>
        <w:rPr>
          <w:noProof/>
          <w:lang w:val="bg-BG"/>
        </w:rPr>
        <w:t>Провизии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Провизиите се признават, когато субектът има настоящо правно или конструктивно задължение към трети страни в резултат на минали събития, когато е по-вероятно да е необходим изходящ поток от ресурси за уреждане на задължението и когато сумата може да бъде надеждно оценена. Провизии не се признават за бъдещи оперативни загуби. Размерът на провизията е най-точната оценка на разходите, които се очаква да бъдат необходими за уреждане на сегашното задължение към отчетната дата. Когато провизията включва голям брой позиции, задължението се оценява, като бъдат претеглени всички възможни резултати чрез свързаните с тях вероятности (метод на очакваната стойност).</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Провизиите за обременяващи договори се оценяват по настоящата стойност на по-ниския от следните два вида разходи: очакваните разходи за прекратяване на договора и очакваните нетни разходи за продължаване на изпълнението му.</w:t>
      </w:r>
    </w:p>
    <w:p>
      <w:pPr>
        <w:pStyle w:val="HEADER3Part2"/>
        <w:rPr>
          <w:noProof/>
          <w:lang w:val="bg-BG"/>
        </w:rPr>
      </w:pPr>
      <w:r>
        <w:rPr>
          <w:noProof/>
          <w:lang w:val="bg-BG"/>
        </w:rPr>
        <w:t>Задължения</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По сметките за задължения са включени както сумите, свързани с операции с размяна като закупуването на стоки и услуги, така и сумите, свързани с операции без размяна като декларации за разходи от бенефициери, безвъзмездни средства или получено друго финансиране или предварително финансиране от ЕС (вж. бележка </w:t>
      </w:r>
      <w:r>
        <w:rPr>
          <w:rFonts w:ascii="Verdana" w:hAnsi="Verdana"/>
          <w:b/>
          <w:noProof/>
          <w:sz w:val="18"/>
          <w:szCs w:val="18"/>
          <w:lang w:val="bg-BG" w:eastAsia="en-US"/>
        </w:rPr>
        <w:t>1.4.1</w:t>
      </w:r>
      <w:r>
        <w:rPr>
          <w:rFonts w:ascii="Verdana" w:hAnsi="Verdana"/>
          <w:noProof/>
          <w:sz w:val="18"/>
          <w:szCs w:val="18"/>
          <w:lang w:val="bg-BG" w:eastAsia="en-US"/>
        </w:rPr>
        <w:t xml:space="preserve">).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Когато на бенефициерите се предоставят безвъзмездни средства или друго финансиране, декларациите за разходи се записват като задължения в размер на исканата сума при получаване на декларацията за разходи. След проверка и приемане на допустимите разходи задълженията се оценяват по приетата и допустима стойност.</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Задълженията, възникващи от закупуването на стоки и услуги, се признават при получаването на фактурата за първоначалната сума и съответните разходи се вписват в сметките, когато доставките или услугите бъдат извършени и приети от субекта.</w:t>
      </w:r>
    </w:p>
    <w:p>
      <w:pPr>
        <w:pStyle w:val="HEADER3Part2"/>
        <w:rPr>
          <w:noProof/>
          <w:lang w:val="bg-BG"/>
        </w:rPr>
      </w:pPr>
      <w:r>
        <w:rPr>
          <w:noProof/>
          <w:lang w:val="bg-BG"/>
        </w:rPr>
        <w:t>Начислени приходи и разходи и приходи и разходи за бъдещи периоди</w:t>
      </w:r>
    </w:p>
    <w:p>
      <w:pPr>
        <w:spacing w:before="240" w:after="240"/>
        <w:jc w:val="both"/>
        <w:rPr>
          <w:rFonts w:ascii="Verdana" w:eastAsia="Calibri" w:hAnsi="Verdana"/>
          <w:noProof/>
          <w:sz w:val="18"/>
          <w:szCs w:val="18"/>
          <w:lang w:val="bg-BG" w:eastAsia="en-US"/>
        </w:rPr>
      </w:pPr>
      <w:r>
        <w:rPr>
          <w:rFonts w:ascii="Verdana" w:eastAsia="Calibri" w:hAnsi="Verdana"/>
          <w:noProof/>
          <w:sz w:val="18"/>
          <w:szCs w:val="18"/>
          <w:lang w:val="bg-BG" w:eastAsia="en-US"/>
        </w:rPr>
        <w:t>Операциите и събитията се признават във финансовите отчети през периода, за който се отнасят. В края на годината, ако все още не е издадена фактура, но услугата е предоставена, доставките са извършени от субекта или съществува договорно споразумение (напр. чрез позоваване на договор), във финансовите отчети се признава начислен приход. Освен това в края на годината, ако е издадена фактура, но услугите все още не са предоставени или стоките не са доставени, приходът се отсрочва и признава през следващия отчетен период.</w:t>
      </w:r>
    </w:p>
    <w:p>
      <w:pPr>
        <w:spacing w:before="240" w:after="240"/>
        <w:jc w:val="both"/>
        <w:rPr>
          <w:rFonts w:ascii="Verdana" w:eastAsia="Calibri" w:hAnsi="Verdana"/>
          <w:noProof/>
          <w:sz w:val="18"/>
          <w:szCs w:val="18"/>
          <w:lang w:val="bg-BG" w:eastAsia="en-US"/>
        </w:rPr>
      </w:pPr>
      <w:r>
        <w:rPr>
          <w:rFonts w:ascii="Verdana" w:eastAsia="Calibri" w:hAnsi="Verdana"/>
          <w:noProof/>
          <w:sz w:val="18"/>
          <w:szCs w:val="18"/>
          <w:lang w:val="bg-BG" w:eastAsia="en-US"/>
        </w:rPr>
        <w:t xml:space="preserve">Разходите също се отчитат през периода, за който се отнасят. В края на отчетния период начислените разходи се признават въз основа на очакван размер на задължението за прехвърляне за периода. Изчисляването на начислените разходи се прави в съответствие с подробни оперативни и практически насоки, издадени от счетоводителя и насочени към гарантиране на това, че финансовите отчети дават вярна представа за икономическите и другите явления, които се предполага, че представляват. По аналогия, ако дадено плащане е предварително извършено за стоки или услуги, които все още не са получени, разходите ще бъдат отсрочени и признати през следващия отчетен период. </w:t>
      </w:r>
    </w:p>
    <w:p>
      <w:pPr>
        <w:spacing w:before="240" w:after="240"/>
        <w:jc w:val="both"/>
        <w:rPr>
          <w:rFonts w:ascii="Verdana" w:eastAsia="Calibri" w:hAnsi="Verdana"/>
          <w:noProof/>
          <w:sz w:val="18"/>
          <w:szCs w:val="18"/>
          <w:lang w:val="bg-BG" w:eastAsia="en-US"/>
        </w:rPr>
      </w:pPr>
    </w:p>
    <w:p>
      <w:pPr>
        <w:pStyle w:val="HEADER2Part2"/>
        <w:rPr>
          <w:noProof/>
          <w:lang w:val="bg-BG"/>
        </w:rPr>
      </w:pPr>
      <w:r>
        <w:rPr>
          <w:noProof/>
          <w:lang w:val="bg-BG"/>
        </w:rPr>
        <w:t>ОТЧЕТ ЗА ФИНАНСОВИЯ РЕЗУЛТАТ</w:t>
      </w:r>
    </w:p>
    <w:p>
      <w:pPr>
        <w:pStyle w:val="HEADER3Part2"/>
        <w:rPr>
          <w:noProof/>
          <w:lang w:val="bg-BG"/>
        </w:rPr>
      </w:pPr>
      <w:r>
        <w:rPr>
          <w:noProof/>
          <w:lang w:val="bg-BG"/>
        </w:rPr>
        <w:t>Приходи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Приходите обхващат брутните входящи потоци от икономически ползи или потенциал за предоставяне на услуги, получени и дължими на субекта, които представляват увеличение на нетните активи, различно от увеличенията, свързани с вноските на собствениците.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зависимост от естеството на извършените операции в отчета за финансовия резултат се прави разграничение между:</w:t>
      </w:r>
    </w:p>
    <w:p>
      <w:pPr>
        <w:numPr>
          <w:ilvl w:val="0"/>
          <w:numId w:val="16"/>
        </w:numPr>
        <w:rPr>
          <w:rFonts w:ascii="Verdana" w:hAnsi="Verdana"/>
          <w:i/>
          <w:noProof/>
          <w:sz w:val="18"/>
          <w:szCs w:val="18"/>
          <w:lang w:val="bg-BG"/>
        </w:rPr>
      </w:pPr>
      <w:r>
        <w:rPr>
          <w:rFonts w:ascii="Verdana" w:hAnsi="Verdana"/>
          <w:i/>
          <w:noProof/>
          <w:sz w:val="18"/>
          <w:szCs w:val="18"/>
          <w:lang w:val="bg-BG"/>
        </w:rPr>
        <w:t>Приходи от операции без размяна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Приходите от операции без размяна са данъци и трансфери, защото прехвърлителят предоставя ресурси на приемащия субект, без приемащият субект директно да предоставя приблизително еднаква стойност в замяна.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Трансферите са входящи потоци на бъдещи икономически ползи или потенциал за предоставяне на услуги от операции без размяна, различни от данъци. Субектът признава актив от трансфери, когато субектът контролира ресурсите в резултат на минали събития (трансфера) и очаква да получи бъдещи икономически ползи или потенциал за предоставяне на услуги от тези ресурси и когато справедливата стойност може да бъде измерена по надежден начин. Входящ поток от ресурси от операция без размяна, признат като актив (т.е. парични средства), се признава също и като приход, освен до степента, до която субектът има сегашно задължение по отношение на трансфера (условие), което трябва да бъде изпълнено, за да могат приходите да бъдат признати. Докато условието бъде изпълнено, приходът се отсрочва и признава като пасив (получено предварително финансиране).</w:t>
      </w:r>
    </w:p>
    <w:p>
      <w:pPr>
        <w:numPr>
          <w:ilvl w:val="0"/>
          <w:numId w:val="16"/>
        </w:numPr>
        <w:rPr>
          <w:rFonts w:ascii="Verdana" w:hAnsi="Verdana"/>
          <w:i/>
          <w:noProof/>
          <w:sz w:val="18"/>
          <w:szCs w:val="18"/>
          <w:lang w:val="bg-BG"/>
        </w:rPr>
      </w:pPr>
      <w:r>
        <w:rPr>
          <w:rFonts w:ascii="Verdana" w:hAnsi="Verdana"/>
          <w:i/>
          <w:noProof/>
          <w:sz w:val="18"/>
          <w:szCs w:val="18"/>
          <w:lang w:val="bg-BG"/>
        </w:rPr>
        <w:t>Приходи от операции с размяна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Приходите от продажбата на стоки и услуги се признават, когато значителните рискове и ползи от собствеността върху стоките се прехвърлят на купувача. Приходите, свързани с операция, включваща предоставянето на услуги, се признават в зависимост от етапа на завършеност на операцията към отчетната дата.</w:t>
      </w:r>
    </w:p>
    <w:p>
      <w:pPr>
        <w:pStyle w:val="HEADER3Part2"/>
        <w:rPr>
          <w:noProof/>
          <w:lang w:val="bg-BG"/>
        </w:rPr>
      </w:pPr>
      <w:r>
        <w:rPr>
          <w:noProof/>
          <w:lang w:val="bg-BG"/>
        </w:rPr>
        <w:t>Разходи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Разходите са намаления на икономически ползи или потенциал за предоставяне на услуги по време на отчетния период под формата на изходящи потоци, потребление на активи или поемане на задължения, което води до намаления на нетните активи/капитала. Те включват както разходите от операции с размяна, така и разходите от операции без размяна.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Разходите от операции с размяна, възникващи от закупуването на стоки и услуги, се признават, когато доставките бъдат извършени и приети от субекта. Те се оценяват по първоначалната фактурна стойност. Освен това към датата на счетоводния баланс разходите, свързани с предоставените услуги през периода, за който още не е получена или приета фактура, се признават в отчета за финансовия резултат.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Разходите от операции без размяна се отнасят до трансферите към бенефициери и могат да бъдат три вида: вземания, трансфери по споразумения и дискреционни безвъзмездни средства, вноски и дарения. Трансферите се признават като разходи в периода, през който са настъпили събитията, пораждащи трансфера, при условие че естеството на трансфера се допуска от нормативната уредба или е подписано споразумение, разрешаващо трансфера, бенефициерът е изпълнил всички критерии за допустимост и може да бъде направена разумна оценка на сумата.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Когато бъде получено искане за плащане или декларация за разходи, които изпълняват критериите за признаване, те се признават като разход в размер на допустимата сума. В края на годината направените допустими разходи, които се дължат на бенефициерите, но които все още не са докладвани, се оценяват и записват като начислени разходи.</w:t>
      </w:r>
    </w:p>
    <w:p>
      <w:pPr>
        <w:pStyle w:val="HEADER2Part2"/>
        <w:rPr>
          <w:noProof/>
          <w:lang w:val="bg-BG"/>
        </w:rPr>
      </w:pPr>
      <w:r>
        <w:rPr>
          <w:noProof/>
          <w:lang w:val="bg-BG"/>
        </w:rPr>
        <w:t>УСЛОВНИ АКТИВИ И ПАСИВИ</w:t>
      </w:r>
    </w:p>
    <w:p>
      <w:pPr>
        <w:pStyle w:val="HEADER3Part2"/>
        <w:rPr>
          <w:noProof/>
          <w:lang w:val="bg-BG"/>
        </w:rPr>
      </w:pPr>
      <w:r>
        <w:rPr>
          <w:noProof/>
          <w:lang w:val="bg-BG"/>
        </w:rPr>
        <w:t xml:space="preserve">Условни активи </w:t>
      </w:r>
    </w:p>
    <w:p>
      <w:pPr>
        <w:keepNext/>
        <w:keepLines/>
        <w:spacing w:before="240" w:after="240"/>
        <w:jc w:val="both"/>
        <w:rPr>
          <w:rFonts w:ascii="Verdana" w:hAnsi="Verdana"/>
          <w:noProof/>
          <w:sz w:val="18"/>
          <w:szCs w:val="18"/>
          <w:lang w:val="bg-BG" w:eastAsia="en-US"/>
        </w:rPr>
      </w:pPr>
      <w:r>
        <w:rPr>
          <w:rFonts w:ascii="Verdana" w:hAnsi="Verdana"/>
          <w:noProof/>
          <w:sz w:val="18"/>
          <w:szCs w:val="18"/>
          <w:lang w:val="bg-BG" w:eastAsia="en-US"/>
        </w:rPr>
        <w:t>Условен актив е възможен актив, който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субекта. Условен актив се оповестява, когато е вероятна появата на входящ поток от икономически ползи или на потенциал за предоставяне на услуги.</w:t>
      </w:r>
    </w:p>
    <w:p>
      <w:pPr>
        <w:pStyle w:val="HEADER3Part2"/>
        <w:rPr>
          <w:noProof/>
          <w:lang w:val="bg-BG"/>
        </w:rPr>
      </w:pPr>
      <w:r>
        <w:rPr>
          <w:noProof/>
          <w:lang w:val="bg-BG"/>
        </w:rPr>
        <w:t xml:space="preserve">Условни пасиви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Условен пасив е възможно задължение, което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субекта; или настоящо задължение, което възниква от минали събития, но не е признато, защото не е вероятно да бъде необходим изходящ поток от ресурси, съдържащ икономически ползи или потенциал за предоставяне на услуги, за уреждане на задължението или в редките случаи, когато размерът на задължението не може да бъде оценен достатъчно надеждно.</w:t>
      </w:r>
      <w:bookmarkEnd w:id="41"/>
      <w:r>
        <w:rPr>
          <w:rFonts w:ascii="Verdana" w:hAnsi="Verdana"/>
          <w:noProof/>
          <w:sz w:val="18"/>
          <w:szCs w:val="18"/>
          <w:lang w:val="bg-BG" w:eastAsia="en-US"/>
        </w:rPr>
        <w:t xml:space="preserve"> Условен пасив се оповестява, освен ако възможността за поява на изходящ поток от ресурси, съдържащи икономически ползи или потенциал за предоставяне на услуга, не е малка.</w:t>
      </w:r>
    </w:p>
    <w:p>
      <w:pPr>
        <w:spacing w:before="240" w:after="240"/>
        <w:jc w:val="both"/>
        <w:rPr>
          <w:rFonts w:ascii="Verdana" w:hAnsi="Verdana"/>
          <w:noProof/>
          <w:sz w:val="18"/>
          <w:szCs w:val="18"/>
          <w:lang w:val="bg-BG" w:eastAsia="en-US"/>
        </w:rPr>
        <w:sectPr>
          <w:headerReference w:type="even" r:id="rId125"/>
          <w:headerReference w:type="default" r:id="rId126"/>
          <w:footerReference w:type="even" r:id="rId127"/>
          <w:footerReference w:type="default" r:id="rId128"/>
          <w:headerReference w:type="first" r:id="rId129"/>
          <w:footerReference w:type="first" r:id="rId130"/>
          <w:pgSz w:w="11906" w:h="16838"/>
          <w:pgMar w:top="1134" w:right="1134" w:bottom="1134" w:left="1134" w:header="709" w:footer="709" w:gutter="0"/>
          <w:cols w:space="708"/>
          <w:docGrid w:linePitch="360"/>
        </w:sectPr>
      </w:pPr>
    </w:p>
    <w:bookmarkEnd w:id="42"/>
    <w:p>
      <w:pPr>
        <w:spacing w:before="240" w:after="240"/>
        <w:jc w:val="both"/>
        <w:rPr>
          <w:rFonts w:ascii="Verdana" w:hAnsi="Verdana"/>
          <w:noProof/>
          <w:sz w:val="18"/>
          <w:szCs w:val="18"/>
          <w:lang w:val="bg-BG" w:eastAsia="en-US"/>
        </w:rPr>
        <w:sectPr>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pPr>
        <w:pStyle w:val="HEADER2Part2"/>
        <w:rPr>
          <w:noProof/>
          <w:lang w:val="bg-BG"/>
        </w:rPr>
      </w:pPr>
      <w:bookmarkStart w:id="46" w:name="_DMBM_18490"/>
      <w:r>
        <w:rPr>
          <w:noProof/>
          <w:lang w:val="bg-BG"/>
        </w:rPr>
        <w:t>СЪФИНАНСИРАНЕ</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Получените вноски по съфинансирането изпълняват критериите за условни приходи от операции без размяна и са представени като задължения към държавите членки, трети държави и други. ЕФР трябва да използва вноските, за да предоставя услуги на трети страни, или в противен случай трябва да върне активите (получените вноски). Неизплатените задължения, свързани със споразумения за съфинансиране, представляват получените вноски за съфинансиране минус направените разходи по проекта. Ефектът върху нетните активи е нулев.</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Разходите, свързани с проекти за съфинансиране, се признават в момента на възникването им. Съответната сума на вноските се признава като оперативни приходи и ефектът върху финансовия резултат за годината е нулев.</w:t>
      </w:r>
    </w:p>
    <w:p>
      <w:pPr>
        <w:spacing w:before="240" w:after="240"/>
        <w:jc w:val="both"/>
        <w:rPr>
          <w:rFonts w:ascii="Verdana" w:hAnsi="Verdana"/>
          <w:noProof/>
          <w:sz w:val="18"/>
          <w:szCs w:val="18"/>
          <w:lang w:val="bg-BG" w:eastAsia="en-US"/>
        </w:rPr>
      </w:pPr>
    </w:p>
    <w:bookmarkEnd w:id="46"/>
    <w:p>
      <w:pPr>
        <w:jc w:val="both"/>
        <w:rPr>
          <w:rFonts w:ascii="Verdana" w:hAnsi="Verdana"/>
          <w:noProof/>
          <w:sz w:val="18"/>
          <w:szCs w:val="18"/>
          <w:lang w:val="bg-BG" w:eastAsia="en-US"/>
        </w:rPr>
        <w:sectPr>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9" w:footer="709" w:gutter="0"/>
          <w:cols w:space="708"/>
          <w:docGrid w:linePitch="360"/>
        </w:sectPr>
      </w:pPr>
    </w:p>
    <w:p>
      <w:pPr>
        <w:pStyle w:val="HEADER1Part2"/>
        <w:rPr>
          <w:noProof/>
          <w:lang w:val="bg-BG"/>
        </w:rPr>
      </w:pPr>
      <w:bookmarkStart w:id="47" w:name="_DMBM_18996"/>
      <w:r>
        <w:rPr>
          <w:noProof/>
          <w:lang w:val="bg-BG"/>
        </w:rPr>
        <w:t>БЕЛЕЖКИ КЪМ СЧЕТОВОДНИЯ БАЛАНС</w:t>
      </w:r>
    </w:p>
    <w:p>
      <w:pPr>
        <w:spacing w:after="240"/>
        <w:rPr>
          <w:rFonts w:ascii="Verdana" w:hAnsi="Verdana"/>
          <w:b/>
          <w:noProof/>
          <w:color w:val="016794"/>
          <w:sz w:val="28"/>
          <w:szCs w:val="28"/>
          <w:lang w:val="bg-BG"/>
        </w:rPr>
      </w:pPr>
      <w:r>
        <w:rPr>
          <w:rFonts w:ascii="Verdana" w:hAnsi="Verdana"/>
          <w:b/>
          <w:noProof/>
          <w:color w:val="016794"/>
          <w:sz w:val="28"/>
          <w:szCs w:val="28"/>
          <w:lang w:val="bg-BG"/>
        </w:rPr>
        <w:t>АКТИВИ</w:t>
      </w:r>
    </w:p>
    <w:p>
      <w:pPr>
        <w:pStyle w:val="HEADER2Part2"/>
        <w:rPr>
          <w:noProof/>
          <w:lang w:val="bg-BG"/>
        </w:rPr>
      </w:pPr>
      <w:r>
        <w:rPr>
          <w:noProof/>
          <w:lang w:val="bg-BG"/>
        </w:rPr>
        <w:t>ФИНАНСОВИ АКТИВИ</w:t>
      </w:r>
    </w:p>
    <w:p>
      <w:pPr>
        <w:spacing w:before="240" w:after="360"/>
        <w:jc w:val="both"/>
        <w:rPr>
          <w:rFonts w:ascii="Verdana" w:hAnsi="Verdana"/>
          <w:noProof/>
          <w:sz w:val="18"/>
          <w:szCs w:val="18"/>
          <w:lang w:val="bg-BG" w:eastAsia="en-US"/>
        </w:rPr>
      </w:pPr>
      <w:r>
        <w:rPr>
          <w:rFonts w:ascii="Verdana" w:hAnsi="Verdana"/>
          <w:noProof/>
          <w:sz w:val="18"/>
          <w:szCs w:val="18"/>
          <w:lang w:val="bg-BG" w:eastAsia="en-US"/>
        </w:rPr>
        <w:t>Финансовите активи на ЕФР възлизат на 36 милиона евро към 31 декември 2019 г. (2018 г.: няма). Те представляват финансови активи на разположение за продажба, които са почти изцяло инвестиции в капиталови инструменти.</w:t>
      </w:r>
    </w:p>
    <w:p>
      <w:pPr>
        <w:pStyle w:val="HEADER2Part2"/>
        <w:rPr>
          <w:noProof/>
          <w:lang w:val="bg-BG"/>
        </w:rPr>
      </w:pPr>
      <w:bookmarkStart w:id="48" w:name="_Ref35550594"/>
      <w:r>
        <w:rPr>
          <w:noProof/>
          <w:lang w:val="bg-BG"/>
        </w:rPr>
        <w:t>ПРЕДВАРИТЕЛНО ФИНАНСИРАНЕ</w:t>
      </w:r>
      <w:bookmarkEnd w:id="48"/>
    </w:p>
    <w:p>
      <w:pPr>
        <w:spacing w:after="240"/>
        <w:jc w:val="both"/>
        <w:rPr>
          <w:rFonts w:ascii="Verdana" w:hAnsi="Verdana"/>
          <w:noProof/>
          <w:sz w:val="18"/>
          <w:szCs w:val="18"/>
          <w:lang w:val="bg-BG" w:eastAsia="en-US"/>
        </w:rPr>
      </w:pPr>
      <w:r>
        <w:rPr>
          <w:rFonts w:ascii="Verdana" w:hAnsi="Verdana"/>
          <w:noProof/>
          <w:sz w:val="18"/>
          <w:szCs w:val="18"/>
          <w:lang w:val="bg-BG" w:eastAsia="en-US"/>
        </w:rPr>
        <w:t>Много договори предвиждат заплащането на аванс преди започване на строителни работи, доставка на стоки или предоставяне на услуги. Понякога в графика на плащане в договорите се предвиждат плащания въз основа на докладите за напредъка. Обикновено предварителното финансиране се изплаща във валутата на държавата или територията, в които е осъществен проектът.</w:t>
      </w:r>
    </w:p>
    <w:p>
      <w:pPr>
        <w:spacing w:before="240"/>
        <w:jc w:val="both"/>
        <w:rPr>
          <w:rFonts w:ascii="Verdana" w:hAnsi="Verdana"/>
          <w:noProof/>
          <w:sz w:val="18"/>
          <w:szCs w:val="18"/>
          <w:lang w:val="bg-BG" w:eastAsia="en-US"/>
        </w:rPr>
      </w:pPr>
      <w:r>
        <w:rPr>
          <w:rFonts w:ascii="Verdana" w:hAnsi="Verdana"/>
          <w:noProof/>
          <w:sz w:val="18"/>
          <w:szCs w:val="18"/>
          <w:lang w:val="bg-BG" w:eastAsia="en-US"/>
        </w:rPr>
        <w:t>Моментът, избран за усвояването на предварителното финансиране, определя дали то се оповестява като текущо или нетекущо предварително финансиране. Усвояването се определя от споразумението, на което проектът се основава. Всяко усвояване, което трябва да се осъществи в срок от дванадесет месеца след отчетната дата, се оповестява като текущо предварително финансиране. Тъй като много от проектите на ЕФР са с дългосрочен характер, необходимо е свързаните с тях аванси да бъдат на разположение за повече от една година. Затова някои суми по предварително финансиране са показани като нетекущи активи.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1221"/>
        <w:gridCol w:w="870"/>
        <w:gridCol w:w="682"/>
        <w:gridCol w:w="847"/>
        <w:gridCol w:w="846"/>
        <w:gridCol w:w="1411"/>
        <w:gridCol w:w="1376"/>
      </w:tblGrid>
      <w:tr>
        <w:trPr>
          <w:trHeight w:val="255"/>
        </w:trPr>
        <w:tc>
          <w:tcPr>
            <w:tcW w:w="2505" w:type="dxa"/>
            <w:gridSpan w:val="8"/>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49" w:name="DOC_TBL00013_1_1"/>
            <w:bookmarkEnd w:id="49"/>
            <w:r>
              <w:rPr>
                <w:rFonts w:ascii="Verdana" w:eastAsia="Calibri" w:hAnsi="Verdana"/>
                <w:i/>
                <w:noProof/>
                <w:color w:val="000000"/>
                <w:sz w:val="16"/>
                <w:szCs w:val="20"/>
                <w:lang w:val="bg-BG"/>
              </w:rPr>
              <w:t>милиони евро</w:t>
            </w:r>
          </w:p>
        </w:tc>
      </w:tr>
      <w:tr>
        <w:trPr>
          <w:trHeight w:val="255"/>
        </w:trPr>
        <w:tc>
          <w:tcPr>
            <w:tcW w:w="2505"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1221"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870"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68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84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84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41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37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2505"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Нетекущо предварително финансиране</w:t>
            </w:r>
          </w:p>
        </w:tc>
        <w:tc>
          <w:tcPr>
            <w:tcW w:w="1221"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noProof/>
                <w:color w:val="000000"/>
                <w:sz w:val="18"/>
                <w:szCs w:val="20"/>
                <w:lang w:val="bg-BG"/>
              </w:rPr>
            </w:pPr>
            <w:r>
              <w:rPr>
                <w:rFonts w:ascii="Verdana" w:eastAsia="Calibri" w:hAnsi="Verdana"/>
                <w:noProof/>
                <w:color w:val="000000"/>
                <w:sz w:val="18"/>
                <w:szCs w:val="20"/>
                <w:lang w:val="bg-BG"/>
              </w:rPr>
              <w:t>2.2.1</w:t>
            </w:r>
          </w:p>
        </w:tc>
        <w:tc>
          <w:tcPr>
            <w:tcW w:w="87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68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w:t>
            </w:r>
          </w:p>
        </w:tc>
        <w:tc>
          <w:tcPr>
            <w:tcW w:w="8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325</w:t>
            </w:r>
          </w:p>
        </w:tc>
        <w:tc>
          <w:tcPr>
            <w:tcW w:w="84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580</w:t>
            </w:r>
          </w:p>
        </w:tc>
        <w:tc>
          <w:tcPr>
            <w:tcW w:w="141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910</w:t>
            </w:r>
          </w:p>
        </w:tc>
        <w:tc>
          <w:tcPr>
            <w:tcW w:w="137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887</w:t>
            </w:r>
          </w:p>
        </w:tc>
      </w:tr>
      <w:tr>
        <w:trPr>
          <w:trHeight w:val="255"/>
        </w:trPr>
        <w:tc>
          <w:tcPr>
            <w:tcW w:w="2505"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Текущо предварително финансиране</w:t>
            </w:r>
          </w:p>
        </w:tc>
        <w:tc>
          <w:tcPr>
            <w:tcW w:w="1221"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noProof/>
                <w:color w:val="000000"/>
                <w:sz w:val="18"/>
                <w:szCs w:val="20"/>
                <w:lang w:val="bg-BG"/>
              </w:rPr>
            </w:pPr>
            <w:r>
              <w:rPr>
                <w:rFonts w:ascii="Verdana" w:eastAsia="Calibri" w:hAnsi="Verdana"/>
                <w:noProof/>
                <w:color w:val="000000"/>
                <w:sz w:val="18"/>
                <w:szCs w:val="20"/>
                <w:lang w:val="bg-BG"/>
              </w:rPr>
              <w:t>2.2.2</w:t>
            </w:r>
          </w:p>
        </w:tc>
        <w:tc>
          <w:tcPr>
            <w:tcW w:w="87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68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26</w:t>
            </w:r>
          </w:p>
        </w:tc>
        <w:tc>
          <w:tcPr>
            <w:tcW w:w="8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441</w:t>
            </w:r>
          </w:p>
        </w:tc>
        <w:tc>
          <w:tcPr>
            <w:tcW w:w="84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821</w:t>
            </w:r>
          </w:p>
        </w:tc>
        <w:tc>
          <w:tcPr>
            <w:tcW w:w="141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1 288</w:t>
            </w:r>
          </w:p>
        </w:tc>
        <w:tc>
          <w:tcPr>
            <w:tcW w:w="137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1 448</w:t>
            </w:r>
          </w:p>
        </w:tc>
      </w:tr>
      <w:tr>
        <w:trPr>
          <w:trHeight w:val="255"/>
        </w:trPr>
        <w:tc>
          <w:tcPr>
            <w:tcW w:w="2505" w:type="dxa"/>
            <w:tcBorders>
              <w:top w:val="single" w:sz="4" w:space="0" w:color="016794"/>
              <w:left w:val="nil"/>
              <w:bottom w:val="single" w:sz="4" w:space="0" w:color="016794"/>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221"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870"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682"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32</w:t>
            </w:r>
          </w:p>
        </w:tc>
        <w:tc>
          <w:tcPr>
            <w:tcW w:w="847"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766</w:t>
            </w:r>
          </w:p>
        </w:tc>
        <w:tc>
          <w:tcPr>
            <w:tcW w:w="846"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1 401</w:t>
            </w:r>
          </w:p>
        </w:tc>
        <w:tc>
          <w:tcPr>
            <w:tcW w:w="1411"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2 199</w:t>
            </w:r>
          </w:p>
        </w:tc>
        <w:tc>
          <w:tcPr>
            <w:tcW w:w="1376"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2 335</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Намалението на общия размер на предварителното финансиране към 31 декември 2019 г. се обяснява главно с намаляването на предварителното финансиране на 10-ия ЕФР (2018 г.: 964 милиона евро). В съответствие с жизнения цикъл на ЕФР много договори, свързани с 10-ия ЕФР, бяха изпълнени и приключени. Броят на текущите договори по този ЕФР намаля от приблизително 2 600 през 2018 г. на около 2 300 през 2019 г. Следователно равнището на плащанията по предварителното финансиране, извършвани към бенефициерите, е намаляло, докато уравняването на предварителното финансиране се е увеличило.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Това намаление беше компенсирано частично от увеличение на предварителното финансиране, свързано с 11-ия ЕФР (2018 г.: 1 328 милиона евро). 11-ият ЕФР започна да се прилага през 2015 г. и през 2019 г. той следваше нормален ритъм на изпълнение, що се отнася до изпълнението на приетите действия. Броят на текущите договори се увеличи от около 2 300 през 2018 г. на 3 400 през 2019 г., което доведе до увеличение на общото текущо предварително финансиране в размер на 73 милиона евро. </w:t>
      </w:r>
    </w:p>
    <w:p>
      <w:pPr>
        <w:spacing w:before="240" w:after="240"/>
        <w:jc w:val="both"/>
        <w:rPr>
          <w:rFonts w:ascii="Verdana" w:hAnsi="Verdana"/>
          <w:noProof/>
          <w:sz w:val="18"/>
          <w:szCs w:val="18"/>
          <w:lang w:val="bg-BG" w:eastAsia="en-US"/>
        </w:rPr>
        <w:sectPr>
          <w:headerReference w:type="even" r:id="rId143"/>
          <w:headerReference w:type="default" r:id="rId144"/>
          <w:footerReference w:type="even" r:id="rId145"/>
          <w:footerReference w:type="default" r:id="rId146"/>
          <w:headerReference w:type="first" r:id="rId147"/>
          <w:footerReference w:type="first" r:id="rId148"/>
          <w:pgSz w:w="11906" w:h="16838" w:code="9"/>
          <w:pgMar w:top="1134" w:right="1134" w:bottom="1134" w:left="1134" w:header="709" w:footer="709" w:gutter="0"/>
          <w:cols w:space="708"/>
          <w:docGrid w:linePitch="360"/>
        </w:sectPr>
      </w:pPr>
    </w:p>
    <w:p>
      <w:pPr>
        <w:numPr>
          <w:ilvl w:val="2"/>
          <w:numId w:val="10"/>
        </w:numPr>
        <w:tabs>
          <w:tab w:val="left" w:pos="907"/>
        </w:tabs>
        <w:spacing w:before="60" w:after="60"/>
        <w:rPr>
          <w:rFonts w:ascii="Verdana" w:hAnsi="Verdana"/>
          <w:noProof/>
          <w:color w:val="016794"/>
          <w:sz w:val="20"/>
          <w:szCs w:val="20"/>
          <w:lang w:val="bg-BG"/>
        </w:rPr>
      </w:pPr>
      <w:r>
        <w:rPr>
          <w:rFonts w:ascii="Verdana" w:hAnsi="Verdana"/>
          <w:noProof/>
          <w:color w:val="016794"/>
          <w:sz w:val="20"/>
          <w:szCs w:val="20"/>
          <w:lang w:val="bg-BG"/>
        </w:rPr>
        <w:t>Нетекущо предварително финансиране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2687"/>
        <w:gridCol w:w="2258"/>
      </w:tblGrid>
      <w:tr>
        <w:trPr>
          <w:trHeight w:val="255"/>
        </w:trPr>
        <w:tc>
          <w:tcPr>
            <w:tcW w:w="4813" w:type="dxa"/>
            <w:gridSpan w:val="3"/>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50" w:name="DOC_TBL00014_1_1"/>
            <w:bookmarkEnd w:id="50"/>
            <w:r>
              <w:rPr>
                <w:rFonts w:ascii="Verdana" w:eastAsia="Calibri" w:hAnsi="Verdana"/>
                <w:i/>
                <w:noProof/>
                <w:color w:val="000000"/>
                <w:sz w:val="16"/>
                <w:szCs w:val="20"/>
                <w:lang w:val="bg-BG"/>
              </w:rPr>
              <w:t>милиони евро</w:t>
            </w:r>
          </w:p>
        </w:tc>
      </w:tr>
      <w:tr>
        <w:trPr>
          <w:trHeight w:val="255"/>
        </w:trPr>
        <w:tc>
          <w:tcPr>
            <w:tcW w:w="481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18"/>
                <w:szCs w:val="20"/>
                <w:lang w:val="bg-BG"/>
              </w:rPr>
            </w:pPr>
          </w:p>
        </w:tc>
        <w:tc>
          <w:tcPr>
            <w:tcW w:w="268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225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Пряко управление</w:t>
            </w:r>
          </w:p>
        </w:tc>
        <w:tc>
          <w:tcPr>
            <w:tcW w:w="2687"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p>
        </w:tc>
        <w:tc>
          <w:tcPr>
            <w:tcW w:w="2258"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Изпълнява се от:</w:t>
            </w:r>
          </w:p>
        </w:tc>
        <w:tc>
          <w:tcPr>
            <w:tcW w:w="26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p>
        </w:tc>
        <w:tc>
          <w:tcPr>
            <w:tcW w:w="22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Комисията</w:t>
            </w:r>
          </w:p>
        </w:tc>
        <w:tc>
          <w:tcPr>
            <w:tcW w:w="26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190</w:t>
            </w:r>
          </w:p>
        </w:tc>
        <w:tc>
          <w:tcPr>
            <w:tcW w:w="22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140</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Изпълнителните агенции на ЕС</w:t>
            </w:r>
          </w:p>
        </w:tc>
        <w:tc>
          <w:tcPr>
            <w:tcW w:w="26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w:t>
            </w:r>
          </w:p>
        </w:tc>
        <w:tc>
          <w:tcPr>
            <w:tcW w:w="22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Делегациите на ЕС</w:t>
            </w:r>
          </w:p>
        </w:tc>
        <w:tc>
          <w:tcPr>
            <w:tcW w:w="26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49</w:t>
            </w:r>
          </w:p>
        </w:tc>
        <w:tc>
          <w:tcPr>
            <w:tcW w:w="22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48</w:t>
            </w:r>
          </w:p>
        </w:tc>
      </w:tr>
      <w:tr>
        <w:trPr>
          <w:trHeight w:val="255"/>
        </w:trPr>
        <w:tc>
          <w:tcPr>
            <w:tcW w:w="4813"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2687"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244</w:t>
            </w:r>
          </w:p>
        </w:tc>
        <w:tc>
          <w:tcPr>
            <w:tcW w:w="2258"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188</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Непряко управление</w:t>
            </w:r>
          </w:p>
        </w:tc>
        <w:tc>
          <w:tcPr>
            <w:tcW w:w="2687"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p>
        </w:tc>
        <w:tc>
          <w:tcPr>
            <w:tcW w:w="2258"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Изпълнява се от:</w:t>
            </w:r>
          </w:p>
        </w:tc>
        <w:tc>
          <w:tcPr>
            <w:tcW w:w="26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p>
        </w:tc>
        <w:tc>
          <w:tcPr>
            <w:tcW w:w="22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ЕИБ и ЕИФ</w:t>
            </w:r>
          </w:p>
        </w:tc>
        <w:tc>
          <w:tcPr>
            <w:tcW w:w="26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313</w:t>
            </w:r>
          </w:p>
        </w:tc>
        <w:tc>
          <w:tcPr>
            <w:tcW w:w="22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367</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Международни организации</w:t>
            </w:r>
          </w:p>
        </w:tc>
        <w:tc>
          <w:tcPr>
            <w:tcW w:w="26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291</w:t>
            </w:r>
          </w:p>
        </w:tc>
        <w:tc>
          <w:tcPr>
            <w:tcW w:w="22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280</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Частноправни органи със задължение за обществена услуга</w:t>
            </w:r>
          </w:p>
        </w:tc>
        <w:tc>
          <w:tcPr>
            <w:tcW w:w="26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22</w:t>
            </w:r>
          </w:p>
        </w:tc>
        <w:tc>
          <w:tcPr>
            <w:tcW w:w="22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Публичноправни органи</w:t>
            </w:r>
          </w:p>
        </w:tc>
        <w:tc>
          <w:tcPr>
            <w:tcW w:w="26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22</w:t>
            </w:r>
          </w:p>
        </w:tc>
        <w:tc>
          <w:tcPr>
            <w:tcW w:w="22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24</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Трети държави</w:t>
            </w:r>
          </w:p>
        </w:tc>
        <w:tc>
          <w:tcPr>
            <w:tcW w:w="26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17</w:t>
            </w:r>
          </w:p>
        </w:tc>
        <w:tc>
          <w:tcPr>
            <w:tcW w:w="22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21</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Органи на ЕС и публично-частно партньорство</w:t>
            </w:r>
          </w:p>
        </w:tc>
        <w:tc>
          <w:tcPr>
            <w:tcW w:w="26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22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4813"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2687"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665</w:t>
            </w:r>
          </w:p>
        </w:tc>
        <w:tc>
          <w:tcPr>
            <w:tcW w:w="2258"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698</w:t>
            </w:r>
          </w:p>
        </w:tc>
      </w:tr>
      <w:tr>
        <w:trPr>
          <w:trHeight w:val="255"/>
        </w:trPr>
        <w:tc>
          <w:tcPr>
            <w:tcW w:w="4813"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2687"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910</w:t>
            </w:r>
          </w:p>
        </w:tc>
        <w:tc>
          <w:tcPr>
            <w:tcW w:w="2258"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887</w:t>
            </w:r>
          </w:p>
        </w:tc>
      </w:tr>
    </w:tbl>
    <w:p>
      <w:pPr>
        <w:numPr>
          <w:ilvl w:val="2"/>
          <w:numId w:val="10"/>
        </w:numPr>
        <w:tabs>
          <w:tab w:val="left" w:pos="907"/>
          <w:tab w:val="left" w:pos="4253"/>
        </w:tabs>
        <w:spacing w:before="360" w:after="360"/>
        <w:rPr>
          <w:rFonts w:ascii="Verdana" w:hAnsi="Verdana"/>
          <w:noProof/>
          <w:color w:val="016794"/>
          <w:sz w:val="20"/>
          <w:szCs w:val="20"/>
          <w:lang w:val="bg-BG"/>
        </w:rPr>
      </w:pPr>
      <w:r>
        <w:rPr>
          <w:rFonts w:ascii="Verdana" w:hAnsi="Verdana"/>
          <w:noProof/>
          <w:color w:val="016794"/>
          <w:sz w:val="20"/>
          <w:szCs w:val="20"/>
          <w:lang w:val="bg-BG"/>
        </w:rPr>
        <w:t>Текущо предварително финансиране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417"/>
        <w:gridCol w:w="1134"/>
        <w:gridCol w:w="1134"/>
        <w:gridCol w:w="1134"/>
        <w:gridCol w:w="1418"/>
        <w:gridCol w:w="1334"/>
      </w:tblGrid>
      <w:tr>
        <w:trPr>
          <w:trHeight w:val="255"/>
        </w:trPr>
        <w:tc>
          <w:tcPr>
            <w:tcW w:w="2187"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51" w:name="DOC_TBL00015_1_1"/>
            <w:bookmarkEnd w:id="51"/>
            <w:r>
              <w:rPr>
                <w:rFonts w:ascii="Verdana" w:eastAsia="Calibri" w:hAnsi="Verdana"/>
                <w:i/>
                <w:noProof/>
                <w:color w:val="000000"/>
                <w:sz w:val="16"/>
                <w:szCs w:val="20"/>
                <w:lang w:val="bg-BG"/>
              </w:rPr>
              <w:t>милиони евро</w:t>
            </w:r>
          </w:p>
        </w:tc>
      </w:tr>
      <w:tr>
        <w:trPr>
          <w:trHeight w:val="255"/>
        </w:trPr>
        <w:tc>
          <w:tcPr>
            <w:tcW w:w="2187"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33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2187"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Предварително финансиране (бруто)</w:t>
            </w:r>
          </w:p>
        </w:tc>
        <w:tc>
          <w:tcPr>
            <w:tcW w:w="141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115</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1 627</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3 288</w:t>
            </w:r>
          </w:p>
        </w:tc>
        <w:tc>
          <w:tcPr>
            <w:tcW w:w="14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5 030</w:t>
            </w:r>
          </w:p>
        </w:tc>
        <w:tc>
          <w:tcPr>
            <w:tcW w:w="13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5 153</w:t>
            </w:r>
          </w:p>
        </w:tc>
      </w:tr>
      <w:tr>
        <w:trPr>
          <w:trHeight w:val="255"/>
        </w:trPr>
        <w:tc>
          <w:tcPr>
            <w:tcW w:w="2187"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Приключени чрез разделяне на финансовите периоди</w:t>
            </w:r>
          </w:p>
        </w:tc>
        <w:tc>
          <w:tcPr>
            <w:tcW w:w="141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(89)</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(1 186)</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(2 467)</w:t>
            </w:r>
          </w:p>
        </w:tc>
        <w:tc>
          <w:tcPr>
            <w:tcW w:w="14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(3 742)</w:t>
            </w:r>
          </w:p>
        </w:tc>
        <w:tc>
          <w:tcPr>
            <w:tcW w:w="13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(3 705)</w:t>
            </w:r>
          </w:p>
        </w:tc>
      </w:tr>
      <w:tr>
        <w:trPr>
          <w:trHeight w:val="255"/>
        </w:trPr>
        <w:tc>
          <w:tcPr>
            <w:tcW w:w="2187"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26</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441</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821</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1 288</w:t>
            </w:r>
          </w:p>
        </w:tc>
        <w:tc>
          <w:tcPr>
            <w:tcW w:w="1334"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1 448</w:t>
            </w:r>
          </w:p>
        </w:tc>
      </w:tr>
    </w:tbl>
    <w:p>
      <w:pPr>
        <w:numPr>
          <w:ilvl w:val="2"/>
          <w:numId w:val="10"/>
        </w:numPr>
        <w:tabs>
          <w:tab w:val="left" w:pos="907"/>
        </w:tabs>
        <w:spacing w:before="360" w:after="360"/>
        <w:rPr>
          <w:rFonts w:ascii="Verdana" w:hAnsi="Verdana"/>
          <w:noProof/>
          <w:color w:val="016794"/>
          <w:sz w:val="20"/>
          <w:szCs w:val="20"/>
          <w:lang w:val="bg-BG"/>
        </w:rPr>
      </w:pPr>
      <w:r>
        <w:rPr>
          <w:rFonts w:ascii="Verdana" w:hAnsi="Verdana"/>
          <w:noProof/>
          <w:color w:val="016794"/>
          <w:sz w:val="20"/>
          <w:szCs w:val="20"/>
          <w:lang w:val="bg-BG"/>
        </w:rPr>
        <w:t>Гаранции, получени по отношение на предварително финансиране</w:t>
      </w:r>
    </w:p>
    <w:p>
      <w:pPr>
        <w:spacing w:before="240" w:after="240"/>
        <w:jc w:val="both"/>
        <w:rPr>
          <w:rFonts w:ascii="Verdana" w:hAnsi="Verdana"/>
          <w:iCs/>
          <w:noProof/>
          <w:sz w:val="18"/>
          <w:szCs w:val="18"/>
          <w:lang w:val="bg-BG" w:eastAsia="en-US"/>
        </w:rPr>
      </w:pPr>
      <w:r>
        <w:rPr>
          <w:rFonts w:ascii="Verdana" w:hAnsi="Verdana"/>
          <w:noProof/>
          <w:sz w:val="18"/>
          <w:szCs w:val="18"/>
          <w:lang w:val="bg-BG" w:eastAsia="en-US"/>
        </w:rPr>
        <w:t>За предварителното финансиране се предвиждат гаранции, които се освобождават, когато се извърши и последното плащане по даден проект.</w:t>
      </w:r>
      <w:r>
        <w:rPr>
          <w:rFonts w:ascii="Verdana" w:hAnsi="Verdana"/>
          <w:b/>
          <w:noProof/>
          <w:sz w:val="18"/>
          <w:szCs w:val="18"/>
          <w:lang w:val="bg-BG" w:eastAsia="en-US"/>
        </w:rPr>
        <w:t xml:space="preserve"> </w:t>
      </w:r>
      <w:r>
        <w:rPr>
          <w:rFonts w:ascii="Verdana" w:hAnsi="Verdana"/>
          <w:noProof/>
          <w:sz w:val="18"/>
          <w:szCs w:val="18"/>
          <w:lang w:val="bg-BG" w:eastAsia="en-US"/>
        </w:rPr>
        <w:t>Към 31 декември 2019 г. гаранциите, получени от ЕФР по отношение на предварително финансиране, намаляха до 46 милиона евро (2018 г.: 79 милиона евро).</w:t>
      </w:r>
    </w:p>
    <w:p>
      <w:pPr>
        <w:spacing w:before="240" w:after="360"/>
        <w:jc w:val="both"/>
        <w:rPr>
          <w:rFonts w:ascii="Verdana" w:hAnsi="Verdana"/>
          <w:noProof/>
          <w:sz w:val="18"/>
          <w:szCs w:val="18"/>
          <w:lang w:val="bg-BG" w:eastAsia="en-US"/>
        </w:rPr>
      </w:pPr>
      <w:r>
        <w:rPr>
          <w:rFonts w:ascii="Verdana" w:hAnsi="Verdana"/>
          <w:noProof/>
          <w:sz w:val="18"/>
          <w:szCs w:val="18"/>
          <w:lang w:val="bg-BG" w:eastAsia="en-US"/>
        </w:rPr>
        <w:t xml:space="preserve">По-голямата част от предварителното финансиране е платено под режим непряко управление. При това положение бенефициерът на гаранцията не е ЕФР, а възлагащият орган. Въпреки че ЕФР не е бенефициерът, тези гаранции обезпечават неговите активи. </w:t>
      </w:r>
    </w:p>
    <w:p>
      <w:pPr>
        <w:pStyle w:val="HEADER2Part2"/>
        <w:rPr>
          <w:noProof/>
          <w:lang w:val="bg-BG"/>
        </w:rPr>
      </w:pPr>
      <w:r>
        <w:rPr>
          <w:noProof/>
          <w:lang w:val="bg-BG"/>
        </w:rPr>
        <w:t>ВНОСКИ ЗА ДОВЕРИТЕЛНИТЕ ФОНДОВЕ</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Тази позиция представлява сумата, платена като вноски за доверителния фонд на ЕС за Африка и доверителния фонд на ЕС „Беку“. Вноските не включват разходите, извършени от доверителните фондове и относими към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Вноските за доверителните фондове се правят от ЕФР под режим пряко управление.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018"/>
        <w:gridCol w:w="1462"/>
        <w:gridCol w:w="2036"/>
        <w:gridCol w:w="1583"/>
      </w:tblGrid>
      <w:tr>
        <w:trPr>
          <w:trHeight w:hRule="exact" w:val="300"/>
        </w:trPr>
        <w:tc>
          <w:tcPr>
            <w:tcW w:w="2659" w:type="dxa"/>
            <w:gridSpan w:val="5"/>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6"/>
                <w:szCs w:val="20"/>
                <w:lang w:val="bg-BG"/>
              </w:rPr>
            </w:pPr>
            <w:bookmarkStart w:id="52" w:name="DOC_TBL00016_1_1"/>
            <w:bookmarkEnd w:id="52"/>
            <w:r>
              <w:rPr>
                <w:rFonts w:ascii="Verdana" w:eastAsia="Calibri" w:hAnsi="Verdana"/>
                <w:i/>
                <w:noProof/>
                <w:color w:val="000000"/>
                <w:sz w:val="16"/>
                <w:szCs w:val="20"/>
                <w:lang w:val="bg-BG"/>
              </w:rPr>
              <w:t>милиони евро</w:t>
            </w:r>
          </w:p>
        </w:tc>
      </w:tr>
      <w:tr>
        <w:trPr>
          <w:trHeight w:hRule="exact" w:val="684"/>
        </w:trPr>
        <w:tc>
          <w:tcPr>
            <w:tcW w:w="2659"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center"/>
              <w:rPr>
                <w:rFonts w:ascii="Verdana" w:hAnsi="Verdana" w:cs="Verdana"/>
                <w:noProof/>
                <w:color w:val="FFFFFF"/>
                <w:sz w:val="18"/>
                <w:szCs w:val="20"/>
                <w:lang w:val="bg-BG"/>
              </w:rPr>
            </w:pPr>
          </w:p>
        </w:tc>
        <w:tc>
          <w:tcPr>
            <w:tcW w:w="2018"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center"/>
              <w:rPr>
                <w:rFonts w:ascii="Verdana" w:hAnsi="Verdana" w:cs="Verdana"/>
                <w:noProof/>
                <w:color w:val="FFFFFF"/>
                <w:sz w:val="18"/>
                <w:szCs w:val="20"/>
                <w:lang w:val="bg-BG"/>
              </w:rPr>
            </w:pPr>
            <w:r>
              <w:rPr>
                <w:rFonts w:ascii="Verdana" w:eastAsia="Calibri" w:hAnsi="Verdana"/>
                <w:noProof/>
                <w:color w:val="FFFFFF"/>
                <w:sz w:val="18"/>
                <w:szCs w:val="20"/>
                <w:lang w:val="bg-BG"/>
              </w:rPr>
              <w:t>Нетна вноска към 31.12.2018 г.</w:t>
            </w:r>
          </w:p>
        </w:tc>
        <w:tc>
          <w:tcPr>
            <w:tcW w:w="1462"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center"/>
              <w:rPr>
                <w:rFonts w:ascii="Verdana" w:hAnsi="Verdana" w:cs="Verdana"/>
                <w:noProof/>
                <w:color w:val="FFFFFF"/>
                <w:sz w:val="18"/>
                <w:szCs w:val="20"/>
                <w:lang w:val="bg-BG"/>
              </w:rPr>
            </w:pPr>
            <w:r>
              <w:rPr>
                <w:rFonts w:ascii="Verdana" w:eastAsia="Calibri" w:hAnsi="Verdana"/>
                <w:noProof/>
                <w:color w:val="FFFFFF"/>
                <w:sz w:val="18"/>
                <w:szCs w:val="20"/>
                <w:lang w:val="bg-BG"/>
              </w:rPr>
              <w:t>Вноски, изплатени през 2019 г.</w:t>
            </w:r>
          </w:p>
        </w:tc>
        <w:tc>
          <w:tcPr>
            <w:tcW w:w="2036"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center"/>
              <w:rPr>
                <w:rFonts w:ascii="Verdana" w:hAnsi="Verdana" w:cs="Verdana"/>
                <w:noProof/>
                <w:color w:val="FFFFFF"/>
                <w:sz w:val="18"/>
                <w:szCs w:val="20"/>
                <w:lang w:val="bg-BG"/>
              </w:rPr>
            </w:pPr>
            <w:r>
              <w:rPr>
                <w:rFonts w:ascii="Verdana" w:eastAsia="Calibri" w:hAnsi="Verdana"/>
                <w:noProof/>
                <w:color w:val="FFFFFF"/>
                <w:sz w:val="18"/>
                <w:szCs w:val="20"/>
                <w:lang w:val="bg-BG"/>
              </w:rPr>
              <w:t>Разпределение на нетните разходи на доверителните фондове през 2019 г.</w:t>
            </w:r>
          </w:p>
        </w:tc>
        <w:tc>
          <w:tcPr>
            <w:tcW w:w="1583"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center"/>
              <w:rPr>
                <w:rFonts w:ascii="Verdana" w:hAnsi="Verdana" w:cs="Verdana"/>
                <w:noProof/>
                <w:color w:val="FFFFFF"/>
                <w:sz w:val="18"/>
                <w:szCs w:val="20"/>
                <w:lang w:val="bg-BG"/>
              </w:rPr>
            </w:pPr>
            <w:r>
              <w:rPr>
                <w:rFonts w:ascii="Verdana" w:eastAsia="Calibri" w:hAnsi="Verdana"/>
                <w:noProof/>
                <w:color w:val="FFFFFF"/>
                <w:sz w:val="18"/>
                <w:szCs w:val="20"/>
                <w:lang w:val="bg-BG"/>
              </w:rPr>
              <w:t>Нетна вноска към 31.12.2019 г.</w:t>
            </w:r>
          </w:p>
        </w:tc>
      </w:tr>
      <w:tr>
        <w:trPr>
          <w:trHeight w:hRule="exact" w:val="228"/>
        </w:trPr>
        <w:tc>
          <w:tcPr>
            <w:tcW w:w="2659" w:type="dxa"/>
            <w:tcBorders>
              <w:top w:val="nil"/>
              <w:left w:val="nil"/>
              <w:bottom w:val="nil"/>
              <w:right w:val="nil"/>
            </w:tcBorders>
            <w:tcMar>
              <w:top w:w="0" w:type="dxa"/>
              <w:left w:w="60" w:type="dxa"/>
              <w:bottom w:w="0" w:type="dxa"/>
              <w:right w:w="60" w:type="dxa"/>
            </w:tcMar>
            <w:vAlign w:val="center"/>
          </w:tcPr>
          <w:p>
            <w:pPr>
              <w:keepNext/>
              <w:keepLines/>
              <w:rPr>
                <w:rFonts w:ascii="Verdana" w:hAnsi="Verdana" w:cs="Verdana"/>
                <w:i/>
                <w:noProof/>
                <w:color w:val="000000"/>
                <w:sz w:val="18"/>
                <w:szCs w:val="20"/>
                <w:lang w:val="bg-BG"/>
              </w:rPr>
            </w:pPr>
            <w:r>
              <w:rPr>
                <w:rFonts w:ascii="Verdana" w:eastAsia="Calibri" w:hAnsi="Verdana"/>
                <w:i/>
                <w:noProof/>
                <w:color w:val="000000"/>
                <w:sz w:val="18"/>
                <w:szCs w:val="20"/>
                <w:lang w:val="bg-BG"/>
              </w:rPr>
              <w:t>Африка</w:t>
            </w:r>
          </w:p>
        </w:tc>
        <w:tc>
          <w:tcPr>
            <w:tcW w:w="2018"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193</w:t>
            </w:r>
          </w:p>
        </w:tc>
        <w:tc>
          <w:tcPr>
            <w:tcW w:w="1462"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600</w:t>
            </w:r>
          </w:p>
        </w:tc>
        <w:tc>
          <w:tcPr>
            <w:tcW w:w="2036"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(530)</w:t>
            </w:r>
          </w:p>
        </w:tc>
        <w:tc>
          <w:tcPr>
            <w:tcW w:w="158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263</w:t>
            </w:r>
          </w:p>
        </w:tc>
      </w:tr>
      <w:tr>
        <w:trPr>
          <w:trHeight w:hRule="exact" w:val="228"/>
        </w:trPr>
        <w:tc>
          <w:tcPr>
            <w:tcW w:w="2659" w:type="dxa"/>
            <w:tcBorders>
              <w:top w:val="nil"/>
              <w:left w:val="nil"/>
              <w:bottom w:val="nil"/>
              <w:right w:val="nil"/>
            </w:tcBorders>
            <w:tcMar>
              <w:top w:w="0" w:type="dxa"/>
              <w:left w:w="60" w:type="dxa"/>
              <w:bottom w:w="0" w:type="dxa"/>
              <w:right w:w="60" w:type="dxa"/>
            </w:tcMar>
            <w:vAlign w:val="center"/>
          </w:tcPr>
          <w:p>
            <w:pPr>
              <w:keepNext/>
              <w:keepLines/>
              <w:rPr>
                <w:rFonts w:ascii="Verdana" w:hAnsi="Verdana" w:cs="Verdana"/>
                <w:i/>
                <w:noProof/>
                <w:color w:val="000000"/>
                <w:sz w:val="18"/>
                <w:szCs w:val="20"/>
                <w:lang w:val="bg-BG"/>
              </w:rPr>
            </w:pPr>
            <w:r>
              <w:rPr>
                <w:rFonts w:ascii="Verdana" w:eastAsia="Calibri" w:hAnsi="Verdana"/>
                <w:i/>
                <w:noProof/>
                <w:color w:val="000000"/>
                <w:sz w:val="18"/>
                <w:szCs w:val="20"/>
                <w:lang w:val="bg-BG"/>
              </w:rPr>
              <w:t>„Беку“</w:t>
            </w:r>
          </w:p>
        </w:tc>
        <w:tc>
          <w:tcPr>
            <w:tcW w:w="2018"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w:t>
            </w:r>
          </w:p>
        </w:tc>
        <w:tc>
          <w:tcPr>
            <w:tcW w:w="1462"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2036"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158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r>
      <w:tr>
        <w:trPr>
          <w:trHeight w:hRule="exact" w:val="228"/>
        </w:trPr>
        <w:tc>
          <w:tcPr>
            <w:tcW w:w="2659" w:type="dxa"/>
            <w:tcBorders>
              <w:top w:val="nil"/>
              <w:left w:val="nil"/>
              <w:bottom w:val="nil"/>
              <w:right w:val="nil"/>
            </w:tcBorders>
            <w:shd w:val="solid" w:color="CCE1EA" w:fill="FFFFFF"/>
            <w:tcMar>
              <w:top w:w="0" w:type="dxa"/>
              <w:left w:w="60" w:type="dxa"/>
              <w:bottom w:w="0" w:type="dxa"/>
              <w:right w:w="60" w:type="dxa"/>
            </w:tcMar>
            <w:vAlign w:val="center"/>
          </w:tcPr>
          <w:p>
            <w:pPr>
              <w:keepNext/>
              <w:keepLines/>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2018" w:type="dxa"/>
            <w:tcBorders>
              <w:top w:val="nil"/>
              <w:left w:val="nil"/>
              <w:bottom w:val="nil"/>
              <w:right w:val="nil"/>
            </w:tcBorders>
            <w:shd w:val="solid" w:color="CCE1EA" w:fill="FFFFFF"/>
            <w:tcMar>
              <w:top w:w="0" w:type="dxa"/>
              <w:left w:w="60" w:type="dxa"/>
              <w:bottom w:w="0" w:type="dxa"/>
              <w:right w:w="60" w:type="dxa"/>
            </w:tcMar>
            <w:vAlign w:val="center"/>
          </w:tcPr>
          <w:p>
            <w:pPr>
              <w:keepNext/>
              <w:keepLines/>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201</w:t>
            </w:r>
          </w:p>
        </w:tc>
        <w:tc>
          <w:tcPr>
            <w:tcW w:w="1462" w:type="dxa"/>
            <w:tcBorders>
              <w:top w:val="nil"/>
              <w:left w:val="nil"/>
              <w:bottom w:val="nil"/>
              <w:right w:val="nil"/>
            </w:tcBorders>
            <w:shd w:val="solid" w:color="CCE1EA" w:fill="FFFFFF"/>
            <w:tcMar>
              <w:top w:w="0" w:type="dxa"/>
              <w:left w:w="60" w:type="dxa"/>
              <w:bottom w:w="0" w:type="dxa"/>
              <w:right w:w="60" w:type="dxa"/>
            </w:tcMar>
            <w:vAlign w:val="center"/>
          </w:tcPr>
          <w:p>
            <w:pPr>
              <w:keepNext/>
              <w:keepLines/>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600</w:t>
            </w:r>
          </w:p>
        </w:tc>
        <w:tc>
          <w:tcPr>
            <w:tcW w:w="2036" w:type="dxa"/>
            <w:tcBorders>
              <w:top w:val="nil"/>
              <w:left w:val="nil"/>
              <w:bottom w:val="nil"/>
              <w:right w:val="nil"/>
            </w:tcBorders>
            <w:shd w:val="solid" w:color="CCE1EA" w:fill="FFFFFF"/>
            <w:tcMar>
              <w:top w:w="0" w:type="dxa"/>
              <w:left w:w="60" w:type="dxa"/>
              <w:bottom w:w="0" w:type="dxa"/>
              <w:right w:w="60" w:type="dxa"/>
            </w:tcMar>
            <w:vAlign w:val="center"/>
          </w:tcPr>
          <w:p>
            <w:pPr>
              <w:keepNext/>
              <w:keepLines/>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(535)</w:t>
            </w:r>
          </w:p>
        </w:tc>
        <w:tc>
          <w:tcPr>
            <w:tcW w:w="1583" w:type="dxa"/>
            <w:tcBorders>
              <w:top w:val="nil"/>
              <w:left w:val="nil"/>
              <w:bottom w:val="nil"/>
              <w:right w:val="nil"/>
            </w:tcBorders>
            <w:shd w:val="solid" w:color="CCE1EA" w:fill="FFFFFF"/>
            <w:tcMar>
              <w:top w:w="0" w:type="dxa"/>
              <w:left w:w="60" w:type="dxa"/>
              <w:bottom w:w="0" w:type="dxa"/>
              <w:right w:w="60" w:type="dxa"/>
            </w:tcMar>
            <w:vAlign w:val="center"/>
          </w:tcPr>
          <w:p>
            <w:pPr>
              <w:keepNext/>
              <w:keepLines/>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266</w:t>
            </w:r>
          </w:p>
        </w:tc>
      </w:tr>
    </w:tbl>
    <w:p>
      <w:pPr>
        <w:keepNext/>
        <w:keepLines/>
        <w:rPr>
          <w:noProof/>
          <w:lang w:val="bg-BG" w:bidi="en-GB"/>
        </w:rPr>
        <w:sectPr>
          <w:headerReference w:type="even" r:id="rId149"/>
          <w:headerReference w:type="default" r:id="rId150"/>
          <w:footerReference w:type="even" r:id="rId151"/>
          <w:footerReference w:type="default" r:id="rId152"/>
          <w:headerReference w:type="first" r:id="rId153"/>
          <w:footerReference w:type="first" r:id="rId154"/>
          <w:pgSz w:w="11906" w:h="16838" w:code="9"/>
          <w:pgMar w:top="1134" w:right="1134" w:bottom="1134" w:left="1134" w:header="709" w:footer="709" w:gutter="0"/>
          <w:cols w:space="708"/>
          <w:docGrid w:linePitch="360"/>
        </w:sectPr>
      </w:pPr>
    </w:p>
    <w:p>
      <w:pPr>
        <w:pStyle w:val="HEADER2Part2"/>
        <w:rPr>
          <w:noProof/>
          <w:lang w:val="bg-BG"/>
        </w:rPr>
      </w:pPr>
      <w:r>
        <w:rPr>
          <w:noProof/>
          <w:lang w:val="bg-BG"/>
        </w:rPr>
        <w:t xml:space="preserve">ВЗЕМАНИЯ ПО ОПЕРАЦИИ С РАЗМЯНА И СРЕДСТВА, ПОДЛЕЖАЩИ НА СЪБИРАНЕ, ПО ОПЕРАЦИИ БЕЗ РАЗМЯНА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662"/>
        <w:gridCol w:w="2172"/>
        <w:gridCol w:w="1965"/>
      </w:tblGrid>
      <w:tr>
        <w:trPr>
          <w:trHeight w:hRule="exact" w:val="300"/>
        </w:trPr>
        <w:tc>
          <w:tcPr>
            <w:tcW w:w="4819" w:type="dxa"/>
            <w:gridSpan w:val="4"/>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53" w:name="DOC_TBL00018_1_1"/>
            <w:bookmarkEnd w:id="53"/>
            <w:r>
              <w:rPr>
                <w:rFonts w:ascii="Verdana" w:eastAsia="Calibri" w:hAnsi="Verdana"/>
                <w:i/>
                <w:noProof/>
                <w:color w:val="000000"/>
                <w:sz w:val="16"/>
                <w:szCs w:val="20"/>
                <w:lang w:val="bg-BG"/>
              </w:rPr>
              <w:t>милиони евро</w:t>
            </w:r>
          </w:p>
        </w:tc>
      </w:tr>
      <w:tr>
        <w:trPr>
          <w:trHeight w:hRule="exact" w:val="252"/>
        </w:trPr>
        <w:tc>
          <w:tcPr>
            <w:tcW w:w="4819" w:type="dxa"/>
            <w:tcBorders>
              <w:top w:val="nil"/>
              <w:left w:val="nil"/>
              <w:bottom w:val="nil"/>
              <w:right w:val="nil"/>
            </w:tcBorders>
            <w:shd w:val="solid" w:color="016794" w:fill="FFFFFF"/>
            <w:tcMar>
              <w:top w:w="0" w:type="dxa"/>
              <w:left w:w="60" w:type="dxa"/>
              <w:bottom w:w="0" w:type="dxa"/>
              <w:right w:w="60" w:type="dxa"/>
            </w:tcMar>
            <w:vAlign w:val="center"/>
          </w:tcPr>
          <w:p>
            <w:pPr>
              <w:rPr>
                <w:rFonts w:ascii="Verdana" w:hAnsi="Verdana" w:cs="Verdana"/>
                <w:noProof/>
                <w:color w:val="FFFFFF"/>
                <w:sz w:val="20"/>
                <w:szCs w:val="20"/>
                <w:lang w:val="bg-BG"/>
              </w:rPr>
            </w:pPr>
          </w:p>
        </w:tc>
        <w:tc>
          <w:tcPr>
            <w:tcW w:w="66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217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965"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hRule="exact" w:val="228"/>
        </w:trPr>
        <w:tc>
          <w:tcPr>
            <w:tcW w:w="4819"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Средства, подлежащи на събиране, от операции без размяна</w:t>
            </w:r>
          </w:p>
        </w:tc>
        <w:tc>
          <w:tcPr>
            <w:tcW w:w="662" w:type="dxa"/>
            <w:tcBorders>
              <w:top w:val="nil"/>
              <w:left w:val="nil"/>
              <w:bottom w:val="nil"/>
              <w:right w:val="nil"/>
            </w:tcBorders>
            <w:shd w:val="solid" w:color="FFFFFF" w:fill="FFFFFF"/>
            <w:tcMar>
              <w:top w:w="0" w:type="dxa"/>
              <w:left w:w="60" w:type="dxa"/>
              <w:bottom w:w="0" w:type="dxa"/>
              <w:right w:w="60" w:type="dxa"/>
            </w:tcMar>
            <w:vAlign w:val="center"/>
          </w:tcPr>
          <w:p>
            <w:pPr>
              <w:jc w:val="center"/>
              <w:rPr>
                <w:rFonts w:ascii="Verdana" w:hAnsi="Verdana" w:cs="Verdana"/>
                <w:noProof/>
                <w:color w:val="000000"/>
                <w:sz w:val="18"/>
                <w:szCs w:val="20"/>
                <w:lang w:val="bg-BG"/>
              </w:rPr>
            </w:pPr>
            <w:r>
              <w:rPr>
                <w:rFonts w:ascii="Verdana" w:eastAsia="Calibri" w:hAnsi="Verdana"/>
                <w:noProof/>
                <w:color w:val="000000"/>
                <w:sz w:val="18"/>
                <w:szCs w:val="20"/>
                <w:lang w:val="bg-BG"/>
              </w:rPr>
              <w:t>2.4.1</w:t>
            </w:r>
          </w:p>
        </w:tc>
        <w:tc>
          <w:tcPr>
            <w:tcW w:w="2172" w:type="dxa"/>
            <w:tcBorders>
              <w:top w:val="nil"/>
              <w:left w:val="nil"/>
              <w:bottom w:val="nil"/>
              <w:right w:val="nil"/>
            </w:tcBorders>
            <w:shd w:val="solid" w:color="FFFFFF" w:fill="FFFFFF"/>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32</w:t>
            </w:r>
          </w:p>
        </w:tc>
        <w:tc>
          <w:tcPr>
            <w:tcW w:w="1965" w:type="dxa"/>
            <w:tcBorders>
              <w:top w:val="nil"/>
              <w:left w:val="nil"/>
              <w:bottom w:val="nil"/>
              <w:right w:val="nil"/>
            </w:tcBorders>
            <w:shd w:val="solid" w:color="FFFFFF" w:fill="FFFFFF"/>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37</w:t>
            </w:r>
          </w:p>
        </w:tc>
      </w:tr>
      <w:tr>
        <w:trPr>
          <w:trHeight w:hRule="exact" w:val="228"/>
        </w:trPr>
        <w:tc>
          <w:tcPr>
            <w:tcW w:w="4819"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Вземания от операции с размяна</w:t>
            </w:r>
          </w:p>
        </w:tc>
        <w:tc>
          <w:tcPr>
            <w:tcW w:w="662" w:type="dxa"/>
            <w:tcBorders>
              <w:top w:val="nil"/>
              <w:left w:val="nil"/>
              <w:bottom w:val="nil"/>
              <w:right w:val="nil"/>
            </w:tcBorders>
            <w:shd w:val="solid" w:color="FFFFFF" w:fill="FFFFFF"/>
            <w:tcMar>
              <w:top w:w="0" w:type="dxa"/>
              <w:left w:w="60" w:type="dxa"/>
              <w:bottom w:w="0" w:type="dxa"/>
              <w:right w:w="60" w:type="dxa"/>
            </w:tcMar>
            <w:vAlign w:val="center"/>
          </w:tcPr>
          <w:p>
            <w:pPr>
              <w:jc w:val="center"/>
              <w:rPr>
                <w:rFonts w:ascii="Verdana" w:hAnsi="Verdana" w:cs="Verdana"/>
                <w:noProof/>
                <w:color w:val="000000"/>
                <w:sz w:val="18"/>
                <w:szCs w:val="20"/>
                <w:lang w:val="bg-BG"/>
              </w:rPr>
            </w:pPr>
            <w:r>
              <w:rPr>
                <w:rFonts w:ascii="Verdana" w:eastAsia="Calibri" w:hAnsi="Verdana"/>
                <w:noProof/>
                <w:color w:val="000000"/>
                <w:sz w:val="18"/>
                <w:szCs w:val="20"/>
                <w:lang w:val="bg-BG"/>
              </w:rPr>
              <w:t>2.4.2</w:t>
            </w:r>
          </w:p>
        </w:tc>
        <w:tc>
          <w:tcPr>
            <w:tcW w:w="2172" w:type="dxa"/>
            <w:tcBorders>
              <w:top w:val="nil"/>
              <w:left w:val="nil"/>
              <w:bottom w:val="nil"/>
              <w:right w:val="nil"/>
            </w:tcBorders>
            <w:shd w:val="solid" w:color="FFFFFF" w:fill="FFFFFF"/>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91</w:t>
            </w:r>
          </w:p>
        </w:tc>
        <w:tc>
          <w:tcPr>
            <w:tcW w:w="1965" w:type="dxa"/>
            <w:tcBorders>
              <w:top w:val="nil"/>
              <w:left w:val="nil"/>
              <w:bottom w:val="nil"/>
              <w:right w:val="nil"/>
            </w:tcBorders>
            <w:shd w:val="solid" w:color="FFFFFF" w:fill="FFFFFF"/>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101</w:t>
            </w:r>
          </w:p>
        </w:tc>
      </w:tr>
      <w:tr>
        <w:trPr>
          <w:trHeight w:hRule="exact" w:val="228"/>
        </w:trPr>
        <w:tc>
          <w:tcPr>
            <w:tcW w:w="4819"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662"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p>
        </w:tc>
        <w:tc>
          <w:tcPr>
            <w:tcW w:w="2172"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123</w:t>
            </w:r>
          </w:p>
        </w:tc>
        <w:tc>
          <w:tcPr>
            <w:tcW w:w="1965"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138</w:t>
            </w:r>
          </w:p>
        </w:tc>
      </w:tr>
    </w:tbl>
    <w:p>
      <w:pPr>
        <w:numPr>
          <w:ilvl w:val="2"/>
          <w:numId w:val="10"/>
        </w:numPr>
        <w:tabs>
          <w:tab w:val="left" w:pos="907"/>
          <w:tab w:val="left" w:pos="3544"/>
        </w:tabs>
        <w:spacing w:before="360" w:after="240"/>
        <w:rPr>
          <w:rFonts w:ascii="Verdana" w:hAnsi="Verdana"/>
          <w:noProof/>
          <w:color w:val="016794"/>
          <w:sz w:val="20"/>
          <w:szCs w:val="20"/>
          <w:lang w:val="bg-BG"/>
        </w:rPr>
      </w:pPr>
      <w:r>
        <w:rPr>
          <w:rFonts w:ascii="Verdana" w:hAnsi="Verdana"/>
          <w:noProof/>
          <w:color w:val="016794"/>
          <w:sz w:val="20"/>
          <w:szCs w:val="20"/>
          <w:lang w:val="bg-BG"/>
        </w:rPr>
        <w:t>Средства, подлежащи на събиране, от операции без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9"/>
        <w:gridCol w:w="720"/>
        <w:gridCol w:w="720"/>
        <w:gridCol w:w="721"/>
        <w:gridCol w:w="863"/>
        <w:gridCol w:w="1582"/>
        <w:gridCol w:w="1353"/>
      </w:tblGrid>
      <w:tr>
        <w:trPr>
          <w:trHeight w:val="255"/>
        </w:trPr>
        <w:tc>
          <w:tcPr>
            <w:tcW w:w="3659" w:type="dxa"/>
            <w:gridSpan w:val="7"/>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6"/>
                <w:szCs w:val="20"/>
                <w:lang w:val="bg-BG"/>
              </w:rPr>
            </w:pPr>
            <w:bookmarkStart w:id="54" w:name="DOC_TBL00017_1_1"/>
            <w:bookmarkEnd w:id="54"/>
            <w:r>
              <w:rPr>
                <w:rFonts w:ascii="Verdana" w:eastAsia="Calibri" w:hAnsi="Verdana"/>
                <w:i/>
                <w:noProof/>
                <w:color w:val="000000"/>
                <w:sz w:val="16"/>
                <w:szCs w:val="20"/>
                <w:lang w:val="bg-BG"/>
              </w:rPr>
              <w:t>милиони евро</w:t>
            </w:r>
          </w:p>
        </w:tc>
      </w:tr>
      <w:tr>
        <w:trPr>
          <w:trHeight w:val="255"/>
        </w:trPr>
        <w:tc>
          <w:tcPr>
            <w:tcW w:w="3659"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center"/>
              <w:rPr>
                <w:rFonts w:ascii="Verdana" w:hAnsi="Verdana" w:cs="Verdana"/>
                <w:noProof/>
                <w:color w:val="FFFFFF"/>
                <w:sz w:val="20"/>
                <w:szCs w:val="20"/>
                <w:lang w:val="bg-BG"/>
              </w:rPr>
            </w:pPr>
          </w:p>
        </w:tc>
        <w:tc>
          <w:tcPr>
            <w:tcW w:w="720"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720"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721"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863"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582"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353" w:type="dxa"/>
            <w:tcBorders>
              <w:top w:val="nil"/>
              <w:left w:val="nil"/>
              <w:bottom w:val="nil"/>
              <w:right w:val="nil"/>
            </w:tcBorders>
            <w:shd w:val="solid" w:color="016794" w:fill="FFFFFF"/>
            <w:tcMar>
              <w:top w:w="0" w:type="dxa"/>
              <w:left w:w="60" w:type="dxa"/>
              <w:bottom w:w="0" w:type="dxa"/>
              <w:right w:w="60" w:type="dxa"/>
            </w:tcMar>
            <w:vAlign w:val="center"/>
          </w:tcPr>
          <w:p>
            <w:pPr>
              <w:keepNext/>
              <w:keepLines/>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keepNext/>
              <w:keepLines/>
              <w:rPr>
                <w:rFonts w:ascii="Verdana" w:hAnsi="Verdana" w:cs="Verdana"/>
                <w:i/>
                <w:noProof/>
                <w:color w:val="000000"/>
                <w:sz w:val="18"/>
                <w:szCs w:val="20"/>
                <w:lang w:val="bg-BG"/>
              </w:rPr>
            </w:pPr>
            <w:r>
              <w:rPr>
                <w:rFonts w:ascii="Verdana" w:eastAsia="Calibri" w:hAnsi="Verdana"/>
                <w:i/>
                <w:noProof/>
                <w:color w:val="000000"/>
                <w:sz w:val="18"/>
                <w:szCs w:val="20"/>
                <w:lang w:val="bg-BG"/>
              </w:rPr>
              <w:t>Държави членки</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721"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6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582"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35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keepNext/>
              <w:keepLines/>
              <w:rPr>
                <w:rFonts w:ascii="Verdana" w:hAnsi="Verdana" w:cs="Verdana"/>
                <w:i/>
                <w:noProof/>
                <w:color w:val="000000"/>
                <w:sz w:val="18"/>
                <w:szCs w:val="20"/>
                <w:lang w:val="bg-BG"/>
              </w:rPr>
            </w:pPr>
            <w:r>
              <w:rPr>
                <w:rFonts w:ascii="Verdana" w:eastAsia="Calibri" w:hAnsi="Verdana"/>
                <w:i/>
                <w:noProof/>
                <w:color w:val="000000"/>
                <w:sz w:val="18"/>
                <w:szCs w:val="20"/>
                <w:lang w:val="bg-BG"/>
              </w:rPr>
              <w:t>Клиенти</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721"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17</w:t>
            </w:r>
          </w:p>
        </w:tc>
        <w:tc>
          <w:tcPr>
            <w:tcW w:w="86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1582"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w:t>
            </w:r>
          </w:p>
        </w:tc>
        <w:tc>
          <w:tcPr>
            <w:tcW w:w="135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26</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keepNext/>
              <w:keepLines/>
              <w:rPr>
                <w:rFonts w:ascii="Verdana" w:hAnsi="Verdana" w:cs="Verdana"/>
                <w:i/>
                <w:noProof/>
                <w:color w:val="000000"/>
                <w:sz w:val="18"/>
                <w:szCs w:val="20"/>
                <w:lang w:val="bg-BG"/>
              </w:rPr>
            </w:pPr>
            <w:r>
              <w:rPr>
                <w:rFonts w:ascii="Verdana" w:eastAsia="Calibri" w:hAnsi="Verdana"/>
                <w:i/>
                <w:noProof/>
                <w:color w:val="000000"/>
                <w:sz w:val="18"/>
                <w:szCs w:val="20"/>
                <w:lang w:val="bg-BG"/>
              </w:rPr>
              <w:t>Публични органи</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w:t>
            </w:r>
          </w:p>
        </w:tc>
        <w:tc>
          <w:tcPr>
            <w:tcW w:w="721"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11</w:t>
            </w:r>
          </w:p>
        </w:tc>
        <w:tc>
          <w:tcPr>
            <w:tcW w:w="86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582"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21</w:t>
            </w:r>
          </w:p>
        </w:tc>
        <w:tc>
          <w:tcPr>
            <w:tcW w:w="135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25</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keepNext/>
              <w:keepLines/>
              <w:rPr>
                <w:rFonts w:ascii="Verdana" w:hAnsi="Verdana" w:cs="Verdana"/>
                <w:i/>
                <w:noProof/>
                <w:color w:val="000000"/>
                <w:sz w:val="18"/>
                <w:szCs w:val="20"/>
                <w:lang w:val="bg-BG"/>
              </w:rPr>
            </w:pPr>
            <w:r>
              <w:rPr>
                <w:rFonts w:ascii="Verdana" w:eastAsia="Calibri" w:hAnsi="Verdana"/>
                <w:i/>
                <w:noProof/>
                <w:color w:val="000000"/>
                <w:sz w:val="18"/>
                <w:szCs w:val="20"/>
                <w:lang w:val="bg-BG"/>
              </w:rPr>
              <w:t>Трети държави</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721"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86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582"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135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keepNext/>
              <w:keepLines/>
              <w:rPr>
                <w:rFonts w:ascii="Verdana" w:hAnsi="Verdana" w:cs="Verdana"/>
                <w:i/>
                <w:noProof/>
                <w:color w:val="000000"/>
                <w:sz w:val="18"/>
                <w:szCs w:val="20"/>
                <w:lang w:val="bg-BG"/>
              </w:rPr>
            </w:pPr>
            <w:r>
              <w:rPr>
                <w:rFonts w:ascii="Verdana" w:eastAsia="Calibri" w:hAnsi="Verdana"/>
                <w:i/>
                <w:noProof/>
                <w:color w:val="000000"/>
                <w:sz w:val="18"/>
                <w:szCs w:val="20"/>
                <w:lang w:val="bg-BG"/>
              </w:rPr>
              <w:t>Намаление</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(13)</w:t>
            </w:r>
          </w:p>
        </w:tc>
        <w:tc>
          <w:tcPr>
            <w:tcW w:w="721"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(12)</w:t>
            </w:r>
          </w:p>
        </w:tc>
        <w:tc>
          <w:tcPr>
            <w:tcW w:w="86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582"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w:t>
            </w:r>
          </w:p>
        </w:tc>
        <w:tc>
          <w:tcPr>
            <w:tcW w:w="135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keepNext/>
              <w:keepLines/>
              <w:rPr>
                <w:rFonts w:ascii="Verdana" w:hAnsi="Verdana" w:cs="Verdana"/>
                <w:i/>
                <w:noProof/>
                <w:color w:val="000000"/>
                <w:sz w:val="18"/>
                <w:szCs w:val="20"/>
                <w:lang w:val="bg-BG"/>
              </w:rPr>
            </w:pPr>
            <w:r>
              <w:rPr>
                <w:rFonts w:ascii="Verdana" w:eastAsia="Calibri" w:hAnsi="Verdana"/>
                <w:i/>
                <w:noProof/>
                <w:color w:val="000000"/>
                <w:sz w:val="18"/>
                <w:szCs w:val="20"/>
                <w:lang w:val="bg-BG"/>
              </w:rPr>
              <w:t>Вътрешни сметки с институциите на ЕС</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20"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21"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6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1582"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1353" w:type="dxa"/>
            <w:tcBorders>
              <w:top w:val="nil"/>
              <w:left w:val="nil"/>
              <w:bottom w:val="nil"/>
              <w:right w:val="nil"/>
            </w:tcBorders>
            <w:tcMar>
              <w:top w:w="0" w:type="dxa"/>
              <w:left w:w="60" w:type="dxa"/>
              <w:bottom w:w="0" w:type="dxa"/>
              <w:right w:w="60" w:type="dxa"/>
            </w:tcMar>
            <w:vAlign w:val="center"/>
          </w:tcPr>
          <w:p>
            <w:pPr>
              <w:keepNext/>
              <w:keepLines/>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w:t>
            </w:r>
          </w:p>
        </w:tc>
      </w:tr>
      <w:tr>
        <w:trPr>
          <w:trHeight w:val="255"/>
        </w:trPr>
        <w:tc>
          <w:tcPr>
            <w:tcW w:w="3659" w:type="dxa"/>
            <w:tcBorders>
              <w:top w:val="single" w:sz="4" w:space="0" w:color="016794"/>
              <w:left w:val="nil"/>
              <w:bottom w:val="single" w:sz="4" w:space="0" w:color="016794"/>
              <w:right w:val="nil"/>
            </w:tcBorders>
            <w:tcMar>
              <w:top w:w="0" w:type="dxa"/>
              <w:left w:w="60" w:type="dxa"/>
              <w:bottom w:w="0" w:type="dxa"/>
              <w:right w:w="60" w:type="dxa"/>
            </w:tcMar>
            <w:vAlign w:val="center"/>
          </w:tcPr>
          <w:p>
            <w:pPr>
              <w:keepNext/>
              <w:keepLines/>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720" w:type="dxa"/>
            <w:tcBorders>
              <w:top w:val="single" w:sz="4" w:space="0" w:color="016794"/>
              <w:left w:val="nil"/>
              <w:bottom w:val="single" w:sz="4" w:space="0" w:color="016794"/>
              <w:right w:val="nil"/>
            </w:tcBorders>
            <w:tcMar>
              <w:top w:w="0" w:type="dxa"/>
              <w:left w:w="60" w:type="dxa"/>
              <w:bottom w:w="0" w:type="dxa"/>
              <w:right w:w="60" w:type="dxa"/>
            </w:tcMar>
            <w:vAlign w:val="center"/>
          </w:tcPr>
          <w:p>
            <w:pPr>
              <w:keepNext/>
              <w:keepLines/>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720" w:type="dxa"/>
            <w:tcBorders>
              <w:top w:val="single" w:sz="4" w:space="0" w:color="016794"/>
              <w:left w:val="nil"/>
              <w:bottom w:val="single" w:sz="4" w:space="0" w:color="016794"/>
              <w:right w:val="nil"/>
            </w:tcBorders>
            <w:tcMar>
              <w:top w:w="0" w:type="dxa"/>
              <w:left w:w="60" w:type="dxa"/>
              <w:bottom w:w="0" w:type="dxa"/>
              <w:right w:w="60" w:type="dxa"/>
            </w:tcMar>
            <w:vAlign w:val="center"/>
          </w:tcPr>
          <w:p>
            <w:pPr>
              <w:keepNext/>
              <w:keepLines/>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w:t>
            </w:r>
          </w:p>
        </w:tc>
        <w:tc>
          <w:tcPr>
            <w:tcW w:w="721" w:type="dxa"/>
            <w:tcBorders>
              <w:top w:val="single" w:sz="4" w:space="0" w:color="016794"/>
              <w:left w:val="nil"/>
              <w:bottom w:val="single" w:sz="4" w:space="0" w:color="016794"/>
              <w:right w:val="nil"/>
            </w:tcBorders>
            <w:tcMar>
              <w:top w:w="0" w:type="dxa"/>
              <w:left w:w="60" w:type="dxa"/>
              <w:bottom w:w="0" w:type="dxa"/>
              <w:right w:w="60" w:type="dxa"/>
            </w:tcMar>
            <w:vAlign w:val="center"/>
          </w:tcPr>
          <w:p>
            <w:pPr>
              <w:keepNext/>
              <w:keepLines/>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20</w:t>
            </w:r>
          </w:p>
        </w:tc>
        <w:tc>
          <w:tcPr>
            <w:tcW w:w="863" w:type="dxa"/>
            <w:tcBorders>
              <w:top w:val="single" w:sz="4" w:space="0" w:color="016794"/>
              <w:left w:val="nil"/>
              <w:bottom w:val="single" w:sz="4" w:space="0" w:color="016794"/>
              <w:right w:val="nil"/>
            </w:tcBorders>
            <w:tcMar>
              <w:top w:w="0" w:type="dxa"/>
              <w:left w:w="60" w:type="dxa"/>
              <w:bottom w:w="0" w:type="dxa"/>
              <w:right w:w="60" w:type="dxa"/>
            </w:tcMar>
            <w:vAlign w:val="center"/>
          </w:tcPr>
          <w:p>
            <w:pPr>
              <w:keepNext/>
              <w:keepLines/>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9</w:t>
            </w:r>
          </w:p>
        </w:tc>
        <w:tc>
          <w:tcPr>
            <w:tcW w:w="1582" w:type="dxa"/>
            <w:tcBorders>
              <w:top w:val="single" w:sz="4" w:space="0" w:color="016794"/>
              <w:left w:val="nil"/>
              <w:bottom w:val="single" w:sz="4" w:space="0" w:color="016794"/>
              <w:right w:val="nil"/>
            </w:tcBorders>
            <w:tcMar>
              <w:top w:w="0" w:type="dxa"/>
              <w:left w:w="60" w:type="dxa"/>
              <w:bottom w:w="0" w:type="dxa"/>
              <w:right w:w="60" w:type="dxa"/>
            </w:tcMar>
            <w:vAlign w:val="center"/>
          </w:tcPr>
          <w:p>
            <w:pPr>
              <w:keepNext/>
              <w:keepLines/>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32</w:t>
            </w:r>
          </w:p>
        </w:tc>
        <w:tc>
          <w:tcPr>
            <w:tcW w:w="1353" w:type="dxa"/>
            <w:tcBorders>
              <w:top w:val="single" w:sz="4" w:space="0" w:color="016794"/>
              <w:left w:val="nil"/>
              <w:bottom w:val="single" w:sz="4" w:space="0" w:color="016794"/>
              <w:right w:val="nil"/>
            </w:tcBorders>
            <w:tcMar>
              <w:top w:w="0" w:type="dxa"/>
              <w:left w:w="60" w:type="dxa"/>
              <w:bottom w:w="0" w:type="dxa"/>
              <w:right w:w="60" w:type="dxa"/>
            </w:tcMar>
            <w:vAlign w:val="center"/>
          </w:tcPr>
          <w:p>
            <w:pPr>
              <w:keepNext/>
              <w:keepLines/>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37</w:t>
            </w:r>
          </w:p>
        </w:tc>
      </w:tr>
    </w:tbl>
    <w:p>
      <w:pPr>
        <w:keepNext/>
        <w:keepLines/>
        <w:numPr>
          <w:ilvl w:val="2"/>
          <w:numId w:val="10"/>
        </w:numPr>
        <w:tabs>
          <w:tab w:val="left" w:pos="907"/>
        </w:tabs>
        <w:spacing w:before="360" w:after="360"/>
        <w:rPr>
          <w:rFonts w:ascii="Verdana" w:hAnsi="Verdana"/>
          <w:noProof/>
          <w:color w:val="016794"/>
          <w:sz w:val="20"/>
          <w:szCs w:val="20"/>
          <w:lang w:val="bg-BG"/>
        </w:rPr>
      </w:pPr>
      <w:r>
        <w:rPr>
          <w:rFonts w:ascii="Verdana" w:hAnsi="Verdana"/>
          <w:noProof/>
          <w:color w:val="016794"/>
          <w:sz w:val="20"/>
          <w:szCs w:val="20"/>
          <w:lang w:val="bg-BG"/>
        </w:rPr>
        <w:t>Вземания от операции с размяна</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9"/>
        <w:gridCol w:w="979"/>
        <w:gridCol w:w="878"/>
        <w:gridCol w:w="869"/>
        <w:gridCol w:w="942"/>
        <w:gridCol w:w="796"/>
        <w:gridCol w:w="869"/>
      </w:tblGrid>
      <w:tr>
        <w:trPr>
          <w:trHeight w:val="255"/>
        </w:trPr>
        <w:tc>
          <w:tcPr>
            <w:tcW w:w="9522"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55" w:name="DOC_TBL00020_1_1"/>
            <w:r>
              <w:rPr>
                <w:rFonts w:ascii="Verdana" w:eastAsia="Calibri" w:hAnsi="Verdana"/>
                <w:i/>
                <w:noProof/>
                <w:color w:val="000000"/>
                <w:sz w:val="16"/>
                <w:szCs w:val="20"/>
                <w:lang w:val="bg-BG"/>
              </w:rPr>
              <w:t>милиони евро</w:t>
            </w:r>
          </w:p>
        </w:tc>
      </w:tr>
      <w:tr>
        <w:trPr>
          <w:trHeight w:val="255"/>
        </w:trPr>
        <w:tc>
          <w:tcPr>
            <w:tcW w:w="4189"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bookmarkStart w:id="56" w:name="DOC_TBL00020_2_1"/>
            <w:bookmarkEnd w:id="55"/>
            <w:bookmarkEnd w:id="56"/>
          </w:p>
        </w:tc>
        <w:tc>
          <w:tcPr>
            <w:tcW w:w="97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87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94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79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4189"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Начислени приходи</w:t>
            </w:r>
          </w:p>
        </w:tc>
        <w:tc>
          <w:tcPr>
            <w:tcW w:w="97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7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65</w:t>
            </w:r>
          </w:p>
        </w:tc>
        <w:tc>
          <w:tcPr>
            <w:tcW w:w="86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21</w:t>
            </w:r>
          </w:p>
        </w:tc>
        <w:tc>
          <w:tcPr>
            <w:tcW w:w="94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79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88</w:t>
            </w:r>
          </w:p>
        </w:tc>
        <w:tc>
          <w:tcPr>
            <w:tcW w:w="86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81</w:t>
            </w:r>
          </w:p>
        </w:tc>
      </w:tr>
      <w:tr>
        <w:trPr>
          <w:trHeight w:val="255"/>
        </w:trPr>
        <w:tc>
          <w:tcPr>
            <w:tcW w:w="4189"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Вземания от ЕС</w:t>
            </w:r>
          </w:p>
        </w:tc>
        <w:tc>
          <w:tcPr>
            <w:tcW w:w="97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6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4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79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86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20</w:t>
            </w:r>
          </w:p>
        </w:tc>
      </w:tr>
      <w:tr>
        <w:trPr>
          <w:trHeight w:val="255"/>
        </w:trPr>
        <w:tc>
          <w:tcPr>
            <w:tcW w:w="4189"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Сметки между ЕФР</w:t>
            </w:r>
          </w:p>
        </w:tc>
        <w:tc>
          <w:tcPr>
            <w:tcW w:w="97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182</w:t>
            </w:r>
          </w:p>
        </w:tc>
        <w:tc>
          <w:tcPr>
            <w:tcW w:w="87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53</w:t>
            </w:r>
          </w:p>
        </w:tc>
        <w:tc>
          <w:tcPr>
            <w:tcW w:w="86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2 160</w:t>
            </w:r>
          </w:p>
        </w:tc>
        <w:tc>
          <w:tcPr>
            <w:tcW w:w="94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(2 395)</w:t>
            </w:r>
          </w:p>
        </w:tc>
        <w:tc>
          <w:tcPr>
            <w:tcW w:w="79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6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r>
      <w:tr>
        <w:trPr>
          <w:trHeight w:val="255"/>
        </w:trPr>
        <w:tc>
          <w:tcPr>
            <w:tcW w:w="4189" w:type="dxa"/>
            <w:tcBorders>
              <w:top w:val="single" w:sz="4" w:space="0" w:color="016794"/>
              <w:left w:val="nil"/>
              <w:bottom w:val="single" w:sz="4" w:space="0" w:color="016794"/>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979"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183</w:t>
            </w:r>
          </w:p>
        </w:tc>
        <w:tc>
          <w:tcPr>
            <w:tcW w:w="878"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119</w:t>
            </w:r>
          </w:p>
        </w:tc>
        <w:tc>
          <w:tcPr>
            <w:tcW w:w="869"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2 181</w:t>
            </w:r>
          </w:p>
        </w:tc>
        <w:tc>
          <w:tcPr>
            <w:tcW w:w="942"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(2 391)</w:t>
            </w:r>
          </w:p>
        </w:tc>
        <w:tc>
          <w:tcPr>
            <w:tcW w:w="796"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91</w:t>
            </w:r>
          </w:p>
        </w:tc>
        <w:tc>
          <w:tcPr>
            <w:tcW w:w="869"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101</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Начислените приходи включват начислени лихви по суми от предварителното финансиране, свързано с проекти (65 милиона евро) и от предварителното финансиране, свързано с Доверителния фонд на ЕС за Африка (21 милиона евро).</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Вземането от ЕС е сумата, която е била прехвърлена към доверителната сметка, притежавана от Европейската комисия.</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За по-голяма ефективност единната касова наличност, обхващаща всички ЕФР, е разпределена към 11-ия ЕФР; в резултат на това се осъществяват операции между отделните ЕФР, които се компенсират чрез сметките между ЕФР между счетоводните баланси на различните ЕФР. </w:t>
      </w:r>
    </w:p>
    <w:p>
      <w:pPr>
        <w:spacing w:before="240" w:after="120"/>
        <w:jc w:val="both"/>
        <w:rPr>
          <w:rFonts w:ascii="Verdana" w:hAnsi="Verdana"/>
          <w:b/>
          <w:noProof/>
          <w:color w:val="016794"/>
          <w:sz w:val="28"/>
          <w:szCs w:val="28"/>
          <w:lang w:val="bg-BG"/>
        </w:rPr>
      </w:pPr>
      <w:r>
        <w:rPr>
          <w:rFonts w:ascii="Verdana" w:hAnsi="Verdana"/>
          <w:noProof/>
          <w:sz w:val="18"/>
          <w:szCs w:val="18"/>
          <w:lang w:val="bg-BG" w:eastAsia="en-US"/>
        </w:rPr>
        <w:t>Сметките между ЕФР са представени само в отделните ЕФР. Общата сума на сметките между ЕФР е нула.</w:t>
      </w:r>
      <w:r>
        <w:rPr>
          <w:rFonts w:ascii="Verdana" w:hAnsi="Verdana"/>
          <w:b/>
          <w:noProof/>
          <w:color w:val="016794"/>
          <w:sz w:val="28"/>
          <w:szCs w:val="28"/>
          <w:lang w:val="bg-BG"/>
        </w:rPr>
        <w:br w:type="page"/>
      </w:r>
    </w:p>
    <w:p>
      <w:pPr>
        <w:pStyle w:val="HEADER2Part2"/>
        <w:rPr>
          <w:noProof/>
          <w:lang w:val="bg-BG"/>
        </w:rPr>
      </w:pPr>
      <w:r>
        <w:rPr>
          <w:noProof/>
          <w:lang w:val="bg-BG"/>
        </w:rPr>
        <w:t>ПАРИ И ПАРИЧНИ ЕКВИВАЛЕНТИ</w:t>
      </w:r>
      <w:r>
        <w:rPr>
          <w:noProof/>
          <w:vertAlign w:val="superscript"/>
          <w:lang w:val="bg-BG"/>
        </w:rPr>
        <w:footnoteReference w:id="3"/>
      </w:r>
      <w:r>
        <w:rPr>
          <w:noProof/>
          <w:lang w:val="bg-BG"/>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6"/>
        <w:gridCol w:w="850"/>
        <w:gridCol w:w="709"/>
        <w:gridCol w:w="709"/>
        <w:gridCol w:w="850"/>
        <w:gridCol w:w="1418"/>
        <w:gridCol w:w="1336"/>
      </w:tblGrid>
      <w:tr>
        <w:trPr>
          <w:trHeight w:hRule="exact" w:val="300"/>
        </w:trPr>
        <w:tc>
          <w:tcPr>
            <w:tcW w:w="3746"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57" w:name="DOC_TBL00021_1_1"/>
            <w:bookmarkEnd w:id="57"/>
            <w:r>
              <w:rPr>
                <w:rFonts w:ascii="Verdana" w:eastAsia="Calibri" w:hAnsi="Verdana"/>
                <w:i/>
                <w:noProof/>
                <w:color w:val="000000"/>
                <w:sz w:val="16"/>
                <w:szCs w:val="20"/>
                <w:lang w:val="bg-BG"/>
              </w:rPr>
              <w:t>милиони евро</w:t>
            </w:r>
          </w:p>
        </w:tc>
      </w:tr>
      <w:tr>
        <w:trPr>
          <w:trHeight w:hRule="exact" w:val="600"/>
        </w:trPr>
        <w:tc>
          <w:tcPr>
            <w:tcW w:w="3746"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33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Специални сметки</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14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133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Централни банки</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729</w:t>
            </w:r>
          </w:p>
        </w:tc>
        <w:tc>
          <w:tcPr>
            <w:tcW w:w="14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729</w:t>
            </w:r>
          </w:p>
        </w:tc>
        <w:tc>
          <w:tcPr>
            <w:tcW w:w="133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276</w:t>
            </w:r>
          </w:p>
        </w:tc>
      </w:tr>
      <w:tr>
        <w:trPr>
          <w:trHeight w:hRule="exact" w:val="228"/>
        </w:trPr>
        <w:tc>
          <w:tcPr>
            <w:tcW w:w="3746"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709"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709"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729</w:t>
            </w:r>
          </w:p>
        </w:tc>
        <w:tc>
          <w:tcPr>
            <w:tcW w:w="1418"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729</w:t>
            </w:r>
          </w:p>
        </w:tc>
        <w:tc>
          <w:tcPr>
            <w:tcW w:w="1336"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276</w:t>
            </w: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Текущи сметки</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14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133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Търговски банки</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421</w:t>
            </w:r>
          </w:p>
        </w:tc>
        <w:tc>
          <w:tcPr>
            <w:tcW w:w="14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421</w:t>
            </w:r>
          </w:p>
        </w:tc>
        <w:tc>
          <w:tcPr>
            <w:tcW w:w="133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87</w:t>
            </w: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Парични средства, предназначени за финансови инструменти</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30</w:t>
            </w:r>
          </w:p>
        </w:tc>
        <w:tc>
          <w:tcPr>
            <w:tcW w:w="14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30</w:t>
            </w:r>
          </w:p>
        </w:tc>
        <w:tc>
          <w:tcPr>
            <w:tcW w:w="133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24</w:t>
            </w:r>
          </w:p>
        </w:tc>
      </w:tr>
      <w:tr>
        <w:trPr>
          <w:trHeight w:hRule="exact" w:val="228"/>
        </w:trPr>
        <w:tc>
          <w:tcPr>
            <w:tcW w:w="3746"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850"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709"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709"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50"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450</w:t>
            </w:r>
          </w:p>
        </w:tc>
        <w:tc>
          <w:tcPr>
            <w:tcW w:w="1418"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450</w:t>
            </w:r>
          </w:p>
        </w:tc>
        <w:tc>
          <w:tcPr>
            <w:tcW w:w="1336"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111</w:t>
            </w:r>
          </w:p>
        </w:tc>
      </w:tr>
      <w:tr>
        <w:trPr>
          <w:trHeight w:hRule="exact" w:val="228"/>
        </w:trPr>
        <w:tc>
          <w:tcPr>
            <w:tcW w:w="3746"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1 179</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1 179</w:t>
            </w:r>
          </w:p>
        </w:tc>
        <w:tc>
          <w:tcPr>
            <w:tcW w:w="1336"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387</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Увеличението на сумите по тази позиция в размер на 792 милиона евро може да бъде обяснено главно с плащане, което е по-ниско от предвиденото. Към 31 декември 2019 г. плащанията по ЕФР възлизат на общо 3 910 милиона евро при годишна цел в размер на 4 400 милиона евро. Две основни причини за тази разлика са спирането на подписването на договора за световно партньорство за образование със Световната банка и отлагането на плащанията за бюджетна подкрепа за Чад, Хаити и Бенин.</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Освен това увеличението при търговските банки е свързано с 264 милиона евро от капиталовата вноска за 2020 г., получена от Обединеното кралство по банковата сметка на Natwest в края на декември (вж. бележка </w:t>
      </w:r>
      <w:r>
        <w:rPr>
          <w:rFonts w:ascii="Verdana" w:hAnsi="Verdana"/>
          <w:b/>
          <w:noProof/>
          <w:sz w:val="18"/>
          <w:szCs w:val="18"/>
          <w:lang w:val="bg-BG" w:eastAsia="en-US"/>
        </w:rPr>
        <w:t>2.7.2.1</w:t>
      </w:r>
      <w:r>
        <w:rPr>
          <w:rFonts w:ascii="Verdana" w:hAnsi="Verdana"/>
          <w:noProof/>
          <w:sz w:val="18"/>
          <w:szCs w:val="18"/>
          <w:lang w:val="bg-BG" w:eastAsia="en-US"/>
        </w:rPr>
        <w:t>).</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Подобно на предходните години и за да се ограничи рискът от контрагента, повече пари в брой се държат в сметки в централните банки, отколкото в търговските банки (вж. бележка </w:t>
      </w:r>
      <w:r>
        <w:rPr>
          <w:rFonts w:ascii="Verdana" w:hAnsi="Verdana"/>
          <w:b/>
          <w:noProof/>
          <w:sz w:val="18"/>
          <w:szCs w:val="18"/>
          <w:lang w:val="bg-BG" w:eastAsia="en-US"/>
        </w:rPr>
        <w:t>5.1</w:t>
      </w:r>
      <w:r>
        <w:rPr>
          <w:rFonts w:ascii="Verdana" w:hAnsi="Verdana"/>
          <w:noProof/>
          <w:sz w:val="18"/>
          <w:szCs w:val="18"/>
          <w:lang w:val="bg-BG" w:eastAsia="en-US"/>
        </w:rPr>
        <w:t>).</w:t>
      </w:r>
    </w:p>
    <w:p>
      <w:pPr>
        <w:pStyle w:val="HEADERTABLE"/>
        <w:rPr>
          <w:noProof/>
          <w:lang w:val="bg-BG"/>
        </w:rPr>
      </w:pPr>
      <w:r>
        <w:rPr>
          <w:noProof/>
          <w:lang w:val="bg-BG"/>
        </w:rPr>
        <w:t>ПАСИВИ</w:t>
      </w:r>
    </w:p>
    <w:p>
      <w:pPr>
        <w:pStyle w:val="HEADER2Part2"/>
        <w:rPr>
          <w:noProof/>
          <w:lang w:val="bg-BG"/>
        </w:rPr>
      </w:pPr>
      <w:r>
        <w:rPr>
          <w:noProof/>
          <w:lang w:val="bg-BG"/>
        </w:rPr>
        <w:t>ФИНАНСОВИ ПАСИВИ</w:t>
      </w:r>
    </w:p>
    <w:p>
      <w:pPr>
        <w:numPr>
          <w:ilvl w:val="2"/>
          <w:numId w:val="10"/>
        </w:numPr>
        <w:tabs>
          <w:tab w:val="left" w:pos="907"/>
          <w:tab w:val="left" w:pos="3544"/>
        </w:tabs>
        <w:spacing w:before="240" w:after="360"/>
        <w:rPr>
          <w:rFonts w:ascii="Verdana" w:hAnsi="Verdana"/>
          <w:noProof/>
          <w:color w:val="016794"/>
          <w:sz w:val="20"/>
          <w:szCs w:val="20"/>
          <w:lang w:val="bg-BG"/>
        </w:rPr>
      </w:pPr>
      <w:r>
        <w:rPr>
          <w:rFonts w:ascii="Verdana" w:hAnsi="Verdana"/>
          <w:noProof/>
          <w:color w:val="016794"/>
          <w:sz w:val="20"/>
          <w:szCs w:val="20"/>
          <w:lang w:val="bg-BG"/>
        </w:rPr>
        <w:t>Съфинансиране — задължения</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Задълженията по съфинансирането представляват средства, получени от ЕФР във връзка със споразуменията за съфинансиране. ЕФР трябва да използва тези вноски за предоставяне на договорените услуги на трети страни и да връща неизползваните средства на вносителите. В зависимост от периода, в който се усвояват сумите по съфинансирането, се определя дали то се оповестява като текущо или нетекущо.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края на годината се прави оценка на всеки отделен случай на всички задължения по съфинансирането и всички суми, за които съществува малка вероятност да бъдат усвоени през следващите 12 месеца, се считат за нетекущи.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1"/>
        <w:gridCol w:w="850"/>
        <w:gridCol w:w="709"/>
        <w:gridCol w:w="992"/>
        <w:gridCol w:w="992"/>
        <w:gridCol w:w="1418"/>
        <w:gridCol w:w="1336"/>
      </w:tblGrid>
      <w:tr>
        <w:trPr>
          <w:trHeight w:hRule="exact" w:val="255"/>
        </w:trPr>
        <w:tc>
          <w:tcPr>
            <w:tcW w:w="3321"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58" w:name="DOC_TBL00023_1_1"/>
            <w:bookmarkEnd w:id="58"/>
            <w:r>
              <w:rPr>
                <w:rFonts w:ascii="Verdana" w:eastAsia="Calibri" w:hAnsi="Verdana"/>
                <w:i/>
                <w:noProof/>
                <w:color w:val="000000"/>
                <w:sz w:val="16"/>
                <w:szCs w:val="20"/>
                <w:lang w:val="bg-BG"/>
              </w:rPr>
              <w:t>милиони евро</w:t>
            </w:r>
          </w:p>
        </w:tc>
      </w:tr>
      <w:tr>
        <w:trPr>
          <w:trHeight w:hRule="exact" w:val="445"/>
        </w:trPr>
        <w:tc>
          <w:tcPr>
            <w:tcW w:w="3321"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33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hRule="exact" w:val="255"/>
        </w:trPr>
        <w:tc>
          <w:tcPr>
            <w:tcW w:w="3321"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Съфинансиране — нетекущи задължения</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18</w:t>
            </w:r>
          </w:p>
        </w:tc>
        <w:tc>
          <w:tcPr>
            <w:tcW w:w="14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19</w:t>
            </w:r>
          </w:p>
        </w:tc>
        <w:tc>
          <w:tcPr>
            <w:tcW w:w="133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18</w:t>
            </w:r>
          </w:p>
        </w:tc>
      </w:tr>
      <w:tr>
        <w:trPr>
          <w:trHeight w:hRule="exact" w:val="225"/>
        </w:trPr>
        <w:tc>
          <w:tcPr>
            <w:tcW w:w="3321"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Съфинансиране — текущи задължения</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38</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31</w:t>
            </w:r>
          </w:p>
        </w:tc>
        <w:tc>
          <w:tcPr>
            <w:tcW w:w="14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69</w:t>
            </w:r>
          </w:p>
        </w:tc>
        <w:tc>
          <w:tcPr>
            <w:tcW w:w="133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68</w:t>
            </w:r>
          </w:p>
        </w:tc>
      </w:tr>
      <w:tr>
        <w:trPr>
          <w:trHeight w:hRule="exact" w:val="225"/>
        </w:trPr>
        <w:tc>
          <w:tcPr>
            <w:tcW w:w="3321" w:type="dxa"/>
            <w:tcBorders>
              <w:top w:val="single" w:sz="4" w:space="0" w:color="016794"/>
              <w:left w:val="nil"/>
              <w:bottom w:val="single" w:sz="4" w:space="0" w:color="016794"/>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709"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992"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39</w:t>
            </w:r>
          </w:p>
        </w:tc>
        <w:tc>
          <w:tcPr>
            <w:tcW w:w="992"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50</w:t>
            </w:r>
          </w:p>
        </w:tc>
        <w:tc>
          <w:tcPr>
            <w:tcW w:w="1418"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88</w:t>
            </w:r>
          </w:p>
        </w:tc>
        <w:tc>
          <w:tcPr>
            <w:tcW w:w="1336"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86</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Увеличението на общите задължения по съфинансирането в размер на 2,6 милиона евро е комбиниран ефект от новите суми по съфинансирането, получени през 2019 г. (17 милиона евро), и разходите, направени във връзка със съфинансирането на проекти (14,4 милиона евро). В съответствие със счетоводните правила за съфинансиране направените разходи не са дали отражение върху резултата от годината, тъй като са били признати както в разходите за съфинансиране (бележка </w:t>
      </w:r>
      <w:r>
        <w:rPr>
          <w:rFonts w:ascii="Verdana" w:hAnsi="Verdana"/>
          <w:b/>
          <w:bCs/>
          <w:noProof/>
          <w:sz w:val="18"/>
          <w:szCs w:val="18"/>
          <w:lang w:val="bg-BG" w:eastAsia="en-US"/>
        </w:rPr>
        <w:t>3.4</w:t>
      </w:r>
      <w:r>
        <w:rPr>
          <w:rFonts w:ascii="Verdana" w:hAnsi="Verdana"/>
          <w:noProof/>
          <w:sz w:val="18"/>
          <w:szCs w:val="18"/>
          <w:lang w:val="bg-BG" w:eastAsia="en-US"/>
        </w:rPr>
        <w:t xml:space="preserve">), така и в приходите от съфинансиране (бележка </w:t>
      </w:r>
      <w:r>
        <w:rPr>
          <w:rFonts w:ascii="Verdana" w:hAnsi="Verdana"/>
          <w:b/>
          <w:bCs/>
          <w:noProof/>
          <w:sz w:val="18"/>
          <w:szCs w:val="18"/>
          <w:lang w:val="bg-BG" w:eastAsia="en-US"/>
        </w:rPr>
        <w:t>3.1.1</w:t>
      </w:r>
      <w:r>
        <w:rPr>
          <w:rFonts w:ascii="Verdana" w:hAnsi="Verdana"/>
          <w:noProof/>
          <w:sz w:val="18"/>
          <w:szCs w:val="18"/>
          <w:lang w:val="bg-BG" w:eastAsia="en-US"/>
        </w:rPr>
        <w:t xml:space="preserve">). </w:t>
      </w:r>
    </w:p>
    <w:p>
      <w:pPr>
        <w:spacing w:before="240" w:after="240"/>
        <w:jc w:val="both"/>
        <w:rPr>
          <w:rFonts w:ascii="Verdana" w:hAnsi="Verdana"/>
          <w:noProof/>
          <w:sz w:val="18"/>
          <w:szCs w:val="18"/>
          <w:lang w:val="bg-BG" w:eastAsia="en-US"/>
        </w:rPr>
        <w:sectPr>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274" w:bottom="1134" w:left="1134" w:header="709" w:footer="709" w:gutter="0"/>
          <w:cols w:space="708"/>
          <w:docGrid w:linePitch="360"/>
        </w:sectPr>
      </w:pPr>
    </w:p>
    <w:p>
      <w:pPr>
        <w:pStyle w:val="HEADER2Part2"/>
        <w:rPr>
          <w:noProof/>
          <w:lang w:val="bg-BG"/>
        </w:rPr>
      </w:pPr>
      <w:r>
        <w:rPr>
          <w:noProof/>
          <w:lang w:val="bg-BG"/>
        </w:rPr>
        <w:t>ЗАДЪЛЖЕНИЯ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1719"/>
        <w:gridCol w:w="862"/>
        <w:gridCol w:w="863"/>
        <w:gridCol w:w="719"/>
        <w:gridCol w:w="718"/>
        <w:gridCol w:w="1439"/>
        <w:gridCol w:w="1355"/>
      </w:tblGrid>
      <w:tr>
        <w:trPr>
          <w:trHeight w:val="255"/>
        </w:trPr>
        <w:tc>
          <w:tcPr>
            <w:tcW w:w="2083" w:type="dxa"/>
            <w:gridSpan w:val="8"/>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59" w:name="DOC_TBL00024_1_1"/>
            <w:bookmarkEnd w:id="59"/>
            <w:r>
              <w:rPr>
                <w:rFonts w:ascii="Verdana" w:eastAsia="Calibri" w:hAnsi="Verdana"/>
                <w:i/>
                <w:noProof/>
                <w:color w:val="000000"/>
                <w:sz w:val="16"/>
                <w:szCs w:val="20"/>
                <w:lang w:val="bg-BG"/>
              </w:rPr>
              <w:t>милиони евро</w:t>
            </w:r>
          </w:p>
        </w:tc>
      </w:tr>
      <w:tr>
        <w:trPr>
          <w:trHeight w:val="255"/>
        </w:trPr>
        <w:tc>
          <w:tcPr>
            <w:tcW w:w="2083"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1719"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86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71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71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43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355"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208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Текущи задължения</w:t>
            </w:r>
          </w:p>
        </w:tc>
        <w:tc>
          <w:tcPr>
            <w:tcW w:w="1719"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noProof/>
                <w:color w:val="000000"/>
                <w:sz w:val="18"/>
                <w:szCs w:val="20"/>
                <w:lang w:val="bg-BG"/>
              </w:rPr>
            </w:pPr>
            <w:r>
              <w:rPr>
                <w:rFonts w:ascii="Verdana" w:eastAsia="Calibri" w:hAnsi="Verdana"/>
                <w:noProof/>
                <w:color w:val="000000"/>
                <w:sz w:val="18"/>
                <w:szCs w:val="20"/>
                <w:lang w:val="bg-BG"/>
              </w:rPr>
              <w:t>2.7.1</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6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71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72</w:t>
            </w:r>
          </w:p>
        </w:tc>
        <w:tc>
          <w:tcPr>
            <w:tcW w:w="7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106</w:t>
            </w:r>
          </w:p>
        </w:tc>
        <w:tc>
          <w:tcPr>
            <w:tcW w:w="143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182</w:t>
            </w:r>
          </w:p>
        </w:tc>
        <w:tc>
          <w:tcPr>
            <w:tcW w:w="135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173</w:t>
            </w:r>
          </w:p>
        </w:tc>
      </w:tr>
      <w:tr>
        <w:trPr>
          <w:trHeight w:val="255"/>
        </w:trPr>
        <w:tc>
          <w:tcPr>
            <w:tcW w:w="208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Разни задължения</w:t>
            </w:r>
          </w:p>
        </w:tc>
        <w:tc>
          <w:tcPr>
            <w:tcW w:w="1719"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noProof/>
                <w:color w:val="000000"/>
                <w:sz w:val="18"/>
                <w:szCs w:val="20"/>
                <w:lang w:val="bg-BG"/>
              </w:rPr>
            </w:pPr>
            <w:r>
              <w:rPr>
                <w:rFonts w:ascii="Verdana" w:eastAsia="Calibri" w:hAnsi="Verdana"/>
                <w:noProof/>
                <w:color w:val="000000"/>
                <w:sz w:val="18"/>
                <w:szCs w:val="20"/>
                <w:lang w:val="bg-BG"/>
              </w:rPr>
              <w:t>2.7.2</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6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71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36</w:t>
            </w:r>
          </w:p>
        </w:tc>
        <w:tc>
          <w:tcPr>
            <w:tcW w:w="7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298</w:t>
            </w:r>
          </w:p>
        </w:tc>
        <w:tc>
          <w:tcPr>
            <w:tcW w:w="143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334</w:t>
            </w:r>
          </w:p>
        </w:tc>
        <w:tc>
          <w:tcPr>
            <w:tcW w:w="135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68</w:t>
            </w:r>
          </w:p>
        </w:tc>
      </w:tr>
      <w:tr>
        <w:trPr>
          <w:trHeight w:val="255"/>
        </w:trPr>
        <w:tc>
          <w:tcPr>
            <w:tcW w:w="2083"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719" w:type="dxa"/>
            <w:tcBorders>
              <w:top w:val="nil"/>
              <w:left w:val="nil"/>
              <w:bottom w:val="nil"/>
              <w:right w:val="nil"/>
            </w:tcBorders>
            <w:shd w:val="solid" w:color="CCE1EA" w:fill="FFFFFF"/>
            <w:tcMar>
              <w:top w:w="0" w:type="dxa"/>
              <w:left w:w="60" w:type="dxa"/>
              <w:bottom w:w="0" w:type="dxa"/>
              <w:right w:w="60" w:type="dxa"/>
            </w:tcMar>
            <w:vAlign w:val="center"/>
          </w:tcPr>
          <w:p>
            <w:pPr>
              <w:jc w:val="center"/>
              <w:rPr>
                <w:rFonts w:ascii="Verdana" w:hAnsi="Verdana" w:cs="Verdana"/>
                <w:b/>
                <w:noProof/>
                <w:color w:val="000000"/>
                <w:sz w:val="18"/>
                <w:szCs w:val="20"/>
                <w:lang w:val="bg-BG"/>
              </w:rPr>
            </w:pPr>
          </w:p>
        </w:tc>
        <w:tc>
          <w:tcPr>
            <w:tcW w:w="862"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63"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5</w:t>
            </w:r>
          </w:p>
        </w:tc>
        <w:tc>
          <w:tcPr>
            <w:tcW w:w="71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108</w:t>
            </w:r>
          </w:p>
        </w:tc>
        <w:tc>
          <w:tcPr>
            <w:tcW w:w="718"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404</w:t>
            </w:r>
          </w:p>
        </w:tc>
        <w:tc>
          <w:tcPr>
            <w:tcW w:w="143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516</w:t>
            </w:r>
          </w:p>
        </w:tc>
        <w:tc>
          <w:tcPr>
            <w:tcW w:w="1355"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241</w:t>
            </w:r>
          </w:p>
        </w:tc>
      </w:tr>
    </w:tbl>
    <w:p>
      <w:pPr>
        <w:numPr>
          <w:ilvl w:val="2"/>
          <w:numId w:val="10"/>
        </w:numPr>
        <w:tabs>
          <w:tab w:val="left" w:pos="907"/>
        </w:tabs>
        <w:spacing w:before="360" w:after="240"/>
        <w:rPr>
          <w:rFonts w:ascii="Verdana" w:hAnsi="Verdana"/>
          <w:noProof/>
          <w:color w:val="016794"/>
          <w:sz w:val="20"/>
          <w:szCs w:val="20"/>
          <w:lang w:val="bg-BG"/>
        </w:rPr>
      </w:pPr>
      <w:r>
        <w:rPr>
          <w:rFonts w:ascii="Verdana" w:hAnsi="Verdana"/>
          <w:noProof/>
          <w:color w:val="016794"/>
          <w:sz w:val="20"/>
          <w:szCs w:val="20"/>
          <w:lang w:val="bg-BG"/>
        </w:rPr>
        <w:t xml:space="preserve"> </w:t>
      </w:r>
      <w:bookmarkStart w:id="60" w:name="_Ref35557546"/>
      <w:r>
        <w:rPr>
          <w:rFonts w:ascii="Verdana" w:hAnsi="Verdana"/>
          <w:noProof/>
          <w:color w:val="016794"/>
          <w:sz w:val="20"/>
          <w:szCs w:val="20"/>
          <w:lang w:val="bg-BG"/>
        </w:rPr>
        <w:t>Текущи задължения</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864"/>
        <w:gridCol w:w="862"/>
        <w:gridCol w:w="863"/>
        <w:gridCol w:w="862"/>
        <w:gridCol w:w="1387"/>
        <w:gridCol w:w="1407"/>
      </w:tblGrid>
      <w:tr>
        <w:trPr>
          <w:trHeight w:val="255"/>
        </w:trPr>
        <w:tc>
          <w:tcPr>
            <w:tcW w:w="3513"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61" w:name="DOC_TBL00025_1_1"/>
            <w:bookmarkEnd w:id="61"/>
            <w:r>
              <w:rPr>
                <w:rFonts w:ascii="Verdana" w:eastAsia="Calibri" w:hAnsi="Verdana"/>
                <w:i/>
                <w:noProof/>
                <w:color w:val="000000"/>
                <w:sz w:val="16"/>
                <w:szCs w:val="20"/>
                <w:lang w:val="bg-BG"/>
              </w:rPr>
              <w:t>милиони евро</w:t>
            </w:r>
          </w:p>
        </w:tc>
      </w:tr>
      <w:tr>
        <w:trPr>
          <w:trHeight w:val="255"/>
        </w:trPr>
        <w:tc>
          <w:tcPr>
            <w:tcW w:w="3513"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86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86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38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40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Доставчици</w:t>
            </w:r>
          </w:p>
        </w:tc>
        <w:tc>
          <w:tcPr>
            <w:tcW w:w="86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86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67</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w:t>
            </w:r>
          </w:p>
        </w:tc>
        <w:tc>
          <w:tcPr>
            <w:tcW w:w="13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97</w:t>
            </w:r>
          </w:p>
        </w:tc>
        <w:tc>
          <w:tcPr>
            <w:tcW w:w="140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102</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Държави членки</w:t>
            </w:r>
          </w:p>
        </w:tc>
        <w:tc>
          <w:tcPr>
            <w:tcW w:w="86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6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3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40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Трети държави</w:t>
            </w:r>
          </w:p>
        </w:tc>
        <w:tc>
          <w:tcPr>
            <w:tcW w:w="86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6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74</w:t>
            </w:r>
          </w:p>
        </w:tc>
        <w:tc>
          <w:tcPr>
            <w:tcW w:w="13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78</w:t>
            </w:r>
          </w:p>
        </w:tc>
        <w:tc>
          <w:tcPr>
            <w:tcW w:w="140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37</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Публични органи</w:t>
            </w:r>
          </w:p>
        </w:tc>
        <w:tc>
          <w:tcPr>
            <w:tcW w:w="86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86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70</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20</w:t>
            </w:r>
          </w:p>
        </w:tc>
        <w:tc>
          <w:tcPr>
            <w:tcW w:w="13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92</w:t>
            </w:r>
          </w:p>
        </w:tc>
        <w:tc>
          <w:tcPr>
            <w:tcW w:w="140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43</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Други текущи задължения</w:t>
            </w:r>
          </w:p>
        </w:tc>
        <w:tc>
          <w:tcPr>
            <w:tcW w:w="86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6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(70)</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(17)</w:t>
            </w:r>
          </w:p>
        </w:tc>
        <w:tc>
          <w:tcPr>
            <w:tcW w:w="13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(88)</w:t>
            </w:r>
          </w:p>
        </w:tc>
        <w:tc>
          <w:tcPr>
            <w:tcW w:w="140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(10)</w:t>
            </w:r>
          </w:p>
        </w:tc>
      </w:tr>
      <w:tr>
        <w:trPr>
          <w:trHeight w:val="255"/>
        </w:trPr>
        <w:tc>
          <w:tcPr>
            <w:tcW w:w="3513" w:type="dxa"/>
            <w:tcBorders>
              <w:top w:val="single" w:sz="4" w:space="0" w:color="016794"/>
              <w:left w:val="nil"/>
              <w:bottom w:val="single" w:sz="4" w:space="0" w:color="016794"/>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864"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62"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5</w:t>
            </w:r>
          </w:p>
        </w:tc>
        <w:tc>
          <w:tcPr>
            <w:tcW w:w="863"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72</w:t>
            </w:r>
          </w:p>
        </w:tc>
        <w:tc>
          <w:tcPr>
            <w:tcW w:w="862"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106</w:t>
            </w:r>
          </w:p>
        </w:tc>
        <w:tc>
          <w:tcPr>
            <w:tcW w:w="1387"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182</w:t>
            </w:r>
          </w:p>
        </w:tc>
        <w:tc>
          <w:tcPr>
            <w:tcW w:w="1407"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173</w:t>
            </w:r>
          </w:p>
        </w:tc>
      </w:tr>
    </w:tbl>
    <w:p>
      <w:pPr>
        <w:spacing w:before="240" w:after="120"/>
        <w:jc w:val="both"/>
        <w:rPr>
          <w:rFonts w:ascii="Verdana" w:hAnsi="Verdana"/>
          <w:noProof/>
          <w:sz w:val="18"/>
          <w:szCs w:val="18"/>
          <w:lang w:val="bg-BG" w:eastAsia="en-US"/>
        </w:rPr>
      </w:pPr>
      <w:r>
        <w:rPr>
          <w:rFonts w:ascii="Verdana" w:hAnsi="Verdana"/>
          <w:noProof/>
          <w:sz w:val="18"/>
          <w:szCs w:val="18"/>
          <w:lang w:val="bg-BG" w:eastAsia="en-US"/>
        </w:rPr>
        <w:t>Задълженията включват декларациите за разходи, получени от ЕФР във връзка с неговите дейности, свързани с предоставянето на безвъзмездни средства. Те се вписват с декларираната сума в момента на получаване на искането за плащане. Същата процедура се прилага за фактурите и кредитните известия, получени в рамките на дейностите, свързани с обществените поръчки. Съответните декларации за разходи са взети предвид за процедурите по разделяне на финансовите периоди в края на годината. След вписването за разделяне на финансовите периоди очакваните допустими суми са били признати в отчета за финансовия резултат. Недопустимите суми са посочени като други текущи задължения.</w:t>
      </w:r>
    </w:p>
    <w:p>
      <w:pPr>
        <w:numPr>
          <w:ilvl w:val="2"/>
          <w:numId w:val="10"/>
        </w:numPr>
        <w:tabs>
          <w:tab w:val="left" w:pos="907"/>
        </w:tabs>
        <w:spacing w:before="240" w:after="240"/>
        <w:rPr>
          <w:rFonts w:ascii="Verdana" w:hAnsi="Verdana"/>
          <w:noProof/>
          <w:color w:val="016794"/>
          <w:sz w:val="20"/>
          <w:szCs w:val="20"/>
          <w:lang w:val="bg-BG"/>
        </w:rPr>
      </w:pPr>
      <w:bookmarkStart w:id="62" w:name="_Ref35557557"/>
      <w:r>
        <w:rPr>
          <w:rFonts w:ascii="Verdana" w:hAnsi="Verdana"/>
          <w:noProof/>
          <w:color w:val="016794"/>
          <w:sz w:val="20"/>
          <w:szCs w:val="20"/>
          <w:lang w:val="bg-BG"/>
        </w:rPr>
        <w:t>Разни задължения</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864"/>
        <w:gridCol w:w="862"/>
        <w:gridCol w:w="719"/>
        <w:gridCol w:w="719"/>
        <w:gridCol w:w="718"/>
        <w:gridCol w:w="1439"/>
        <w:gridCol w:w="1355"/>
      </w:tblGrid>
      <w:tr>
        <w:trPr>
          <w:trHeight w:val="255"/>
        </w:trPr>
        <w:tc>
          <w:tcPr>
            <w:tcW w:w="3082" w:type="dxa"/>
            <w:gridSpan w:val="8"/>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63" w:name="DOC_TBL00026_1_1"/>
            <w:bookmarkEnd w:id="63"/>
            <w:r>
              <w:rPr>
                <w:rFonts w:ascii="Verdana" w:eastAsia="Calibri" w:hAnsi="Verdana"/>
                <w:i/>
                <w:noProof/>
                <w:color w:val="000000"/>
                <w:sz w:val="16"/>
                <w:szCs w:val="20"/>
                <w:lang w:val="bg-BG"/>
              </w:rPr>
              <w:t>милиони евро</w:t>
            </w:r>
          </w:p>
        </w:tc>
      </w:tr>
      <w:tr>
        <w:trPr>
          <w:trHeight w:val="255"/>
        </w:trPr>
        <w:tc>
          <w:tcPr>
            <w:tcW w:w="3082"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864"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71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71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71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43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355"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3082"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Съфинансиране — задължения</w:t>
            </w:r>
          </w:p>
        </w:tc>
        <w:tc>
          <w:tcPr>
            <w:tcW w:w="864" w:type="dxa"/>
            <w:tcBorders>
              <w:top w:val="nil"/>
              <w:left w:val="nil"/>
              <w:bottom w:val="nil"/>
              <w:right w:val="nil"/>
            </w:tcBorders>
            <w:tcMar>
              <w:top w:w="0" w:type="dxa"/>
              <w:left w:w="60" w:type="dxa"/>
              <w:bottom w:w="0" w:type="dxa"/>
              <w:right w:w="60" w:type="dxa"/>
            </w:tcMar>
            <w:vAlign w:val="center"/>
          </w:tcPr>
          <w:p>
            <w:pPr>
              <w:rPr>
                <w:rFonts w:ascii="Verdana" w:hAnsi="Verdana" w:cs="Verdana"/>
                <w:noProof/>
                <w:color w:val="000000"/>
                <w:sz w:val="18"/>
                <w:szCs w:val="20"/>
                <w:lang w:val="bg-BG"/>
              </w:rPr>
            </w:pPr>
            <w:r>
              <w:rPr>
                <w:rFonts w:ascii="Verdana" w:eastAsia="Calibri" w:hAnsi="Verdana"/>
                <w:noProof/>
                <w:color w:val="000000"/>
                <w:sz w:val="18"/>
                <w:szCs w:val="20"/>
                <w:lang w:val="bg-BG"/>
              </w:rPr>
              <w:t>2.6.1</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1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1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38</w:t>
            </w:r>
          </w:p>
        </w:tc>
        <w:tc>
          <w:tcPr>
            <w:tcW w:w="7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31</w:t>
            </w:r>
          </w:p>
        </w:tc>
        <w:tc>
          <w:tcPr>
            <w:tcW w:w="143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69</w:t>
            </w:r>
          </w:p>
        </w:tc>
        <w:tc>
          <w:tcPr>
            <w:tcW w:w="135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68</w:t>
            </w:r>
          </w:p>
        </w:tc>
      </w:tr>
      <w:tr>
        <w:trPr>
          <w:trHeight w:val="255"/>
        </w:trPr>
        <w:tc>
          <w:tcPr>
            <w:tcW w:w="3082"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Отложени капиталови вноски</w:t>
            </w:r>
          </w:p>
        </w:tc>
        <w:tc>
          <w:tcPr>
            <w:tcW w:w="864" w:type="dxa"/>
            <w:tcBorders>
              <w:top w:val="nil"/>
              <w:left w:val="nil"/>
              <w:bottom w:val="nil"/>
              <w:right w:val="nil"/>
            </w:tcBorders>
            <w:tcMar>
              <w:top w:w="0" w:type="dxa"/>
              <w:left w:w="60" w:type="dxa"/>
              <w:bottom w:w="0" w:type="dxa"/>
              <w:right w:w="60" w:type="dxa"/>
            </w:tcMar>
            <w:vAlign w:val="center"/>
          </w:tcPr>
          <w:p>
            <w:pPr>
              <w:rPr>
                <w:rFonts w:ascii="Verdana" w:hAnsi="Verdana" w:cs="Verdana"/>
                <w:noProof/>
                <w:color w:val="000000"/>
                <w:sz w:val="18"/>
                <w:szCs w:val="20"/>
                <w:lang w:val="bg-BG"/>
              </w:rPr>
            </w:pPr>
            <w:r>
              <w:rPr>
                <w:rFonts w:ascii="Verdana" w:eastAsia="Calibri" w:hAnsi="Verdana"/>
                <w:noProof/>
                <w:color w:val="000000"/>
                <w:sz w:val="18"/>
                <w:szCs w:val="20"/>
                <w:lang w:val="bg-BG"/>
              </w:rPr>
              <w:t>2.7.2.1</w:t>
            </w: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1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1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264</w:t>
            </w:r>
          </w:p>
        </w:tc>
        <w:tc>
          <w:tcPr>
            <w:tcW w:w="143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264</w:t>
            </w:r>
          </w:p>
        </w:tc>
        <w:tc>
          <w:tcPr>
            <w:tcW w:w="135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3082"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Други разни задължения</w:t>
            </w:r>
          </w:p>
        </w:tc>
        <w:tc>
          <w:tcPr>
            <w:tcW w:w="864"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noProof/>
                <w:color w:val="000000"/>
                <w:sz w:val="18"/>
                <w:szCs w:val="20"/>
                <w:lang w:val="bg-BG"/>
              </w:rPr>
            </w:pPr>
          </w:p>
        </w:tc>
        <w:tc>
          <w:tcPr>
            <w:tcW w:w="86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1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1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7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w:t>
            </w:r>
          </w:p>
        </w:tc>
        <w:tc>
          <w:tcPr>
            <w:tcW w:w="143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35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r>
      <w:tr>
        <w:trPr>
          <w:trHeight w:val="255"/>
        </w:trPr>
        <w:tc>
          <w:tcPr>
            <w:tcW w:w="3082" w:type="dxa"/>
            <w:tcBorders>
              <w:top w:val="single" w:sz="4" w:space="0" w:color="016794"/>
              <w:left w:val="nil"/>
              <w:bottom w:val="single" w:sz="4" w:space="0" w:color="016794"/>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864"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862"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719"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719"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36</w:t>
            </w:r>
          </w:p>
        </w:tc>
        <w:tc>
          <w:tcPr>
            <w:tcW w:w="718"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298</w:t>
            </w:r>
          </w:p>
        </w:tc>
        <w:tc>
          <w:tcPr>
            <w:tcW w:w="1439"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334</w:t>
            </w:r>
          </w:p>
        </w:tc>
        <w:tc>
          <w:tcPr>
            <w:tcW w:w="1355"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68</w:t>
            </w:r>
          </w:p>
        </w:tc>
      </w:tr>
    </w:tbl>
    <w:p>
      <w:pPr>
        <w:numPr>
          <w:ilvl w:val="3"/>
          <w:numId w:val="10"/>
        </w:numPr>
        <w:tabs>
          <w:tab w:val="left" w:pos="907"/>
        </w:tabs>
        <w:spacing w:before="240" w:after="240"/>
        <w:rPr>
          <w:rFonts w:ascii="Verdana" w:hAnsi="Verdana"/>
          <w:noProof/>
          <w:color w:val="016794"/>
          <w:sz w:val="18"/>
          <w:szCs w:val="18"/>
          <w:lang w:val="bg-BG"/>
        </w:rPr>
      </w:pPr>
      <w:r>
        <w:rPr>
          <w:rFonts w:ascii="Verdana" w:hAnsi="Verdana"/>
          <w:noProof/>
          <w:color w:val="016794"/>
          <w:sz w:val="18"/>
          <w:szCs w:val="18"/>
          <w:lang w:val="bg-BG"/>
        </w:rPr>
        <w:t>Отложени капиталови вноски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Към 31 декември 2019 г. цялата сума в размер на 264 милиона евро се отнася до вноската от 2020 г. на Обединеното кралство за ЕФР в края на декември. Към 31 декември 2018 г. няма капиталови вноски, платени авансово. </w:t>
      </w:r>
    </w:p>
    <w:p>
      <w:pPr>
        <w:pStyle w:val="HEADER2Part2"/>
        <w:rPr>
          <w:noProof/>
          <w:lang w:val="bg-BG"/>
        </w:rPr>
      </w:pPr>
      <w:r>
        <w:rPr>
          <w:noProof/>
          <w:lang w:val="bg-BG"/>
        </w:rPr>
        <w:t>НАЧИСЛЕНИ РАЗХОДИ И ПРИХОДИ ЗА БЪДЕЩИ ПЕРИОДИ</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4"/>
        <w:gridCol w:w="858"/>
        <w:gridCol w:w="858"/>
        <w:gridCol w:w="999"/>
        <w:gridCol w:w="999"/>
        <w:gridCol w:w="1591"/>
        <w:gridCol w:w="1347"/>
      </w:tblGrid>
      <w:tr>
        <w:trPr>
          <w:trHeight w:val="255"/>
        </w:trPr>
        <w:tc>
          <w:tcPr>
            <w:tcW w:w="3204"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64" w:name="DOC_TBL00029_1_1"/>
            <w:bookmarkEnd w:id="64"/>
            <w:r>
              <w:rPr>
                <w:rFonts w:ascii="Verdana" w:eastAsia="Calibri" w:hAnsi="Verdana"/>
                <w:i/>
                <w:noProof/>
                <w:color w:val="000000"/>
                <w:sz w:val="16"/>
                <w:szCs w:val="20"/>
                <w:lang w:val="bg-BG"/>
              </w:rPr>
              <w:t>милиони евро</w:t>
            </w:r>
          </w:p>
        </w:tc>
      </w:tr>
      <w:tr>
        <w:trPr>
          <w:trHeight w:val="255"/>
        </w:trPr>
        <w:tc>
          <w:tcPr>
            <w:tcW w:w="3204"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85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85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99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99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59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34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320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Начислени разходи</w:t>
            </w:r>
          </w:p>
        </w:tc>
        <w:tc>
          <w:tcPr>
            <w:tcW w:w="8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96</w:t>
            </w:r>
          </w:p>
        </w:tc>
        <w:tc>
          <w:tcPr>
            <w:tcW w:w="99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240</w:t>
            </w:r>
          </w:p>
        </w:tc>
        <w:tc>
          <w:tcPr>
            <w:tcW w:w="99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982</w:t>
            </w:r>
          </w:p>
        </w:tc>
        <w:tc>
          <w:tcPr>
            <w:tcW w:w="159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1 318</w:t>
            </w:r>
          </w:p>
        </w:tc>
        <w:tc>
          <w:tcPr>
            <w:tcW w:w="13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1 279</w:t>
            </w:r>
          </w:p>
        </w:tc>
      </w:tr>
      <w:tr>
        <w:trPr>
          <w:trHeight w:val="255"/>
        </w:trPr>
        <w:tc>
          <w:tcPr>
            <w:tcW w:w="320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Други начисления и отсрочки</w:t>
            </w:r>
          </w:p>
        </w:tc>
        <w:tc>
          <w:tcPr>
            <w:tcW w:w="8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9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99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59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3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w:t>
            </w:r>
          </w:p>
        </w:tc>
      </w:tr>
      <w:tr>
        <w:trPr>
          <w:trHeight w:val="255"/>
        </w:trPr>
        <w:tc>
          <w:tcPr>
            <w:tcW w:w="3204"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858"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58"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96</w:t>
            </w:r>
          </w:p>
        </w:tc>
        <w:tc>
          <w:tcPr>
            <w:tcW w:w="99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240</w:t>
            </w:r>
          </w:p>
        </w:tc>
        <w:tc>
          <w:tcPr>
            <w:tcW w:w="99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983</w:t>
            </w:r>
          </w:p>
        </w:tc>
        <w:tc>
          <w:tcPr>
            <w:tcW w:w="1591"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1 319</w:t>
            </w:r>
          </w:p>
        </w:tc>
        <w:tc>
          <w:tcPr>
            <w:tcW w:w="1347"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1 281</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Начислените разходи включват прогнозните оперативни разходи за текущи или приключили договори без заверени декларации за разходи, при които допустимите разходи, направени от бенефициерите, са били изчислени въз основа на най-добрата налична информация. Делът на очакваните начислени разходи, който се отнася до изплатено предварително финансиране, е вписан като намаление на сумите по предварителното финансиране (вж. бележка 2.2 по-горе).</w:t>
      </w:r>
    </w:p>
    <w:p>
      <w:pPr>
        <w:spacing w:before="240" w:after="480"/>
        <w:jc w:val="both"/>
        <w:rPr>
          <w:rFonts w:ascii="Verdana" w:hAnsi="Verdana"/>
          <w:noProof/>
          <w:sz w:val="18"/>
          <w:szCs w:val="18"/>
          <w:lang w:val="bg-BG" w:eastAsia="en-US"/>
        </w:rPr>
      </w:pPr>
      <w:r>
        <w:rPr>
          <w:rFonts w:ascii="Verdana" w:hAnsi="Verdana"/>
          <w:noProof/>
          <w:sz w:val="18"/>
          <w:szCs w:val="18"/>
          <w:lang w:val="bg-BG" w:eastAsia="en-US"/>
        </w:rPr>
        <w:t xml:space="preserve">Увеличението по тази позиция представлява комбиниран ефект от увеличение на начислените разходи по 11-ия ЕФР (2018 г.: 838 милиона евро) и намаление на начислените разходи по 10-ия ЕФР (2018 г.: 358 милиона евро). Това съответства на жизнения цикъл на ЕФР и също така е свързано с промяната на броя на текущите договори по линия на тези ЕФР: През 2019 г. 11-ият ЕФР достигна изцяло нормален ритъм на изпълнение и поради това към 31 декември 2019 г. имаше значително повече текущи договори, за които трябваше да бъдат изчислени и начислени разходите. И обратно, през 2019 г. бяха изпълнени и приключени редица договори по линия на 10-ия ЕФР, което доведе до намаляване на броя на текущите договори и на начислените разходи по този ЕФР. </w:t>
      </w:r>
    </w:p>
    <w:p>
      <w:pPr>
        <w:pStyle w:val="HEADERTABLE"/>
        <w:rPr>
          <w:noProof/>
          <w:lang w:val="bg-BG"/>
        </w:rPr>
      </w:pPr>
      <w:r>
        <w:rPr>
          <w:noProof/>
          <w:lang w:val="bg-BG"/>
        </w:rPr>
        <w:t>НЕТНИ АКТИВИ</w:t>
      </w:r>
    </w:p>
    <w:p>
      <w:pPr>
        <w:pStyle w:val="HEADER2Part2"/>
        <w:rPr>
          <w:noProof/>
          <w:lang w:val="bg-BG"/>
        </w:rPr>
      </w:pPr>
      <w:r>
        <w:rPr>
          <w:noProof/>
          <w:lang w:val="bg-BG"/>
        </w:rPr>
        <w:t>РЕЗЕРВ ПО СПРАВЕДЛИВА СТОЙНОСТ</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съответствие с правилата за счетоводна отчетност корекцията на справедливата стойност на финансовите активи на разположение за продажба, се отчита чрез резерва по справедлива стойност.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1"/>
        <w:gridCol w:w="2804"/>
        <w:gridCol w:w="1843"/>
      </w:tblGrid>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rPr>
                <w:rFonts w:ascii="Arial" w:hAnsi="Arial" w:cs="Arial"/>
                <w:noProof/>
                <w:color w:val="000000"/>
                <w:sz w:val="20"/>
                <w:szCs w:val="20"/>
                <w:lang w:val="bg-BG"/>
              </w:rPr>
            </w:pPr>
            <w:bookmarkStart w:id="65" w:name="DOC_TBL00019_1_1"/>
            <w:bookmarkEnd w:id="65"/>
          </w:p>
        </w:tc>
        <w:tc>
          <w:tcPr>
            <w:tcW w:w="2804" w:type="dxa"/>
            <w:tcBorders>
              <w:top w:val="nil"/>
              <w:left w:val="nil"/>
              <w:bottom w:val="nil"/>
              <w:right w:val="nil"/>
            </w:tcBorders>
            <w:tcMar>
              <w:top w:w="0" w:type="dxa"/>
              <w:left w:w="60" w:type="dxa"/>
              <w:bottom w:w="0" w:type="dxa"/>
              <w:right w:w="60" w:type="dxa"/>
            </w:tcMar>
            <w:vAlign w:val="center"/>
          </w:tcPr>
          <w:p>
            <w:pPr>
              <w:rPr>
                <w:rFonts w:ascii="Arial" w:hAnsi="Arial" w:cs="Arial"/>
                <w:noProof/>
                <w:color w:val="000000"/>
                <w:sz w:val="20"/>
                <w:szCs w:val="20"/>
                <w:lang w:val="bg-BG"/>
              </w:rPr>
            </w:pPr>
          </w:p>
        </w:tc>
        <w:tc>
          <w:tcPr>
            <w:tcW w:w="184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r>
              <w:rPr>
                <w:rFonts w:ascii="Verdana" w:eastAsia="Calibri" w:hAnsi="Verdana"/>
                <w:i/>
                <w:noProof/>
                <w:color w:val="000000"/>
                <w:sz w:val="16"/>
                <w:szCs w:val="20"/>
                <w:lang w:val="bg-BG"/>
              </w:rPr>
              <w:t>милиони евро</w:t>
            </w:r>
          </w:p>
        </w:tc>
      </w:tr>
      <w:tr>
        <w:trPr>
          <w:trHeight w:hRule="exact" w:val="255"/>
        </w:trPr>
        <w:tc>
          <w:tcPr>
            <w:tcW w:w="511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p>
        </w:tc>
        <w:tc>
          <w:tcPr>
            <w:tcW w:w="280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84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Включени в резерва по справедлива стойност</w:t>
            </w:r>
          </w:p>
        </w:tc>
        <w:tc>
          <w:tcPr>
            <w:tcW w:w="280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84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Включени в отчета за финансовия резултат</w:t>
            </w:r>
          </w:p>
        </w:tc>
        <w:tc>
          <w:tcPr>
            <w:tcW w:w="280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84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hRule="exact" w:val="255"/>
        </w:trPr>
        <w:tc>
          <w:tcPr>
            <w:tcW w:w="5111" w:type="dxa"/>
            <w:tcBorders>
              <w:top w:val="single" w:sz="4" w:space="0" w:color="016794"/>
              <w:left w:val="nil"/>
              <w:bottom w:val="single" w:sz="4" w:space="0" w:color="016794"/>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2804"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w:t>
            </w:r>
          </w:p>
        </w:tc>
        <w:tc>
          <w:tcPr>
            <w:tcW w:w="1843"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r>
    </w:tbl>
    <w:p>
      <w:pPr>
        <w:pStyle w:val="HEADER2Part2"/>
        <w:rPr>
          <w:noProof/>
          <w:lang w:val="bg-BG"/>
        </w:rPr>
      </w:pPr>
      <w:r>
        <w:rPr>
          <w:noProof/>
          <w:lang w:val="bg-BG"/>
        </w:rPr>
        <w:t>КАПИТАЛ НА ФОНДА</w:t>
      </w:r>
    </w:p>
    <w:p>
      <w:pPr>
        <w:keepNext/>
        <w:keepLines/>
        <w:numPr>
          <w:ilvl w:val="2"/>
          <w:numId w:val="10"/>
        </w:numPr>
        <w:tabs>
          <w:tab w:val="left" w:pos="907"/>
        </w:tabs>
        <w:spacing w:before="360" w:after="360"/>
        <w:rPr>
          <w:rFonts w:ascii="Verdana" w:hAnsi="Verdana"/>
          <w:noProof/>
          <w:color w:val="016794"/>
          <w:sz w:val="20"/>
          <w:szCs w:val="20"/>
          <w:lang w:val="bg-BG"/>
        </w:rPr>
      </w:pPr>
      <w:r>
        <w:rPr>
          <w:rFonts w:ascii="Verdana" w:hAnsi="Verdana"/>
          <w:noProof/>
          <w:color w:val="016794"/>
          <w:sz w:val="20"/>
          <w:szCs w:val="20"/>
          <w:lang w:val="bg-BG"/>
        </w:rPr>
        <w:t>Поискан капитал на фонда — активни ЕФР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561"/>
        <w:gridCol w:w="1218"/>
        <w:gridCol w:w="1073"/>
        <w:gridCol w:w="1181"/>
        <w:gridCol w:w="1068"/>
      </w:tblGrid>
      <w:tr>
        <w:trPr>
          <w:trHeight w:val="255"/>
        </w:trPr>
        <w:tc>
          <w:tcPr>
            <w:tcW w:w="3657" w:type="dxa"/>
            <w:gridSpan w:val="6"/>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66" w:name="DOC_TBL00022_1_1"/>
            <w:bookmarkEnd w:id="66"/>
            <w:r>
              <w:rPr>
                <w:rFonts w:ascii="Verdana" w:eastAsia="Calibri" w:hAnsi="Verdana"/>
                <w:i/>
                <w:noProof/>
                <w:color w:val="000000"/>
                <w:sz w:val="16"/>
                <w:szCs w:val="20"/>
                <w:lang w:val="bg-BG"/>
              </w:rPr>
              <w:t>милиони евро</w:t>
            </w:r>
          </w:p>
        </w:tc>
      </w:tr>
      <w:tr>
        <w:trPr>
          <w:trHeight w:val="255"/>
        </w:trPr>
        <w:tc>
          <w:tcPr>
            <w:tcW w:w="3657"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156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121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107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118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06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Общо</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Капитал на фонда</w:t>
            </w:r>
          </w:p>
        </w:tc>
        <w:tc>
          <w:tcPr>
            <w:tcW w:w="156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12 164</w:t>
            </w:r>
          </w:p>
        </w:tc>
        <w:tc>
          <w:tcPr>
            <w:tcW w:w="12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10 773</w:t>
            </w:r>
          </w:p>
        </w:tc>
        <w:tc>
          <w:tcPr>
            <w:tcW w:w="107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20 960</w:t>
            </w:r>
          </w:p>
        </w:tc>
        <w:tc>
          <w:tcPr>
            <w:tcW w:w="118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29 367</w:t>
            </w:r>
          </w:p>
        </w:tc>
        <w:tc>
          <w:tcPr>
            <w:tcW w:w="106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73 264</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Непоискан капитал на фонда</w:t>
            </w:r>
          </w:p>
        </w:tc>
        <w:tc>
          <w:tcPr>
            <w:tcW w:w="156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2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07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18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(22 840)</w:t>
            </w:r>
          </w:p>
        </w:tc>
        <w:tc>
          <w:tcPr>
            <w:tcW w:w="106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(22 840)</w:t>
            </w:r>
          </w:p>
        </w:tc>
      </w:tr>
      <w:tr>
        <w:trPr>
          <w:trHeight w:val="255"/>
        </w:trPr>
        <w:tc>
          <w:tcPr>
            <w:tcW w:w="3657"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Поискан капитал на фонда 31.12.2018 г.</w:t>
            </w:r>
          </w:p>
        </w:tc>
        <w:tc>
          <w:tcPr>
            <w:tcW w:w="1561"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12 164</w:t>
            </w:r>
          </w:p>
        </w:tc>
        <w:tc>
          <w:tcPr>
            <w:tcW w:w="1218"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10 773</w:t>
            </w:r>
          </w:p>
        </w:tc>
        <w:tc>
          <w:tcPr>
            <w:tcW w:w="1073"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20 960</w:t>
            </w:r>
          </w:p>
        </w:tc>
        <w:tc>
          <w:tcPr>
            <w:tcW w:w="1181"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6 527</w:t>
            </w:r>
          </w:p>
        </w:tc>
        <w:tc>
          <w:tcPr>
            <w:tcW w:w="1068"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50 423</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Капитал на фонда</w:t>
            </w:r>
          </w:p>
        </w:tc>
        <w:tc>
          <w:tcPr>
            <w:tcW w:w="156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12 164</w:t>
            </w:r>
          </w:p>
        </w:tc>
        <w:tc>
          <w:tcPr>
            <w:tcW w:w="12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10 773</w:t>
            </w:r>
          </w:p>
        </w:tc>
        <w:tc>
          <w:tcPr>
            <w:tcW w:w="107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20 960</w:t>
            </w:r>
          </w:p>
        </w:tc>
        <w:tc>
          <w:tcPr>
            <w:tcW w:w="118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29 367</w:t>
            </w:r>
          </w:p>
        </w:tc>
        <w:tc>
          <w:tcPr>
            <w:tcW w:w="106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73 264</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Непоискан капитал на фонда</w:t>
            </w:r>
          </w:p>
        </w:tc>
        <w:tc>
          <w:tcPr>
            <w:tcW w:w="156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21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(15)</w:t>
            </w:r>
          </w:p>
        </w:tc>
        <w:tc>
          <w:tcPr>
            <w:tcW w:w="107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18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(18 440)</w:t>
            </w:r>
          </w:p>
        </w:tc>
        <w:tc>
          <w:tcPr>
            <w:tcW w:w="106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(18 455)</w:t>
            </w:r>
          </w:p>
        </w:tc>
      </w:tr>
      <w:tr>
        <w:trPr>
          <w:trHeight w:val="255"/>
        </w:trPr>
        <w:tc>
          <w:tcPr>
            <w:tcW w:w="3657"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Поискан капитал на фонда 31.12.2019 г.</w:t>
            </w:r>
          </w:p>
        </w:tc>
        <w:tc>
          <w:tcPr>
            <w:tcW w:w="1561"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12 164</w:t>
            </w:r>
          </w:p>
        </w:tc>
        <w:tc>
          <w:tcPr>
            <w:tcW w:w="1218"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10 758</w:t>
            </w:r>
          </w:p>
        </w:tc>
        <w:tc>
          <w:tcPr>
            <w:tcW w:w="1073"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20 960</w:t>
            </w:r>
          </w:p>
        </w:tc>
        <w:tc>
          <w:tcPr>
            <w:tcW w:w="1181"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10 927</w:t>
            </w:r>
          </w:p>
        </w:tc>
        <w:tc>
          <w:tcPr>
            <w:tcW w:w="1068"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54 809</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Капиталът на фонда представлява общият размер на вноските от държавите членки за съответния ЕФР, както е посочено във всяко от вътрешните споразумения. Непоисканите средства представляват средства, които още не са поискани от държавите членки. Поисканият капитал на фонда се състои от вноските, които са поискани от ЕФР и прехвърлени по касовите сметки от държавите членки (вж. точка </w:t>
      </w:r>
      <w:r>
        <w:rPr>
          <w:rFonts w:ascii="Verdana" w:hAnsi="Verdana"/>
          <w:b/>
          <w:noProof/>
          <w:sz w:val="18"/>
          <w:szCs w:val="18"/>
          <w:lang w:val="bg-BG" w:eastAsia="en-US"/>
        </w:rPr>
        <w:t>2.10.2</w:t>
      </w:r>
      <w:r>
        <w:rPr>
          <w:rFonts w:ascii="Verdana" w:hAnsi="Verdana"/>
          <w:noProof/>
          <w:sz w:val="18"/>
          <w:szCs w:val="18"/>
          <w:lang w:val="bg-BG" w:eastAsia="en-US"/>
        </w:rPr>
        <w:t>).</w:t>
      </w:r>
    </w:p>
    <w:p>
      <w:pPr>
        <w:keepNext/>
        <w:keepLines/>
        <w:numPr>
          <w:ilvl w:val="2"/>
          <w:numId w:val="10"/>
        </w:numPr>
        <w:tabs>
          <w:tab w:val="left" w:pos="907"/>
        </w:tabs>
        <w:spacing w:before="360" w:after="360"/>
        <w:rPr>
          <w:rFonts w:ascii="Verdana" w:hAnsi="Verdana"/>
          <w:noProof/>
          <w:color w:val="016794"/>
          <w:sz w:val="20"/>
          <w:szCs w:val="20"/>
          <w:lang w:val="bg-BG"/>
        </w:rPr>
      </w:pPr>
      <w:r>
        <w:rPr>
          <w:rFonts w:ascii="Verdana" w:hAnsi="Verdana"/>
          <w:noProof/>
          <w:color w:val="016794"/>
          <w:sz w:val="20"/>
          <w:szCs w:val="20"/>
          <w:lang w:val="bg-BG"/>
        </w:rPr>
        <w:br w:type="page"/>
      </w:r>
      <w:bookmarkStart w:id="67" w:name="_Ref35811248"/>
      <w:r>
        <w:rPr>
          <w:rFonts w:ascii="Verdana" w:hAnsi="Verdana"/>
          <w:noProof/>
          <w:color w:val="016794"/>
          <w:sz w:val="20"/>
          <w:szCs w:val="20"/>
          <w:lang w:val="bg-BG"/>
        </w:rPr>
        <w:t>Поискан и непоискан капитал на фонда по държави членки</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762"/>
        <w:gridCol w:w="2013"/>
        <w:gridCol w:w="1583"/>
        <w:gridCol w:w="1787"/>
      </w:tblGrid>
      <w:tr>
        <w:trPr>
          <w:trHeight w:val="255"/>
        </w:trPr>
        <w:tc>
          <w:tcPr>
            <w:tcW w:w="2613" w:type="dxa"/>
            <w:gridSpan w:val="5"/>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68" w:name="DOC_TBL00027_1_1"/>
            <w:bookmarkEnd w:id="68"/>
            <w:r>
              <w:rPr>
                <w:rFonts w:ascii="Verdana" w:eastAsia="Calibri" w:hAnsi="Verdana"/>
                <w:i/>
                <w:noProof/>
                <w:color w:val="000000"/>
                <w:sz w:val="16"/>
                <w:szCs w:val="20"/>
                <w:lang w:val="bg-BG"/>
              </w:rPr>
              <w:t>милиони евро</w:t>
            </w:r>
          </w:p>
        </w:tc>
      </w:tr>
      <w:tr>
        <w:trPr>
          <w:trHeight w:val="255"/>
        </w:trPr>
        <w:tc>
          <w:tcPr>
            <w:tcW w:w="2613"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r>
              <w:rPr>
                <w:rFonts w:ascii="Verdana" w:eastAsia="Calibri" w:hAnsi="Verdana"/>
                <w:noProof/>
                <w:color w:val="FFFFFF"/>
                <w:sz w:val="20"/>
                <w:szCs w:val="20"/>
                <w:lang w:val="bg-BG"/>
              </w:rPr>
              <w:t>Вноски за 11-и ЕФР</w:t>
            </w:r>
          </w:p>
        </w:tc>
        <w:tc>
          <w:tcPr>
            <w:tcW w:w="1762"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r>
              <w:rPr>
                <w:rFonts w:ascii="Verdana" w:eastAsia="Calibri" w:hAnsi="Verdana"/>
                <w:noProof/>
                <w:color w:val="FFFFFF"/>
                <w:sz w:val="20"/>
                <w:szCs w:val="20"/>
                <w:lang w:val="bg-BG"/>
              </w:rPr>
              <w:t>%</w:t>
            </w:r>
          </w:p>
        </w:tc>
        <w:tc>
          <w:tcPr>
            <w:tcW w:w="2013"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r>
              <w:rPr>
                <w:rFonts w:ascii="Verdana" w:eastAsia="Calibri" w:hAnsi="Verdana"/>
                <w:noProof/>
                <w:color w:val="FFFFFF"/>
                <w:sz w:val="20"/>
                <w:szCs w:val="20"/>
                <w:lang w:val="bg-BG"/>
              </w:rPr>
              <w:t>Непоискан капитал 31.12.2018 г.</w:t>
            </w:r>
          </w:p>
        </w:tc>
        <w:tc>
          <w:tcPr>
            <w:tcW w:w="1583"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r>
              <w:rPr>
                <w:rFonts w:ascii="Verdana" w:eastAsia="Calibri" w:hAnsi="Verdana"/>
                <w:noProof/>
                <w:color w:val="FFFFFF"/>
                <w:sz w:val="20"/>
                <w:szCs w:val="20"/>
                <w:lang w:val="bg-BG"/>
              </w:rPr>
              <w:t>Поискан капитал през 2019 г.</w:t>
            </w:r>
          </w:p>
        </w:tc>
        <w:tc>
          <w:tcPr>
            <w:tcW w:w="1787"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r>
              <w:rPr>
                <w:rFonts w:ascii="Verdana" w:eastAsia="Calibri" w:hAnsi="Verdana"/>
                <w:noProof/>
                <w:color w:val="FFFFFF"/>
                <w:sz w:val="20"/>
                <w:szCs w:val="20"/>
                <w:lang w:val="bg-BG"/>
              </w:rPr>
              <w:t>Непоискан капитал 31.12.2019 г.</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Австрия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2,40</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548</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(105)</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Белгия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3,25</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742</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(143)</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599</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България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0,22</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50</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(10)</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40</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Хърватия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0,23</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51</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(10)</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Кипър</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0,11</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25</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Чешка република</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0,80</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182</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(35)</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147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Дания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1,98</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452</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(87)</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365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Естония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0,09</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20</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16</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Финландия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1,51</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345</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(66)</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278</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Франция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17,81</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4 068</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(784)</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3 285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Германия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20,58</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4 700</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(906)</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3 795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Гърция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1,51</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344</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(66)</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278</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Унгария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0,61</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140</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113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Ирландия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0,94</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215</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(41)</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173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Италия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12,53</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2 862</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(551)</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2 311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Латвия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0,12</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Литва</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0,18</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41</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Люксембург</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0,26</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58</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(11)</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Малта</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0,04</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Нидерландия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4,78</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1 091</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(210)</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881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Полша</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2,01</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458</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(88)</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370</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Португалия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1,20</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273</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(53)</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Румъния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0,72</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164</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(32)</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132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Словакия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0,38</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86</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(17)</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69</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Словения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0,22</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51</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(10)</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Испания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7,93</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1 812</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(349)</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1 463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Швеция</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2,94</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671</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(129)</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Обединено кралство</w:t>
            </w:r>
          </w:p>
        </w:tc>
        <w:tc>
          <w:tcPr>
            <w:tcW w:w="1762"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i/>
                <w:noProof/>
                <w:color w:val="000000"/>
                <w:sz w:val="18"/>
                <w:szCs w:val="20"/>
                <w:lang w:val="bg-BG"/>
              </w:rPr>
            </w:pPr>
            <w:r>
              <w:rPr>
                <w:rFonts w:ascii="Verdana" w:eastAsia="Calibri" w:hAnsi="Verdana"/>
                <w:i/>
                <w:noProof/>
                <w:color w:val="000000"/>
                <w:sz w:val="18"/>
                <w:szCs w:val="20"/>
                <w:lang w:val="bg-BG"/>
              </w:rPr>
              <w:t>14,68</w:t>
            </w:r>
          </w:p>
        </w:tc>
        <w:tc>
          <w:tcPr>
            <w:tcW w:w="201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3 353</w:t>
            </w:r>
          </w:p>
        </w:tc>
        <w:tc>
          <w:tcPr>
            <w:tcW w:w="158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(646)</w:t>
            </w:r>
          </w:p>
        </w:tc>
        <w:tc>
          <w:tcPr>
            <w:tcW w:w="178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2 707</w:t>
            </w:r>
          </w:p>
        </w:tc>
      </w:tr>
      <w:tr>
        <w:trPr>
          <w:trHeight w:val="255"/>
        </w:trPr>
        <w:tc>
          <w:tcPr>
            <w:tcW w:w="2613" w:type="dxa"/>
            <w:tcBorders>
              <w:top w:val="single" w:sz="4" w:space="0" w:color="016794"/>
              <w:left w:val="nil"/>
              <w:bottom w:val="single" w:sz="4" w:space="0" w:color="016794"/>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762"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center"/>
              <w:rPr>
                <w:rFonts w:ascii="Verdana" w:hAnsi="Verdana" w:cs="Verdana"/>
                <w:b/>
                <w:noProof/>
                <w:color w:val="000000"/>
                <w:sz w:val="18"/>
                <w:szCs w:val="20"/>
                <w:lang w:val="bg-BG"/>
              </w:rPr>
            </w:pPr>
            <w:r>
              <w:rPr>
                <w:rFonts w:ascii="Verdana" w:eastAsia="Calibri" w:hAnsi="Verdana"/>
                <w:b/>
                <w:noProof/>
                <w:color w:val="000000"/>
                <w:sz w:val="18"/>
                <w:szCs w:val="20"/>
                <w:lang w:val="bg-BG"/>
              </w:rPr>
              <w:t>100,00</w:t>
            </w:r>
          </w:p>
        </w:tc>
        <w:tc>
          <w:tcPr>
            <w:tcW w:w="2013"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22 840</w:t>
            </w:r>
          </w:p>
        </w:tc>
        <w:tc>
          <w:tcPr>
            <w:tcW w:w="1583"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(4 400)</w:t>
            </w:r>
          </w:p>
        </w:tc>
        <w:tc>
          <w:tcPr>
            <w:tcW w:w="1787"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18 440</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Тъй като през предходните години капиталът на осмия, деветия и 10-ия ЕФР е поискан и получен изцяло, през 2019 г. е поискана сума в размер на 4 400 милиона евро, която е свързана изцяло с 11-ия ЕФР.</w:t>
      </w:r>
    </w:p>
    <w:p>
      <w:pPr>
        <w:numPr>
          <w:ilvl w:val="2"/>
          <w:numId w:val="10"/>
        </w:numPr>
        <w:tabs>
          <w:tab w:val="left" w:pos="907"/>
        </w:tabs>
        <w:spacing w:before="360" w:after="360"/>
        <w:rPr>
          <w:rFonts w:ascii="Verdana" w:hAnsi="Verdana"/>
          <w:noProof/>
          <w:color w:val="016794"/>
          <w:sz w:val="20"/>
          <w:szCs w:val="20"/>
          <w:lang w:val="bg-BG"/>
        </w:rPr>
      </w:pPr>
      <w:r>
        <w:rPr>
          <w:rFonts w:ascii="Verdana" w:hAnsi="Verdana"/>
          <w:noProof/>
          <w:color w:val="016794"/>
          <w:sz w:val="20"/>
          <w:szCs w:val="20"/>
          <w:lang w:val="bg-BG"/>
        </w:rPr>
        <w:t>Поискан капитал на фонда от пренесени закрити ЕФР</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849"/>
        <w:gridCol w:w="848"/>
        <w:gridCol w:w="861"/>
        <w:gridCol w:w="717"/>
        <w:gridCol w:w="1436"/>
        <w:gridCol w:w="1352"/>
      </w:tblGrid>
      <w:tr>
        <w:trPr>
          <w:trHeight w:val="255"/>
        </w:trPr>
        <w:tc>
          <w:tcPr>
            <w:tcW w:w="3597"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69" w:name="DOC_TBL00032_1_1"/>
            <w:bookmarkEnd w:id="69"/>
            <w:r>
              <w:rPr>
                <w:rFonts w:ascii="Verdana" w:eastAsia="Calibri" w:hAnsi="Verdana"/>
                <w:i/>
                <w:noProof/>
                <w:color w:val="000000"/>
                <w:sz w:val="16"/>
                <w:szCs w:val="20"/>
                <w:lang w:val="bg-BG"/>
              </w:rPr>
              <w:t>милиони евро</w:t>
            </w:r>
          </w:p>
        </w:tc>
      </w:tr>
      <w:tr>
        <w:trPr>
          <w:trHeight w:val="255"/>
        </w:trPr>
        <w:tc>
          <w:tcPr>
            <w:tcW w:w="3597"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84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84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86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71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43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35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3597"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Средства, прехвърлени от закрити ЕФР</w:t>
            </w:r>
          </w:p>
        </w:tc>
        <w:tc>
          <w:tcPr>
            <w:tcW w:w="84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627</w:t>
            </w:r>
          </w:p>
        </w:tc>
        <w:tc>
          <w:tcPr>
            <w:tcW w:w="84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1 625</w:t>
            </w:r>
          </w:p>
        </w:tc>
        <w:tc>
          <w:tcPr>
            <w:tcW w:w="86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1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3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2 252</w:t>
            </w:r>
          </w:p>
        </w:tc>
        <w:tc>
          <w:tcPr>
            <w:tcW w:w="135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2 252</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Тази позиция включва средствата, прехвърлени от закритите ЕФР към осмия и деветия ЕФР.</w:t>
      </w:r>
    </w:p>
    <w:p>
      <w:pPr>
        <w:keepNext/>
        <w:numPr>
          <w:ilvl w:val="2"/>
          <w:numId w:val="10"/>
        </w:numPr>
        <w:tabs>
          <w:tab w:val="left" w:pos="907"/>
        </w:tabs>
        <w:spacing w:after="240"/>
        <w:rPr>
          <w:rFonts w:ascii="Verdana" w:hAnsi="Verdana"/>
          <w:noProof/>
          <w:color w:val="016794"/>
          <w:sz w:val="20"/>
          <w:szCs w:val="20"/>
          <w:lang w:val="bg-BG"/>
        </w:rPr>
      </w:pPr>
      <w:r>
        <w:rPr>
          <w:rFonts w:ascii="Verdana" w:hAnsi="Verdana"/>
          <w:noProof/>
          <w:color w:val="016794"/>
          <w:sz w:val="20"/>
          <w:szCs w:val="20"/>
          <w:lang w:val="bg-BG"/>
        </w:rPr>
        <w:t>Поискан капитал на фонда, трансфери между активни ЕФР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0"/>
        <w:gridCol w:w="1134"/>
        <w:gridCol w:w="992"/>
        <w:gridCol w:w="751"/>
        <w:gridCol w:w="950"/>
        <w:gridCol w:w="1051"/>
      </w:tblGrid>
      <w:tr>
        <w:trPr>
          <w:trHeight w:val="255"/>
        </w:trPr>
        <w:tc>
          <w:tcPr>
            <w:tcW w:w="4880" w:type="dxa"/>
            <w:gridSpan w:val="6"/>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6"/>
                <w:szCs w:val="20"/>
                <w:lang w:val="bg-BG"/>
              </w:rPr>
            </w:pPr>
            <w:bookmarkStart w:id="70" w:name="DOC_TBL00033_1_1"/>
            <w:bookmarkEnd w:id="70"/>
            <w:r>
              <w:rPr>
                <w:rFonts w:ascii="Verdana" w:eastAsia="Calibri" w:hAnsi="Verdana"/>
                <w:i/>
                <w:noProof/>
                <w:color w:val="000000"/>
                <w:sz w:val="16"/>
                <w:szCs w:val="20"/>
                <w:lang w:val="bg-BG"/>
              </w:rPr>
              <w:t>милиони евро</w:t>
            </w:r>
          </w:p>
        </w:tc>
      </w:tr>
      <w:tr>
        <w:trPr>
          <w:trHeight w:val="255"/>
        </w:trPr>
        <w:tc>
          <w:tcPr>
            <w:tcW w:w="4880" w:type="dxa"/>
            <w:tcBorders>
              <w:top w:val="nil"/>
              <w:left w:val="nil"/>
              <w:bottom w:val="nil"/>
              <w:right w:val="nil"/>
            </w:tcBorders>
            <w:shd w:val="solid" w:color="016794" w:fill="FFFFFF"/>
            <w:tcMar>
              <w:top w:w="0" w:type="dxa"/>
              <w:left w:w="60" w:type="dxa"/>
              <w:bottom w:w="0" w:type="dxa"/>
              <w:right w:w="60" w:type="dxa"/>
            </w:tcMar>
            <w:vAlign w:val="center"/>
          </w:tcPr>
          <w:p>
            <w:pPr>
              <w:keepNext/>
              <w:jc w:val="right"/>
              <w:rPr>
                <w:rFonts w:ascii="Verdana" w:hAnsi="Verdana" w:cs="Verdana"/>
                <w:noProof/>
                <w:color w:val="FFFFFF"/>
                <w:sz w:val="20"/>
                <w:szCs w:val="20"/>
                <w:lang w:val="bg-BG"/>
              </w:rPr>
            </w:pP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keepNext/>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keepNext/>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751" w:type="dxa"/>
            <w:tcBorders>
              <w:top w:val="nil"/>
              <w:left w:val="nil"/>
              <w:bottom w:val="nil"/>
              <w:right w:val="nil"/>
            </w:tcBorders>
            <w:shd w:val="solid" w:color="016794" w:fill="FFFFFF"/>
            <w:tcMar>
              <w:top w:w="0" w:type="dxa"/>
              <w:left w:w="60" w:type="dxa"/>
              <w:bottom w:w="0" w:type="dxa"/>
              <w:right w:w="60" w:type="dxa"/>
            </w:tcMar>
            <w:vAlign w:val="center"/>
          </w:tcPr>
          <w:p>
            <w:pPr>
              <w:keepNext/>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950" w:type="dxa"/>
            <w:tcBorders>
              <w:top w:val="nil"/>
              <w:left w:val="nil"/>
              <w:bottom w:val="nil"/>
              <w:right w:val="nil"/>
            </w:tcBorders>
            <w:shd w:val="solid" w:color="016794" w:fill="FFFFFF"/>
            <w:tcMar>
              <w:top w:w="0" w:type="dxa"/>
              <w:left w:w="60" w:type="dxa"/>
              <w:bottom w:w="0" w:type="dxa"/>
              <w:right w:w="60" w:type="dxa"/>
            </w:tcMar>
            <w:vAlign w:val="center"/>
          </w:tcPr>
          <w:p>
            <w:pPr>
              <w:keepNext/>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keepNext/>
              <w:jc w:val="right"/>
              <w:rPr>
                <w:rFonts w:ascii="Verdana" w:hAnsi="Verdana" w:cs="Verdana"/>
                <w:noProof/>
                <w:color w:val="FFFFFF"/>
                <w:sz w:val="20"/>
                <w:szCs w:val="20"/>
                <w:lang w:val="bg-BG"/>
              </w:rPr>
            </w:pPr>
            <w:r>
              <w:rPr>
                <w:rFonts w:ascii="Verdana" w:eastAsia="Calibri" w:hAnsi="Verdana"/>
                <w:noProof/>
                <w:color w:val="FFFFFF"/>
                <w:sz w:val="20"/>
                <w:szCs w:val="20"/>
                <w:lang w:val="bg-BG"/>
              </w:rPr>
              <w:t>Общо</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keepNext/>
              <w:rPr>
                <w:rFonts w:ascii="Verdana" w:hAnsi="Verdana" w:cs="Verdana"/>
                <w:b/>
                <w:noProof/>
                <w:color w:val="000000"/>
                <w:sz w:val="18"/>
                <w:szCs w:val="20"/>
                <w:lang w:val="bg-BG"/>
              </w:rPr>
            </w:pPr>
            <w:r>
              <w:rPr>
                <w:rFonts w:ascii="Verdana" w:eastAsia="Calibri" w:hAnsi="Verdana"/>
                <w:b/>
                <w:noProof/>
                <w:color w:val="000000"/>
                <w:sz w:val="18"/>
                <w:szCs w:val="20"/>
                <w:lang w:val="bg-BG"/>
              </w:rPr>
              <w:t>Салдо към 31.12.2017 г.</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(2 503)</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2 177</w:t>
            </w:r>
          </w:p>
        </w:tc>
        <w:tc>
          <w:tcPr>
            <w:tcW w:w="751"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120</w:t>
            </w:r>
          </w:p>
        </w:tc>
        <w:tc>
          <w:tcPr>
            <w:tcW w:w="950"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206</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keepNext/>
              <w:rPr>
                <w:rFonts w:ascii="Verdana" w:hAnsi="Verdana" w:cs="Verdana"/>
                <w:i/>
                <w:noProof/>
                <w:color w:val="000000"/>
                <w:sz w:val="18"/>
                <w:szCs w:val="20"/>
                <w:lang w:val="bg-BG"/>
              </w:rPr>
            </w:pPr>
            <w:r>
              <w:rPr>
                <w:rFonts w:ascii="Verdana" w:eastAsia="Calibri" w:hAnsi="Verdana"/>
                <w:i/>
                <w:noProof/>
                <w:color w:val="000000"/>
                <w:sz w:val="18"/>
                <w:szCs w:val="20"/>
                <w:lang w:val="bg-BG"/>
              </w:rPr>
              <w:t>Прехвърляне на отменени задължения към резерва за изпълнение на 10-ия ЕФР от предходни ЕФР</w:t>
            </w:r>
          </w:p>
        </w:tc>
        <w:tc>
          <w:tcPr>
            <w:tcW w:w="1134"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992"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(40)</w:t>
            </w:r>
          </w:p>
        </w:tc>
        <w:tc>
          <w:tcPr>
            <w:tcW w:w="751"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47</w:t>
            </w:r>
          </w:p>
        </w:tc>
        <w:tc>
          <w:tcPr>
            <w:tcW w:w="950"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051"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keepNext/>
              <w:rPr>
                <w:rFonts w:ascii="Verdana" w:hAnsi="Verdana" w:cs="Verdana"/>
                <w:i/>
                <w:noProof/>
                <w:color w:val="000000"/>
                <w:sz w:val="18"/>
                <w:szCs w:val="20"/>
                <w:lang w:val="bg-BG"/>
              </w:rPr>
            </w:pPr>
            <w:r>
              <w:rPr>
                <w:rFonts w:ascii="Verdana" w:eastAsia="Calibri" w:hAnsi="Verdana"/>
                <w:i/>
                <w:noProof/>
                <w:color w:val="000000"/>
                <w:sz w:val="18"/>
                <w:szCs w:val="20"/>
                <w:lang w:val="bg-BG"/>
              </w:rPr>
              <w:t>Прехвърляне на отменени задължения към резерва за изпълнение на 11-ия ЕФР от предходни ЕФР</w:t>
            </w:r>
          </w:p>
        </w:tc>
        <w:tc>
          <w:tcPr>
            <w:tcW w:w="1134"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92"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51"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(112)</w:t>
            </w:r>
          </w:p>
        </w:tc>
        <w:tc>
          <w:tcPr>
            <w:tcW w:w="950"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112</w:t>
            </w:r>
          </w:p>
        </w:tc>
        <w:tc>
          <w:tcPr>
            <w:tcW w:w="1051"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keepNext/>
              <w:rPr>
                <w:rFonts w:ascii="Verdana" w:hAnsi="Verdana" w:cs="Verdana"/>
                <w:b/>
                <w:noProof/>
                <w:color w:val="000000"/>
                <w:sz w:val="18"/>
                <w:szCs w:val="20"/>
                <w:lang w:val="bg-BG"/>
              </w:rPr>
            </w:pPr>
            <w:r>
              <w:rPr>
                <w:rFonts w:ascii="Verdana" w:eastAsia="Calibri" w:hAnsi="Verdana"/>
                <w:b/>
                <w:noProof/>
                <w:color w:val="000000"/>
                <w:sz w:val="18"/>
                <w:szCs w:val="20"/>
                <w:lang w:val="bg-BG"/>
              </w:rPr>
              <w:t>Салдо към 31.12.2018 г.</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(2 509)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2 137</w:t>
            </w:r>
          </w:p>
        </w:tc>
        <w:tc>
          <w:tcPr>
            <w:tcW w:w="751"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55</w:t>
            </w:r>
          </w:p>
        </w:tc>
        <w:tc>
          <w:tcPr>
            <w:tcW w:w="950"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317</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keepNext/>
              <w:rPr>
                <w:rFonts w:ascii="Verdana" w:hAnsi="Verdana" w:cs="Verdana"/>
                <w:i/>
                <w:noProof/>
                <w:color w:val="000000"/>
                <w:sz w:val="18"/>
                <w:szCs w:val="20"/>
                <w:lang w:val="bg-BG"/>
              </w:rPr>
            </w:pPr>
            <w:r>
              <w:rPr>
                <w:rFonts w:ascii="Verdana" w:eastAsia="Calibri" w:hAnsi="Verdana"/>
                <w:i/>
                <w:noProof/>
                <w:color w:val="000000"/>
                <w:sz w:val="18"/>
                <w:szCs w:val="20"/>
                <w:lang w:val="bg-BG"/>
              </w:rPr>
              <w:t>Прехвърляне на отменени задължения към резерва за изпълнение на 10-ия ЕФР от предходни ЕФР</w:t>
            </w:r>
          </w:p>
        </w:tc>
        <w:tc>
          <w:tcPr>
            <w:tcW w:w="1134"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992"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w:t>
            </w:r>
          </w:p>
        </w:tc>
        <w:tc>
          <w:tcPr>
            <w:tcW w:w="751"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28</w:t>
            </w:r>
          </w:p>
        </w:tc>
        <w:tc>
          <w:tcPr>
            <w:tcW w:w="950"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051"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keepNext/>
              <w:rPr>
                <w:rFonts w:ascii="Verdana" w:hAnsi="Verdana" w:cs="Verdana"/>
                <w:i/>
                <w:noProof/>
                <w:color w:val="000000"/>
                <w:sz w:val="18"/>
                <w:szCs w:val="20"/>
                <w:lang w:val="bg-BG"/>
              </w:rPr>
            </w:pPr>
            <w:r>
              <w:rPr>
                <w:rFonts w:ascii="Verdana" w:eastAsia="Calibri" w:hAnsi="Verdana"/>
                <w:i/>
                <w:noProof/>
                <w:color w:val="000000"/>
                <w:sz w:val="18"/>
                <w:szCs w:val="20"/>
                <w:lang w:val="bg-BG"/>
              </w:rPr>
              <w:t>Прехвърляне на отменени задължения към резерва за изпълнение на 11-ия ЕФР от предходни ЕФР</w:t>
            </w:r>
          </w:p>
        </w:tc>
        <w:tc>
          <w:tcPr>
            <w:tcW w:w="1134"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92"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51"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181</w:t>
            </w:r>
          </w:p>
        </w:tc>
        <w:tc>
          <w:tcPr>
            <w:tcW w:w="950"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(181)</w:t>
            </w:r>
          </w:p>
        </w:tc>
        <w:tc>
          <w:tcPr>
            <w:tcW w:w="1051" w:type="dxa"/>
            <w:tcBorders>
              <w:top w:val="nil"/>
              <w:left w:val="nil"/>
              <w:bottom w:val="nil"/>
              <w:right w:val="nil"/>
            </w:tcBorders>
            <w:tcMar>
              <w:top w:w="0" w:type="dxa"/>
              <w:left w:w="60" w:type="dxa"/>
              <w:bottom w:w="0" w:type="dxa"/>
              <w:right w:w="60" w:type="dxa"/>
            </w:tcMar>
            <w:vAlign w:val="center"/>
          </w:tcPr>
          <w:p>
            <w:pPr>
              <w:keepNext/>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keepNext/>
              <w:rPr>
                <w:rFonts w:ascii="Verdana" w:hAnsi="Verdana" w:cs="Verdana"/>
                <w:b/>
                <w:noProof/>
                <w:color w:val="000000"/>
                <w:sz w:val="18"/>
                <w:szCs w:val="20"/>
                <w:lang w:val="bg-BG"/>
              </w:rPr>
            </w:pPr>
            <w:r>
              <w:rPr>
                <w:rFonts w:ascii="Verdana" w:eastAsia="Calibri" w:hAnsi="Verdana"/>
                <w:b/>
                <w:noProof/>
                <w:color w:val="000000"/>
                <w:sz w:val="18"/>
                <w:szCs w:val="20"/>
                <w:lang w:val="bg-BG"/>
              </w:rPr>
              <w:t>Салдо към 31.12.2019 г.</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(2 510)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2 109</w:t>
            </w:r>
          </w:p>
        </w:tc>
        <w:tc>
          <w:tcPr>
            <w:tcW w:w="751"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265</w:t>
            </w:r>
          </w:p>
        </w:tc>
        <w:tc>
          <w:tcPr>
            <w:tcW w:w="950"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136</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keepNext/>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r>
    </w:tbl>
    <w:p>
      <w:pPr>
        <w:keepNext/>
        <w:spacing w:before="240" w:after="240"/>
        <w:jc w:val="both"/>
        <w:rPr>
          <w:rFonts w:ascii="Verdana" w:hAnsi="Verdana"/>
          <w:noProof/>
          <w:sz w:val="18"/>
          <w:szCs w:val="18"/>
          <w:lang w:val="bg-BG" w:eastAsia="en-US"/>
        </w:rPr>
      </w:pPr>
      <w:r>
        <w:rPr>
          <w:rFonts w:ascii="Verdana" w:hAnsi="Verdana"/>
          <w:noProof/>
          <w:sz w:val="18"/>
          <w:szCs w:val="18"/>
          <w:lang w:val="bg-BG" w:eastAsia="en-US"/>
        </w:rPr>
        <w:t>Тази позиция включва средствата, прехвърлени между активните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След влизането в сила на Споразумението от Котону всички неизразходвани средства от предишни активни ЕФР се прехвърлят към последния открит ЕФР след отмяна на поетите задължения. Средствата, прехвърлени от други ЕФР, увеличават бюджетните кредити на получаващия фонд и намаляват бюджетните кредити на фонда, от който се прехвърлят. Средствата, прехвърлени към резерва за изпълнение на 10-ия и 11-ия ЕФР, могат да бъдат поети като задължение само при специфични условия, определени във вътрешните споразумения.</w:t>
      </w:r>
    </w:p>
    <w:p>
      <w:pPr>
        <w:numPr>
          <w:ilvl w:val="0"/>
          <w:numId w:val="10"/>
        </w:numPr>
        <w:tabs>
          <w:tab w:val="left" w:pos="907"/>
        </w:tabs>
        <w:jc w:val="both"/>
        <w:rPr>
          <w:rFonts w:ascii="Verdana" w:hAnsi="Verdana"/>
          <w:b/>
          <w:noProof/>
          <w:color w:val="016794"/>
          <w:sz w:val="32"/>
          <w:szCs w:val="32"/>
          <w:lang w:val="bg-BG"/>
        </w:rPr>
        <w:sectPr>
          <w:headerReference w:type="even" r:id="rId161"/>
          <w:headerReference w:type="default" r:id="rId162"/>
          <w:footerReference w:type="even" r:id="rId163"/>
          <w:footerReference w:type="default" r:id="rId164"/>
          <w:headerReference w:type="first" r:id="rId165"/>
          <w:footerReference w:type="first" r:id="rId166"/>
          <w:pgSz w:w="11906" w:h="16838"/>
          <w:pgMar w:top="1134" w:right="1134" w:bottom="1134" w:left="1134" w:header="709" w:footer="709" w:gutter="0"/>
          <w:cols w:space="708"/>
          <w:docGrid w:linePitch="360"/>
        </w:sectPr>
      </w:pPr>
    </w:p>
    <w:p>
      <w:pPr>
        <w:pStyle w:val="HEADER1Part2"/>
        <w:rPr>
          <w:noProof/>
          <w:lang w:val="bg-BG"/>
        </w:rPr>
      </w:pPr>
      <w:r>
        <w:rPr>
          <w:noProof/>
          <w:lang w:val="bg-BG"/>
        </w:rPr>
        <w:t>БЕЛЕЖКИ КЪМ ОТЧЕТА ЗА ФИНАНСОВИЯ РЕЗУЛТАТ</w:t>
      </w:r>
    </w:p>
    <w:p>
      <w:pPr>
        <w:spacing w:after="240"/>
        <w:rPr>
          <w:rFonts w:ascii="Verdana" w:hAnsi="Verdana"/>
          <w:b/>
          <w:noProof/>
          <w:color w:val="016794"/>
          <w:sz w:val="28"/>
          <w:szCs w:val="28"/>
          <w:lang w:val="bg-BG"/>
        </w:rPr>
      </w:pPr>
      <w:r>
        <w:rPr>
          <w:rFonts w:ascii="Verdana" w:hAnsi="Verdana"/>
          <w:b/>
          <w:noProof/>
          <w:color w:val="016794"/>
          <w:sz w:val="28"/>
          <w:szCs w:val="28"/>
          <w:lang w:val="bg-BG"/>
        </w:rPr>
        <w:t>ПРИХОДИ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5"/>
        <w:gridCol w:w="1539"/>
        <w:gridCol w:w="1916"/>
        <w:gridCol w:w="1048"/>
      </w:tblGrid>
      <w:tr>
        <w:trPr>
          <w:trHeight w:hRule="exact" w:val="300"/>
        </w:trPr>
        <w:tc>
          <w:tcPr>
            <w:tcW w:w="5255" w:type="dxa"/>
            <w:gridSpan w:val="4"/>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71" w:name="DOC_TBL00028_1_1"/>
            <w:bookmarkEnd w:id="71"/>
            <w:r>
              <w:rPr>
                <w:rFonts w:ascii="Verdana" w:eastAsia="Calibri" w:hAnsi="Verdana"/>
                <w:i/>
                <w:noProof/>
                <w:color w:val="000000"/>
                <w:sz w:val="16"/>
                <w:szCs w:val="20"/>
                <w:lang w:val="bg-BG"/>
              </w:rPr>
              <w:t>милиони евро</w:t>
            </w:r>
          </w:p>
        </w:tc>
      </w:tr>
      <w:tr>
        <w:trPr>
          <w:trHeight w:hRule="exact" w:val="252"/>
        </w:trPr>
        <w:tc>
          <w:tcPr>
            <w:tcW w:w="5255"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1539"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191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04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hRule="exact" w:val="228"/>
        </w:trPr>
        <w:tc>
          <w:tcPr>
            <w:tcW w:w="5255"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Приходи от операции без размяна</w:t>
            </w:r>
          </w:p>
        </w:tc>
        <w:tc>
          <w:tcPr>
            <w:tcW w:w="1539"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noProof/>
                <w:color w:val="000000"/>
                <w:sz w:val="18"/>
                <w:szCs w:val="20"/>
                <w:lang w:val="bg-BG"/>
              </w:rPr>
            </w:pPr>
            <w:r>
              <w:rPr>
                <w:rFonts w:ascii="Verdana" w:eastAsia="Calibri" w:hAnsi="Verdana"/>
                <w:noProof/>
                <w:color w:val="000000"/>
                <w:sz w:val="18"/>
                <w:szCs w:val="20"/>
                <w:lang w:val="bg-BG"/>
              </w:rPr>
              <w:t>3.1</w:t>
            </w:r>
          </w:p>
        </w:tc>
        <w:tc>
          <w:tcPr>
            <w:tcW w:w="191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28</w:t>
            </w:r>
          </w:p>
        </w:tc>
        <w:tc>
          <w:tcPr>
            <w:tcW w:w="104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r>
      <w:tr>
        <w:trPr>
          <w:trHeight w:hRule="exact" w:val="228"/>
        </w:trPr>
        <w:tc>
          <w:tcPr>
            <w:tcW w:w="5255"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Приходи от операции с размяна</w:t>
            </w:r>
          </w:p>
        </w:tc>
        <w:tc>
          <w:tcPr>
            <w:tcW w:w="1539"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noProof/>
                <w:color w:val="000000"/>
                <w:sz w:val="18"/>
                <w:szCs w:val="20"/>
                <w:lang w:val="bg-BG"/>
              </w:rPr>
            </w:pPr>
            <w:r>
              <w:rPr>
                <w:rFonts w:ascii="Verdana" w:eastAsia="Calibri" w:hAnsi="Verdana"/>
                <w:noProof/>
                <w:color w:val="000000"/>
                <w:sz w:val="18"/>
                <w:szCs w:val="20"/>
                <w:lang w:val="bg-BG"/>
              </w:rPr>
              <w:t>3.2</w:t>
            </w:r>
          </w:p>
        </w:tc>
        <w:tc>
          <w:tcPr>
            <w:tcW w:w="191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46</w:t>
            </w:r>
          </w:p>
        </w:tc>
        <w:tc>
          <w:tcPr>
            <w:tcW w:w="1048"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57</w:t>
            </w:r>
          </w:p>
        </w:tc>
      </w:tr>
      <w:tr>
        <w:trPr>
          <w:trHeight w:hRule="exact" w:val="228"/>
        </w:trPr>
        <w:tc>
          <w:tcPr>
            <w:tcW w:w="5255" w:type="dxa"/>
            <w:tcBorders>
              <w:top w:val="single" w:sz="4" w:space="0" w:color="016794"/>
              <w:left w:val="nil"/>
              <w:bottom w:val="single" w:sz="4" w:space="0" w:color="016794"/>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539"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1916"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74</w:t>
            </w:r>
          </w:p>
        </w:tc>
        <w:tc>
          <w:tcPr>
            <w:tcW w:w="1048"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60</w:t>
            </w:r>
          </w:p>
        </w:tc>
      </w:tr>
    </w:tbl>
    <w:p>
      <w:pPr>
        <w:pStyle w:val="HEADER2Part2"/>
        <w:rPr>
          <w:noProof/>
          <w:lang w:val="bg-BG"/>
        </w:rPr>
      </w:pPr>
      <w:r>
        <w:rPr>
          <w:noProof/>
          <w:lang w:val="bg-BG"/>
        </w:rPr>
        <w:t>ПРИХОДИ ОТ ОПЕРАЦИИ БЕЗ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417"/>
        <w:gridCol w:w="993"/>
        <w:gridCol w:w="992"/>
        <w:gridCol w:w="850"/>
        <w:gridCol w:w="993"/>
        <w:gridCol w:w="880"/>
        <w:gridCol w:w="1021"/>
      </w:tblGrid>
      <w:tr>
        <w:trPr>
          <w:trHeight w:val="255"/>
        </w:trPr>
        <w:tc>
          <w:tcPr>
            <w:tcW w:w="2612" w:type="dxa"/>
            <w:gridSpan w:val="8"/>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72" w:name="DOC_TBL00035_1_1"/>
            <w:bookmarkEnd w:id="72"/>
            <w:r>
              <w:rPr>
                <w:rFonts w:ascii="Verdana" w:eastAsia="Calibri" w:hAnsi="Verdana"/>
                <w:i/>
                <w:noProof/>
                <w:color w:val="000000"/>
                <w:sz w:val="16"/>
                <w:szCs w:val="20"/>
                <w:lang w:val="bg-BG"/>
              </w:rPr>
              <w:t>милиони евро</w:t>
            </w:r>
          </w:p>
        </w:tc>
      </w:tr>
      <w:tr>
        <w:trPr>
          <w:trHeight w:val="255"/>
        </w:trPr>
        <w:tc>
          <w:tcPr>
            <w:tcW w:w="2612"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jc w:val="center"/>
              <w:rPr>
                <w:rFonts w:ascii="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880"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02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Събиране на разходи</w:t>
            </w:r>
          </w:p>
        </w:tc>
        <w:tc>
          <w:tcPr>
            <w:tcW w:w="1417"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noProof/>
                <w:color w:val="000000"/>
                <w:sz w:val="18"/>
                <w:szCs w:val="20"/>
                <w:lang w:val="bg-BG"/>
              </w:rPr>
            </w:pPr>
          </w:p>
        </w:tc>
        <w:tc>
          <w:tcPr>
            <w:tcW w:w="9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w:t>
            </w:r>
          </w:p>
        </w:tc>
        <w:tc>
          <w:tcPr>
            <w:tcW w:w="9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88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13</w:t>
            </w:r>
          </w:p>
        </w:tc>
        <w:tc>
          <w:tcPr>
            <w:tcW w:w="102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21</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Събиране на средства по STABEX</w:t>
            </w:r>
          </w:p>
        </w:tc>
        <w:tc>
          <w:tcPr>
            <w:tcW w:w="1417"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noProof/>
                <w:color w:val="000000"/>
                <w:sz w:val="18"/>
                <w:szCs w:val="20"/>
                <w:lang w:val="bg-BG"/>
              </w:rPr>
            </w:pPr>
          </w:p>
        </w:tc>
        <w:tc>
          <w:tcPr>
            <w:tcW w:w="9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9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8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02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Приходи от съфинансиране</w:t>
            </w:r>
          </w:p>
        </w:tc>
        <w:tc>
          <w:tcPr>
            <w:tcW w:w="1417" w:type="dxa"/>
            <w:tcBorders>
              <w:top w:val="nil"/>
              <w:left w:val="nil"/>
              <w:bottom w:val="nil"/>
              <w:right w:val="nil"/>
            </w:tcBorders>
            <w:tcMar>
              <w:top w:w="0" w:type="dxa"/>
              <w:left w:w="60" w:type="dxa"/>
              <w:bottom w:w="0" w:type="dxa"/>
              <w:right w:w="60" w:type="dxa"/>
            </w:tcMar>
            <w:vAlign w:val="center"/>
          </w:tcPr>
          <w:p>
            <w:pPr>
              <w:jc w:val="center"/>
              <w:rPr>
                <w:rFonts w:ascii="Verdana" w:hAnsi="Verdana" w:cs="Verdana"/>
                <w:noProof/>
                <w:color w:val="000000"/>
                <w:sz w:val="18"/>
                <w:szCs w:val="20"/>
                <w:lang w:val="bg-BG"/>
              </w:rPr>
            </w:pPr>
            <w:r>
              <w:rPr>
                <w:rFonts w:ascii="Verdana" w:eastAsia="Calibri" w:hAnsi="Verdana"/>
                <w:noProof/>
                <w:color w:val="000000"/>
                <w:sz w:val="18"/>
                <w:szCs w:val="20"/>
                <w:lang w:val="bg-BG"/>
              </w:rPr>
              <w:t>3.1.1</w:t>
            </w:r>
          </w:p>
        </w:tc>
        <w:tc>
          <w:tcPr>
            <w:tcW w:w="9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w:t>
            </w:r>
          </w:p>
        </w:tc>
        <w:tc>
          <w:tcPr>
            <w:tcW w:w="9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880"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14</w:t>
            </w:r>
          </w:p>
        </w:tc>
        <w:tc>
          <w:tcPr>
            <w:tcW w:w="102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(17)</w:t>
            </w:r>
          </w:p>
        </w:tc>
      </w:tr>
      <w:tr>
        <w:trPr>
          <w:trHeight w:val="255"/>
        </w:trPr>
        <w:tc>
          <w:tcPr>
            <w:tcW w:w="2612"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18</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10</w:t>
            </w:r>
          </w:p>
        </w:tc>
        <w:tc>
          <w:tcPr>
            <w:tcW w:w="880"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28</w:t>
            </w:r>
          </w:p>
        </w:tc>
        <w:tc>
          <w:tcPr>
            <w:tcW w:w="1021"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4</w:t>
            </w:r>
          </w:p>
        </w:tc>
      </w:tr>
    </w:tbl>
    <w:p>
      <w:pPr>
        <w:jc w:val="both"/>
        <w:rPr>
          <w:rFonts w:ascii="Verdana" w:hAnsi="Verdana"/>
          <w:noProof/>
          <w:sz w:val="18"/>
          <w:szCs w:val="18"/>
          <w:lang w:val="bg-BG" w:eastAsia="en-US"/>
        </w:rPr>
      </w:pPr>
    </w:p>
    <w:p>
      <w:pPr>
        <w:jc w:val="both"/>
        <w:rPr>
          <w:rFonts w:ascii="Verdana" w:hAnsi="Verdana"/>
          <w:noProof/>
          <w:sz w:val="18"/>
          <w:szCs w:val="18"/>
          <w:lang w:val="bg-BG" w:eastAsia="en-US"/>
        </w:rPr>
      </w:pPr>
      <w:r>
        <w:rPr>
          <w:rFonts w:ascii="Verdana" w:hAnsi="Verdana"/>
          <w:noProof/>
          <w:sz w:val="18"/>
          <w:szCs w:val="18"/>
          <w:lang w:val="bg-BG" w:eastAsia="en-US"/>
        </w:rPr>
        <w:t>Приходите от операции без размяна могат да бъдат разделени по режими на управление, както следва:</w:t>
      </w:r>
    </w:p>
    <w:p>
      <w:pPr>
        <w:jc w:val="both"/>
        <w:rPr>
          <w:rFonts w:ascii="Verdana" w:hAnsi="Verdana"/>
          <w:noProof/>
          <w:sz w:val="18"/>
          <w:szCs w:val="18"/>
          <w:lang w:val="bg-B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4"/>
        <w:gridCol w:w="2075"/>
        <w:gridCol w:w="1789"/>
      </w:tblGrid>
      <w:tr>
        <w:trPr>
          <w:trHeight w:val="255"/>
        </w:trPr>
        <w:tc>
          <w:tcPr>
            <w:tcW w:w="5894" w:type="dxa"/>
            <w:tcBorders>
              <w:top w:val="nil"/>
              <w:left w:val="nil"/>
              <w:bottom w:val="nil"/>
              <w:right w:val="nil"/>
            </w:tcBorders>
            <w:tcMar>
              <w:top w:w="0" w:type="dxa"/>
              <w:left w:w="60" w:type="dxa"/>
              <w:bottom w:w="0" w:type="dxa"/>
              <w:right w:w="60" w:type="dxa"/>
            </w:tcMar>
            <w:vAlign w:val="center"/>
          </w:tcPr>
          <w:p>
            <w:pPr>
              <w:rPr>
                <w:rFonts w:ascii="Verdana" w:hAnsi="Verdana" w:cs="Verdana"/>
                <w:noProof/>
                <w:color w:val="000000"/>
                <w:sz w:val="18"/>
                <w:szCs w:val="20"/>
                <w:lang w:val="bg-BG"/>
              </w:rPr>
            </w:pPr>
            <w:bookmarkStart w:id="73" w:name="DOC_TBL00030_1_1"/>
            <w:bookmarkEnd w:id="73"/>
          </w:p>
        </w:tc>
        <w:tc>
          <w:tcPr>
            <w:tcW w:w="207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p>
        </w:tc>
        <w:tc>
          <w:tcPr>
            <w:tcW w:w="178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r>
              <w:rPr>
                <w:rFonts w:ascii="Verdana" w:eastAsia="Calibri" w:hAnsi="Verdana"/>
                <w:i/>
                <w:noProof/>
                <w:color w:val="000000"/>
                <w:sz w:val="16"/>
                <w:szCs w:val="20"/>
                <w:lang w:val="bg-BG"/>
              </w:rPr>
              <w:t>милиони евро</w:t>
            </w:r>
          </w:p>
        </w:tc>
      </w:tr>
      <w:tr>
        <w:trPr>
          <w:trHeight w:val="255"/>
        </w:trPr>
        <w:tc>
          <w:tcPr>
            <w:tcW w:w="5894" w:type="dxa"/>
            <w:tcBorders>
              <w:top w:val="nil"/>
              <w:left w:val="nil"/>
              <w:bottom w:val="nil"/>
              <w:right w:val="nil"/>
            </w:tcBorders>
            <w:shd w:val="solid" w:color="016794" w:fill="FFFFFF"/>
            <w:tcMar>
              <w:top w:w="0" w:type="dxa"/>
              <w:left w:w="60" w:type="dxa"/>
              <w:bottom w:w="0" w:type="dxa"/>
              <w:right w:w="60" w:type="dxa"/>
            </w:tcMar>
            <w:vAlign w:val="center"/>
          </w:tcPr>
          <w:p>
            <w:pPr>
              <w:rPr>
                <w:rFonts w:ascii="Verdana" w:hAnsi="Verdana" w:cs="Verdana"/>
                <w:noProof/>
                <w:color w:val="FFFFFF"/>
                <w:sz w:val="18"/>
                <w:szCs w:val="20"/>
                <w:lang w:val="bg-BG"/>
              </w:rPr>
            </w:pPr>
          </w:p>
        </w:tc>
        <w:tc>
          <w:tcPr>
            <w:tcW w:w="2075"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18"/>
                <w:szCs w:val="20"/>
                <w:lang w:val="bg-BG"/>
              </w:rPr>
            </w:pPr>
            <w:r>
              <w:rPr>
                <w:rFonts w:ascii="Verdana" w:eastAsia="Calibri" w:hAnsi="Verdana"/>
                <w:noProof/>
                <w:color w:val="FFFFFF"/>
                <w:sz w:val="18"/>
                <w:szCs w:val="20"/>
                <w:lang w:val="bg-BG"/>
              </w:rPr>
              <w:t>2019 г.</w:t>
            </w:r>
          </w:p>
        </w:tc>
        <w:tc>
          <w:tcPr>
            <w:tcW w:w="178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18"/>
                <w:szCs w:val="20"/>
                <w:lang w:val="bg-BG"/>
              </w:rPr>
            </w:pPr>
            <w:r>
              <w:rPr>
                <w:rFonts w:ascii="Verdana" w:eastAsia="Calibri" w:hAnsi="Verdana"/>
                <w:noProof/>
                <w:color w:val="FFFFFF"/>
                <w:sz w:val="18"/>
                <w:szCs w:val="20"/>
                <w:lang w:val="bg-BG"/>
              </w:rPr>
              <w:t>2018 г.</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Пряко управление</w:t>
            </w:r>
          </w:p>
        </w:tc>
        <w:tc>
          <w:tcPr>
            <w:tcW w:w="207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i/>
                <w:noProof/>
                <w:color w:val="000000"/>
                <w:sz w:val="18"/>
                <w:szCs w:val="20"/>
                <w:lang w:val="bg-BG"/>
              </w:rPr>
            </w:pPr>
          </w:p>
        </w:tc>
        <w:tc>
          <w:tcPr>
            <w:tcW w:w="178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i/>
                <w:noProof/>
                <w:color w:val="000000"/>
                <w:sz w:val="18"/>
                <w:szCs w:val="20"/>
                <w:lang w:val="bg-BG"/>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Изпълнява се от:</w:t>
            </w:r>
          </w:p>
        </w:tc>
        <w:tc>
          <w:tcPr>
            <w:tcW w:w="207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p>
        </w:tc>
        <w:tc>
          <w:tcPr>
            <w:tcW w:w="178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Комисията</w:t>
            </w:r>
          </w:p>
        </w:tc>
        <w:tc>
          <w:tcPr>
            <w:tcW w:w="207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78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Делегациите на ЕС</w:t>
            </w:r>
          </w:p>
        </w:tc>
        <w:tc>
          <w:tcPr>
            <w:tcW w:w="207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w:t>
            </w:r>
          </w:p>
        </w:tc>
        <w:tc>
          <w:tcPr>
            <w:tcW w:w="178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w:t>
            </w:r>
          </w:p>
        </w:tc>
      </w:tr>
      <w:tr>
        <w:trPr>
          <w:trHeight w:val="255"/>
        </w:trPr>
        <w:tc>
          <w:tcPr>
            <w:tcW w:w="5894" w:type="dxa"/>
            <w:tcBorders>
              <w:top w:val="single" w:sz="4" w:space="0" w:color="016794"/>
              <w:left w:val="nil"/>
              <w:bottom w:val="single" w:sz="4" w:space="0" w:color="016794"/>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p>
        </w:tc>
        <w:tc>
          <w:tcPr>
            <w:tcW w:w="2075"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6</w:t>
            </w:r>
          </w:p>
        </w:tc>
        <w:tc>
          <w:tcPr>
            <w:tcW w:w="1789"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4</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Непряко управление</w:t>
            </w:r>
          </w:p>
        </w:tc>
        <w:tc>
          <w:tcPr>
            <w:tcW w:w="207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178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Изпълнява се от:</w:t>
            </w:r>
          </w:p>
        </w:tc>
        <w:tc>
          <w:tcPr>
            <w:tcW w:w="207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p>
        </w:tc>
        <w:tc>
          <w:tcPr>
            <w:tcW w:w="178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Трети държави</w:t>
            </w:r>
          </w:p>
        </w:tc>
        <w:tc>
          <w:tcPr>
            <w:tcW w:w="207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15</w:t>
            </w:r>
          </w:p>
        </w:tc>
        <w:tc>
          <w:tcPr>
            <w:tcW w:w="178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(13)</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Международни организации</w:t>
            </w:r>
          </w:p>
        </w:tc>
        <w:tc>
          <w:tcPr>
            <w:tcW w:w="207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178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12</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Частноправни органи със задължение за обществена услуга</w:t>
            </w:r>
          </w:p>
        </w:tc>
        <w:tc>
          <w:tcPr>
            <w:tcW w:w="207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78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r>
      <w:tr>
        <w:trPr>
          <w:trHeight w:val="255"/>
        </w:trPr>
        <w:tc>
          <w:tcPr>
            <w:tcW w:w="5894" w:type="dxa"/>
            <w:tcBorders>
              <w:top w:val="single" w:sz="4" w:space="0" w:color="016794"/>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p>
        </w:tc>
        <w:tc>
          <w:tcPr>
            <w:tcW w:w="2075"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22</w:t>
            </w:r>
          </w:p>
        </w:tc>
        <w:tc>
          <w:tcPr>
            <w:tcW w:w="1789"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r>
      <w:tr>
        <w:trPr>
          <w:trHeight w:val="255"/>
        </w:trPr>
        <w:tc>
          <w:tcPr>
            <w:tcW w:w="5894"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2075"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28</w:t>
            </w:r>
          </w:p>
        </w:tc>
        <w:tc>
          <w:tcPr>
            <w:tcW w:w="178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4</w:t>
            </w:r>
          </w:p>
        </w:tc>
      </w:tr>
    </w:tbl>
    <w:p>
      <w:pPr>
        <w:numPr>
          <w:ilvl w:val="2"/>
          <w:numId w:val="10"/>
        </w:numPr>
        <w:tabs>
          <w:tab w:val="left" w:pos="907"/>
        </w:tabs>
        <w:spacing w:before="360" w:after="360"/>
        <w:rPr>
          <w:rFonts w:ascii="Verdana" w:hAnsi="Verdana"/>
          <w:noProof/>
          <w:color w:val="016794"/>
          <w:sz w:val="20"/>
          <w:szCs w:val="20"/>
          <w:lang w:val="bg-BG"/>
        </w:rPr>
      </w:pPr>
      <w:r>
        <w:rPr>
          <w:rFonts w:ascii="Verdana" w:hAnsi="Verdana"/>
          <w:noProof/>
          <w:color w:val="016794"/>
          <w:sz w:val="20"/>
          <w:szCs w:val="20"/>
          <w:lang w:val="bg-BG"/>
        </w:rPr>
        <w:t>Приходи от съфинансиране</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Получените вноски по съфинансирането изпълняват критериите за условни приходи от операции без размяна и като такива не следва да оказват въздействие върху отчета за финансовия резултат, когато той се получи. Вноските продължават да се вписват като пасиви (вж. бележка </w:t>
      </w:r>
      <w:r>
        <w:rPr>
          <w:rFonts w:ascii="Verdana" w:hAnsi="Verdana"/>
          <w:b/>
          <w:noProof/>
          <w:sz w:val="18"/>
          <w:szCs w:val="18"/>
          <w:lang w:val="bg-BG" w:eastAsia="en-US"/>
        </w:rPr>
        <w:t>2.6.1</w:t>
      </w:r>
      <w:r>
        <w:rPr>
          <w:rFonts w:ascii="Verdana" w:hAnsi="Verdana"/>
          <w:noProof/>
          <w:sz w:val="18"/>
          <w:szCs w:val="18"/>
          <w:lang w:val="bg-BG" w:eastAsia="en-US"/>
        </w:rPr>
        <w:t xml:space="preserve">), докато бъдат изпълнени условията, определени за дарените средства, т.е. докато бъдат направени допустимите разходи (вж. бележка </w:t>
      </w:r>
      <w:r>
        <w:rPr>
          <w:rFonts w:ascii="Verdana" w:hAnsi="Verdana"/>
          <w:b/>
          <w:noProof/>
          <w:sz w:val="18"/>
          <w:szCs w:val="18"/>
          <w:lang w:val="bg-BG" w:eastAsia="en-US"/>
        </w:rPr>
        <w:t>3.4</w:t>
      </w:r>
      <w:r>
        <w:rPr>
          <w:rFonts w:ascii="Verdana" w:hAnsi="Verdana"/>
          <w:noProof/>
          <w:sz w:val="18"/>
          <w:szCs w:val="18"/>
          <w:lang w:val="bg-BG" w:eastAsia="en-US"/>
        </w:rPr>
        <w:t>). Тогава съответната сума се признава в отчета за финансовия резултат като приходи от операции без размяна от съфинансиране. Следователно ефектът върху икономическия резултат за годината е нулев.</w:t>
      </w:r>
    </w:p>
    <w:p>
      <w:pPr>
        <w:spacing w:before="240" w:after="240"/>
        <w:jc w:val="both"/>
        <w:rPr>
          <w:rFonts w:ascii="Verdana" w:hAnsi="Verdana"/>
          <w:noProof/>
          <w:sz w:val="18"/>
          <w:szCs w:val="18"/>
          <w:lang w:val="bg-BG" w:eastAsia="en-US"/>
        </w:rPr>
        <w:sectPr>
          <w:headerReference w:type="even" r:id="rId167"/>
          <w:headerReference w:type="default" r:id="rId168"/>
          <w:footerReference w:type="even" r:id="rId169"/>
          <w:footerReference w:type="default" r:id="rId170"/>
          <w:headerReference w:type="first" r:id="rId171"/>
          <w:footerReference w:type="first" r:id="rId172"/>
          <w:pgSz w:w="11906" w:h="16838"/>
          <w:pgMar w:top="1134" w:right="1134" w:bottom="1134" w:left="1134" w:header="709" w:footer="709" w:gutter="0"/>
          <w:cols w:space="708"/>
          <w:docGrid w:linePitch="360"/>
        </w:sectPr>
      </w:pPr>
    </w:p>
    <w:p>
      <w:pPr>
        <w:pStyle w:val="HEADER2Part2"/>
        <w:rPr>
          <w:noProof/>
          <w:lang w:val="bg-BG"/>
        </w:rPr>
      </w:pPr>
      <w:r>
        <w:rPr>
          <w:noProof/>
          <w:lang w:val="bg-BG"/>
        </w:rPr>
        <w:t>ПРИХОДИ ОТ ОПЕРАЦИИ С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417"/>
        <w:gridCol w:w="1276"/>
        <w:gridCol w:w="1276"/>
        <w:gridCol w:w="1297"/>
        <w:gridCol w:w="869"/>
        <w:gridCol w:w="869"/>
      </w:tblGrid>
      <w:tr>
        <w:trPr>
          <w:trHeight w:val="255"/>
        </w:trPr>
        <w:tc>
          <w:tcPr>
            <w:tcW w:w="2754"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74" w:name="DOC_TBL00037_1_1"/>
            <w:bookmarkEnd w:id="74"/>
            <w:r>
              <w:rPr>
                <w:rFonts w:ascii="Verdana" w:eastAsia="Calibri" w:hAnsi="Verdana"/>
                <w:i/>
                <w:noProof/>
                <w:color w:val="000000"/>
                <w:sz w:val="16"/>
                <w:szCs w:val="20"/>
                <w:lang w:val="bg-BG"/>
              </w:rPr>
              <w:t>милиони евро</w:t>
            </w:r>
          </w:p>
        </w:tc>
      </w:tr>
      <w:tr>
        <w:trPr>
          <w:trHeight w:val="255"/>
        </w:trPr>
        <w:tc>
          <w:tcPr>
            <w:tcW w:w="275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129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275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Финансови приходи</w:t>
            </w:r>
          </w:p>
        </w:tc>
        <w:tc>
          <w:tcPr>
            <w:tcW w:w="141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27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27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w:t>
            </w:r>
          </w:p>
        </w:tc>
        <w:tc>
          <w:tcPr>
            <w:tcW w:w="12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86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86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10</w:t>
            </w:r>
          </w:p>
        </w:tc>
      </w:tr>
      <w:tr>
        <w:trPr>
          <w:trHeight w:val="255"/>
        </w:trPr>
        <w:tc>
          <w:tcPr>
            <w:tcW w:w="275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Други приходи</w:t>
            </w:r>
          </w:p>
        </w:tc>
        <w:tc>
          <w:tcPr>
            <w:tcW w:w="141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27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w:t>
            </w:r>
          </w:p>
        </w:tc>
        <w:tc>
          <w:tcPr>
            <w:tcW w:w="127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21</w:t>
            </w:r>
          </w:p>
        </w:tc>
        <w:tc>
          <w:tcPr>
            <w:tcW w:w="12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12</w:t>
            </w:r>
          </w:p>
        </w:tc>
        <w:tc>
          <w:tcPr>
            <w:tcW w:w="86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39</w:t>
            </w:r>
          </w:p>
        </w:tc>
        <w:tc>
          <w:tcPr>
            <w:tcW w:w="86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46</w:t>
            </w:r>
          </w:p>
        </w:tc>
      </w:tr>
      <w:tr>
        <w:trPr>
          <w:trHeight w:val="255"/>
        </w:trPr>
        <w:tc>
          <w:tcPr>
            <w:tcW w:w="2754"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c>
          <w:tcPr>
            <w:tcW w:w="1276"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6</w:t>
            </w:r>
          </w:p>
        </w:tc>
        <w:tc>
          <w:tcPr>
            <w:tcW w:w="1276"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24</w:t>
            </w:r>
          </w:p>
        </w:tc>
        <w:tc>
          <w:tcPr>
            <w:tcW w:w="1297"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16</w:t>
            </w:r>
          </w:p>
        </w:tc>
        <w:tc>
          <w:tcPr>
            <w:tcW w:w="86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46</w:t>
            </w:r>
          </w:p>
        </w:tc>
        <w:tc>
          <w:tcPr>
            <w:tcW w:w="86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57</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Финансовите приходи се състоят основно от натрупаните лихви по просрочени нареждания за събиране на вземания (6,6 милиона евро) и лихвите по предварителното финансиране. Другите приходи са свързани изцяло с приходи от курсови разлики. Съответните загуби от курсови разлики се вписват като други разходи (вж. бележка </w:t>
      </w:r>
      <w:r>
        <w:rPr>
          <w:rFonts w:ascii="Verdana" w:hAnsi="Verdana"/>
          <w:b/>
          <w:noProof/>
          <w:sz w:val="18"/>
          <w:szCs w:val="18"/>
          <w:lang w:val="bg-BG" w:eastAsia="en-US"/>
        </w:rPr>
        <w:t>3.6</w:t>
      </w:r>
      <w:r>
        <w:rPr>
          <w:rFonts w:ascii="Verdana" w:hAnsi="Verdana"/>
          <w:noProof/>
          <w:sz w:val="18"/>
          <w:szCs w:val="18"/>
          <w:lang w:val="bg-BG" w:eastAsia="en-US"/>
        </w:rPr>
        <w:t xml:space="preserve">). </w:t>
      </w:r>
    </w:p>
    <w:p>
      <w:pPr>
        <w:pStyle w:val="HEADERTABLE"/>
        <w:rPr>
          <w:noProof/>
          <w:lang w:val="bg-BG"/>
        </w:rPr>
      </w:pPr>
      <w:r>
        <w:rPr>
          <w:noProof/>
          <w:lang w:val="bg-BG"/>
        </w:rPr>
        <w:t>РАЗХОДИ</w:t>
      </w:r>
    </w:p>
    <w:p>
      <w:pPr>
        <w:pStyle w:val="HEADER2Part2"/>
        <w:rPr>
          <w:noProof/>
          <w:lang w:val="bg-BG"/>
        </w:rPr>
      </w:pPr>
      <w:r>
        <w:rPr>
          <w:noProof/>
          <w:lang w:val="bg-BG"/>
        </w:rPr>
        <w:t>ИНСТРУМЕНТИ ЗА ПОМОЩ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559"/>
        <w:gridCol w:w="1127"/>
        <w:gridCol w:w="1141"/>
        <w:gridCol w:w="1134"/>
        <w:gridCol w:w="992"/>
        <w:gridCol w:w="1051"/>
      </w:tblGrid>
      <w:tr>
        <w:trPr>
          <w:cantSplit/>
          <w:trHeight w:val="255"/>
        </w:trPr>
        <w:tc>
          <w:tcPr>
            <w:tcW w:w="2754"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75" w:name="DOC_TBL00038_1_1"/>
            <w:bookmarkEnd w:id="75"/>
            <w:r>
              <w:rPr>
                <w:rFonts w:ascii="Verdana" w:eastAsia="Calibri" w:hAnsi="Verdana"/>
                <w:i/>
                <w:noProof/>
                <w:color w:val="000000"/>
                <w:sz w:val="16"/>
                <w:szCs w:val="20"/>
                <w:lang w:val="bg-BG"/>
              </w:rPr>
              <w:t>милиони евро</w:t>
            </w:r>
          </w:p>
        </w:tc>
      </w:tr>
      <w:tr>
        <w:trPr>
          <w:cantSplit/>
          <w:trHeight w:val="255"/>
        </w:trPr>
        <w:tc>
          <w:tcPr>
            <w:tcW w:w="275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p>
        </w:tc>
        <w:tc>
          <w:tcPr>
            <w:tcW w:w="155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112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114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2018 г.</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Програмирана помощ</w:t>
            </w:r>
          </w:p>
        </w:tc>
        <w:tc>
          <w:tcPr>
            <w:tcW w:w="155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12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14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295</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1 824</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2 119</w:t>
            </w:r>
          </w:p>
        </w:tc>
        <w:tc>
          <w:tcPr>
            <w:tcW w:w="105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2 001</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Макроикономическа подкрепа</w:t>
            </w:r>
          </w:p>
        </w:tc>
        <w:tc>
          <w:tcPr>
            <w:tcW w:w="155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2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29</w:t>
            </w:r>
          </w:p>
        </w:tc>
        <w:tc>
          <w:tcPr>
            <w:tcW w:w="114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29</w:t>
            </w:r>
          </w:p>
        </w:tc>
        <w:tc>
          <w:tcPr>
            <w:tcW w:w="105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26</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Секторна политика</w:t>
            </w:r>
          </w:p>
        </w:tc>
        <w:tc>
          <w:tcPr>
            <w:tcW w:w="155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2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14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05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Проекти в рамките на АКТБ</w:t>
            </w:r>
          </w:p>
        </w:tc>
        <w:tc>
          <w:tcPr>
            <w:tcW w:w="155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2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14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272</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678</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951</w:t>
            </w:r>
          </w:p>
        </w:tc>
        <w:tc>
          <w:tcPr>
            <w:tcW w:w="105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827</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Спешна помощ</w:t>
            </w:r>
          </w:p>
        </w:tc>
        <w:tc>
          <w:tcPr>
            <w:tcW w:w="155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2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114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12</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97</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112</w:t>
            </w:r>
          </w:p>
        </w:tc>
        <w:tc>
          <w:tcPr>
            <w:tcW w:w="105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873</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Институционална подкрепа</w:t>
            </w:r>
          </w:p>
        </w:tc>
        <w:tc>
          <w:tcPr>
            <w:tcW w:w="155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2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4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105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18</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Вноски в доверителни фондове</w:t>
            </w:r>
          </w:p>
        </w:tc>
        <w:tc>
          <w:tcPr>
            <w:tcW w:w="155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2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4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535</w:t>
            </w:r>
          </w:p>
        </w:tc>
        <w:tc>
          <w:tcPr>
            <w:tcW w:w="99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535</w:t>
            </w:r>
          </w:p>
        </w:tc>
        <w:tc>
          <w:tcPr>
            <w:tcW w:w="105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307</w:t>
            </w:r>
          </w:p>
        </w:tc>
      </w:tr>
      <w:tr>
        <w:trPr>
          <w:trHeight w:val="255"/>
        </w:trPr>
        <w:tc>
          <w:tcPr>
            <w:tcW w:w="2754"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55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1127"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35</w:t>
            </w:r>
          </w:p>
        </w:tc>
        <w:tc>
          <w:tcPr>
            <w:tcW w:w="1141"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579</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3 141</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3 755</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4 054</w:t>
            </w:r>
          </w:p>
        </w:tc>
      </w:tr>
    </w:tbl>
    <w:p>
      <w:pPr>
        <w:spacing w:before="240"/>
        <w:jc w:val="both"/>
        <w:rPr>
          <w:rFonts w:ascii="Verdana" w:hAnsi="Verdana"/>
          <w:noProof/>
          <w:sz w:val="18"/>
          <w:szCs w:val="18"/>
          <w:lang w:val="bg-BG" w:eastAsia="en-US"/>
        </w:rPr>
      </w:pPr>
      <w:r>
        <w:rPr>
          <w:rFonts w:ascii="Verdana" w:hAnsi="Verdana"/>
          <w:noProof/>
          <w:sz w:val="18"/>
          <w:szCs w:val="18"/>
          <w:lang w:val="bg-BG" w:eastAsia="en-US"/>
        </w:rPr>
        <w:t>Оперативните разходи на ЕФР обхващат различни инструменти за помощ и са под различни форми в зависимост от това как средствата се изплащат и управляват.</w:t>
      </w:r>
    </w:p>
    <w:p>
      <w:pPr>
        <w:spacing w:before="240"/>
        <w:jc w:val="both"/>
        <w:rPr>
          <w:rFonts w:ascii="Verdana" w:hAnsi="Verdana"/>
          <w:noProof/>
          <w:sz w:val="18"/>
          <w:szCs w:val="18"/>
          <w:lang w:val="bg-BG" w:eastAsia="en-US"/>
        </w:rPr>
      </w:pPr>
      <w:r>
        <w:rPr>
          <w:rFonts w:ascii="Verdana" w:hAnsi="Verdana"/>
          <w:noProof/>
          <w:sz w:val="18"/>
          <w:szCs w:val="18"/>
          <w:lang w:val="bg-BG" w:eastAsia="en-US"/>
        </w:rPr>
        <w:t>Намалението по тази функция представлява комбиниран ефект от увеличение на разходите по 11-ия ЕФР (2018 г.: 3 012 милиона евро) и намаление на разходи по 10-ия ЕФР (2018 г.: 984 милиона евро). Това съответства на жизнения цикъл на ЕФР и също така е свързано с промяната на броя на текущите договори по линия на тези ЕФР: През 2019 г. 11-ият ЕФР достигна изцяло нормален ритъм на изпълнение и поради това към 31 декември 2019 г. имаше значително повече текущи договори, за които бяха направени разходи. И обратно, през 2019 г. бяха изпълнени и приключени редица договори по линия на 10-ия ЕФР, което доведе до намаляване на разходите, направени по този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Както беше отбелязано по-специално в рамките на 11-ия ЕФР, в сравнение с 2018 г. структурата на разходите за инструменти за помощ е променена. По този ЕФР разходите за спешна помощ намаляха значително (2018 г.: 811 милиона евро), докато разходите, свързани с програмирана помощ, проектите между държавите от АКТБ и вноските в доверителните фондове, нараснаха значително (2018 г.: 1 468 милиона евро, съответно 410 милиона евро, съответно 307 милиона евро).</w:t>
      </w:r>
    </w:p>
    <w:p>
      <w:pPr>
        <w:pStyle w:val="HEADER2Part2"/>
        <w:rPr>
          <w:noProof/>
          <w:lang w:val="bg-BG"/>
        </w:rPr>
      </w:pPr>
      <w:bookmarkStart w:id="76" w:name="_Ref35550660"/>
      <w:r>
        <w:rPr>
          <w:noProof/>
          <w:lang w:val="bg-BG"/>
        </w:rPr>
        <w:t>РАЗХОДИ ЗА СЪФИНАНСИРАНЕ</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332"/>
        <w:gridCol w:w="1333"/>
        <w:gridCol w:w="1333"/>
        <w:gridCol w:w="1333"/>
        <w:gridCol w:w="1333"/>
        <w:gridCol w:w="1333"/>
      </w:tblGrid>
      <w:tr>
        <w:trPr>
          <w:trHeight w:val="255"/>
        </w:trPr>
        <w:tc>
          <w:tcPr>
            <w:tcW w:w="1761"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77" w:name="DOC_TBL00039_1_1"/>
            <w:bookmarkEnd w:id="77"/>
            <w:r>
              <w:rPr>
                <w:rFonts w:ascii="Verdana" w:eastAsia="Calibri" w:hAnsi="Verdana"/>
                <w:i/>
                <w:noProof/>
                <w:color w:val="000000"/>
                <w:sz w:val="16"/>
                <w:szCs w:val="20"/>
                <w:lang w:val="bg-BG"/>
              </w:rPr>
              <w:t>милиони евро</w:t>
            </w:r>
          </w:p>
        </w:tc>
      </w:tr>
      <w:tr>
        <w:trPr>
          <w:trHeight w:val="255"/>
        </w:trPr>
        <w:tc>
          <w:tcPr>
            <w:tcW w:w="176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p>
        </w:tc>
        <w:tc>
          <w:tcPr>
            <w:tcW w:w="1332"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1761"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Съфинансиране</w:t>
            </w:r>
          </w:p>
        </w:tc>
        <w:tc>
          <w:tcPr>
            <w:tcW w:w="1332"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33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33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w:t>
            </w:r>
          </w:p>
        </w:tc>
        <w:tc>
          <w:tcPr>
            <w:tcW w:w="133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133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14</w:t>
            </w:r>
          </w:p>
        </w:tc>
        <w:tc>
          <w:tcPr>
            <w:tcW w:w="133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(17)</w:t>
            </w:r>
          </w:p>
        </w:tc>
      </w:tr>
    </w:tbl>
    <w:p>
      <w:pPr>
        <w:spacing w:before="240"/>
        <w:jc w:val="both"/>
        <w:rPr>
          <w:rFonts w:ascii="Verdana" w:hAnsi="Verdana"/>
          <w:noProof/>
          <w:spacing w:val="-4"/>
          <w:sz w:val="18"/>
          <w:szCs w:val="18"/>
          <w:lang w:val="bg-BG" w:eastAsia="en-US"/>
        </w:rPr>
      </w:pPr>
      <w:r>
        <w:rPr>
          <w:rFonts w:ascii="Verdana" w:hAnsi="Verdana"/>
          <w:noProof/>
          <w:spacing w:val="-4"/>
          <w:sz w:val="18"/>
          <w:szCs w:val="18"/>
          <w:lang w:val="bg-BG" w:eastAsia="en-US"/>
        </w:rPr>
        <w:t xml:space="preserve">В тази позиция са включени разходите, направени по проекти за съфинансиране през 2019 г. Следва да се отбележи, че направените разходи включват прогнозните суми, свързани с разделянето на финансовите периоди (а оттам и корекции на прогнозните суми, свързани с миналата година).  </w:t>
      </w:r>
    </w:p>
    <w:p>
      <w:pPr>
        <w:spacing w:before="240"/>
        <w:jc w:val="both"/>
        <w:rPr>
          <w:rFonts w:ascii="Verdana" w:hAnsi="Verdana"/>
          <w:noProof/>
          <w:sz w:val="18"/>
          <w:szCs w:val="18"/>
          <w:lang w:val="bg-BG" w:eastAsia="en-US"/>
        </w:rPr>
      </w:pPr>
      <w:r>
        <w:rPr>
          <w:rFonts w:ascii="Verdana" w:hAnsi="Verdana"/>
          <w:noProof/>
          <w:sz w:val="18"/>
          <w:szCs w:val="18"/>
          <w:lang w:val="bg-BG" w:eastAsia="en-US"/>
        </w:rPr>
        <w:t xml:space="preserve">Съответните приходи са били признати в отчета за финансовия резултат (вж. бележка </w:t>
      </w:r>
      <w:r>
        <w:rPr>
          <w:rFonts w:ascii="Verdana" w:hAnsi="Verdana"/>
          <w:b/>
          <w:noProof/>
          <w:sz w:val="18"/>
          <w:szCs w:val="18"/>
          <w:lang w:val="bg-BG" w:eastAsia="en-US"/>
        </w:rPr>
        <w:t>3.1.1</w:t>
      </w:r>
      <w:r>
        <w:rPr>
          <w:rFonts w:ascii="Verdana" w:hAnsi="Verdana"/>
          <w:noProof/>
          <w:sz w:val="18"/>
          <w:szCs w:val="18"/>
          <w:lang w:val="bg-BG" w:eastAsia="en-US"/>
        </w:rPr>
        <w:t>).</w:t>
      </w:r>
    </w:p>
    <w:p>
      <w:pPr>
        <w:rPr>
          <w:rFonts w:ascii="Verdana" w:hAnsi="Verdana"/>
          <w:b/>
          <w:noProof/>
          <w:color w:val="016794"/>
          <w:sz w:val="18"/>
          <w:szCs w:val="18"/>
          <w:lang w:val="bg-BG"/>
        </w:rPr>
      </w:pPr>
      <w:r>
        <w:rPr>
          <w:rFonts w:ascii="Verdana" w:hAnsi="Verdana"/>
          <w:b/>
          <w:noProof/>
          <w:color w:val="016794"/>
          <w:sz w:val="18"/>
          <w:szCs w:val="18"/>
          <w:lang w:val="bg-BG"/>
        </w:rPr>
        <w:br w:type="page"/>
        <w:t>ИНСТРУМЕНТИ ЗА ПОМОЩ И РАЗХОДИ ЗА СЪФИНАНСИРАНЕ ПО ВИД УПРАВЛЕНИЕ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4"/>
        <w:gridCol w:w="1497"/>
        <w:gridCol w:w="2247"/>
      </w:tblGrid>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noProof/>
                <w:color w:val="000000"/>
                <w:sz w:val="18"/>
                <w:szCs w:val="20"/>
                <w:lang w:val="bg-BG"/>
              </w:rPr>
            </w:pPr>
            <w:bookmarkStart w:id="78" w:name="DOC_TBL00040_1_1"/>
            <w:bookmarkEnd w:id="78"/>
          </w:p>
        </w:tc>
        <w:tc>
          <w:tcPr>
            <w:tcW w:w="1497" w:type="dxa"/>
            <w:gridSpan w:val="2"/>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r>
              <w:rPr>
                <w:rFonts w:ascii="Verdana" w:eastAsia="Calibri" w:hAnsi="Verdana"/>
                <w:i/>
                <w:noProof/>
                <w:color w:val="000000"/>
                <w:sz w:val="16"/>
                <w:szCs w:val="20"/>
                <w:lang w:val="bg-BG"/>
              </w:rPr>
              <w:t>милиони евро</w:t>
            </w:r>
          </w:p>
        </w:tc>
      </w:tr>
      <w:tr>
        <w:trPr>
          <w:trHeight w:val="255"/>
        </w:trPr>
        <w:tc>
          <w:tcPr>
            <w:tcW w:w="6014" w:type="dxa"/>
            <w:tcBorders>
              <w:top w:val="nil"/>
              <w:left w:val="nil"/>
              <w:bottom w:val="nil"/>
              <w:right w:val="nil"/>
            </w:tcBorders>
            <w:shd w:val="solid" w:color="016794" w:fill="FFFFFF"/>
            <w:tcMar>
              <w:top w:w="0" w:type="dxa"/>
              <w:left w:w="60" w:type="dxa"/>
              <w:bottom w:w="0" w:type="dxa"/>
              <w:right w:w="60" w:type="dxa"/>
            </w:tcMar>
            <w:vAlign w:val="center"/>
          </w:tcPr>
          <w:p>
            <w:pPr>
              <w:rPr>
                <w:rFonts w:ascii="Verdana" w:hAnsi="Verdana" w:cs="Verdana"/>
                <w:noProof/>
                <w:color w:val="FFFFFF"/>
                <w:sz w:val="18"/>
                <w:szCs w:val="20"/>
                <w:lang w:val="bg-BG"/>
              </w:rPr>
            </w:pPr>
          </w:p>
        </w:tc>
        <w:tc>
          <w:tcPr>
            <w:tcW w:w="149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224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Пряко управление</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i/>
                <w:noProof/>
                <w:color w:val="000000"/>
                <w:sz w:val="18"/>
                <w:szCs w:val="20"/>
                <w:lang w:val="bg-BG"/>
              </w:rPr>
            </w:pP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b/>
                <w:i/>
                <w:noProof/>
                <w:color w:val="000000"/>
                <w:sz w:val="18"/>
                <w:szCs w:val="20"/>
                <w:lang w:val="bg-BG"/>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Изпълнява се от:</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Комисията</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86</w:t>
            </w: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122</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Изпълнителните агенции на ЕС</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(13)</w:t>
            </w: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31</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Доверителни фондове</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483</w:t>
            </w: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594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Делегациите на ЕС</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1 141</w:t>
            </w: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1 003</w:t>
            </w:r>
          </w:p>
        </w:tc>
      </w:tr>
      <w:tr>
        <w:trPr>
          <w:trHeight w:val="255"/>
        </w:trPr>
        <w:tc>
          <w:tcPr>
            <w:tcW w:w="6014"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p>
        </w:tc>
        <w:tc>
          <w:tcPr>
            <w:tcW w:w="1497"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1 697</w:t>
            </w:r>
          </w:p>
        </w:tc>
        <w:tc>
          <w:tcPr>
            <w:tcW w:w="2247"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1 750</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Непряко управление</w:t>
            </w:r>
          </w:p>
        </w:tc>
        <w:tc>
          <w:tcPr>
            <w:tcW w:w="1497"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p>
        </w:tc>
        <w:tc>
          <w:tcPr>
            <w:tcW w:w="2247" w:type="dxa"/>
            <w:tcBorders>
              <w:top w:val="nil"/>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Изпълнява се от:</w:t>
            </w:r>
          </w:p>
        </w:tc>
        <w:tc>
          <w:tcPr>
            <w:tcW w:w="1497" w:type="dxa"/>
            <w:tcBorders>
              <w:top w:val="nil"/>
              <w:left w:val="nil"/>
              <w:bottom w:val="nil"/>
              <w:right w:val="nil"/>
            </w:tcBorders>
            <w:tcMar>
              <w:top w:w="0" w:type="dxa"/>
              <w:left w:w="60" w:type="dxa"/>
              <w:bottom w:w="0" w:type="dxa"/>
              <w:right w:w="60" w:type="dxa"/>
            </w:tcMar>
            <w:vAlign w:val="center"/>
          </w:tcPr>
          <w:p>
            <w:pPr>
              <w:rPr>
                <w:rFonts w:ascii="Verdana" w:hAnsi="Verdana" w:cs="Verdana"/>
                <w:noProof/>
                <w:color w:val="000000"/>
                <w:sz w:val="18"/>
                <w:szCs w:val="20"/>
                <w:lang w:val="bg-BG"/>
              </w:rPr>
            </w:pPr>
          </w:p>
        </w:tc>
        <w:tc>
          <w:tcPr>
            <w:tcW w:w="2247" w:type="dxa"/>
            <w:tcBorders>
              <w:top w:val="nil"/>
              <w:left w:val="nil"/>
              <w:bottom w:val="nil"/>
              <w:right w:val="nil"/>
            </w:tcBorders>
            <w:tcMar>
              <w:top w:w="0" w:type="dxa"/>
              <w:left w:w="60" w:type="dxa"/>
              <w:bottom w:w="0" w:type="dxa"/>
              <w:right w:w="60" w:type="dxa"/>
            </w:tcMar>
            <w:vAlign w:val="center"/>
          </w:tcPr>
          <w:p>
            <w:pPr>
              <w:rPr>
                <w:rFonts w:ascii="Verdana" w:hAnsi="Verdana" w:cs="Verdana"/>
                <w:noProof/>
                <w:color w:val="000000"/>
                <w:sz w:val="18"/>
                <w:szCs w:val="20"/>
                <w:lang w:val="bg-BG"/>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ЕИБ и ЕИФ</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145</w:t>
            </w: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Международни организации</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1 003</w:t>
            </w: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920</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Частноправни органи със задължение за обществена услуга</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126</w:t>
            </w: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114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Публичноправни органи</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184</w:t>
            </w: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231</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Трети държави</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613</w:t>
            </w: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977</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Органи на ЕС с публично-частно партньорство</w:t>
            </w:r>
          </w:p>
        </w:tc>
        <w:tc>
          <w:tcPr>
            <w:tcW w:w="149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224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r>
      <w:tr>
        <w:trPr>
          <w:trHeight w:val="255"/>
        </w:trPr>
        <w:tc>
          <w:tcPr>
            <w:tcW w:w="6014" w:type="dxa"/>
            <w:tcBorders>
              <w:top w:val="single" w:sz="4" w:space="0" w:color="016794"/>
              <w:left w:val="nil"/>
              <w:bottom w:val="nil"/>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p>
        </w:tc>
        <w:tc>
          <w:tcPr>
            <w:tcW w:w="1497"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2 073</w:t>
            </w:r>
          </w:p>
        </w:tc>
        <w:tc>
          <w:tcPr>
            <w:tcW w:w="2247" w:type="dxa"/>
            <w:tcBorders>
              <w:top w:val="single" w:sz="4" w:space="0" w:color="016794"/>
              <w:left w:val="nil"/>
              <w:bottom w:val="nil"/>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2 287</w:t>
            </w:r>
          </w:p>
        </w:tc>
      </w:tr>
      <w:tr>
        <w:trPr>
          <w:trHeight w:val="255"/>
        </w:trPr>
        <w:tc>
          <w:tcPr>
            <w:tcW w:w="6014" w:type="dxa"/>
            <w:tcBorders>
              <w:top w:val="single" w:sz="4" w:space="0" w:color="016794"/>
              <w:left w:val="nil"/>
              <w:bottom w:val="single" w:sz="4" w:space="0" w:color="016794"/>
              <w:right w:val="nil"/>
            </w:tcBorders>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497"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3 770</w:t>
            </w:r>
          </w:p>
        </w:tc>
        <w:tc>
          <w:tcPr>
            <w:tcW w:w="2247" w:type="dxa"/>
            <w:tcBorders>
              <w:top w:val="single" w:sz="4" w:space="0" w:color="016794"/>
              <w:left w:val="nil"/>
              <w:bottom w:val="single" w:sz="4" w:space="0" w:color="016794"/>
              <w:right w:val="nil"/>
            </w:tcBorders>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4 037</w:t>
            </w:r>
          </w:p>
        </w:tc>
      </w:tr>
    </w:tbl>
    <w:p>
      <w:pPr>
        <w:pStyle w:val="HEADER2Part2"/>
        <w:rPr>
          <w:noProof/>
          <w:lang w:val="bg-BG"/>
        </w:rPr>
      </w:pPr>
      <w:r>
        <w:rPr>
          <w:noProof/>
          <w:lang w:val="bg-BG"/>
        </w:rPr>
        <w:t>ФИНАНСОВИ РАЗХОДИ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1775"/>
        <w:gridCol w:w="1276"/>
        <w:gridCol w:w="1134"/>
        <w:gridCol w:w="1134"/>
        <w:gridCol w:w="709"/>
        <w:gridCol w:w="767"/>
      </w:tblGrid>
      <w:tr>
        <w:trPr>
          <w:trHeight w:val="255"/>
        </w:trPr>
        <w:tc>
          <w:tcPr>
            <w:tcW w:w="2963" w:type="dxa"/>
            <w:tcBorders>
              <w:top w:val="nil"/>
              <w:left w:val="nil"/>
              <w:bottom w:val="nil"/>
              <w:right w:val="nil"/>
            </w:tcBorders>
            <w:tcMar>
              <w:top w:w="0" w:type="dxa"/>
              <w:left w:w="60" w:type="dxa"/>
              <w:bottom w:w="0" w:type="dxa"/>
              <w:right w:w="60" w:type="dxa"/>
            </w:tcMar>
            <w:vAlign w:val="center"/>
          </w:tcPr>
          <w:p>
            <w:pPr>
              <w:rPr>
                <w:rFonts w:ascii="Verdana" w:hAnsi="Verdana" w:cs="Verdana"/>
                <w:noProof/>
                <w:color w:val="000000"/>
                <w:sz w:val="18"/>
                <w:szCs w:val="20"/>
                <w:lang w:val="bg-BG"/>
              </w:rPr>
            </w:pPr>
            <w:bookmarkStart w:id="79" w:name="DOC_TBL00041_1_1"/>
            <w:bookmarkEnd w:id="79"/>
          </w:p>
        </w:tc>
        <w:tc>
          <w:tcPr>
            <w:tcW w:w="1775" w:type="dxa"/>
            <w:gridSpan w:val="6"/>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r>
              <w:rPr>
                <w:rFonts w:ascii="Verdana" w:eastAsia="Calibri" w:hAnsi="Verdana"/>
                <w:i/>
                <w:noProof/>
                <w:color w:val="000000"/>
                <w:sz w:val="16"/>
                <w:szCs w:val="20"/>
                <w:lang w:val="bg-BG"/>
              </w:rPr>
              <w:t>милиони евро</w:t>
            </w:r>
          </w:p>
        </w:tc>
      </w:tr>
      <w:tr>
        <w:trPr>
          <w:trHeight w:val="255"/>
        </w:trPr>
        <w:tc>
          <w:tcPr>
            <w:tcW w:w="296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p>
        </w:tc>
        <w:tc>
          <w:tcPr>
            <w:tcW w:w="1775"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76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2963"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Обезценка на вземания</w:t>
            </w:r>
          </w:p>
        </w:tc>
        <w:tc>
          <w:tcPr>
            <w:tcW w:w="1775"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27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7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76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тази позиция са включени прогнозираните разходи за неподлежащи на събиране суми.</w:t>
      </w:r>
    </w:p>
    <w:p>
      <w:pPr>
        <w:pStyle w:val="HEADER2Part2"/>
        <w:rPr>
          <w:noProof/>
          <w:lang w:val="bg-BG"/>
        </w:rPr>
      </w:pPr>
      <w:bookmarkStart w:id="80" w:name="_Ref35812877"/>
      <w:r>
        <w:rPr>
          <w:noProof/>
          <w:lang w:val="bg-BG"/>
        </w:rPr>
        <w:t>ДРУГИ РАЗХОДИ</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364"/>
        <w:gridCol w:w="1134"/>
        <w:gridCol w:w="1134"/>
        <w:gridCol w:w="1134"/>
        <w:gridCol w:w="851"/>
        <w:gridCol w:w="767"/>
      </w:tblGrid>
      <w:tr>
        <w:trPr>
          <w:trHeight w:val="255"/>
        </w:trPr>
        <w:tc>
          <w:tcPr>
            <w:tcW w:w="3374"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81" w:name="DOC_TBL00042_1_1"/>
            <w:bookmarkEnd w:id="81"/>
            <w:r>
              <w:rPr>
                <w:rFonts w:ascii="Verdana" w:eastAsia="Calibri" w:hAnsi="Verdana"/>
                <w:i/>
                <w:noProof/>
                <w:color w:val="000000"/>
                <w:sz w:val="16"/>
                <w:szCs w:val="20"/>
                <w:lang w:val="bg-BG"/>
              </w:rPr>
              <w:t>милиони евро</w:t>
            </w:r>
          </w:p>
        </w:tc>
      </w:tr>
      <w:tr>
        <w:trPr>
          <w:trHeight w:val="255"/>
        </w:trPr>
        <w:tc>
          <w:tcPr>
            <w:tcW w:w="337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p>
        </w:tc>
        <w:tc>
          <w:tcPr>
            <w:tcW w:w="136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76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Административни разходи и разходи в областта на ИТ</w:t>
            </w:r>
          </w:p>
        </w:tc>
        <w:tc>
          <w:tcPr>
            <w:tcW w:w="136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(41)</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262</w:t>
            </w:r>
          </w:p>
        </w:tc>
        <w:tc>
          <w:tcPr>
            <w:tcW w:w="85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220</w:t>
            </w:r>
          </w:p>
        </w:tc>
        <w:tc>
          <w:tcPr>
            <w:tcW w:w="76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112</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Провизия за рискове и разходи</w:t>
            </w:r>
          </w:p>
        </w:tc>
        <w:tc>
          <w:tcPr>
            <w:tcW w:w="136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6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Реализирани загуби по търговски вземания</w:t>
            </w:r>
          </w:p>
        </w:tc>
        <w:tc>
          <w:tcPr>
            <w:tcW w:w="136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5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w:t>
            </w:r>
          </w:p>
        </w:tc>
        <w:tc>
          <w:tcPr>
            <w:tcW w:w="76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Загуби от валутно-курсови разлики</w:t>
            </w:r>
          </w:p>
        </w:tc>
        <w:tc>
          <w:tcPr>
            <w:tcW w:w="136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6</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21</w:t>
            </w:r>
          </w:p>
        </w:tc>
        <w:tc>
          <w:tcPr>
            <w:tcW w:w="1134"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w:t>
            </w:r>
          </w:p>
        </w:tc>
        <w:tc>
          <w:tcPr>
            <w:tcW w:w="85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37</w:t>
            </w:r>
          </w:p>
        </w:tc>
        <w:tc>
          <w:tcPr>
            <w:tcW w:w="76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39</w:t>
            </w:r>
          </w:p>
        </w:tc>
      </w:tr>
      <w:tr>
        <w:trPr>
          <w:trHeight w:val="255"/>
        </w:trPr>
        <w:tc>
          <w:tcPr>
            <w:tcW w:w="3374"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364"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8</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(20)</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272</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260</w:t>
            </w:r>
          </w:p>
        </w:tc>
        <w:tc>
          <w:tcPr>
            <w:tcW w:w="767"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148</w:t>
            </w:r>
          </w:p>
        </w:tc>
      </w:tr>
    </w:tbl>
    <w:p>
      <w:pPr>
        <w:spacing w:before="240"/>
        <w:jc w:val="both"/>
        <w:rPr>
          <w:rFonts w:ascii="Verdana" w:hAnsi="Verdana"/>
          <w:noProof/>
          <w:sz w:val="18"/>
          <w:szCs w:val="18"/>
          <w:lang w:val="bg-BG" w:eastAsia="en-US"/>
        </w:rPr>
      </w:pPr>
      <w:r>
        <w:rPr>
          <w:rFonts w:ascii="Verdana" w:hAnsi="Verdana"/>
          <w:noProof/>
          <w:sz w:val="18"/>
          <w:szCs w:val="18"/>
          <w:lang w:val="bg-BG" w:eastAsia="en-US"/>
        </w:rPr>
        <w:t>Тази позиция включва основно разходи за подкрепа, т.е. административните разходи, свързани с програмирането и изпълнението на ЕФР. Това включва разходи за изготвяне, последващи мерки, мониторинг и оценка на проектите, както и разходи за компютърни мрежи, техническа помощ и т.н.</w:t>
      </w:r>
    </w:p>
    <w:p>
      <w:pPr>
        <w:tabs>
          <w:tab w:val="left" w:pos="907"/>
        </w:tabs>
        <w:spacing w:after="240"/>
        <w:ind w:left="907" w:hanging="907"/>
        <w:jc w:val="both"/>
        <w:rPr>
          <w:rFonts w:ascii="Verdana" w:hAnsi="Verdana"/>
          <w:b/>
          <w:noProof/>
          <w:color w:val="016794"/>
          <w:sz w:val="32"/>
          <w:szCs w:val="32"/>
          <w:lang w:val="bg-BG"/>
        </w:rPr>
      </w:pPr>
    </w:p>
    <w:p>
      <w:pPr>
        <w:tabs>
          <w:tab w:val="left" w:pos="907"/>
        </w:tabs>
        <w:spacing w:after="240"/>
        <w:ind w:left="907" w:hanging="907"/>
        <w:jc w:val="both"/>
        <w:rPr>
          <w:rFonts w:ascii="Verdana" w:hAnsi="Verdana"/>
          <w:b/>
          <w:noProof/>
          <w:color w:val="016794"/>
          <w:sz w:val="32"/>
          <w:szCs w:val="32"/>
          <w:lang w:val="bg-BG"/>
        </w:rPr>
        <w:sectPr>
          <w:headerReference w:type="even" r:id="rId173"/>
          <w:headerReference w:type="default" r:id="rId174"/>
          <w:footerReference w:type="even" r:id="rId175"/>
          <w:footerReference w:type="default" r:id="rId176"/>
          <w:headerReference w:type="first" r:id="rId177"/>
          <w:footerReference w:type="first" r:id="rId178"/>
          <w:pgSz w:w="11906" w:h="16838"/>
          <w:pgMar w:top="1134" w:right="1134" w:bottom="1134" w:left="1134" w:header="709" w:footer="709" w:gutter="0"/>
          <w:cols w:space="708"/>
          <w:docGrid w:linePitch="360"/>
        </w:sectPr>
      </w:pPr>
    </w:p>
    <w:p>
      <w:pPr>
        <w:pStyle w:val="HEADER1Part2"/>
        <w:rPr>
          <w:noProof/>
          <w:lang w:val="bg-BG"/>
        </w:rPr>
      </w:pPr>
      <w:r>
        <w:rPr>
          <w:noProof/>
          <w:lang w:val="bg-BG"/>
        </w:rPr>
        <w:t>УСЛОВНИ АКТИВИ И ПАСИВИ И ДРУГИ СЪЩЕСТВЕНИ ОПОВЕСТЕНИ ДАННИ</w:t>
      </w:r>
    </w:p>
    <w:p>
      <w:pPr>
        <w:pStyle w:val="HEADER2Part2"/>
        <w:rPr>
          <w:noProof/>
          <w:lang w:val="bg-BG"/>
        </w:rPr>
      </w:pPr>
      <w:r>
        <w:rPr>
          <w:noProof/>
          <w:lang w:val="bg-BG"/>
        </w:rPr>
        <w:t>УСЛОВНИ АКТИВИ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899"/>
        <w:gridCol w:w="836"/>
        <w:gridCol w:w="793"/>
        <w:gridCol w:w="793"/>
        <w:gridCol w:w="1831"/>
        <w:gridCol w:w="1609"/>
      </w:tblGrid>
      <w:tr>
        <w:trPr>
          <w:trHeight w:val="255"/>
        </w:trPr>
        <w:tc>
          <w:tcPr>
            <w:tcW w:w="2997" w:type="dxa"/>
            <w:tcBorders>
              <w:top w:val="nil"/>
              <w:left w:val="nil"/>
              <w:bottom w:val="nil"/>
              <w:right w:val="nil"/>
            </w:tcBorders>
            <w:tcMar>
              <w:top w:w="0" w:type="dxa"/>
              <w:left w:w="60" w:type="dxa"/>
              <w:bottom w:w="0" w:type="dxa"/>
              <w:right w:w="60" w:type="dxa"/>
            </w:tcMar>
            <w:vAlign w:val="center"/>
          </w:tcPr>
          <w:p>
            <w:pPr>
              <w:rPr>
                <w:rFonts w:ascii="Verdana" w:hAnsi="Verdana" w:cs="Verdana"/>
                <w:noProof/>
                <w:color w:val="000000"/>
                <w:sz w:val="18"/>
                <w:szCs w:val="20"/>
                <w:lang w:val="bg-BG"/>
              </w:rPr>
            </w:pPr>
            <w:bookmarkStart w:id="82" w:name="DOC_TBL00043_1_1"/>
            <w:bookmarkEnd w:id="82"/>
          </w:p>
        </w:tc>
        <w:tc>
          <w:tcPr>
            <w:tcW w:w="89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p>
        </w:tc>
        <w:tc>
          <w:tcPr>
            <w:tcW w:w="83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p>
        </w:tc>
        <w:tc>
          <w:tcPr>
            <w:tcW w:w="7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p>
        </w:tc>
        <w:tc>
          <w:tcPr>
            <w:tcW w:w="7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p>
        </w:tc>
        <w:tc>
          <w:tcPr>
            <w:tcW w:w="183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p>
        </w:tc>
        <w:tc>
          <w:tcPr>
            <w:tcW w:w="16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r>
              <w:rPr>
                <w:rFonts w:ascii="Verdana" w:eastAsia="Calibri" w:hAnsi="Verdana"/>
                <w:i/>
                <w:noProof/>
                <w:color w:val="000000"/>
                <w:sz w:val="16"/>
                <w:szCs w:val="20"/>
                <w:lang w:val="bg-BG"/>
              </w:rPr>
              <w:t>милиони евро</w:t>
            </w:r>
          </w:p>
        </w:tc>
      </w:tr>
      <w:tr>
        <w:trPr>
          <w:trHeight w:val="255"/>
        </w:trPr>
        <w:tc>
          <w:tcPr>
            <w:tcW w:w="299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p>
        </w:tc>
        <w:tc>
          <w:tcPr>
            <w:tcW w:w="89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83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79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793"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83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60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2997"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Гаранции за изпълнение</w:t>
            </w:r>
          </w:p>
        </w:tc>
        <w:tc>
          <w:tcPr>
            <w:tcW w:w="89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3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10</w:t>
            </w:r>
          </w:p>
        </w:tc>
        <w:tc>
          <w:tcPr>
            <w:tcW w:w="7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7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83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15</w:t>
            </w:r>
          </w:p>
        </w:tc>
        <w:tc>
          <w:tcPr>
            <w:tcW w:w="16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11</w:t>
            </w:r>
          </w:p>
        </w:tc>
      </w:tr>
      <w:tr>
        <w:trPr>
          <w:trHeight w:val="255"/>
        </w:trPr>
        <w:tc>
          <w:tcPr>
            <w:tcW w:w="2997"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Гаранции за удържане</w:t>
            </w:r>
          </w:p>
        </w:tc>
        <w:tc>
          <w:tcPr>
            <w:tcW w:w="89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3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7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793"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83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9</w:t>
            </w:r>
          </w:p>
        </w:tc>
        <w:tc>
          <w:tcPr>
            <w:tcW w:w="160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r>
      <w:tr>
        <w:trPr>
          <w:trHeight w:val="255"/>
        </w:trPr>
        <w:tc>
          <w:tcPr>
            <w:tcW w:w="2997" w:type="dxa"/>
            <w:tcBorders>
              <w:top w:val="nil"/>
              <w:left w:val="nil"/>
              <w:bottom w:val="nil"/>
              <w:right w:val="nil"/>
            </w:tcBorders>
            <w:shd w:val="solid" w:color="CCE1EA" w:fill="FFFFFF"/>
            <w:tcMar>
              <w:top w:w="0" w:type="dxa"/>
              <w:left w:w="60" w:type="dxa"/>
              <w:bottom w:w="0" w:type="dxa"/>
              <w:right w:w="60" w:type="dxa"/>
            </w:tcMar>
            <w:vAlign w:val="center"/>
          </w:tcPr>
          <w:p>
            <w:pPr>
              <w:rPr>
                <w:rFonts w:ascii="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89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36"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15</w:t>
            </w:r>
          </w:p>
        </w:tc>
        <w:tc>
          <w:tcPr>
            <w:tcW w:w="793"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8</w:t>
            </w:r>
          </w:p>
        </w:tc>
        <w:tc>
          <w:tcPr>
            <w:tcW w:w="793"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1831"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24</w:t>
            </w:r>
          </w:p>
        </w:tc>
        <w:tc>
          <w:tcPr>
            <w:tcW w:w="1609" w:type="dxa"/>
            <w:tcBorders>
              <w:top w:val="nil"/>
              <w:left w:val="nil"/>
              <w:bottom w:val="nil"/>
              <w:right w:val="nil"/>
            </w:tcBorders>
            <w:shd w:val="solid" w:color="CCE1EA" w:fill="FFFFFF"/>
            <w:tcMar>
              <w:top w:w="0" w:type="dxa"/>
              <w:left w:w="60" w:type="dxa"/>
              <w:bottom w:w="0" w:type="dxa"/>
              <w:right w:w="60" w:type="dxa"/>
            </w:tcMar>
            <w:vAlign w:val="center"/>
          </w:tcPr>
          <w:p>
            <w:pPr>
              <w:jc w:val="right"/>
              <w:rPr>
                <w:rFonts w:ascii="Verdana" w:hAnsi="Verdana" w:cs="Verdana"/>
                <w:b/>
                <w:noProof/>
                <w:color w:val="000000"/>
                <w:sz w:val="18"/>
                <w:szCs w:val="20"/>
                <w:lang w:val="bg-BG"/>
              </w:rPr>
            </w:pPr>
            <w:r>
              <w:rPr>
                <w:rFonts w:ascii="Verdana" w:eastAsia="Calibri" w:hAnsi="Verdana"/>
                <w:b/>
                <w:noProof/>
                <w:color w:val="000000"/>
                <w:sz w:val="18"/>
                <w:szCs w:val="20"/>
                <w:lang w:val="bg-BG"/>
              </w:rPr>
              <w:t xml:space="preserve">  17</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Гаранциите за изпълнение се изискват, за да се гарантира, че бенефициерите на средства от ЕФР изпълняват задълженията по своите договори с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Гаранциите за удържане се отнасят само за договорите за строителство. По принцип 10 % от междинните плащания за бенефициерите се задържат, за да се гарантира, че изпълнителите ще изпълнят своите задължения. Тези задържани суми се записват като платими суми. Ако възлагащият орган даде своето одобрение, изпълнителят може вместо това да внесе гаранция за удържане, която замества сумата, удържана от междинното плащане. Тези получени гаранции се посочват като условни активи.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За договорите, които се управляват под режим на непряко управление, гаранциите принадлежат на възлагащ орган, различен от ЕФР, и поради това те не се оповестяват от ЕФР. </w:t>
      </w:r>
    </w:p>
    <w:p>
      <w:pPr>
        <w:pStyle w:val="HEADER2Part2"/>
        <w:rPr>
          <w:noProof/>
          <w:lang w:val="bg-BG"/>
        </w:rPr>
      </w:pPr>
      <w:r>
        <w:rPr>
          <w:noProof/>
          <w:lang w:val="bg-BG"/>
        </w:rPr>
        <w:t>ДРУГИ СЪЩЕСТВЕНИ ОПОВЕСТЕНИ ДАННИ</w:t>
      </w:r>
    </w:p>
    <w:p>
      <w:pPr>
        <w:numPr>
          <w:ilvl w:val="2"/>
          <w:numId w:val="10"/>
        </w:numPr>
        <w:tabs>
          <w:tab w:val="left" w:pos="907"/>
        </w:tabs>
        <w:spacing w:before="360" w:after="360"/>
        <w:rPr>
          <w:rFonts w:ascii="Verdana" w:hAnsi="Verdana"/>
          <w:noProof/>
          <w:color w:val="016794"/>
          <w:sz w:val="20"/>
          <w:szCs w:val="20"/>
          <w:lang w:val="bg-BG"/>
        </w:rPr>
      </w:pPr>
      <w:r>
        <w:rPr>
          <w:rFonts w:ascii="Verdana" w:hAnsi="Verdana"/>
          <w:noProof/>
          <w:color w:val="016794"/>
          <w:sz w:val="20"/>
          <w:szCs w:val="20"/>
          <w:lang w:val="bg-BG"/>
        </w:rPr>
        <w:t>Неизпълнени задължения, които още не са отчетени като разход</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Посочената по-долу сума са бюджетните RAL (Reste à Liquider — неизпълнени поети задължения) минус свързаните с тях суми, включени като разходи в отчета за финансовия резултат. Бюджетните RAL са сума, която представлява поети задължения, за които плащанията и/или отмените все още не са извършени. Това е нормално следствие от съществуването на многогодишни програми.</w:t>
      </w:r>
    </w:p>
    <w:tbl>
      <w:tblPr>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7"/>
        <w:gridCol w:w="939"/>
        <w:gridCol w:w="871"/>
        <w:gridCol w:w="826"/>
        <w:gridCol w:w="826"/>
        <w:gridCol w:w="1526"/>
        <w:gridCol w:w="1627"/>
      </w:tblGrid>
      <w:tr>
        <w:trPr>
          <w:trHeight w:val="255"/>
        </w:trPr>
        <w:tc>
          <w:tcPr>
            <w:tcW w:w="9983" w:type="dxa"/>
            <w:gridSpan w:val="7"/>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6"/>
                <w:szCs w:val="20"/>
                <w:lang w:val="bg-BG"/>
              </w:rPr>
            </w:pPr>
            <w:bookmarkStart w:id="83" w:name="DOC_TBL00031_1_1"/>
            <w:bookmarkEnd w:id="83"/>
            <w:r>
              <w:rPr>
                <w:rFonts w:ascii="Verdana" w:eastAsia="Calibri" w:hAnsi="Verdana"/>
                <w:i/>
                <w:noProof/>
                <w:color w:val="000000"/>
                <w:sz w:val="16"/>
                <w:szCs w:val="20"/>
                <w:lang w:val="bg-BG"/>
              </w:rPr>
              <w:t>милиони евро</w:t>
            </w:r>
          </w:p>
        </w:tc>
      </w:tr>
      <w:tr>
        <w:trPr>
          <w:trHeight w:val="255"/>
        </w:trPr>
        <w:tc>
          <w:tcPr>
            <w:tcW w:w="3368"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p>
        </w:tc>
        <w:tc>
          <w:tcPr>
            <w:tcW w:w="939"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Осми ЕФР</w:t>
            </w:r>
          </w:p>
        </w:tc>
        <w:tc>
          <w:tcPr>
            <w:tcW w:w="871"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Девети ЕФР</w:t>
            </w:r>
          </w:p>
        </w:tc>
        <w:tc>
          <w:tcPr>
            <w:tcW w:w="82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10-и ЕФР</w:t>
            </w:r>
          </w:p>
        </w:tc>
        <w:tc>
          <w:tcPr>
            <w:tcW w:w="82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11-и ЕФР</w:t>
            </w:r>
          </w:p>
        </w:tc>
        <w:tc>
          <w:tcPr>
            <w:tcW w:w="1526"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627" w:type="dxa"/>
            <w:tcBorders>
              <w:top w:val="nil"/>
              <w:left w:val="nil"/>
              <w:bottom w:val="nil"/>
              <w:right w:val="nil"/>
            </w:tcBorders>
            <w:shd w:val="solid" w:color="016794" w:fill="FFFFFF"/>
            <w:tcMar>
              <w:top w:w="0" w:type="dxa"/>
              <w:left w:w="60" w:type="dxa"/>
              <w:bottom w:w="0" w:type="dxa"/>
              <w:right w:w="60" w:type="dxa"/>
            </w:tcMar>
            <w:vAlign w:val="center"/>
          </w:tcPr>
          <w:p>
            <w:pPr>
              <w:jc w:val="right"/>
              <w:rPr>
                <w:rFonts w:ascii="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3368" w:type="dxa"/>
            <w:tcBorders>
              <w:top w:val="nil"/>
              <w:left w:val="nil"/>
              <w:bottom w:val="nil"/>
              <w:right w:val="nil"/>
            </w:tcBorders>
            <w:tcMar>
              <w:top w:w="0" w:type="dxa"/>
              <w:left w:w="60" w:type="dxa"/>
              <w:bottom w:w="0" w:type="dxa"/>
              <w:right w:w="60" w:type="dxa"/>
            </w:tcMar>
            <w:vAlign w:val="center"/>
          </w:tcPr>
          <w:p>
            <w:pPr>
              <w:rPr>
                <w:rFonts w:ascii="Verdana" w:hAnsi="Verdana" w:cs="Verdana"/>
                <w:i/>
                <w:noProof/>
                <w:color w:val="000000"/>
                <w:sz w:val="18"/>
                <w:szCs w:val="20"/>
                <w:lang w:val="bg-BG"/>
              </w:rPr>
            </w:pPr>
            <w:r>
              <w:rPr>
                <w:rFonts w:ascii="Verdana" w:eastAsia="Calibri" w:hAnsi="Verdana"/>
                <w:i/>
                <w:noProof/>
                <w:color w:val="000000"/>
                <w:sz w:val="18"/>
                <w:szCs w:val="20"/>
                <w:lang w:val="bg-BG"/>
              </w:rPr>
              <w:t>Неизпълнени задължения, които още не са отчетени като разход</w:t>
            </w:r>
          </w:p>
        </w:tc>
        <w:tc>
          <w:tcPr>
            <w:tcW w:w="939"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(0)</w:t>
            </w:r>
          </w:p>
        </w:tc>
        <w:tc>
          <w:tcPr>
            <w:tcW w:w="871"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42</w:t>
            </w:r>
          </w:p>
        </w:tc>
        <w:tc>
          <w:tcPr>
            <w:tcW w:w="82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 xml:space="preserve"> 576</w:t>
            </w:r>
          </w:p>
        </w:tc>
        <w:tc>
          <w:tcPr>
            <w:tcW w:w="82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7 946</w:t>
            </w:r>
          </w:p>
        </w:tc>
        <w:tc>
          <w:tcPr>
            <w:tcW w:w="1526"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8 564</w:t>
            </w:r>
          </w:p>
        </w:tc>
        <w:tc>
          <w:tcPr>
            <w:tcW w:w="1627" w:type="dxa"/>
            <w:tcBorders>
              <w:top w:val="nil"/>
              <w:left w:val="nil"/>
              <w:bottom w:val="nil"/>
              <w:right w:val="nil"/>
            </w:tcBorders>
            <w:tcMar>
              <w:top w:w="0" w:type="dxa"/>
              <w:left w:w="60" w:type="dxa"/>
              <w:bottom w:w="0" w:type="dxa"/>
              <w:right w:w="60" w:type="dxa"/>
            </w:tcMar>
            <w:vAlign w:val="center"/>
          </w:tcPr>
          <w:p>
            <w:pPr>
              <w:jc w:val="right"/>
              <w:rPr>
                <w:rFonts w:ascii="Verdana" w:hAnsi="Verdana" w:cs="Verdana"/>
                <w:i/>
                <w:noProof/>
                <w:color w:val="000000"/>
                <w:sz w:val="18"/>
                <w:szCs w:val="20"/>
                <w:lang w:val="bg-BG"/>
              </w:rPr>
            </w:pPr>
            <w:r>
              <w:rPr>
                <w:rFonts w:ascii="Verdana" w:eastAsia="Calibri" w:hAnsi="Verdana"/>
                <w:i/>
                <w:noProof/>
                <w:color w:val="000000"/>
                <w:sz w:val="18"/>
                <w:szCs w:val="20"/>
                <w:lang w:val="bg-BG"/>
              </w:rPr>
              <w:t>9 071</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Към 31 декември 2019 г. бюджетните RAL възлизат на 10 270 милиона евро (2018 г.: 10 616 милиона евро).</w:t>
      </w:r>
    </w:p>
    <w:p>
      <w:pPr>
        <w:tabs>
          <w:tab w:val="left" w:pos="907"/>
        </w:tabs>
        <w:spacing w:after="240"/>
        <w:ind w:left="907" w:hanging="907"/>
        <w:jc w:val="both"/>
        <w:rPr>
          <w:rFonts w:ascii="Verdana" w:hAnsi="Verdana"/>
          <w:b/>
          <w:noProof/>
          <w:color w:val="016794"/>
          <w:sz w:val="32"/>
          <w:szCs w:val="32"/>
          <w:lang w:val="bg-BG"/>
        </w:rPr>
        <w:sectPr>
          <w:headerReference w:type="even" r:id="rId179"/>
          <w:headerReference w:type="default" r:id="rId180"/>
          <w:footerReference w:type="even" r:id="rId181"/>
          <w:footerReference w:type="default" r:id="rId182"/>
          <w:headerReference w:type="first" r:id="rId183"/>
          <w:footerReference w:type="first" r:id="rId184"/>
          <w:pgSz w:w="11906" w:h="16838" w:code="9"/>
          <w:pgMar w:top="1134" w:right="1134" w:bottom="1134" w:left="1134" w:header="708" w:footer="708" w:gutter="0"/>
          <w:cols w:space="708"/>
          <w:docGrid w:linePitch="360"/>
        </w:sectPr>
      </w:pPr>
    </w:p>
    <w:p>
      <w:pPr>
        <w:pStyle w:val="HEADER1Part2"/>
        <w:rPr>
          <w:noProof/>
          <w:lang w:val="bg-BG"/>
        </w:rPr>
      </w:pPr>
      <w:r>
        <w:rPr>
          <w:noProof/>
          <w:lang w:val="bg-BG"/>
        </w:rPr>
        <w:t>УПРАВЛЕНИЕ НА ФИНАНСОВИЯ РИСК</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Следните оповестени данни по отношение на управлението на финансовия риск на ЕФР се отнасят за касовите операции, извършвани от Комисията от името на ЕФР с цел прилагане на неговите ресурси.</w:t>
      </w:r>
    </w:p>
    <w:p>
      <w:pPr>
        <w:pStyle w:val="HEADER2Part2"/>
        <w:rPr>
          <w:noProof/>
          <w:lang w:val="bg-BG"/>
        </w:rPr>
      </w:pPr>
      <w:bookmarkStart w:id="84" w:name="_Ref35550915"/>
      <w:r>
        <w:rPr>
          <w:noProof/>
          <w:lang w:val="bg-BG"/>
        </w:rPr>
        <w:t>ПОЛИТИКИ ЗА УПРАВЛЕНИЕ НА РИСКА И ДЕЙНОСТИ ПО ХЕДЖИРАНЕ</w:t>
      </w:r>
      <w:bookmarkEnd w:id="84"/>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Правилата и принципите на управление на касовите операции са посочени във Финансовия регламент за 11-ия ЕФР и във Вътрешното споразумение.</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резултат на посоченото по-горе регламентиране се прилагат следните основни принципи:</w:t>
      </w:r>
    </w:p>
    <w:p>
      <w:pPr>
        <w:pStyle w:val="TextSubtitleItalicnumberinglettera"/>
        <w:tabs>
          <w:tab w:val="left" w:pos="426"/>
        </w:tabs>
        <w:ind w:left="426" w:hanging="426"/>
        <w:rPr>
          <w:noProof/>
          <w:lang w:val="bg-BG"/>
        </w:rPr>
      </w:pPr>
      <w:r>
        <w:rPr>
          <w:noProof/>
          <w:lang w:val="bg-BG"/>
        </w:rPr>
        <w:t>Вноските на ЕФР се плащат от държавите членки по специални сметки, открити в емисионната банка на всяка държава членка или в определена от нея финансова институция. Сумите на вноските остават в тези специални сметки до момента, когато плащанията от ЕФР трябва да бъдат направени.</w:t>
      </w:r>
    </w:p>
    <w:p>
      <w:pPr>
        <w:pStyle w:val="TextSubtitleItalicnumberinglettera"/>
        <w:tabs>
          <w:tab w:val="left" w:pos="426"/>
        </w:tabs>
        <w:ind w:left="426" w:hanging="426"/>
        <w:rPr>
          <w:noProof/>
          <w:lang w:val="bg-BG"/>
        </w:rPr>
      </w:pPr>
      <w:r>
        <w:rPr>
          <w:noProof/>
          <w:lang w:val="bg-BG"/>
        </w:rPr>
        <w:t>Вноските в ЕФР се правят от държавите членки в евро, а плащанията на ЕФР са в евро и в други валути.</w:t>
      </w:r>
    </w:p>
    <w:p>
      <w:pPr>
        <w:pStyle w:val="TextSubtitleItalicnumberinglettera"/>
        <w:tabs>
          <w:tab w:val="left" w:pos="426"/>
        </w:tabs>
        <w:ind w:left="426" w:hanging="426"/>
        <w:rPr>
          <w:noProof/>
          <w:lang w:val="bg-BG"/>
        </w:rPr>
      </w:pPr>
      <w:r>
        <w:rPr>
          <w:noProof/>
          <w:lang w:val="bg-BG"/>
        </w:rPr>
        <w:t>Не може по банковите сметки, открити от Комисията от името на ЕФР, да се теглят суми, надвишаващи наличните.</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допълнение към специалните сметки Комисията открива други банкови сметки на името на ЕФР във финансови институции (централни банки и търговски банки) с цел извършване на плащания и получаване на постъпления, различни от вноските на държавите членки към бюджета.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Касовите и платежните операции са силно автоматизирани и разчитат на модерни информационни системи. Прилагат се специални процедури, за да се гарантира сигурността на системата и да се осигури разделението на служебните задължения в съответствие с Финансовия регламент, стандартите на Комисията за вътрешен контрол и принципите за одит.</w:t>
      </w:r>
    </w:p>
    <w:p>
      <w:pPr>
        <w:spacing w:before="240" w:after="240"/>
        <w:jc w:val="both"/>
        <w:rPr>
          <w:rFonts w:ascii="Verdana" w:hAnsi="Verdana"/>
          <w:bCs/>
          <w:noProof/>
          <w:sz w:val="18"/>
          <w:szCs w:val="18"/>
          <w:lang w:val="bg-BG" w:eastAsia="en-US"/>
        </w:rPr>
      </w:pPr>
      <w:r>
        <w:rPr>
          <w:rFonts w:ascii="Verdana" w:hAnsi="Verdana"/>
          <w:noProof/>
          <w:sz w:val="18"/>
          <w:szCs w:val="18"/>
          <w:lang w:val="bg-BG" w:eastAsia="en-US"/>
        </w:rPr>
        <w:t>Набор от писмени насоки и процедури урежда управлението на касата и платежните операции с цел ограничаване на оперативния и финансовия риск и осигуряване на подходяща степен на контрол. Те обхващат различните области на действие, а съблюдаването на насоките и процедурите се проверява редовно.</w:t>
      </w:r>
    </w:p>
    <w:bookmarkEnd w:id="47"/>
    <w:p>
      <w:pPr>
        <w:rPr>
          <w:noProof/>
          <w:lang w:val="bg-BG"/>
        </w:rPr>
        <w:sectPr>
          <w:headerReference w:type="even" r:id="rId185"/>
          <w:headerReference w:type="default" r:id="rId186"/>
          <w:footerReference w:type="even" r:id="rId187"/>
          <w:footerReference w:type="default" r:id="rId188"/>
          <w:headerReference w:type="first" r:id="rId189"/>
          <w:footerReference w:type="first" r:id="rId190"/>
          <w:pgSz w:w="11906" w:h="16838" w:code="9"/>
          <w:pgMar w:top="1134" w:right="1134" w:bottom="1134" w:left="1134" w:header="708" w:footer="708" w:gutter="0"/>
          <w:cols w:space="708"/>
          <w:docGrid w:linePitch="360"/>
        </w:sectPr>
      </w:pPr>
    </w:p>
    <w:p>
      <w:pPr>
        <w:pStyle w:val="HEADER2Part2"/>
        <w:rPr>
          <w:noProof/>
          <w:lang w:val="bg-BG"/>
        </w:rPr>
      </w:pPr>
      <w:bookmarkStart w:id="85" w:name="_DMBM_18997"/>
      <w:r>
        <w:rPr>
          <w:noProof/>
          <w:lang w:val="bg-BG"/>
        </w:rPr>
        <w:t>ВАЛУТЕН РИСК</w:t>
      </w:r>
    </w:p>
    <w:p>
      <w:pPr>
        <w:rPr>
          <w:rFonts w:ascii="Verdana" w:hAnsi="Verdana"/>
          <w:b/>
          <w:noProof/>
          <w:color w:val="016794"/>
          <w:sz w:val="18"/>
          <w:szCs w:val="18"/>
          <w:lang w:val="bg-BG"/>
        </w:rPr>
      </w:pPr>
      <w:r>
        <w:rPr>
          <w:rFonts w:ascii="Verdana" w:hAnsi="Verdana"/>
          <w:b/>
          <w:noProof/>
          <w:color w:val="016794"/>
          <w:sz w:val="18"/>
          <w:szCs w:val="18"/>
          <w:lang w:val="bg-BG"/>
        </w:rPr>
        <w:t>Експозиция на ЕФР на валутен риск в края на годината — нетна позиция</w:t>
      </w:r>
    </w:p>
    <w:p>
      <w:pPr>
        <w:rPr>
          <w:rFonts w:ascii="Verdana" w:hAnsi="Verdana"/>
          <w:b/>
          <w:noProof/>
          <w:color w:val="016794"/>
          <w:sz w:val="18"/>
          <w:szCs w:val="18"/>
          <w:lang w:val="bg-BG"/>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69"/>
        <w:gridCol w:w="862"/>
        <w:gridCol w:w="847"/>
        <w:gridCol w:w="845"/>
        <w:gridCol w:w="870"/>
        <w:gridCol w:w="871"/>
        <w:gridCol w:w="870"/>
        <w:gridCol w:w="871"/>
        <w:gridCol w:w="870"/>
        <w:gridCol w:w="871"/>
        <w:gridCol w:w="870"/>
        <w:gridCol w:w="871"/>
        <w:gridCol w:w="870"/>
        <w:gridCol w:w="871"/>
      </w:tblGrid>
      <w:tr>
        <w:trPr>
          <w:trHeight w:val="255"/>
        </w:trPr>
        <w:tc>
          <w:tcPr>
            <w:tcW w:w="2284" w:type="dxa"/>
            <w:gridSpan w:val="15"/>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6"/>
                <w:szCs w:val="20"/>
                <w:lang w:val="bg-BG"/>
              </w:rPr>
            </w:pPr>
            <w:bookmarkStart w:id="86" w:name="DOC_TBL00034_1_1"/>
            <w:bookmarkEnd w:id="86"/>
            <w:r>
              <w:rPr>
                <w:rFonts w:ascii="Verdana" w:eastAsia="Calibri" w:hAnsi="Verdana"/>
                <w:i/>
                <w:noProof/>
                <w:color w:val="000000"/>
                <w:sz w:val="16"/>
                <w:szCs w:val="20"/>
                <w:lang w:val="bg-BG"/>
              </w:rPr>
              <w:t>милиони евро</w:t>
            </w:r>
          </w:p>
        </w:tc>
      </w:tr>
      <w:tr>
        <w:trPr>
          <w:trHeight w:val="255"/>
        </w:trPr>
        <w:tc>
          <w:tcPr>
            <w:tcW w:w="2284"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p>
        </w:tc>
        <w:tc>
          <w:tcPr>
            <w:tcW w:w="875" w:type="dxa"/>
            <w:gridSpan w:val="7"/>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31.12.2019 г.</w:t>
            </w:r>
          </w:p>
        </w:tc>
        <w:tc>
          <w:tcPr>
            <w:tcW w:w="876" w:type="dxa"/>
            <w:gridSpan w:val="7"/>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31.12.2018 г.</w:t>
            </w:r>
          </w:p>
        </w:tc>
      </w:tr>
      <w:tr>
        <w:trPr>
          <w:trHeight w:val="255"/>
        </w:trPr>
        <w:tc>
          <w:tcPr>
            <w:tcW w:w="2284"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p>
        </w:tc>
        <w:tc>
          <w:tcPr>
            <w:tcW w:w="875"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USD</w:t>
            </w:r>
          </w:p>
        </w:tc>
        <w:tc>
          <w:tcPr>
            <w:tcW w:w="868"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GBP</w:t>
            </w:r>
          </w:p>
        </w:tc>
        <w:tc>
          <w:tcPr>
            <w:tcW w:w="85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DKK</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SEK</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EUR</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Други</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Общо</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USD</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GBP</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DKK</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SEK</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EUR</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Други</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18"/>
                <w:szCs w:val="20"/>
                <w:lang w:val="bg-BG"/>
              </w:rPr>
            </w:pPr>
            <w:r>
              <w:rPr>
                <w:rFonts w:ascii="Verdana" w:eastAsia="Calibri" w:hAnsi="Verdana"/>
                <w:noProof/>
                <w:color w:val="FFFFFF"/>
                <w:sz w:val="18"/>
                <w:szCs w:val="20"/>
                <w:lang w:val="bg-BG"/>
              </w:rPr>
              <w:t>Общо</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Финансови активи</w:t>
            </w: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68"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5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Вземания и средства, подлежащи на събиране</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6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115</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123</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63</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67</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138</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Пари и парични еквиваленти</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6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1 178</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1 179</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386</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387</w:t>
            </w:r>
          </w:p>
        </w:tc>
      </w:tr>
      <w:tr>
        <w:trPr>
          <w:trHeight w:val="255"/>
        </w:trPr>
        <w:tc>
          <w:tcPr>
            <w:tcW w:w="22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c>
          <w:tcPr>
            <w:tcW w:w="8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1 293</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8</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1 302</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64</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453</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8</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525</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Финансови пасиви</w:t>
            </w: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68"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5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bidi="en-GB"/>
              </w:rPr>
            </w:pP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Нетекущи финансови пасиви</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6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(19)</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(19)</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Задължения</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86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(509)</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(516)</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(218)</w:t>
            </w:r>
          </w:p>
        </w:tc>
        <w:tc>
          <w:tcPr>
            <w:tcW w:w="87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(22)</w:t>
            </w:r>
          </w:p>
        </w:tc>
        <w:tc>
          <w:tcPr>
            <w:tcW w:w="8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(241)</w:t>
            </w:r>
          </w:p>
        </w:tc>
      </w:tr>
      <w:tr>
        <w:trPr>
          <w:trHeight w:val="255"/>
        </w:trPr>
        <w:tc>
          <w:tcPr>
            <w:tcW w:w="22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w:t>
            </w:r>
          </w:p>
        </w:tc>
        <w:tc>
          <w:tcPr>
            <w:tcW w:w="8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(528)</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(535)</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(236)</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(22)</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(259)</w:t>
            </w:r>
          </w:p>
        </w:tc>
      </w:tr>
      <w:tr>
        <w:trPr>
          <w:trHeight w:val="255"/>
        </w:trPr>
        <w:tc>
          <w:tcPr>
            <w:tcW w:w="2284"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w:t>
            </w:r>
          </w:p>
        </w:tc>
        <w:tc>
          <w:tcPr>
            <w:tcW w:w="868"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5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765</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8</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767</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63</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217</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(14)</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267</w:t>
            </w:r>
          </w:p>
        </w:tc>
      </w:tr>
    </w:tbl>
    <w:p>
      <w:pPr>
        <w:rPr>
          <w:rFonts w:ascii="Verdana" w:hAnsi="Verdana"/>
          <w:b/>
          <w:noProof/>
          <w:color w:val="016794"/>
          <w:sz w:val="18"/>
          <w:szCs w:val="18"/>
          <w:lang w:val="bg-BG"/>
        </w:rPr>
      </w:pP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Всички вноски са в евро, а други валути се купуват само ако са необходими за извършване на плащания. В резултат касовите операции на ЕФР не са изложени на валутен риск.</w:t>
      </w:r>
    </w:p>
    <w:bookmarkEnd w:id="85"/>
    <w:p>
      <w:pPr>
        <w:rPr>
          <w:noProof/>
          <w:lang w:val="bg-BG"/>
        </w:rPr>
        <w:sectPr>
          <w:headerReference w:type="even" r:id="rId191"/>
          <w:headerReference w:type="default" r:id="rId192"/>
          <w:footerReference w:type="even" r:id="rId193"/>
          <w:footerReference w:type="default" r:id="rId194"/>
          <w:headerReference w:type="first" r:id="rId195"/>
          <w:footerReference w:type="first" r:id="rId196"/>
          <w:pgSz w:w="16838" w:h="11906" w:orient="landscape" w:code="9"/>
          <w:pgMar w:top="1134" w:right="1134" w:bottom="1134" w:left="1134" w:header="709" w:footer="709" w:gutter="0"/>
          <w:cols w:space="708"/>
          <w:docGrid w:linePitch="360"/>
        </w:sectPr>
      </w:pPr>
    </w:p>
    <w:p>
      <w:pPr>
        <w:pStyle w:val="HEADER2Part2"/>
        <w:rPr>
          <w:noProof/>
          <w:lang w:val="bg-BG"/>
        </w:rPr>
      </w:pPr>
      <w:bookmarkStart w:id="87" w:name="_DMBM_18998"/>
      <w:r>
        <w:rPr>
          <w:noProof/>
          <w:lang w:val="bg-BG"/>
        </w:rPr>
        <w:t>ЛИХВЕН РИСК</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ЕФР не използва заеми и в резултат на това не е изложен на лихвен риск.</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Лихви се трупат от наличностите по различните му банкови сметки. Затова Комисията от името на ЕФР е въвела мерки за гарантиране на това, че начисляваната лихва редовно се адаптира към пазарните лихвени проценти, както и техните възможни колебания.</w:t>
      </w:r>
    </w:p>
    <w:p>
      <w:pPr>
        <w:spacing w:before="240" w:after="240"/>
        <w:jc w:val="both"/>
        <w:rPr>
          <w:rFonts w:ascii="Verdana" w:hAnsi="Verdana"/>
          <w:noProof/>
          <w:spacing w:val="-4"/>
          <w:sz w:val="18"/>
          <w:szCs w:val="18"/>
          <w:lang w:val="bg-BG" w:eastAsia="en-US"/>
        </w:rPr>
      </w:pPr>
      <w:r>
        <w:rPr>
          <w:rFonts w:ascii="Verdana" w:hAnsi="Verdana"/>
          <w:noProof/>
          <w:spacing w:val="-4"/>
          <w:sz w:val="18"/>
          <w:szCs w:val="18"/>
          <w:lang w:val="bg-BG" w:eastAsia="en-US"/>
        </w:rPr>
        <w:t>Вноските в бюджета на ЕФР се кредитират от всяка държава членка по специална сметка, открита във финансовата институция, създадена от нея. Тъй като лихвите, които се прилагат по отношение на тези сметки, могат понастоящем да са отрицателни, са въведени процедури за управление на средствата с цел свеждане до минимум на наличностите по тези сметки. Освен това в съответствие с Регламент (ЕС) 2016/888 на Съвета всяка отрицателна лихва по тези сметки се поема от съответната държава членка.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Върху овърнайт наличностите по сметки в търговски банки се начисляват лихви всеки ден. Лихвите върху наличностите по тези сметки се основават на плаващи пазарни лихви, към които се прилага договорен марж (положителен или отрицателен). За повечето сметки изчисляването на лихвата е свързано с пазарен референтен процент и се коригира така, че да отразява всички колебания на този лихвен процент. В резултат на това ЕФР не поема никакъв риск по неговите наличности да бъде начислена лихва, която е по-ниска от пазарната.</w:t>
      </w:r>
    </w:p>
    <w:p>
      <w:pPr>
        <w:pStyle w:val="HEADER2Part2"/>
        <w:rPr>
          <w:noProof/>
          <w:lang w:val="bg-BG"/>
        </w:rPr>
      </w:pPr>
      <w:r>
        <w:rPr>
          <w:noProof/>
          <w:lang w:val="bg-BG"/>
        </w:rPr>
        <w:t>КРЕДИТЕН РИСК (РИСК ОТ КОНТРАГЕНТА)</w:t>
      </w:r>
    </w:p>
    <w:p>
      <w:pPr>
        <w:rPr>
          <w:rFonts w:ascii="Verdana" w:hAnsi="Verdana"/>
          <w:b/>
          <w:noProof/>
          <w:color w:val="016794"/>
          <w:sz w:val="18"/>
          <w:szCs w:val="18"/>
          <w:lang w:val="bg-BG"/>
        </w:rPr>
      </w:pPr>
      <w:r>
        <w:rPr>
          <w:rFonts w:ascii="Verdana" w:hAnsi="Verdana"/>
          <w:b/>
          <w:noProof/>
          <w:color w:val="016794"/>
          <w:sz w:val="18"/>
          <w:szCs w:val="18"/>
          <w:lang w:val="bg-BG"/>
        </w:rPr>
        <w:t>Финансови активи, които не са нито просрочени, нито обезценени:</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3"/>
        <w:gridCol w:w="709"/>
        <w:gridCol w:w="1984"/>
        <w:gridCol w:w="992"/>
        <w:gridCol w:w="851"/>
        <w:gridCol w:w="850"/>
      </w:tblGrid>
      <w:tr>
        <w:trPr>
          <w:trHeight w:val="255"/>
        </w:trPr>
        <w:tc>
          <w:tcPr>
            <w:tcW w:w="9699" w:type="dxa"/>
            <w:gridSpan w:val="6"/>
            <w:tcBorders>
              <w:top w:val="nil"/>
              <w:left w:val="nil"/>
              <w:bottom w:val="nil"/>
              <w:right w:val="nil"/>
              <w:tl2br w:val="nil"/>
              <w:tr2bl w:val="nil"/>
            </w:tcBorders>
            <w:shd w:val="clear" w:color="auto" w:fill="auto"/>
            <w:tcMar>
              <w:left w:w="60" w:type="dxa"/>
              <w:right w:w="60" w:type="dxa"/>
            </w:tcMar>
            <w:vAlign w:val="center"/>
          </w:tcPr>
          <w:p>
            <w:pPr>
              <w:jc w:val="right"/>
              <w:rPr>
                <w:rFonts w:ascii="Calibri" w:eastAsia="Calibri" w:hAnsi="Calibri" w:cs="Calibri"/>
                <w:i/>
                <w:noProof/>
                <w:color w:val="000000"/>
                <w:sz w:val="20"/>
                <w:szCs w:val="20"/>
                <w:lang w:val="bg-BG"/>
              </w:rPr>
            </w:pPr>
            <w:bookmarkStart w:id="88" w:name="DOC_TBL00036_1_1"/>
            <w:bookmarkEnd w:id="88"/>
            <w:r>
              <w:rPr>
                <w:rFonts w:ascii="Calibri" w:eastAsia="Calibri" w:hAnsi="Calibri"/>
                <w:i/>
                <w:noProof/>
                <w:color w:val="000000"/>
                <w:sz w:val="20"/>
                <w:szCs w:val="20"/>
                <w:lang w:val="bg-BG"/>
              </w:rPr>
              <w:t>милиони евро</w:t>
            </w:r>
          </w:p>
        </w:tc>
      </w:tr>
      <w:tr>
        <w:trPr>
          <w:trHeight w:val="255"/>
        </w:trPr>
        <w:tc>
          <w:tcPr>
            <w:tcW w:w="4313"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p>
        </w:tc>
        <w:tc>
          <w:tcPr>
            <w:tcW w:w="709" w:type="dxa"/>
            <w:tcBorders>
              <w:top w:val="nil"/>
              <w:left w:val="nil"/>
              <w:bottom w:val="nil"/>
              <w:right w:val="nil"/>
              <w:tl2br w:val="nil"/>
              <w:tr2bl w:val="nil"/>
            </w:tcBorders>
            <w:shd w:val="solid" w:color="016794" w:fill="FFFFFF"/>
            <w:tcMar>
              <w:left w:w="60" w:type="dxa"/>
              <w:right w:w="60" w:type="dxa"/>
            </w:tcMa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w:t>
            </w:r>
          </w:p>
        </w:tc>
        <w:tc>
          <w:tcPr>
            <w:tcW w:w="1984" w:type="dxa"/>
            <w:tcBorders>
              <w:top w:val="nil"/>
              <w:left w:val="nil"/>
              <w:bottom w:val="nil"/>
              <w:right w:val="nil"/>
              <w:tl2br w:val="nil"/>
              <w:tr2bl w:val="nil"/>
            </w:tcBorders>
            <w:shd w:val="solid" w:color="016794" w:fill="FFFFFF"/>
            <w:tcMar>
              <w:left w:w="60" w:type="dxa"/>
              <w:right w:w="60" w:type="dxa"/>
            </w:tcMa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Непросрочени и необезценени</w:t>
            </w:r>
          </w:p>
        </w:tc>
        <w:tc>
          <w:tcPr>
            <w:tcW w:w="2693" w:type="dxa"/>
            <w:gridSpan w:val="3"/>
            <w:tcBorders>
              <w:top w:val="nil"/>
              <w:left w:val="nil"/>
              <w:bottom w:val="nil"/>
              <w:right w:val="nil"/>
              <w:tl2br w:val="nil"/>
              <w:tr2bl w:val="nil"/>
            </w:tcBorders>
            <w:shd w:val="solid" w:color="016794" w:fill="FFFFFF"/>
            <w:tcMar>
              <w:left w:w="60" w:type="dxa"/>
              <w:right w:w="60" w:type="dxa"/>
            </w:tcMa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Просрочени, но необезценени</w:t>
            </w:r>
          </w:p>
        </w:tc>
      </w:tr>
      <w:tr>
        <w:trPr>
          <w:trHeight w:val="255"/>
        </w:trPr>
        <w:tc>
          <w:tcPr>
            <w:tcW w:w="4313"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p>
        </w:tc>
        <w:tc>
          <w:tcPr>
            <w:tcW w:w="709"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p>
        </w:tc>
        <w:tc>
          <w:tcPr>
            <w:tcW w:w="1984"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p>
        </w:tc>
        <w:tc>
          <w:tcPr>
            <w:tcW w:w="99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&lt; 1 година</w:t>
            </w:r>
          </w:p>
        </w:tc>
        <w:tc>
          <w:tcPr>
            <w:tcW w:w="851"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1—5 години</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&gt; 5 години</w:t>
            </w:r>
          </w:p>
        </w:tc>
      </w:tr>
      <w:tr>
        <w:trPr>
          <w:trHeight w:val="255"/>
        </w:trPr>
        <w:tc>
          <w:tcPr>
            <w:tcW w:w="4313"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Вземания по операции с размяна и средства, подлежащи на събиране, по операции без размяна</w:t>
            </w:r>
          </w:p>
        </w:tc>
        <w:tc>
          <w:tcPr>
            <w:tcW w:w="70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123</w:t>
            </w:r>
          </w:p>
        </w:tc>
        <w:tc>
          <w:tcPr>
            <w:tcW w:w="198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100</w:t>
            </w:r>
          </w:p>
        </w:tc>
        <w:tc>
          <w:tcPr>
            <w:tcW w:w="99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16</w:t>
            </w:r>
          </w:p>
        </w:tc>
        <w:tc>
          <w:tcPr>
            <w:tcW w:w="85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4313"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към 31.12.2019 г.</w:t>
            </w:r>
          </w:p>
        </w:tc>
        <w:tc>
          <w:tcPr>
            <w:tcW w:w="709"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123</w:t>
            </w:r>
          </w:p>
        </w:tc>
        <w:tc>
          <w:tcPr>
            <w:tcW w:w="198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100</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16</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r>
      <w:tr>
        <w:trPr>
          <w:trHeight w:val="255"/>
        </w:trPr>
        <w:tc>
          <w:tcPr>
            <w:tcW w:w="4313"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Вземания по операции с размяна и средства, подлежащи на събиране, по операции без размяна</w:t>
            </w:r>
          </w:p>
        </w:tc>
        <w:tc>
          <w:tcPr>
            <w:tcW w:w="70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138</w:t>
            </w:r>
          </w:p>
        </w:tc>
        <w:tc>
          <w:tcPr>
            <w:tcW w:w="198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121</w:t>
            </w:r>
          </w:p>
        </w:tc>
        <w:tc>
          <w:tcPr>
            <w:tcW w:w="99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w:t>
            </w:r>
          </w:p>
        </w:tc>
        <w:tc>
          <w:tcPr>
            <w:tcW w:w="85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4313"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към 31.12.2018 г.</w:t>
            </w:r>
          </w:p>
        </w:tc>
        <w:tc>
          <w:tcPr>
            <w:tcW w:w="709"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138</w:t>
            </w:r>
          </w:p>
        </w:tc>
        <w:tc>
          <w:tcPr>
            <w:tcW w:w="198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121</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r>
    </w:tbl>
    <w:p>
      <w:pPr>
        <w:rPr>
          <w:rFonts w:ascii="Verdana" w:hAnsi="Verdana"/>
          <w:b/>
          <w:noProof/>
          <w:color w:val="016794"/>
          <w:sz w:val="18"/>
          <w:szCs w:val="18"/>
          <w:lang w:val="bg-BG"/>
        </w:rPr>
      </w:pPr>
    </w:p>
    <w:p>
      <w:pPr>
        <w:rPr>
          <w:rFonts w:ascii="Verdana" w:hAnsi="Verdana"/>
          <w:b/>
          <w:noProof/>
          <w:color w:val="016794"/>
          <w:sz w:val="18"/>
          <w:szCs w:val="18"/>
          <w:lang w:val="bg-BG"/>
        </w:rPr>
      </w:pPr>
      <w:r>
        <w:rPr>
          <w:rFonts w:ascii="Verdana" w:hAnsi="Verdana"/>
          <w:b/>
          <w:noProof/>
          <w:color w:val="016794"/>
          <w:sz w:val="18"/>
          <w:szCs w:val="18"/>
          <w:lang w:val="bg-BG"/>
        </w:rPr>
        <w:t>Финансови активи по категория на риска:</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1418"/>
        <w:gridCol w:w="1134"/>
        <w:gridCol w:w="850"/>
        <w:gridCol w:w="1390"/>
        <w:gridCol w:w="1162"/>
        <w:gridCol w:w="708"/>
      </w:tblGrid>
      <w:tr>
        <w:trPr>
          <w:trHeight w:val="255"/>
        </w:trPr>
        <w:tc>
          <w:tcPr>
            <w:tcW w:w="9699" w:type="dxa"/>
            <w:gridSpan w:val="7"/>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i/>
                <w:noProof/>
                <w:color w:val="000000"/>
                <w:sz w:val="20"/>
                <w:szCs w:val="20"/>
                <w:lang w:val="bg-BG"/>
              </w:rPr>
            </w:pPr>
            <w:bookmarkStart w:id="89" w:name="DOC_TBL00044_1_1"/>
            <w:bookmarkEnd w:id="89"/>
            <w:r>
              <w:rPr>
                <w:rFonts w:ascii="Calibri" w:eastAsia="Calibri" w:hAnsi="Calibri"/>
                <w:i/>
                <w:noProof/>
                <w:color w:val="000000"/>
                <w:sz w:val="20"/>
                <w:szCs w:val="20"/>
                <w:lang w:val="bg-BG"/>
              </w:rPr>
              <w:t>милиони евро</w:t>
            </w:r>
          </w:p>
        </w:tc>
      </w:tr>
      <w:tr>
        <w:trPr>
          <w:trHeight w:val="255"/>
        </w:trPr>
        <w:tc>
          <w:tcPr>
            <w:tcW w:w="3037"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p>
        </w:tc>
        <w:tc>
          <w:tcPr>
            <w:tcW w:w="3402" w:type="dxa"/>
            <w:gridSpan w:val="3"/>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3260" w:type="dxa"/>
            <w:gridSpan w:val="3"/>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3037"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p>
        </w:tc>
        <w:tc>
          <w:tcPr>
            <w:tcW w:w="1418"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Вземания</w:t>
            </w:r>
          </w:p>
        </w:tc>
        <w:tc>
          <w:tcPr>
            <w:tcW w:w="1134"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Парични средства</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w:t>
            </w:r>
          </w:p>
        </w:tc>
        <w:tc>
          <w:tcPr>
            <w:tcW w:w="1390"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Вземания</w:t>
            </w:r>
          </w:p>
        </w:tc>
        <w:tc>
          <w:tcPr>
            <w:tcW w:w="116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Парични средства</w:t>
            </w:r>
          </w:p>
        </w:tc>
        <w:tc>
          <w:tcPr>
            <w:tcW w:w="708"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w:t>
            </w:r>
          </w:p>
        </w:tc>
      </w:tr>
      <w:tr>
        <w:trPr>
          <w:trHeight w:val="255"/>
        </w:trPr>
        <w:tc>
          <w:tcPr>
            <w:tcW w:w="3037" w:type="dxa"/>
            <w:tcBorders>
              <w:top w:val="nil"/>
              <w:left w:val="nil"/>
              <w:bottom w:val="nil"/>
              <w:right w:val="nil"/>
              <w:tl2br w:val="nil"/>
              <w:tr2bl w:val="nil"/>
            </w:tcBorders>
            <w:shd w:val="clear" w:color="auto" w:fill="auto"/>
            <w:tcMar>
              <w:left w:w="60" w:type="dxa"/>
              <w:right w:w="60" w:type="dxa"/>
            </w:tcMar>
            <w:vAlign w:val="center"/>
          </w:tcPr>
          <w:p>
            <w:pPr>
              <w:rPr>
                <w:rFonts w:ascii="Calibri" w:eastAsia="Calibri" w:hAnsi="Calibri" w:cs="Calibri"/>
                <w:b/>
                <w:noProof/>
                <w:color w:val="000000"/>
                <w:sz w:val="20"/>
                <w:szCs w:val="20"/>
                <w:lang w:val="bg-BG"/>
              </w:rPr>
            </w:pPr>
            <w:r>
              <w:rPr>
                <w:rFonts w:ascii="Calibri" w:eastAsia="Calibri" w:hAnsi="Calibri"/>
                <w:b/>
                <w:noProof/>
                <w:color w:val="000000"/>
                <w:sz w:val="20"/>
                <w:szCs w:val="20"/>
                <w:lang w:val="bg-BG"/>
              </w:rPr>
              <w:t>Контрагенти с външен кредитен рейтинг</w:t>
            </w:r>
          </w:p>
        </w:tc>
        <w:tc>
          <w:tcPr>
            <w:tcW w:w="1418" w:type="dxa"/>
            <w:tcBorders>
              <w:top w:val="nil"/>
              <w:left w:val="nil"/>
              <w:bottom w:val="nil"/>
              <w:right w:val="nil"/>
              <w:tl2br w:val="nil"/>
              <w:tr2bl w:val="nil"/>
            </w:tcBorders>
            <w:shd w:val="clear" w:color="auto" w:fill="auto"/>
            <w:tcMar>
              <w:left w:w="60" w:type="dxa"/>
              <w:right w:w="60" w:type="dxa"/>
            </w:tcMar>
            <w:vAlign w:val="center"/>
          </w:tcPr>
          <w:p>
            <w:pPr>
              <w:rPr>
                <w:rFonts w:ascii="Calibri" w:eastAsia="Calibri" w:hAnsi="Calibri" w:cs="Calibri"/>
                <w:noProof/>
                <w:color w:val="000000"/>
                <w:sz w:val="20"/>
                <w:szCs w:val="20"/>
                <w:lang w:val="bg-BG"/>
              </w:rPr>
            </w:pPr>
          </w:p>
        </w:tc>
        <w:tc>
          <w:tcPr>
            <w:tcW w:w="1134"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noProof/>
                <w:color w:val="000000"/>
                <w:sz w:val="20"/>
                <w:szCs w:val="20"/>
                <w:lang w:val="bg-BG"/>
              </w:rPr>
            </w:pPr>
          </w:p>
        </w:tc>
        <w:tc>
          <w:tcPr>
            <w:tcW w:w="850"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noProof/>
                <w:color w:val="000000"/>
                <w:sz w:val="20"/>
                <w:szCs w:val="20"/>
                <w:lang w:val="bg-BG"/>
              </w:rPr>
            </w:pPr>
          </w:p>
        </w:tc>
        <w:tc>
          <w:tcPr>
            <w:tcW w:w="1390" w:type="dxa"/>
            <w:tcBorders>
              <w:top w:val="nil"/>
              <w:left w:val="nil"/>
              <w:bottom w:val="nil"/>
              <w:right w:val="nil"/>
              <w:tl2br w:val="nil"/>
              <w:tr2bl w:val="nil"/>
            </w:tcBorders>
            <w:shd w:val="clear" w:color="auto" w:fill="auto"/>
            <w:tcMar>
              <w:left w:w="60" w:type="dxa"/>
              <w:right w:w="60" w:type="dxa"/>
            </w:tcMar>
            <w:vAlign w:val="center"/>
          </w:tcPr>
          <w:p>
            <w:pPr>
              <w:jc w:val="right"/>
              <w:rPr>
                <w:rFonts w:ascii="Calibri" w:eastAsia="Calibri" w:hAnsi="Calibri" w:cs="Calibri"/>
                <w:noProof/>
                <w:color w:val="000000"/>
                <w:sz w:val="20"/>
                <w:szCs w:val="20"/>
                <w:lang w:val="bg-BG"/>
              </w:rPr>
            </w:pPr>
          </w:p>
        </w:tc>
        <w:tc>
          <w:tcPr>
            <w:tcW w:w="1162"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noProof/>
                <w:color w:val="000000"/>
                <w:sz w:val="20"/>
                <w:szCs w:val="20"/>
                <w:lang w:val="bg-BG"/>
              </w:rPr>
            </w:pPr>
          </w:p>
        </w:tc>
        <w:tc>
          <w:tcPr>
            <w:tcW w:w="708"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noProof/>
                <w:color w:val="000000"/>
                <w:sz w:val="20"/>
                <w:szCs w:val="20"/>
                <w:lang w:val="bg-BG" w:bidi="en-GB"/>
              </w:rPr>
            </w:pPr>
          </w:p>
        </w:tc>
      </w:tr>
      <w:tr>
        <w:trPr>
          <w:trHeight w:val="255"/>
        </w:trPr>
        <w:tc>
          <w:tcPr>
            <w:tcW w:w="303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Нискорисков и висок рейтинг</w:t>
            </w:r>
          </w:p>
        </w:tc>
        <w:tc>
          <w:tcPr>
            <w:tcW w:w="141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11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958</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965</w:t>
            </w:r>
          </w:p>
        </w:tc>
        <w:tc>
          <w:tcPr>
            <w:tcW w:w="13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c>
          <w:tcPr>
            <w:tcW w:w="116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303</w:t>
            </w:r>
          </w:p>
        </w:tc>
        <w:tc>
          <w:tcPr>
            <w:tcW w:w="70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308</w:t>
            </w:r>
          </w:p>
        </w:tc>
      </w:tr>
      <w:tr>
        <w:trPr>
          <w:trHeight w:val="255"/>
        </w:trPr>
        <w:tc>
          <w:tcPr>
            <w:tcW w:w="303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Горен среден рейтинг</w:t>
            </w:r>
          </w:p>
        </w:tc>
        <w:tc>
          <w:tcPr>
            <w:tcW w:w="141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220</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220</w:t>
            </w:r>
          </w:p>
        </w:tc>
        <w:tc>
          <w:tcPr>
            <w:tcW w:w="13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6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80</w:t>
            </w:r>
          </w:p>
        </w:tc>
        <w:tc>
          <w:tcPr>
            <w:tcW w:w="70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80</w:t>
            </w:r>
          </w:p>
        </w:tc>
      </w:tr>
      <w:tr>
        <w:trPr>
          <w:trHeight w:val="255"/>
        </w:trPr>
        <w:tc>
          <w:tcPr>
            <w:tcW w:w="303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Долен среден рейтинг</w:t>
            </w:r>
          </w:p>
        </w:tc>
        <w:tc>
          <w:tcPr>
            <w:tcW w:w="141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3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6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c>
          <w:tcPr>
            <w:tcW w:w="70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r>
      <w:tr>
        <w:trPr>
          <w:trHeight w:val="255"/>
        </w:trPr>
        <w:tc>
          <w:tcPr>
            <w:tcW w:w="303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Неинвестиционен рейтинг</w:t>
            </w:r>
          </w:p>
        </w:tc>
        <w:tc>
          <w:tcPr>
            <w:tcW w:w="141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13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6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70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r>
      <w:tr>
        <w:trPr>
          <w:trHeight w:val="255"/>
        </w:trPr>
        <w:tc>
          <w:tcPr>
            <w:tcW w:w="303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w:t>
            </w:r>
          </w:p>
        </w:tc>
        <w:tc>
          <w:tcPr>
            <w:tcW w:w="11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1 179</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1 186</w:t>
            </w:r>
          </w:p>
        </w:tc>
        <w:tc>
          <w:tcPr>
            <w:tcW w:w="13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w:t>
            </w:r>
          </w:p>
        </w:tc>
        <w:tc>
          <w:tcPr>
            <w:tcW w:w="11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387</w:t>
            </w:r>
          </w:p>
        </w:tc>
        <w:tc>
          <w:tcPr>
            <w:tcW w:w="70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391</w:t>
            </w:r>
          </w:p>
        </w:tc>
      </w:tr>
      <w:tr>
        <w:trPr>
          <w:trHeight w:val="255"/>
        </w:trPr>
        <w:tc>
          <w:tcPr>
            <w:tcW w:w="3037" w:type="dxa"/>
            <w:tcBorders>
              <w:top w:val="nil"/>
              <w:left w:val="nil"/>
              <w:bottom w:val="nil"/>
              <w:right w:val="nil"/>
              <w:tl2br w:val="nil"/>
              <w:tr2bl w:val="nil"/>
            </w:tcBorders>
            <w:shd w:val="clear" w:color="auto" w:fill="auto"/>
            <w:tcMar>
              <w:left w:w="60" w:type="dxa"/>
              <w:right w:w="60" w:type="dxa"/>
            </w:tcMar>
            <w:vAlign w:val="center"/>
          </w:tcPr>
          <w:p>
            <w:pPr>
              <w:rPr>
                <w:rFonts w:ascii="Calibri" w:eastAsia="Calibri" w:hAnsi="Calibri" w:cs="Calibri"/>
                <w:b/>
                <w:noProof/>
                <w:color w:val="000000"/>
                <w:sz w:val="20"/>
                <w:szCs w:val="20"/>
                <w:lang w:val="bg-BG"/>
              </w:rPr>
            </w:pPr>
            <w:r>
              <w:rPr>
                <w:rFonts w:ascii="Calibri" w:eastAsia="Calibri" w:hAnsi="Calibri"/>
                <w:b/>
                <w:noProof/>
                <w:color w:val="000000"/>
                <w:sz w:val="20"/>
                <w:szCs w:val="20"/>
                <w:lang w:val="bg-BG"/>
              </w:rPr>
              <w:t>Контрагенти без външен кредитен рейтинг</w:t>
            </w:r>
          </w:p>
        </w:tc>
        <w:tc>
          <w:tcPr>
            <w:tcW w:w="1418" w:type="dxa"/>
            <w:tcBorders>
              <w:top w:val="nil"/>
              <w:left w:val="nil"/>
              <w:bottom w:val="nil"/>
              <w:right w:val="nil"/>
              <w:tl2br w:val="nil"/>
              <w:tr2bl w:val="nil"/>
            </w:tcBorders>
            <w:shd w:val="clear" w:color="auto" w:fill="auto"/>
            <w:tcMar>
              <w:left w:w="60" w:type="dxa"/>
              <w:right w:w="60" w:type="dxa"/>
            </w:tcMar>
            <w:vAlign w:val="center"/>
          </w:tcPr>
          <w:p>
            <w:pPr>
              <w:rPr>
                <w:rFonts w:ascii="Calibri" w:eastAsia="Calibri" w:hAnsi="Calibri" w:cs="Calibri"/>
                <w:noProof/>
                <w:color w:val="000000"/>
                <w:sz w:val="20"/>
                <w:szCs w:val="20"/>
                <w:lang w:val="bg-BG"/>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rPr>
                <w:rFonts w:ascii="Calibri" w:eastAsia="Calibri" w:hAnsi="Calibri" w:cs="Calibri"/>
                <w:noProof/>
                <w:color w:val="000000"/>
                <w:sz w:val="20"/>
                <w:szCs w:val="20"/>
                <w:lang w:val="bg-BG"/>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rPr>
                <w:rFonts w:ascii="Calibri" w:eastAsia="Calibri" w:hAnsi="Calibri" w:cs="Calibri"/>
                <w:noProof/>
                <w:color w:val="000000"/>
                <w:sz w:val="20"/>
                <w:szCs w:val="20"/>
                <w:lang w:val="bg-BG"/>
              </w:rPr>
            </w:pPr>
          </w:p>
        </w:tc>
        <w:tc>
          <w:tcPr>
            <w:tcW w:w="1390" w:type="dxa"/>
            <w:tcBorders>
              <w:top w:val="nil"/>
              <w:left w:val="nil"/>
              <w:bottom w:val="nil"/>
              <w:right w:val="nil"/>
              <w:tl2br w:val="nil"/>
              <w:tr2bl w:val="nil"/>
            </w:tcBorders>
            <w:shd w:val="clear" w:color="auto" w:fill="auto"/>
            <w:tcMar>
              <w:left w:w="60" w:type="dxa"/>
              <w:right w:w="60" w:type="dxa"/>
            </w:tcMar>
            <w:vAlign w:val="center"/>
          </w:tcPr>
          <w:p>
            <w:pPr>
              <w:rPr>
                <w:rFonts w:ascii="Calibri" w:eastAsia="Calibri" w:hAnsi="Calibri" w:cs="Calibri"/>
                <w:noProof/>
                <w:color w:val="000000"/>
                <w:sz w:val="20"/>
                <w:szCs w:val="20"/>
                <w:lang w:val="bg-BG"/>
              </w:rPr>
            </w:pPr>
          </w:p>
        </w:tc>
        <w:tc>
          <w:tcPr>
            <w:tcW w:w="1162" w:type="dxa"/>
            <w:tcBorders>
              <w:top w:val="nil"/>
              <w:left w:val="nil"/>
              <w:bottom w:val="nil"/>
              <w:right w:val="nil"/>
              <w:tl2br w:val="nil"/>
              <w:tr2bl w:val="nil"/>
            </w:tcBorders>
            <w:shd w:val="clear" w:color="auto" w:fill="auto"/>
            <w:tcMar>
              <w:left w:w="60" w:type="dxa"/>
              <w:right w:w="60" w:type="dxa"/>
            </w:tcMar>
            <w:vAlign w:val="center"/>
          </w:tcPr>
          <w:p>
            <w:pPr>
              <w:rPr>
                <w:rFonts w:ascii="Calibri" w:eastAsia="Calibri" w:hAnsi="Calibri" w:cs="Calibri"/>
                <w:noProof/>
                <w:color w:val="000000"/>
                <w:sz w:val="20"/>
                <w:szCs w:val="20"/>
                <w:lang w:val="bg-BG"/>
              </w:rPr>
            </w:pPr>
          </w:p>
        </w:tc>
        <w:tc>
          <w:tcPr>
            <w:tcW w:w="708" w:type="dxa"/>
            <w:tcBorders>
              <w:top w:val="nil"/>
              <w:left w:val="nil"/>
              <w:bottom w:val="nil"/>
              <w:right w:val="nil"/>
              <w:tl2br w:val="nil"/>
              <w:tr2bl w:val="nil"/>
            </w:tcBorders>
            <w:shd w:val="clear" w:color="auto" w:fill="auto"/>
            <w:tcMar>
              <w:left w:w="60" w:type="dxa"/>
              <w:right w:w="60" w:type="dxa"/>
            </w:tcMar>
            <w:vAlign w:val="center"/>
          </w:tcPr>
          <w:p>
            <w:pPr>
              <w:rPr>
                <w:rFonts w:ascii="Calibri" w:eastAsia="Calibri" w:hAnsi="Calibri" w:cs="Calibri"/>
                <w:noProof/>
                <w:color w:val="000000"/>
                <w:sz w:val="20"/>
                <w:szCs w:val="20"/>
                <w:lang w:val="bg-BG" w:bidi="en-GB"/>
              </w:rPr>
            </w:pPr>
          </w:p>
        </w:tc>
      </w:tr>
      <w:tr>
        <w:trPr>
          <w:trHeight w:val="255"/>
        </w:trPr>
        <w:tc>
          <w:tcPr>
            <w:tcW w:w="303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Група 1 (длъжници без неизпълнени задължения в миналото)</w:t>
            </w:r>
          </w:p>
        </w:tc>
        <w:tc>
          <w:tcPr>
            <w:tcW w:w="141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116</w:t>
            </w:r>
          </w:p>
        </w:tc>
        <w:tc>
          <w:tcPr>
            <w:tcW w:w="11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116</w:t>
            </w:r>
          </w:p>
        </w:tc>
        <w:tc>
          <w:tcPr>
            <w:tcW w:w="13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133</w:t>
            </w:r>
          </w:p>
        </w:tc>
        <w:tc>
          <w:tcPr>
            <w:tcW w:w="116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0</w:t>
            </w:r>
          </w:p>
        </w:tc>
        <w:tc>
          <w:tcPr>
            <w:tcW w:w="70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134</w:t>
            </w:r>
          </w:p>
        </w:tc>
      </w:tr>
      <w:tr>
        <w:trPr>
          <w:trHeight w:val="255"/>
        </w:trPr>
        <w:tc>
          <w:tcPr>
            <w:tcW w:w="303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Група 2 (длъжници с неизпълнени задължения в миналото)</w:t>
            </w:r>
          </w:p>
        </w:tc>
        <w:tc>
          <w:tcPr>
            <w:tcW w:w="141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39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62"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708"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303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116</w:t>
            </w:r>
          </w:p>
        </w:tc>
        <w:tc>
          <w:tcPr>
            <w:tcW w:w="11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116</w:t>
            </w:r>
          </w:p>
        </w:tc>
        <w:tc>
          <w:tcPr>
            <w:tcW w:w="13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133</w:t>
            </w:r>
          </w:p>
        </w:tc>
        <w:tc>
          <w:tcPr>
            <w:tcW w:w="11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0</w:t>
            </w:r>
          </w:p>
        </w:tc>
        <w:tc>
          <w:tcPr>
            <w:tcW w:w="70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134</w:t>
            </w:r>
          </w:p>
        </w:tc>
      </w:tr>
      <w:tr>
        <w:trPr>
          <w:trHeight w:val="255"/>
        </w:trPr>
        <w:tc>
          <w:tcPr>
            <w:tcW w:w="3037"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w:t>
            </w:r>
          </w:p>
        </w:tc>
        <w:tc>
          <w:tcPr>
            <w:tcW w:w="1418"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123</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1 179</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1 302</w:t>
            </w:r>
          </w:p>
        </w:tc>
        <w:tc>
          <w:tcPr>
            <w:tcW w:w="1390"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138</w:t>
            </w:r>
          </w:p>
        </w:tc>
        <w:tc>
          <w:tcPr>
            <w:tcW w:w="1162"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387</w:t>
            </w:r>
          </w:p>
        </w:tc>
        <w:tc>
          <w:tcPr>
            <w:tcW w:w="708"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525</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Средствата в категориите „неинвестиционен рейтинг“ и „долен среден рейтинг“ са свързани основно с вноските на държавите членки за ЕФР, платени по специалните сметки, открити от държавите членки в съответствие с член 20, параграф 3 от ФР за ЕФР. Съгласно този регламент сумата на тези вноски трябва да остане в тези специални сметки до момента, когато трябва да бъдат направени плащанията.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съответствие с ФР за ЕФР по-голямата част от касовите ресурси на ЕФР се държат в специалните сметки, открити от държавите членки за плащане на техните вноски. Повечето от тези сметки са към министерствата на финансите на държавите членки или в националните централни банки. Тези институции носят най-нисък риск от контрагента за ЕФР (рискът се поема от държавите членки).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За частта от касовите ресурси на ЕФР, които са в търговски банки, с цел извършване на плащания, попълването на тези сметки се прави на принципа „точно навреме“ и автоматично се управлява от системата на Комисията за управление на паричните наличности. По всяка сметка се запазват минимални наличности, пропорционални на средната сума на ежедневните плащания, направени от тази сметка. Ето защо сумите, оставащи за едно денонощие по тези сметки, постоянно се запазват на ниско равнище, което ограничава риска за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Освен това за подбора на търговските банки се прилагат специални насоки с цел минимизиране на риска от контрагента, на който е изложен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Всички търговски банки се подбират чрез покани за представяне на предложения. Минималният краткосрочен кредитен рейтинг за допускане до тръжната процедура е Moody's P-1 или негов еквивалент (S&amp;P A-1 или Fitch F1). При специални и надлежно обосновани обстоятелства може да бъде прието по-ниско равнище. </w:t>
      </w:r>
    </w:p>
    <w:p>
      <w:pPr>
        <w:pStyle w:val="HEADER2Part2"/>
        <w:rPr>
          <w:noProof/>
          <w:lang w:val="bg-BG"/>
        </w:rPr>
      </w:pPr>
      <w:r>
        <w:rPr>
          <w:noProof/>
          <w:lang w:val="bg-BG"/>
        </w:rPr>
        <w:t>ЛИКВИДЕН РИСК</w:t>
      </w:r>
    </w:p>
    <w:p>
      <w:pPr>
        <w:rPr>
          <w:rFonts w:ascii="Verdana" w:hAnsi="Verdana"/>
          <w:b/>
          <w:noProof/>
          <w:color w:val="016794"/>
          <w:sz w:val="18"/>
          <w:szCs w:val="18"/>
          <w:lang w:val="bg-BG"/>
        </w:rPr>
      </w:pPr>
      <w:r>
        <w:rPr>
          <w:rFonts w:ascii="Verdana" w:hAnsi="Verdana"/>
          <w:b/>
          <w:noProof/>
          <w:color w:val="016794"/>
          <w:sz w:val="18"/>
          <w:szCs w:val="18"/>
          <w:lang w:val="bg-BG"/>
        </w:rPr>
        <w:t>Анализ на срока на финансовите пасиви по оставащия срок по договора</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3"/>
        <w:gridCol w:w="1821"/>
        <w:gridCol w:w="1821"/>
        <w:gridCol w:w="1821"/>
        <w:gridCol w:w="1821"/>
      </w:tblGrid>
      <w:tr>
        <w:trPr>
          <w:trHeight w:hRule="exact" w:val="272"/>
        </w:trPr>
        <w:tc>
          <w:tcPr>
            <w:tcW w:w="2433" w:type="dxa"/>
            <w:gridSpan w:val="5"/>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6"/>
                <w:szCs w:val="20"/>
                <w:lang w:val="bg-BG"/>
              </w:rPr>
            </w:pPr>
            <w:bookmarkStart w:id="90" w:name="DOC_TBL00045_1_1"/>
            <w:bookmarkEnd w:id="90"/>
            <w:r>
              <w:rPr>
                <w:rFonts w:ascii="Verdana" w:eastAsia="Calibri" w:hAnsi="Verdana"/>
                <w:i/>
                <w:noProof/>
                <w:color w:val="000000"/>
                <w:sz w:val="16"/>
                <w:szCs w:val="20"/>
                <w:lang w:val="bg-BG"/>
              </w:rPr>
              <w:t>милиони евро</w:t>
            </w:r>
          </w:p>
        </w:tc>
      </w:tr>
      <w:tr>
        <w:trPr>
          <w:trHeight w:hRule="exact" w:val="272"/>
        </w:trPr>
        <w:tc>
          <w:tcPr>
            <w:tcW w:w="2433"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p>
        </w:tc>
        <w:tc>
          <w:tcPr>
            <w:tcW w:w="1821"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&lt; 1 година</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1—5 години</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&gt; 5 години</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w:t>
            </w:r>
          </w:p>
        </w:tc>
      </w:tr>
      <w:tr>
        <w:trPr>
          <w:trHeight w:hRule="exact" w:val="272"/>
        </w:trPr>
        <w:tc>
          <w:tcPr>
            <w:tcW w:w="2433"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пасиви</w:t>
            </w:r>
          </w:p>
        </w:tc>
        <w:tc>
          <w:tcPr>
            <w:tcW w:w="182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516</w:t>
            </w:r>
          </w:p>
        </w:tc>
        <w:tc>
          <w:tcPr>
            <w:tcW w:w="1821"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w:t>
            </w:r>
          </w:p>
        </w:tc>
        <w:tc>
          <w:tcPr>
            <w:tcW w:w="182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17</w:t>
            </w:r>
          </w:p>
        </w:tc>
        <w:tc>
          <w:tcPr>
            <w:tcW w:w="1821"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535</w:t>
            </w:r>
          </w:p>
        </w:tc>
      </w:tr>
      <w:tr>
        <w:trPr>
          <w:trHeight w:hRule="exact" w:val="272"/>
        </w:trPr>
        <w:tc>
          <w:tcPr>
            <w:tcW w:w="2433"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към 31.12.2019 г.</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516</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22</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516</w:t>
            </w:r>
          </w:p>
        </w:tc>
      </w:tr>
      <w:tr>
        <w:trPr>
          <w:trHeight w:hRule="exact" w:val="272"/>
        </w:trPr>
        <w:tc>
          <w:tcPr>
            <w:tcW w:w="2433"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пасиви</w:t>
            </w:r>
          </w:p>
        </w:tc>
        <w:tc>
          <w:tcPr>
            <w:tcW w:w="182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241</w:t>
            </w:r>
          </w:p>
        </w:tc>
        <w:tc>
          <w:tcPr>
            <w:tcW w:w="1821"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182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w:t>
            </w:r>
          </w:p>
        </w:tc>
        <w:tc>
          <w:tcPr>
            <w:tcW w:w="1821"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259</w:t>
            </w:r>
          </w:p>
        </w:tc>
      </w:tr>
      <w:tr>
        <w:trPr>
          <w:trHeight w:hRule="exact" w:val="272"/>
        </w:trPr>
        <w:tc>
          <w:tcPr>
            <w:tcW w:w="2433"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към 31.12.2018 г.</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241</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11</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259</w:t>
            </w:r>
          </w:p>
        </w:tc>
      </w:tr>
    </w:tbl>
    <w:p>
      <w:pPr>
        <w:spacing w:before="240" w:after="240"/>
        <w:jc w:val="both"/>
        <w:rPr>
          <w:rFonts w:ascii="Verdana" w:hAnsi="Verdana"/>
          <w:noProof/>
          <w:sz w:val="18"/>
          <w:szCs w:val="18"/>
          <w:lang w:val="bg-BG" w:eastAsia="en-US"/>
        </w:rPr>
      </w:pPr>
      <w:r>
        <w:rPr>
          <w:rFonts w:ascii="Verdana" w:hAnsi="Verdana"/>
          <w:noProof/>
          <w:sz w:val="18"/>
          <w:szCs w:val="18"/>
          <w:lang w:val="bg-BG" w:eastAsia="en-US"/>
        </w:rPr>
        <w:t>Бюджетните принципи, които се прилагат за ЕФР, гарантират, че общите парични ресурси за бюджетния период са винаги достатъчни за извършване на всички плащания. Действително всички вноски от държавите членки са равни на общата сума на бюджетните кредити за плащания за съответния бюджетен период.</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Вноските от държавите членки за ЕФР обаче се изплащат на три транша за година, докато плащанията подлежат на сезонност.</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 цел касовите ресурси да бъдат винаги достатъчни за покриване на плащанията, които трябва да бъдат направени в даден месец, редовно се обменя информация за касовата наличност между касата на Комисията и съответните разплащателни отдели.</w:t>
      </w:r>
    </w:p>
    <w:p>
      <w:pPr>
        <w:spacing w:before="240" w:after="240"/>
        <w:jc w:val="both"/>
        <w:rPr>
          <w:rFonts w:ascii="Verdana" w:hAnsi="Verdana"/>
          <w:noProof/>
          <w:sz w:val="18"/>
          <w:szCs w:val="18"/>
          <w:lang w:val="bg-BG" w:eastAsia="en-US"/>
        </w:rPr>
        <w:sectPr>
          <w:headerReference w:type="even" r:id="rId197"/>
          <w:headerReference w:type="default" r:id="rId198"/>
          <w:footerReference w:type="even" r:id="rId199"/>
          <w:footerReference w:type="default" r:id="rId200"/>
          <w:headerReference w:type="first" r:id="rId201"/>
          <w:footerReference w:type="first" r:id="rId202"/>
          <w:pgSz w:w="11906" w:h="16838"/>
          <w:pgMar w:top="1134" w:right="1134" w:bottom="1134" w:left="1134" w:header="709" w:footer="709" w:gutter="0"/>
          <w:cols w:space="708"/>
          <w:docGrid w:linePitch="360"/>
        </w:sectPr>
      </w:pPr>
      <w:r>
        <w:rPr>
          <w:rFonts w:ascii="Verdana" w:hAnsi="Verdana"/>
          <w:noProof/>
          <w:sz w:val="18"/>
          <w:szCs w:val="18"/>
          <w:lang w:val="bg-BG" w:eastAsia="en-US"/>
        </w:rPr>
        <w:t>В допълнение към горното, в контекста на касовите операции на ЕФР автоматичните инструменти за управление ежедневно гарантират наличието на достатъчна ликвидност по всяка банкова сметка на ЕФР.</w:t>
      </w:r>
    </w:p>
    <w:p>
      <w:pPr>
        <w:pStyle w:val="HEADER1Part2"/>
        <w:rPr>
          <w:noProof/>
          <w:lang w:val="bg-BG"/>
        </w:rPr>
      </w:pPr>
      <w:r>
        <w:rPr>
          <w:noProof/>
          <w:lang w:val="bg-BG"/>
        </w:rPr>
        <w:t>ОПОВЕСТЯВАНЕ НА СВЪРЗАНИ ЛИЦА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Свързаните лица на ЕФР са доверителният фонд „Беку“, Доверителният фонд на ЕС за Африка и Европейската комисия. Операциите между тези субекти се осъществяват като част от обичайните операции на ЕФР и поради това не са необходими специални изисквания за оповестяването за тези операции в съответствие със счетоводните правила на ЕС.</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ЕФР няма отделно управление, тъй като се управлява от Комисията. Финансовите права на служителите на ключова ръководна длъжност в ЕС, в това число Комисията, са посочени в консолидираните годишни отчети на Европейския съюз в раздел 7.2 „Финансови права на служителите на ключова ръководна длъжност“.</w:t>
      </w:r>
    </w:p>
    <w:p>
      <w:pPr>
        <w:spacing w:before="240" w:after="240"/>
        <w:jc w:val="both"/>
        <w:rPr>
          <w:rFonts w:ascii="Verdana" w:hAnsi="Verdana"/>
          <w:noProof/>
          <w:sz w:val="18"/>
          <w:szCs w:val="18"/>
          <w:lang w:val="bg-BG" w:eastAsia="en-US"/>
        </w:rPr>
        <w:sectPr>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p>
    <w:p>
      <w:pPr>
        <w:pStyle w:val="HEADER1Part2"/>
        <w:rPr>
          <w:noProof/>
          <w:lang w:val="bg-BG"/>
        </w:rPr>
      </w:pPr>
      <w:r>
        <w:rPr>
          <w:noProof/>
          <w:lang w:val="bg-BG"/>
        </w:rPr>
        <w:t>СЪБИТИЯ СЛЕД ДАТАТА НА СЧЕТОВОДНИЯ БАЛАНС</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Към датата на предаване на настоящите междинни отчети освен изтъкнатия по-долу въпрос счетоводителят на ЕФР не е забелязал, нито му е било докладвано за някакви съществени въпроси, които биха наложили отделно оповестяване в този раздел. Годишните отчети и свързаните с тях бележки бяха подготвени, като бяха използвани най-актуалните налични данни, и това е отразено в представената по-горе информация.</w:t>
      </w:r>
    </w:p>
    <w:p>
      <w:pPr>
        <w:rPr>
          <w:rFonts w:ascii="Verdana" w:hAnsi="Verdana"/>
          <w:b/>
          <w:noProof/>
          <w:color w:val="016794"/>
          <w:sz w:val="18"/>
          <w:szCs w:val="18"/>
          <w:lang w:val="bg-BG"/>
        </w:rPr>
      </w:pPr>
      <w:r>
        <w:rPr>
          <w:rFonts w:ascii="Verdana" w:hAnsi="Verdana"/>
          <w:b/>
          <w:noProof/>
          <w:color w:val="016794"/>
          <w:sz w:val="18"/>
          <w:szCs w:val="18"/>
          <w:lang w:val="bg-BG"/>
        </w:rPr>
        <w:t>Оттегляне на Обединеното кралство от Европейския съюз</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На 1 февруари 2020 г. Обединеното кралство престана да бъде държава — членка на Европейския съюз. След като между двете страни беше сключено Споразумението за оттегляне на Обединеното кралство Великобритания и Северна Ирландия от Европейския съюз и Европейската общност за атомна енергия („Споразумението за оттегляне“), Обединеното кралство пое ангажимент да изплати всички свои задължения по настоящата МФР и предходните финансови перспективи, както би направило, ако продължаваше да бъде държава членка.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В Споразумението за оттегляне се посочва, че Обединеното кралство остава страна по ЕФР до приключването на 11-ия ЕФР и всички предишни неприключени ЕФР и поема същите задължения като държавите членки съгласно Вътрешното споразумение, с ЕФР което е създаден, както и задълженията, произтичащи от предишни ЕФР, до тяхното приключване. Обединеното кралство може да участва в Комитета на ЕФР като наблюдател без право на глас.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В Споразумението за оттегляне се посочва също, че ако сумите от проекти по 10-ия ЕФР или от предходни ЕФР не са поети като задължения или са отменени към датата на влизане в сила на това споразумение, делът на Обединеното кралство от тези суми няма да се използва повторно. Същото се отнася за дела на Обединеното кралство от сумите, които не са поети като задължение или са отменени по 11-ия ЕФР след 31 декември 2020 г.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Към момента на предаване на настоящите междинни отчети и въз основа на сключеното и вече действащо Споразумение за оттегляне няма финансово отражение, което трябва да бъде отчетено в годишните отчети на ЕФР за 2019 г.</w:t>
      </w:r>
    </w:p>
    <w:p>
      <w:pPr>
        <w:rPr>
          <w:rFonts w:ascii="Verdana" w:hAnsi="Verdana"/>
          <w:b/>
          <w:noProof/>
          <w:color w:val="016794"/>
          <w:sz w:val="18"/>
          <w:szCs w:val="18"/>
          <w:lang w:val="bg-BG"/>
        </w:rPr>
      </w:pPr>
      <w:r>
        <w:rPr>
          <w:rFonts w:ascii="Verdana" w:hAnsi="Verdana"/>
          <w:b/>
          <w:noProof/>
          <w:color w:val="016794"/>
          <w:sz w:val="18"/>
          <w:szCs w:val="18"/>
          <w:lang w:val="bg-BG"/>
        </w:rPr>
        <w:t>Коронавирус 2019 г. (COVID-19)</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Разпространението на коронавируса през първото тримесечие на 2020 г. оказа голямо въздействие в световен мащаб, включително на финансовите пазари, на които настъпи значителен спад във всички основни показатели. Това доведе до увеличаване на нестабилността на стойността на финансовите инструменти, отчетени по справедлива стойност, включително тези в счетоводния баланс на ЕФР. Предвид че разпространението на коронавируса е некоригиращо събитие, то не изисква никакви корекции на отчетените стойности. За последващите отчетни периоди COVID-19 вероятно ще засегне признаването и оценяването на някои активи и пасиви във финансовите отчети. Въз основа на информацията, налична към момента на предаване на настоящите междинни отчети, финансовите последици от разпространението на коронавируса не могат да бъдат определени по надлежен начин.</w:t>
      </w:r>
    </w:p>
    <w:p>
      <w:pPr>
        <w:rPr>
          <w:rFonts w:ascii="Verdana" w:hAnsi="Verdana"/>
          <w:b/>
          <w:noProof/>
          <w:color w:val="016794"/>
          <w:sz w:val="18"/>
          <w:szCs w:val="18"/>
          <w:lang w:val="bg-BG"/>
        </w:rPr>
        <w:sectPr>
          <w:headerReference w:type="even" r:id="rId209"/>
          <w:headerReference w:type="default" r:id="rId210"/>
          <w:footerReference w:type="even" r:id="rId211"/>
          <w:footerReference w:type="default" r:id="rId212"/>
          <w:headerReference w:type="first" r:id="rId213"/>
          <w:footerReference w:type="first" r:id="rId214"/>
          <w:pgSz w:w="11906" w:h="16838"/>
          <w:pgMar w:top="1134" w:right="1134" w:bottom="1134" w:left="1134" w:header="709" w:footer="709" w:gutter="0"/>
          <w:cols w:space="708"/>
          <w:docGrid w:linePitch="360"/>
        </w:sectPr>
      </w:pPr>
    </w:p>
    <w:p>
      <w:pPr>
        <w:pStyle w:val="HEADER1Part2"/>
        <w:tabs>
          <w:tab w:val="clear" w:pos="907"/>
          <w:tab w:val="left" w:pos="1134"/>
        </w:tabs>
        <w:ind w:left="0" w:firstLine="0"/>
        <w:rPr>
          <w:noProof/>
          <w:lang w:val="bg-BG"/>
        </w:rPr>
      </w:pPr>
      <w:r>
        <w:rPr>
          <w:noProof/>
          <w:lang w:val="bg-BG"/>
        </w:rPr>
        <w:t>РАВНЕНИЕ НА ИКОНОМИЧЕСКИЯ РЕЗУЛТАТ С БЮДЖЕТНИЯ РЕЗУЛТАТ</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Икономическият резултат за годината се изчислява въз основа на принципите на счетоводната отчетност на базата на текущо начисляване. Бюджетният резултат обаче е основан на правилата за касова отчетност. Тъй като икономическият и бюджетният резултат обхващат едни и същи оперативни трансакции, гарантирането на тяхната равняемост представлява полезна проверка. Таблицата по-долу показва това равнение, като подчертава ключовите равняващи се суми, разделени на приходни и разходни позиции. Бележките към таблицата предоставят допълнителна информация относно естеството на ключовите позиции за равнение.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2"/>
        <w:gridCol w:w="1383"/>
        <w:gridCol w:w="1143"/>
      </w:tblGrid>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noProof/>
                <w:color w:val="000000"/>
                <w:sz w:val="16"/>
                <w:szCs w:val="20"/>
                <w:lang w:val="bg-BG"/>
              </w:rPr>
            </w:pPr>
            <w:bookmarkStart w:id="91" w:name="DOC_TBL00046_1_1"/>
            <w:bookmarkEnd w:id="91"/>
          </w:p>
        </w:tc>
        <w:tc>
          <w:tcPr>
            <w:tcW w:w="1383"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noProof/>
                <w:color w:val="000000"/>
                <w:sz w:val="16"/>
                <w:szCs w:val="20"/>
                <w:lang w:val="bg-BG"/>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милиони евро</w:t>
            </w:r>
          </w:p>
        </w:tc>
      </w:tr>
      <w:tr>
        <w:trPr>
          <w:trHeight w:hRule="exact" w:val="255"/>
        </w:trPr>
        <w:tc>
          <w:tcPr>
            <w:tcW w:w="7232"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p>
        </w:tc>
        <w:tc>
          <w:tcPr>
            <w:tcW w:w="1383"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143" w:type="dxa"/>
            <w:tcBorders>
              <w:top w:val="nil"/>
              <w:left w:val="nil"/>
              <w:bottom w:val="nil"/>
              <w:right w:val="nil"/>
              <w:tl2br w:val="nil"/>
              <w:tr2bl w:val="nil"/>
            </w:tcBorders>
            <w:shd w:val="solid" w:color="016794" w:fill="FFFFFF"/>
            <w:tcMar>
              <w:left w:w="60" w:type="dxa"/>
              <w:right w:w="60" w:type="dxa"/>
            </w:tcMar>
            <w:vAlign w:val="center"/>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ИКОНОМИЧЕСКИ РЕЗУЛТАТ ЗА ГОДИНАТА</w:t>
            </w:r>
          </w:p>
        </w:tc>
        <w:tc>
          <w:tcPr>
            <w:tcW w:w="138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(3 956)</w:t>
            </w:r>
          </w:p>
        </w:tc>
        <w:tc>
          <w:tcPr>
            <w:tcW w:w="114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(4 118)</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Вземания, които не засягат бюджетния резултат</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Вземания, установени през текущата година, но все още несъбрани</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(16)</w:t>
            </w: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Вземания, установени през предходни години и събрани през текущата година</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Нетен ефект на предварителното финансиране</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36</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Начислени приходи (нетни)</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(67)</w:t>
            </w: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(39)</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Разходи</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Разходи за текущата година, още неизплатени</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107</w:t>
            </w: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115</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Разходи от предходни години, платени през текущата година</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(672)</w:t>
            </w: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(366)</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Нетен ефект на предварителното финансиране</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(44)</w:t>
            </w: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(179)</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Начислени разходи (нетни)</w:t>
            </w: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719</w:t>
            </w:r>
          </w:p>
        </w:tc>
        <w:tc>
          <w:tcPr>
            <w:tcW w:w="11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484</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38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143"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bidi="en-GB"/>
              </w:rPr>
            </w:pPr>
          </w:p>
        </w:tc>
      </w:tr>
      <w:tr>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БЮДЖЕТЕН РЕЗУЛТАТ ЗА ГОДИНАТА </w:t>
            </w:r>
          </w:p>
        </w:tc>
        <w:tc>
          <w:tcPr>
            <w:tcW w:w="138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(3 856)</w:t>
            </w:r>
          </w:p>
        </w:tc>
        <w:tc>
          <w:tcPr>
            <w:tcW w:w="1143"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(4 069)</w:t>
            </w:r>
          </w:p>
        </w:tc>
      </w:tr>
    </w:tbl>
    <w:p>
      <w:pPr>
        <w:pStyle w:val="HEADER2Part2"/>
        <w:rPr>
          <w:noProof/>
          <w:lang w:val="bg-BG"/>
        </w:rPr>
      </w:pPr>
      <w:r>
        <w:rPr>
          <w:noProof/>
          <w:lang w:val="bg-BG"/>
        </w:rPr>
        <w:t>РАВНЯВАНЕ НА ПОЗИЦИИ — ПРИХОДИ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Бюджетните приходи за дадена финансова година съответстват на събраните приходи от вземанията, установени в хода на годината, и на събраните суми от вземанията, установени през предходни години.</w:t>
      </w:r>
    </w:p>
    <w:p>
      <w:pPr>
        <w:spacing w:before="240" w:after="240"/>
        <w:jc w:val="both"/>
        <w:rPr>
          <w:rFonts w:ascii="Verdana" w:hAnsi="Verdana"/>
          <w:noProof/>
          <w:sz w:val="18"/>
          <w:szCs w:val="18"/>
          <w:lang w:val="bg-BG" w:eastAsia="en-US"/>
        </w:rPr>
      </w:pPr>
      <w:r>
        <w:rPr>
          <w:rFonts w:ascii="Verdana" w:hAnsi="Verdana"/>
          <w:b/>
          <w:noProof/>
          <w:sz w:val="18"/>
          <w:szCs w:val="18"/>
          <w:lang w:val="bg-BG" w:eastAsia="en-US"/>
        </w:rPr>
        <w:t>Вземанията, които не засягат бюджетния резултат</w:t>
      </w:r>
      <w:r>
        <w:rPr>
          <w:rFonts w:ascii="Verdana" w:hAnsi="Verdana"/>
          <w:noProof/>
          <w:sz w:val="18"/>
          <w:szCs w:val="18"/>
          <w:lang w:val="bg-BG" w:eastAsia="en-US"/>
        </w:rPr>
        <w:t>, се записват в икономическия резултат, но от бюджетна перспектива не могат да се смятат за приходи, тъй като получената сума се прехвърля към резервите и не може да бъде отново поета като задължение без решение на Съвета.</w:t>
      </w:r>
    </w:p>
    <w:p>
      <w:pPr>
        <w:spacing w:before="240" w:after="240"/>
        <w:jc w:val="both"/>
        <w:rPr>
          <w:rFonts w:ascii="Verdana" w:hAnsi="Verdana"/>
          <w:noProof/>
          <w:sz w:val="18"/>
          <w:szCs w:val="18"/>
          <w:lang w:val="bg-BG" w:eastAsia="en-US"/>
        </w:rPr>
      </w:pPr>
      <w:r>
        <w:rPr>
          <w:rFonts w:ascii="Verdana" w:hAnsi="Verdana"/>
          <w:b/>
          <w:noProof/>
          <w:sz w:val="18"/>
          <w:szCs w:val="18"/>
          <w:lang w:val="bg-BG" w:eastAsia="en-US"/>
        </w:rPr>
        <w:t>Вземанията, които са установени през текущата година, но все още не са събрани</w:t>
      </w:r>
      <w:r>
        <w:rPr>
          <w:rFonts w:ascii="Verdana" w:hAnsi="Verdana"/>
          <w:noProof/>
          <w:sz w:val="18"/>
          <w:szCs w:val="18"/>
          <w:lang w:val="bg-BG" w:eastAsia="en-US"/>
        </w:rPr>
        <w:t xml:space="preserve">, трябва да бъдат приспаднати от икономическия резултат за целите на равнението, тъй като не са част от бюджетните приходи. </w:t>
      </w:r>
      <w:r>
        <w:rPr>
          <w:rFonts w:ascii="Verdana" w:hAnsi="Verdana"/>
          <w:b/>
          <w:noProof/>
          <w:sz w:val="18"/>
          <w:szCs w:val="18"/>
          <w:lang w:val="bg-BG" w:eastAsia="en-US"/>
        </w:rPr>
        <w:t>Обратно, вземанията, установени през предходни години и събрани през текущата година</w:t>
      </w:r>
      <w:r>
        <w:rPr>
          <w:rFonts w:ascii="Verdana" w:hAnsi="Verdana"/>
          <w:noProof/>
          <w:sz w:val="18"/>
          <w:szCs w:val="18"/>
          <w:lang w:val="bg-BG" w:eastAsia="en-US"/>
        </w:rPr>
        <w:t>, трябва да бъдат добавени към икономическия резултат за целите на равнението.</w:t>
      </w:r>
    </w:p>
    <w:p>
      <w:pPr>
        <w:spacing w:before="240" w:after="240"/>
        <w:jc w:val="both"/>
        <w:rPr>
          <w:rFonts w:ascii="Verdana" w:hAnsi="Verdana"/>
          <w:noProof/>
          <w:sz w:val="18"/>
          <w:szCs w:val="18"/>
          <w:lang w:val="bg-BG" w:eastAsia="en-US"/>
        </w:rPr>
      </w:pPr>
      <w:r>
        <w:rPr>
          <w:rFonts w:ascii="Verdana" w:hAnsi="Verdana"/>
          <w:b/>
          <w:noProof/>
          <w:sz w:val="18"/>
          <w:szCs w:val="18"/>
          <w:lang w:val="bg-BG" w:eastAsia="en-US"/>
        </w:rPr>
        <w:t>Нетният ефект на предварителното финансиране</w:t>
      </w:r>
      <w:r>
        <w:rPr>
          <w:rFonts w:ascii="Verdana" w:hAnsi="Verdana"/>
          <w:noProof/>
          <w:sz w:val="18"/>
          <w:szCs w:val="18"/>
          <w:lang w:val="bg-BG" w:eastAsia="en-US"/>
        </w:rPr>
        <w:t xml:space="preserve"> се отнася до уравняването на предварителното финансиране със сумите, събрани от бенефициерите. Тези парични постъпления представляват бюджетни приходи, но не оказват влияние върху икономическия резултат и следователно трябва да бъдат добавени за целите на равнението.</w:t>
      </w:r>
    </w:p>
    <w:p>
      <w:pPr>
        <w:spacing w:before="240"/>
        <w:jc w:val="both"/>
        <w:rPr>
          <w:rFonts w:ascii="Verdana" w:hAnsi="Verdana"/>
          <w:noProof/>
          <w:sz w:val="18"/>
          <w:szCs w:val="18"/>
          <w:lang w:val="bg-BG" w:eastAsia="en-US"/>
        </w:rPr>
      </w:pPr>
      <w:r>
        <w:rPr>
          <w:rFonts w:ascii="Verdana" w:hAnsi="Verdana"/>
          <w:b/>
          <w:noProof/>
          <w:sz w:val="18"/>
          <w:szCs w:val="18"/>
          <w:lang w:val="bg-BG" w:eastAsia="en-US"/>
        </w:rPr>
        <w:t>Нетните начислени приходи</w:t>
      </w:r>
      <w:r>
        <w:rPr>
          <w:rFonts w:ascii="Verdana" w:hAnsi="Verdana"/>
          <w:noProof/>
          <w:sz w:val="18"/>
          <w:szCs w:val="18"/>
          <w:lang w:val="bg-BG" w:eastAsia="en-US"/>
        </w:rPr>
        <w:t xml:space="preserve"> се състоят главно от начисленията, направени за целите на разделянето на финансовите периоди в края на годината. Взема се предвид само нетният ефект, т.е. начислените приходи за текущата година минус корекцията на начислените приходи от предходната година.</w:t>
      </w:r>
    </w:p>
    <w:p>
      <w:pPr>
        <w:pStyle w:val="HEADER2Part2"/>
        <w:rPr>
          <w:noProof/>
          <w:lang w:val="bg-BG"/>
        </w:rPr>
      </w:pPr>
      <w:r>
        <w:rPr>
          <w:noProof/>
          <w:lang w:val="bg-BG"/>
        </w:rPr>
        <w:t>РАВНЯВАНЕ НА ПОЗИЦИИ — РАЗХОДИ</w:t>
      </w:r>
    </w:p>
    <w:p>
      <w:pPr>
        <w:spacing w:before="240" w:after="240"/>
        <w:jc w:val="both"/>
        <w:rPr>
          <w:rFonts w:ascii="Verdana" w:hAnsi="Verdana"/>
          <w:noProof/>
          <w:sz w:val="18"/>
          <w:szCs w:val="18"/>
          <w:lang w:val="bg-BG" w:eastAsia="en-US"/>
        </w:rPr>
      </w:pPr>
      <w:r>
        <w:rPr>
          <w:rFonts w:ascii="Verdana" w:hAnsi="Verdana"/>
          <w:b/>
          <w:noProof/>
          <w:sz w:val="18"/>
          <w:szCs w:val="18"/>
          <w:lang w:val="bg-BG" w:eastAsia="en-US"/>
        </w:rPr>
        <w:t>Разходите за текущата година, които все още не са изплатени</w:t>
      </w:r>
      <w:r>
        <w:rPr>
          <w:rFonts w:ascii="Verdana" w:hAnsi="Verdana"/>
          <w:noProof/>
          <w:sz w:val="18"/>
          <w:szCs w:val="18"/>
          <w:lang w:val="bg-BG" w:eastAsia="en-US"/>
        </w:rPr>
        <w:t xml:space="preserve">, трябва да се добавят за целите на равнението, тъй като те са включени в икономическия резултат, но не са част от бюджетните разходи. Обратно, </w:t>
      </w:r>
      <w:r>
        <w:rPr>
          <w:rFonts w:ascii="Verdana" w:hAnsi="Verdana"/>
          <w:b/>
          <w:noProof/>
          <w:sz w:val="18"/>
          <w:szCs w:val="18"/>
          <w:lang w:val="bg-BG" w:eastAsia="en-US"/>
        </w:rPr>
        <w:t>разходите от предходни години, платени през текущата година</w:t>
      </w:r>
      <w:r>
        <w:rPr>
          <w:rFonts w:ascii="Verdana" w:hAnsi="Verdana"/>
          <w:noProof/>
          <w:sz w:val="18"/>
          <w:szCs w:val="18"/>
          <w:lang w:val="bg-BG" w:eastAsia="en-US"/>
        </w:rPr>
        <w:t>, трябва да бъдат приспаднати от икономическия резултат за целите на равнението, тъй като те са част от бюджетните разходи за текущата година, но или нямат отражение върху икономическия резултат, или намаляват разходите в случай на корекции.</w:t>
      </w:r>
    </w:p>
    <w:p>
      <w:pPr>
        <w:spacing w:before="240" w:after="240"/>
        <w:jc w:val="both"/>
        <w:rPr>
          <w:rFonts w:ascii="Verdana" w:hAnsi="Verdana"/>
          <w:bCs/>
          <w:noProof/>
          <w:sz w:val="18"/>
          <w:szCs w:val="18"/>
          <w:lang w:val="bg-BG" w:eastAsia="en-US"/>
        </w:rPr>
      </w:pPr>
      <w:r>
        <w:rPr>
          <w:rFonts w:ascii="Verdana" w:hAnsi="Verdana"/>
          <w:noProof/>
          <w:sz w:val="18"/>
          <w:szCs w:val="18"/>
          <w:lang w:val="bg-BG" w:eastAsia="en-US"/>
        </w:rPr>
        <w:t xml:space="preserve">Паричните постъпления от </w:t>
      </w:r>
      <w:r>
        <w:rPr>
          <w:rFonts w:ascii="Verdana" w:hAnsi="Verdana"/>
          <w:b/>
          <w:bCs/>
          <w:noProof/>
          <w:sz w:val="18"/>
          <w:szCs w:val="18"/>
          <w:lang w:val="bg-BG" w:eastAsia="en-US"/>
        </w:rPr>
        <w:t>анулирани плащания</w:t>
      </w:r>
      <w:r>
        <w:rPr>
          <w:rFonts w:ascii="Verdana" w:hAnsi="Verdana"/>
          <w:noProof/>
          <w:sz w:val="18"/>
          <w:szCs w:val="18"/>
          <w:lang w:val="bg-BG" w:eastAsia="en-US"/>
        </w:rPr>
        <w:t xml:space="preserve"> не засягат икономическия резултат, но засягат бюджетния резултат.</w:t>
      </w:r>
    </w:p>
    <w:p>
      <w:pPr>
        <w:spacing w:before="240" w:after="240"/>
        <w:jc w:val="both"/>
        <w:rPr>
          <w:rFonts w:ascii="Verdana" w:hAnsi="Verdana"/>
          <w:noProof/>
          <w:sz w:val="18"/>
          <w:szCs w:val="18"/>
          <w:lang w:val="bg-BG" w:eastAsia="en-US"/>
        </w:rPr>
      </w:pPr>
      <w:r>
        <w:rPr>
          <w:rFonts w:ascii="Verdana" w:hAnsi="Verdana"/>
          <w:b/>
          <w:noProof/>
          <w:sz w:val="18"/>
          <w:szCs w:val="18"/>
          <w:lang w:val="bg-BG" w:eastAsia="en-US"/>
        </w:rPr>
        <w:t>Нетният ефект на предварителното финансиране</w:t>
      </w:r>
      <w:r>
        <w:rPr>
          <w:rFonts w:ascii="Verdana" w:hAnsi="Verdana"/>
          <w:noProof/>
          <w:sz w:val="18"/>
          <w:szCs w:val="18"/>
          <w:lang w:val="bg-BG" w:eastAsia="en-US"/>
        </w:rPr>
        <w:t xml:space="preserve"> е комбинация от новите суми по предварително финансиране, платени през текущата година (признати като бюджетни разходи за годината), и уравняването на предварителното финансиране, платено през текущата година или предходни години, чрез приемането на допустимите разходи. Последните представляват разход от гледна точка на начисляването, но не и в бюджетните сметки, тъй като плащането на първоначалната сума по предварителното финансиране вече е било счетено за бюджетен разход в момента на извършването на плащането.</w:t>
      </w:r>
    </w:p>
    <w:p>
      <w:pPr>
        <w:spacing w:before="240"/>
        <w:jc w:val="both"/>
        <w:rPr>
          <w:rFonts w:ascii="Verdana" w:hAnsi="Verdana"/>
          <w:noProof/>
          <w:sz w:val="18"/>
          <w:szCs w:val="18"/>
          <w:lang w:val="bg-BG" w:eastAsia="en-US"/>
        </w:rPr>
      </w:pPr>
      <w:r>
        <w:rPr>
          <w:rFonts w:ascii="Verdana" w:hAnsi="Verdana"/>
          <w:b/>
          <w:noProof/>
          <w:sz w:val="18"/>
          <w:szCs w:val="18"/>
          <w:lang w:val="bg-BG" w:eastAsia="en-US"/>
        </w:rPr>
        <w:t>Нетните начислени разходи</w:t>
      </w:r>
      <w:r>
        <w:rPr>
          <w:rFonts w:ascii="Verdana" w:hAnsi="Verdana"/>
          <w:noProof/>
          <w:sz w:val="18"/>
          <w:szCs w:val="18"/>
          <w:lang w:val="bg-BG" w:eastAsia="en-US"/>
        </w:rPr>
        <w:t xml:space="preserve"> се състоят главно от начисленията, направени за целите на разделянето на финансовите периоди в края на годината, т.е. допустимите разходи, направени от бенефициерите на средства от ЕФР, за които обаче все още не е съобщено на ЕФР. Взема се предвид само нетният ефект, т.е. начислените разходи за текущата година минус корекцията на начислените разходи от предходната година.</w:t>
      </w:r>
    </w:p>
    <w:bookmarkEnd w:id="87"/>
    <w:p>
      <w:pPr>
        <w:rPr>
          <w:noProof/>
          <w:lang w:val="bg-BG"/>
        </w:rPr>
        <w:sectPr>
          <w:headerReference w:type="even" r:id="rId215"/>
          <w:headerReference w:type="default" r:id="rId216"/>
          <w:footerReference w:type="even" r:id="rId217"/>
          <w:footerReference w:type="default" r:id="rId218"/>
          <w:headerReference w:type="first" r:id="rId219"/>
          <w:footerReference w:type="first" r:id="rId220"/>
          <w:pgSz w:w="11906" w:h="16838" w:code="9"/>
          <w:pgMar w:top="1134" w:right="1134" w:bottom="1134" w:left="1134" w:header="708" w:footer="708" w:gutter="0"/>
          <w:cols w:space="708"/>
          <w:docGrid w:linePitch="360"/>
        </w:sectPr>
      </w:pPr>
    </w:p>
    <w:p>
      <w:pPr>
        <w:rPr>
          <w:noProof/>
          <w:lang w:val="bg-BG"/>
        </w:rPr>
      </w:pPr>
      <w:bookmarkStart w:id="92" w:name="_DMBM_18999"/>
    </w:p>
    <w:p>
      <w:pPr>
        <w:rPr>
          <w:noProof/>
          <w:lang w:val="bg-BG"/>
        </w:rPr>
      </w:pPr>
    </w:p>
    <w:p>
      <w:pPr>
        <w:rPr>
          <w:noProof/>
          <w:lang w:val="bg-BG"/>
        </w:rPr>
      </w:pPr>
    </w:p>
    <w:p>
      <w:pPr>
        <w:rPr>
          <w:noProof/>
          <w:lang w:val="bg-BG"/>
        </w:rPr>
      </w:pPr>
    </w:p>
    <w:p>
      <w:pPr>
        <w:rPr>
          <w:noProof/>
          <w:lang w:val="bg-BG"/>
        </w:rPr>
      </w:pPr>
    </w:p>
    <w:p>
      <w:pPr>
        <w:rPr>
          <w:noProof/>
          <w:lang w:val="bg-BG"/>
        </w:rPr>
      </w:pPr>
    </w:p>
    <w:p>
      <w:pPr>
        <w:rPr>
          <w:noProof/>
          <w:lang w:val="bg-BG"/>
        </w:rPr>
      </w:pPr>
    </w:p>
    <w:p>
      <w:pPr>
        <w:rPr>
          <w:noProof/>
          <w:lang w:val="bg-BG"/>
        </w:rPr>
      </w:pPr>
    </w:p>
    <w:p>
      <w:pPr>
        <w:rPr>
          <w:noProof/>
          <w:lang w:val="bg-BG"/>
        </w:rPr>
      </w:pPr>
    </w:p>
    <w:p>
      <w:pPr>
        <w:rPr>
          <w:noProof/>
          <w:lang w:val="bg-BG"/>
        </w:rPr>
      </w:pPr>
    </w:p>
    <w:p>
      <w:pPr>
        <w:rPr>
          <w:noProof/>
          <w:lang w:val="bg-BG"/>
        </w:rPr>
      </w:pPr>
    </w:p>
    <w:p>
      <w:pPr>
        <w:rPr>
          <w:noProof/>
          <w:lang w:val="bg-BG"/>
        </w:rPr>
      </w:pPr>
    </w:p>
    <w:p>
      <w:pPr>
        <w:rPr>
          <w:noProof/>
          <w:lang w:val="bg-BG"/>
        </w:rPr>
      </w:pPr>
    </w:p>
    <w:p>
      <w:pPr>
        <w:rPr>
          <w:noProof/>
          <w:lang w:val="bg-BG"/>
        </w:rPr>
      </w:pPr>
    </w:p>
    <w:p>
      <w:pPr>
        <w:rPr>
          <w:noProof/>
          <w:lang w:val="bg-BG"/>
        </w:rPr>
      </w:pPr>
    </w:p>
    <w:p>
      <w:pPr>
        <w:pStyle w:val="FIRSTCHAPTERPAGE1"/>
        <w:rPr>
          <w:lang w:val="bg-BG"/>
        </w:rPr>
      </w:pPr>
      <w:bookmarkStart w:id="93" w:name="_Toc49527805"/>
      <w:bookmarkStart w:id="94" w:name="_Toc49527935"/>
      <w:r>
        <w:rPr>
          <w:lang w:val="bg-BG"/>
        </w:rPr>
        <w:t>ФИНАНСОВИ ОТЧЕТИ НА ДОВЕРИТЕЛНИТЕ ФОНДОВЕ НА ЕС, КОНСОЛИДИРАНИ В ЕФР</w:t>
      </w:r>
      <w:bookmarkEnd w:id="93"/>
      <w:bookmarkEnd w:id="94"/>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sectPr>
          <w:headerReference w:type="even" r:id="rId221"/>
          <w:headerReference w:type="default" r:id="rId222"/>
          <w:footerReference w:type="even" r:id="rId223"/>
          <w:footerReference w:type="default" r:id="rId224"/>
          <w:headerReference w:type="first" r:id="rId225"/>
          <w:footerReference w:type="first" r:id="rId226"/>
          <w:pgSz w:w="11906" w:h="16838" w:code="9"/>
          <w:pgMar w:top="1134" w:right="1134" w:bottom="1134" w:left="1134" w:header="709" w:footer="709" w:gutter="0"/>
          <w:cols w:space="708"/>
          <w:docGrid w:linePitch="360"/>
        </w:sect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pStyle w:val="FIRSTCHAPTERPAGE1"/>
      </w:pPr>
      <w:bookmarkStart w:id="95" w:name="_Toc41982799"/>
      <w:bookmarkStart w:id="96" w:name="_Toc49527806"/>
      <w:bookmarkStart w:id="97" w:name="_Toc49527936"/>
      <w:r>
        <w:t>ФИНАНСОВИ ОТЧЕТИ НА ДОВЕРИТЕЛЕН ФОНД „БЕКУ“ ЗА 2019 Г.</w:t>
      </w:r>
      <w:bookmarkEnd w:id="95"/>
      <w:bookmarkEnd w:id="96"/>
      <w:bookmarkEnd w:id="97"/>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rPr>
          <w:rFonts w:ascii="Verdana" w:hAnsi="Verdana"/>
          <w:i/>
          <w:noProof/>
          <w:color w:val="016794"/>
          <w:sz w:val="18"/>
          <w:lang w:val="bg-BG"/>
        </w:rPr>
      </w:pPr>
      <w:r>
        <w:rPr>
          <w:rFonts w:ascii="Verdana" w:hAnsi="Verdana"/>
          <w:i/>
          <w:noProof/>
          <w:color w:val="016794"/>
          <w:sz w:val="18"/>
          <w:lang w:val="bg-BG"/>
        </w:rPr>
        <w:t>Следва да се отбележи, че поради закръглянето на цифрите в хиляди евро някои финансови данни в таблиците може да изглеждат грешни.</w:t>
      </w:r>
    </w:p>
    <w:p>
      <w:pPr>
        <w:pStyle w:val="HEADERTITLE"/>
        <w:rPr>
          <w:lang w:val="bg-BG"/>
        </w:rPr>
      </w:pPr>
      <w:r>
        <w:rPr>
          <w:lang w:val="bg-BG"/>
        </w:rPr>
        <w:t>ОБЩА ИНФОРМАЦИЯ ЗА ДОВЕРИТЕЛНИЯ ФОНД НА ЕС „БЕКУ“</w:t>
      </w:r>
    </w:p>
    <w:p>
      <w:pPr>
        <w:spacing w:before="240" w:after="240"/>
        <w:jc w:val="both"/>
        <w:rPr>
          <w:rFonts w:ascii="Verdana" w:hAnsi="Verdana"/>
          <w:b/>
          <w:noProof/>
          <w:color w:val="016794"/>
          <w:sz w:val="18"/>
          <w:szCs w:val="18"/>
          <w:lang w:val="bg-BG" w:eastAsia="en-US"/>
        </w:rPr>
      </w:pPr>
      <w:r>
        <w:rPr>
          <w:rFonts w:ascii="Verdana" w:hAnsi="Verdana"/>
          <w:b/>
          <w:noProof/>
          <w:color w:val="016794"/>
          <w:sz w:val="18"/>
          <w:szCs w:val="18"/>
          <w:lang w:val="bg-BG" w:eastAsia="en-US"/>
        </w:rPr>
        <w:t>Обща информация относно доверителните фондове на Съюза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съответствие с членове 234 и 235 от Финансовия регламент, приложим за общия бюджет на Съюза (ФР на ЕС)</w:t>
      </w:r>
      <w:r>
        <w:rPr>
          <w:rFonts w:ascii="Verdana" w:hAnsi="Verdana"/>
          <w:noProof/>
          <w:sz w:val="18"/>
          <w:szCs w:val="18"/>
          <w:vertAlign w:val="superscript"/>
          <w:lang w:val="bg-BG" w:eastAsia="en-US"/>
        </w:rPr>
        <w:footnoteReference w:id="4"/>
      </w:r>
      <w:r>
        <w:rPr>
          <w:rFonts w:ascii="Verdana" w:hAnsi="Verdana"/>
          <w:noProof/>
          <w:sz w:val="18"/>
          <w:szCs w:val="18"/>
          <w:lang w:val="bg-BG" w:eastAsia="en-US"/>
        </w:rPr>
        <w:t xml:space="preserve"> и член 35 от Финансовия регламент, приложим за 11-ия ЕФР (ФР на ЕФР)</w:t>
      </w:r>
      <w:r>
        <w:rPr>
          <w:rFonts w:ascii="Verdana" w:hAnsi="Verdana"/>
          <w:noProof/>
          <w:sz w:val="18"/>
          <w:szCs w:val="18"/>
          <w:vertAlign w:val="superscript"/>
          <w:lang w:val="bg-BG" w:eastAsia="en-US"/>
        </w:rPr>
        <w:footnoteReference w:id="5"/>
      </w:r>
      <w:r>
        <w:rPr>
          <w:rFonts w:ascii="Verdana" w:hAnsi="Verdana"/>
          <w:noProof/>
          <w:sz w:val="18"/>
          <w:szCs w:val="18"/>
          <w:lang w:val="bg-BG" w:eastAsia="en-US"/>
        </w:rPr>
        <w:t xml:space="preserve">, Европейската комисия може да създава доверителни фондове на Съюза за външни дейности („доверителни фондове на ЕС“). Доверителните фондове на Съюза се създават по силата на споразумение, сключено с други донори, за действия при спешни ситуации и след спешни ситуации, необходими за реагиране на криза или за тематични действия.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Доверителните фондове на Съюза се създават от Европейската комисия с решение след консултация или одобрение от Европейския парламент и Съвета. Това решение включва учредително споразумение с други донори.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Доверителните фондове на Съюза се създават и изпълняват само при следните условия:</w:t>
      </w:r>
    </w:p>
    <w:p>
      <w:pPr>
        <w:numPr>
          <w:ilvl w:val="0"/>
          <w:numId w:val="17"/>
        </w:numPr>
        <w:spacing w:after="120"/>
        <w:ind w:left="714" w:hanging="357"/>
        <w:jc w:val="both"/>
        <w:rPr>
          <w:rFonts w:ascii="Verdana" w:hAnsi="Verdana"/>
          <w:noProof/>
          <w:spacing w:val="-4"/>
          <w:sz w:val="18"/>
          <w:szCs w:val="18"/>
          <w:lang w:val="bg-BG" w:eastAsia="en-US"/>
        </w:rPr>
      </w:pPr>
      <w:r>
        <w:rPr>
          <w:rFonts w:ascii="Verdana" w:hAnsi="Verdana"/>
          <w:noProof/>
          <w:spacing w:val="-4"/>
          <w:sz w:val="18"/>
          <w:szCs w:val="18"/>
          <w:lang w:val="bg-BG" w:eastAsia="en-US"/>
        </w:rPr>
        <w:t>Намесата на Съюза има добавена стойност: целите на доверителните фондове на Съюза, по-специално поради своя мащаб или потенциални последици, могат да бъдат постигнати по-добре на равнището на Съюза, отколкото на национално равнище, а използването на съществуващите финансови инструменти не би било достатъчно за постигане на целите на политиката на Съюза;</w:t>
      </w:r>
    </w:p>
    <w:p>
      <w:pPr>
        <w:numPr>
          <w:ilvl w:val="0"/>
          <w:numId w:val="17"/>
        </w:numPr>
        <w:spacing w:after="120"/>
        <w:ind w:left="714" w:hanging="357"/>
        <w:jc w:val="both"/>
        <w:rPr>
          <w:rFonts w:ascii="Verdana" w:hAnsi="Verdana"/>
          <w:noProof/>
          <w:sz w:val="18"/>
          <w:szCs w:val="18"/>
          <w:lang w:val="bg-BG" w:eastAsia="en-US"/>
        </w:rPr>
      </w:pPr>
      <w:r>
        <w:rPr>
          <w:rFonts w:ascii="Verdana" w:hAnsi="Verdana"/>
          <w:noProof/>
          <w:sz w:val="18"/>
          <w:szCs w:val="18"/>
          <w:lang w:val="bg-BG" w:eastAsia="en-US"/>
        </w:rPr>
        <w:t>доверителните фондове на Съюза осигуряват ясна политическа видимост на Съюза и управленски преимущества, както и по-добър контрол от страна на Съюза върху рисковете и плащането на вноските на Съюза и на другите донори;</w:t>
      </w:r>
    </w:p>
    <w:p>
      <w:pPr>
        <w:numPr>
          <w:ilvl w:val="0"/>
          <w:numId w:val="17"/>
        </w:numPr>
        <w:spacing w:after="120"/>
        <w:ind w:left="714" w:hanging="357"/>
        <w:jc w:val="both"/>
        <w:rPr>
          <w:rFonts w:ascii="Verdana" w:hAnsi="Verdana"/>
          <w:noProof/>
          <w:sz w:val="18"/>
          <w:szCs w:val="18"/>
          <w:lang w:val="bg-BG" w:eastAsia="en-US"/>
        </w:rPr>
      </w:pPr>
      <w:r>
        <w:rPr>
          <w:rFonts w:ascii="Verdana" w:hAnsi="Verdana"/>
          <w:noProof/>
          <w:sz w:val="18"/>
          <w:szCs w:val="18"/>
          <w:lang w:val="bg-BG" w:eastAsia="en-US"/>
        </w:rPr>
        <w:t>доверителните фондове на Съюза не дублират други съществуващи пътища за финансиране или сходни инструменти, без да добавят нищо;</w:t>
      </w:r>
    </w:p>
    <w:p>
      <w:pPr>
        <w:numPr>
          <w:ilvl w:val="0"/>
          <w:numId w:val="17"/>
        </w:numPr>
        <w:spacing w:after="120"/>
        <w:ind w:left="714" w:hanging="357"/>
        <w:jc w:val="both"/>
        <w:rPr>
          <w:rFonts w:ascii="Verdana" w:hAnsi="Verdana"/>
          <w:noProof/>
          <w:sz w:val="18"/>
          <w:szCs w:val="18"/>
          <w:lang w:val="bg-BG" w:eastAsia="en-US"/>
        </w:rPr>
      </w:pPr>
      <w:r>
        <w:rPr>
          <w:rFonts w:ascii="Verdana" w:hAnsi="Verdana"/>
          <w:noProof/>
          <w:sz w:val="18"/>
          <w:szCs w:val="18"/>
          <w:lang w:val="bg-BG" w:eastAsia="en-US"/>
        </w:rPr>
        <w:t>целите на доверителните фондове на Съюза съответстват на целите на инструмента на Съюза или на бюджетната позиция, от които се финансират.</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За всеки доверителен фонд на Съюза се създава управителен съвет, председателстван от Комисията, с цел да се осигури справедливо представителство на донорите и да се вземат решения за използването на средствата. Управителният съвет включва представител на всяка неучастваща държава членка като наблюдател. Правилата за състава на управителния съвет и неговият вътрешен правилник се определят в учредителното споразумение на доверителния фонд на Съюза.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Доверителните фондове на Съюза се създават за ограничен срок, определен в тяхното учредително споразумение. Този срок може да бъде удължен при поискване от управителния съвет на доверителния фонд на Съюза и при представяне от страна на Комисията на доклад, който обосновава удължаването. Европейският парламент и/или Съветът могат да изискат от Комисията да спре бюджетните кредити за доверителния фонд или да преразгледа учредителния акт с оглед на неговата ликвидация.</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Счетоводителят на Комисията изпълнява функциите на счетоводител на доверителните фондове на Съюза. Счетоводителят отговаря за определянето на счетоводните процедури и сметкоплана, които са общи за всички доверителни фондове на Съюза. Вътрешният одитор на Комисията, OLAF и Сметната палата упражняват спрямо доверителните фондове на Съюза същите правомощия като упражняваните от тях спрямо останалите действия, извършвани от Комисията. Доверителните фондове на Съюза подлежат всяка година на независим външен одит.</w:t>
      </w:r>
    </w:p>
    <w:p>
      <w:pPr>
        <w:spacing w:before="240" w:after="240"/>
        <w:jc w:val="both"/>
        <w:rPr>
          <w:rFonts w:ascii="Verdana" w:hAnsi="Verdana"/>
          <w:b/>
          <w:noProof/>
          <w:color w:val="016794"/>
          <w:sz w:val="18"/>
          <w:szCs w:val="18"/>
          <w:lang w:val="bg-BG" w:eastAsia="en-US"/>
        </w:rPr>
      </w:pPr>
      <w:r>
        <w:rPr>
          <w:rFonts w:ascii="Verdana" w:hAnsi="Verdana"/>
          <w:b/>
          <w:noProof/>
          <w:color w:val="016794"/>
          <w:sz w:val="18"/>
          <w:szCs w:val="18"/>
          <w:lang w:val="bg-BG" w:eastAsia="en-US"/>
        </w:rPr>
        <w:t>Съществуващи доверителни фондове на ЕС</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Към днешна дата Комисията е създала четири доверителни фонда на ЕС:</w:t>
      </w:r>
    </w:p>
    <w:p>
      <w:pPr>
        <w:tabs>
          <w:tab w:val="left" w:pos="284"/>
          <w:tab w:val="left" w:pos="567"/>
        </w:tabs>
        <w:spacing w:before="240" w:after="240"/>
        <w:ind w:left="567" w:hanging="567"/>
        <w:jc w:val="both"/>
        <w:rPr>
          <w:rFonts w:ascii="Verdana" w:hAnsi="Verdana"/>
          <w:noProof/>
          <w:sz w:val="18"/>
          <w:szCs w:val="18"/>
          <w:lang w:val="bg-BG" w:eastAsia="en-US"/>
        </w:rPr>
      </w:pPr>
      <w:r>
        <w:rPr>
          <w:rFonts w:ascii="Verdana" w:hAnsi="Verdana"/>
          <w:noProof/>
          <w:sz w:val="18"/>
          <w:szCs w:val="18"/>
          <w:lang w:val="bg-BG" w:eastAsia="en-US"/>
        </w:rPr>
        <w:t xml:space="preserve"> </w:t>
      </w:r>
      <w:r>
        <w:rPr>
          <w:rFonts w:ascii="Verdana" w:hAnsi="Verdana"/>
          <w:noProof/>
          <w:sz w:val="18"/>
          <w:szCs w:val="18"/>
          <w:lang w:val="bg-BG" w:eastAsia="en-US"/>
        </w:rPr>
        <w:tab/>
        <w:t xml:space="preserve">- </w:t>
      </w:r>
      <w:r>
        <w:rPr>
          <w:rFonts w:ascii="Verdana" w:hAnsi="Verdana"/>
          <w:noProof/>
          <w:sz w:val="18"/>
          <w:szCs w:val="18"/>
          <w:lang w:val="bg-BG" w:eastAsia="en-US"/>
        </w:rPr>
        <w:tab/>
      </w:r>
      <w:r>
        <w:rPr>
          <w:rFonts w:ascii="Verdana" w:hAnsi="Verdana"/>
          <w:b/>
          <w:bCs/>
          <w:noProof/>
          <w:sz w:val="18"/>
          <w:szCs w:val="18"/>
          <w:lang w:val="bg-BG" w:eastAsia="en-US"/>
        </w:rPr>
        <w:t>Доверителен фонд на ЕС „Беку“</w:t>
      </w:r>
      <w:r>
        <w:rPr>
          <w:rFonts w:ascii="Verdana" w:hAnsi="Verdana"/>
          <w:noProof/>
          <w:sz w:val="18"/>
          <w:szCs w:val="18"/>
          <w:lang w:val="bg-BG" w:eastAsia="en-US"/>
        </w:rPr>
        <w:t>, чиято цел е да подпомогне всички аспекти на излизането от кризата на Централноафриканската република и нейните усилия за възстановяване. Създаден на 15 юли 2014 г.;</w:t>
      </w:r>
    </w:p>
    <w:p>
      <w:pPr>
        <w:tabs>
          <w:tab w:val="left" w:pos="284"/>
          <w:tab w:val="left" w:pos="567"/>
        </w:tabs>
        <w:spacing w:before="240" w:after="240"/>
        <w:ind w:left="567" w:hanging="567"/>
        <w:jc w:val="both"/>
        <w:rPr>
          <w:rFonts w:ascii="Verdana" w:hAnsi="Verdana"/>
          <w:noProof/>
          <w:sz w:val="18"/>
          <w:szCs w:val="18"/>
          <w:lang w:val="bg-BG" w:eastAsia="en-US"/>
        </w:rPr>
      </w:pPr>
      <w:r>
        <w:rPr>
          <w:rFonts w:ascii="Verdana" w:hAnsi="Verdana"/>
          <w:noProof/>
          <w:sz w:val="18"/>
          <w:szCs w:val="18"/>
          <w:lang w:val="bg-BG" w:eastAsia="en-US"/>
        </w:rPr>
        <w:tab/>
        <w:t xml:space="preserve">- </w:t>
      </w:r>
      <w:r>
        <w:rPr>
          <w:rFonts w:ascii="Verdana" w:hAnsi="Verdana"/>
          <w:noProof/>
          <w:sz w:val="18"/>
          <w:szCs w:val="18"/>
          <w:lang w:val="bg-BG" w:eastAsia="en-US"/>
        </w:rPr>
        <w:tab/>
      </w:r>
      <w:r>
        <w:rPr>
          <w:rFonts w:ascii="Verdana" w:hAnsi="Verdana"/>
          <w:b/>
          <w:noProof/>
          <w:sz w:val="18"/>
          <w:szCs w:val="18"/>
          <w:lang w:val="bg-BG" w:eastAsia="en-US"/>
        </w:rPr>
        <w:t>Доверителен фонд на ЕС „Мадад“</w:t>
      </w:r>
      <w:r>
        <w:rPr>
          <w:rFonts w:ascii="Verdana" w:hAnsi="Verdana"/>
          <w:noProof/>
          <w:sz w:val="18"/>
          <w:szCs w:val="18"/>
          <w:lang w:val="bg-BG" w:eastAsia="en-US"/>
        </w:rPr>
        <w:t xml:space="preserve"> — регионален доверителен фонд на Европейския съюз в отговор на кризата в Сирия. Създаден на 15 декември 2014 г.;</w:t>
      </w:r>
    </w:p>
    <w:p>
      <w:pPr>
        <w:tabs>
          <w:tab w:val="left" w:pos="284"/>
          <w:tab w:val="left" w:pos="567"/>
        </w:tabs>
        <w:spacing w:before="240" w:after="240"/>
        <w:ind w:left="567" w:hanging="567"/>
        <w:jc w:val="both"/>
        <w:rPr>
          <w:rFonts w:ascii="Verdana" w:hAnsi="Verdana"/>
          <w:noProof/>
          <w:sz w:val="18"/>
          <w:szCs w:val="18"/>
          <w:lang w:val="bg-BG" w:eastAsia="en-US"/>
        </w:rPr>
      </w:pPr>
      <w:r>
        <w:rPr>
          <w:rFonts w:ascii="Verdana" w:hAnsi="Verdana"/>
          <w:noProof/>
          <w:sz w:val="18"/>
          <w:szCs w:val="18"/>
          <w:lang w:val="bg-BG" w:eastAsia="en-US"/>
        </w:rPr>
        <w:tab/>
        <w:t xml:space="preserve">- </w:t>
      </w:r>
      <w:r>
        <w:rPr>
          <w:rFonts w:ascii="Verdana" w:hAnsi="Verdana"/>
          <w:noProof/>
          <w:sz w:val="18"/>
          <w:szCs w:val="18"/>
          <w:lang w:val="bg-BG" w:eastAsia="en-US"/>
        </w:rPr>
        <w:tab/>
      </w:r>
      <w:r>
        <w:rPr>
          <w:rFonts w:ascii="Verdana" w:hAnsi="Verdana"/>
          <w:b/>
          <w:bCs/>
          <w:noProof/>
          <w:sz w:val="18"/>
          <w:szCs w:val="18"/>
          <w:lang w:val="bg-BG" w:eastAsia="en-US"/>
        </w:rPr>
        <w:t>Доверителен фонд на ЕС за Африка</w:t>
      </w:r>
      <w:r>
        <w:rPr>
          <w:rFonts w:ascii="Verdana" w:hAnsi="Verdana"/>
          <w:noProof/>
          <w:sz w:val="18"/>
          <w:szCs w:val="18"/>
          <w:lang w:val="bg-BG" w:eastAsia="en-US"/>
        </w:rPr>
        <w:t>, извънреден доверителен фонд на Европейския съюз за стабилност и преодоляване на първопричините за незаконната миграция и разселването на хора в Африка. Създаден на 12 ноември 2015 г.;</w:t>
      </w:r>
    </w:p>
    <w:p>
      <w:pPr>
        <w:tabs>
          <w:tab w:val="left" w:pos="284"/>
          <w:tab w:val="left" w:pos="567"/>
        </w:tabs>
        <w:spacing w:before="240" w:after="240"/>
        <w:ind w:left="567" w:hanging="567"/>
        <w:jc w:val="both"/>
        <w:rPr>
          <w:rFonts w:ascii="Verdana" w:hAnsi="Verdana"/>
          <w:noProof/>
          <w:sz w:val="18"/>
          <w:szCs w:val="18"/>
          <w:lang w:val="bg-BG" w:eastAsia="en-US"/>
        </w:rPr>
      </w:pPr>
      <w:r>
        <w:rPr>
          <w:rFonts w:ascii="Verdana" w:hAnsi="Verdana"/>
          <w:noProof/>
          <w:sz w:val="18"/>
          <w:szCs w:val="18"/>
          <w:lang w:val="bg-BG" w:eastAsia="en-US"/>
        </w:rPr>
        <w:tab/>
        <w:t xml:space="preserve">- </w:t>
      </w:r>
      <w:r>
        <w:rPr>
          <w:rFonts w:ascii="Verdana" w:hAnsi="Verdana"/>
          <w:noProof/>
          <w:sz w:val="18"/>
          <w:szCs w:val="18"/>
          <w:lang w:val="bg-BG" w:eastAsia="en-US"/>
        </w:rPr>
        <w:tab/>
      </w:r>
      <w:r>
        <w:rPr>
          <w:rFonts w:ascii="Verdana" w:hAnsi="Verdana"/>
          <w:b/>
          <w:bCs/>
          <w:noProof/>
          <w:sz w:val="18"/>
          <w:szCs w:val="18"/>
          <w:lang w:val="bg-BG" w:eastAsia="en-US"/>
        </w:rPr>
        <w:t>Доверителен фонд на ЕС „Колумбия“</w:t>
      </w:r>
      <w:r>
        <w:rPr>
          <w:rFonts w:ascii="Verdana" w:hAnsi="Verdana"/>
          <w:noProof/>
          <w:sz w:val="18"/>
          <w:szCs w:val="18"/>
          <w:lang w:val="bg-BG" w:eastAsia="en-US"/>
        </w:rPr>
        <w:t xml:space="preserve"> за подпомагане на изпълнението на мирното споразумение в ранното възстановяване и стабилизиране след конфликти. Създаден на 12 декември 2016 г.</w:t>
      </w:r>
    </w:p>
    <w:p>
      <w:pPr>
        <w:spacing w:before="240" w:after="240"/>
        <w:jc w:val="both"/>
        <w:rPr>
          <w:rFonts w:ascii="Verdana" w:hAnsi="Verdana"/>
          <w:b/>
          <w:noProof/>
          <w:color w:val="016794"/>
          <w:sz w:val="18"/>
          <w:szCs w:val="18"/>
          <w:lang w:val="bg-BG" w:eastAsia="en-US"/>
        </w:rPr>
      </w:pPr>
      <w:r>
        <w:rPr>
          <w:rFonts w:ascii="Verdana" w:hAnsi="Verdana"/>
          <w:b/>
          <w:noProof/>
          <w:color w:val="016794"/>
          <w:sz w:val="18"/>
          <w:szCs w:val="18"/>
          <w:lang w:val="bg-BG" w:eastAsia="en-US"/>
        </w:rPr>
        <w:t>Доверителен фонд на ЕС „Беку“</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Първият многостранен донорски доверителен фонд на ЕС, наречен „Беку“, което означава „надежда“ на езика санго, беше създаден на 15 юли 2014 г. от Комисията (представлявана от ГД DEVCO, ГД ECHO и ЕСВД) и три държави — членки на ЕС (Германия, Франция и Нидерландия), с цел да се насърчи стабилизирането и възстановяването на Централноафриканската република. Той е създаден за максимален срок от 60 месеца. През май 2019 г. ЕС одобри удължаване на срока на действие на доверителния фонд на ЕС „Беку“ до декември 2020 г., като по този начин общата му продължителност стана 78 месеца.</w:t>
      </w:r>
    </w:p>
    <w:p>
      <w:pPr>
        <w:spacing w:before="240" w:after="240"/>
        <w:jc w:val="both"/>
        <w:rPr>
          <w:rFonts w:ascii="Verdana" w:hAnsi="Verdana"/>
          <w:noProof/>
          <w:spacing w:val="-6"/>
          <w:sz w:val="18"/>
          <w:szCs w:val="18"/>
          <w:lang w:val="bg-BG" w:eastAsia="en-US"/>
        </w:rPr>
      </w:pPr>
      <w:r>
        <w:rPr>
          <w:rFonts w:ascii="Verdana" w:hAnsi="Verdana"/>
          <w:noProof/>
          <w:spacing w:val="-6"/>
          <w:sz w:val="18"/>
          <w:szCs w:val="18"/>
          <w:lang w:val="bg-BG" w:eastAsia="en-US"/>
        </w:rPr>
        <w:t>Управителният съвет и оперативният комитет на доверителния фонд на ЕС „Беку“ са съставени от представители на донорите и на Комисията и от наблюдатели.Управителният съвет приема и прави преглед на стратегията на доверителния фонд на ЕС. Управителният съвет заседава поне веднъж годишно.</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Оперативният комитет разглежда, одобрява и надзирава изпълнението на действията, финансирани от фонда. Също така комитетът одобрява годишните отчети и годишните доклади относно дейностите, финансирани от доверителния фонд.</w:t>
      </w:r>
    </w:p>
    <w:p>
      <w:pPr>
        <w:spacing w:before="240" w:after="240"/>
        <w:jc w:val="both"/>
        <w:rPr>
          <w:rFonts w:ascii="Verdana" w:hAnsi="Verdana"/>
          <w:b/>
          <w:noProof/>
          <w:color w:val="016794"/>
          <w:sz w:val="18"/>
          <w:szCs w:val="18"/>
          <w:lang w:val="bg-BG" w:eastAsia="en-US"/>
        </w:rPr>
      </w:pPr>
      <w:r>
        <w:rPr>
          <w:rFonts w:ascii="Verdana" w:hAnsi="Verdana"/>
          <w:b/>
          <w:noProof/>
          <w:color w:val="016794"/>
          <w:sz w:val="18"/>
          <w:szCs w:val="18"/>
          <w:lang w:val="bg-BG" w:eastAsia="en-US"/>
        </w:rPr>
        <w:t>Годишни отчети на доверителния фонд „Беку“</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съответствие с член 8 от Споразумението за създаване на Доверителен фонд на Европейския съюз за Централноафриканската република — доверителен фонд на ЕС „Беку“, и с член 11.2.1. от Учредителното споразумение, годишните отчети се състоят от две части: 1) годишния финансов отчет, за който отговаря управителят на доверителния фонд на ЕС, и 2) годишните финансови отчети, изготвени от счетоводителя на Комисията, който, по силата на същия член, е счетоводител и на доверителния фонд.</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съответствие с член 8 от Учредителното споразумение финансовите отчети се изготвят по счетоводните правила, приети от счетоводителя на Комисията (счетоводни правила на ЕС, ЕСП), които се основават на международните счетоводни стандарти за публичния сектор (МССПС).</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Годишните отчети подлежат на независим външен одит, като окончателните годишни отчети се представят от управителя на доверителния фонд на ЕС и от счетоводителя на оперативния комитет за одобрение (член 8.3.4, буква в).</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Годишните отчети на доверителния фонд на ЕС „Беку“ са консолидирани в годишните отчети на Европейския фонд за развитие.</w:t>
      </w:r>
    </w:p>
    <w:p>
      <w:pPr>
        <w:spacing w:before="240" w:after="240"/>
        <w:jc w:val="both"/>
        <w:rPr>
          <w:rFonts w:ascii="Verdana" w:hAnsi="Verdana"/>
          <w:b/>
          <w:noProof/>
          <w:color w:val="016794"/>
          <w:sz w:val="18"/>
          <w:szCs w:val="18"/>
          <w:lang w:val="bg-BG" w:eastAsia="en-US"/>
        </w:rPr>
      </w:pPr>
      <w:r>
        <w:rPr>
          <w:rFonts w:ascii="Verdana" w:hAnsi="Verdana"/>
          <w:b/>
          <w:noProof/>
          <w:color w:val="016794"/>
          <w:sz w:val="18"/>
          <w:szCs w:val="18"/>
          <w:lang w:val="bg-BG" w:eastAsia="en-US"/>
        </w:rPr>
        <w:t>Основни моменти през годината</w:t>
      </w:r>
    </w:p>
    <w:p>
      <w:pPr>
        <w:spacing w:before="240" w:after="240"/>
        <w:jc w:val="both"/>
        <w:rPr>
          <w:rFonts w:ascii="Verdana" w:hAnsi="Verdana"/>
          <w:noProof/>
          <w:spacing w:val="-4"/>
          <w:sz w:val="18"/>
          <w:szCs w:val="18"/>
          <w:lang w:val="bg-BG" w:eastAsia="en-US"/>
        </w:rPr>
      </w:pPr>
      <w:r>
        <w:rPr>
          <w:rFonts w:ascii="Verdana" w:hAnsi="Verdana"/>
          <w:noProof/>
          <w:spacing w:val="-4"/>
          <w:sz w:val="18"/>
          <w:szCs w:val="18"/>
          <w:lang w:val="bg-BG" w:eastAsia="en-US"/>
        </w:rPr>
        <w:t>От създаването си през юли 2014 г. доверителният фонд на ЕС „Беку“ е приел 19 програми и е достигнал до над 2,5 милиона бенефициери. Програмите са предназначени за подпомогане на Централноафриканската република (ЦАР) и нейното население след кризата от 2013 г. По-конкретно доверителният фонд на ЕС „Беку“ има за цел да гарантира достъп до основни услуги (предимно здравеопазване, водоснабдяване и канализация), да подпомага икономическото възстановяване и създаването на работни места и да насърчава социалното сближаване и помирението.</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Въпреки наличието на демократично избрано правителство и подписването на мирно споразумение през февруари 2019 г., положението със сигурността в ЦАР продължава да е нестабилно. В този сложен и нестабилен контекст доверителният фонд на ЕС „Беку“ се възползва в пълна степен от своите сравнителни предимства на гъвкавост и приспособимост към променящите се обстоятелства. Освен това доверителният фонд на ЕС „Беку“ продължава да бъде единственият инструмент за изграждане на устойчивост както за населението, така и за държавата, при прилагането на истински подход за установяване на връзка между помощ, възстановяване и развитие (LRRD).</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Като се има предвид настоящата ситуация в ЦАР, през май 2019 г. ЕС одобри удължаване на срока на действие на доверителния фонд на ЕС „Беку“ до декември 2020 г., като по този начин от 60 месеца общата му продължителност стана 78 месеца. Официалната процедура, която включваше консултация с Европейския парламент и Съвета, започна през 2018 г. след официално искане, отправено от управителния съвет на доверителния фонд на ЕС.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Оперативните акценти за 2019 г. са следните:</w:t>
      </w:r>
    </w:p>
    <w:p>
      <w:pPr>
        <w:numPr>
          <w:ilvl w:val="0"/>
          <w:numId w:val="18"/>
        </w:num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През май, след подписването на мирното споразумение, доверителният фонд на ЕС „Беку“ прие нови многосекторни действия за подкрепа на социално-икономическото възстановяване в югоизточната част на страната — район, който преди това беше недостъпен. Това действие цели подновяване на социалния договор между държавата и населението чрез подпомагане на икономическото възстановяване, възстановяване на основните медицински, водоснабдителни и канализационни услуги, насърчаване на диалога и социалното сближаване, както и укрепване на местните органи и възстановяване на държавността. Отпуснат бюджет: 18 милиона евро. </w:t>
      </w:r>
    </w:p>
    <w:p>
      <w:pPr>
        <w:numPr>
          <w:ilvl w:val="0"/>
          <w:numId w:val="18"/>
        </w:numPr>
        <w:spacing w:before="240" w:after="240"/>
        <w:jc w:val="both"/>
        <w:rPr>
          <w:rFonts w:ascii="Verdana" w:hAnsi="Verdana"/>
          <w:noProof/>
          <w:sz w:val="18"/>
          <w:szCs w:val="18"/>
          <w:lang w:val="bg-BG" w:eastAsia="en-US"/>
        </w:rPr>
      </w:pPr>
      <w:r>
        <w:rPr>
          <w:rFonts w:ascii="Verdana" w:hAnsi="Verdana"/>
          <w:noProof/>
          <w:sz w:val="18"/>
          <w:szCs w:val="18"/>
          <w:lang w:val="bg-BG" w:eastAsia="en-US"/>
        </w:rPr>
        <w:t>През октомври доверителният фонд на ЕС „Беку“ прие програма в подкрепа на насърчаването на предприемачеството в градските и селските райони на обща стойност 15 милиона евро. Беше приет и нов механизъм за техническа и комуникационна помощ. Освен това доверителният фонд на ЕС „Беку“ увеличи бюджета за три текущи действия в сектора на здравеопазването (допълнителни 21,76 милиона евро), овластяването на жените (допълнителни 0,5 милиона евро) и социално-икономическото възстановяване (допълнителни 0,78 милиона евро).</w:t>
      </w:r>
    </w:p>
    <w:p>
      <w:pPr>
        <w:numPr>
          <w:ilvl w:val="0"/>
          <w:numId w:val="18"/>
        </w:num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След удължаването на срока на действие на доверителния фонд на ЕС „Беку“ оперативната стратегия за периода 2019—2020 г. беше приета на заседанието на управителния съвет през ноември. В нея се определят три широкобхватни сектора на интервенция, които продължават да са от значение за доверителния фонд на ЕС: i) социални сектори (основно здравеопазване и водоснабдяване и канализация); ii) действия в полза на икономическата устойчивост и възстановяване; и iii) засилена подкрепа за възстановяването на държавността и за усилията за помирение. </w:t>
      </w:r>
    </w:p>
    <w:p>
      <w:pPr>
        <w:numPr>
          <w:ilvl w:val="0"/>
          <w:numId w:val="18"/>
        </w:numPr>
        <w:spacing w:before="240" w:after="240"/>
        <w:jc w:val="both"/>
        <w:rPr>
          <w:rFonts w:ascii="Verdana" w:hAnsi="Verdana"/>
          <w:noProof/>
          <w:sz w:val="18"/>
          <w:szCs w:val="18"/>
          <w:lang w:val="bg-BG" w:eastAsia="en-US"/>
        </w:rPr>
      </w:pPr>
      <w:r>
        <w:rPr>
          <w:rFonts w:ascii="Verdana" w:hAnsi="Verdana"/>
          <w:noProof/>
          <w:sz w:val="18"/>
          <w:szCs w:val="18"/>
          <w:lang w:val="bg-BG" w:eastAsia="en-US"/>
        </w:rPr>
        <w:t>Проектите на доверителния фонд на ЕС „Беку“ бяха повлияни от несигурността (локализирани конфликти в Бангуи и във вътрешността на страната, последвани от периоди на относителна стабилност), но също така и от засилената координация между правителството, партньорите и хуманитарните организации.</w:t>
      </w:r>
    </w:p>
    <w:p>
      <w:pPr>
        <w:spacing w:before="240" w:after="240"/>
        <w:jc w:val="both"/>
        <w:rPr>
          <w:rFonts w:ascii="Verdana" w:hAnsi="Verdana"/>
          <w:noProof/>
          <w:spacing w:val="-4"/>
          <w:sz w:val="18"/>
          <w:szCs w:val="18"/>
          <w:lang w:val="bg-BG" w:eastAsia="en-US"/>
        </w:rPr>
      </w:pPr>
      <w:r>
        <w:rPr>
          <w:rFonts w:ascii="Verdana" w:hAnsi="Verdana"/>
          <w:noProof/>
          <w:spacing w:val="-4"/>
          <w:sz w:val="18"/>
          <w:szCs w:val="18"/>
          <w:lang w:val="bg-BG" w:eastAsia="en-US"/>
        </w:rPr>
        <w:t>От финансова гледна точка в края на 2019 г. ангажиментите, поети от вносителите в доверителния фонд на ЕС, възлизаха на повече от 296 милиона евро. Това представлява увеличение с 53 милиона евро в сравнение с 2018 г. От тези 295 милиона евро 31 милиона евро все още не са сертифицирани.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Що се отнася до договорите, през 2019 г. доверителният фонд на ЕС „Беку“ е подписал 11 нови договора на обща стойност от над 28 милиона евро. Те допринасят за изпълнението на неговите програми в секторите на здравеопазването, устойчивостта на селските райони и създаването на работни места, отварянето на регионите и социално-икономическото възстановяване.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И не на последно място, през 2019 г. към плащанията, направени през предходните години, бяха добавени близо 32 милиона евро; от създаването на доверителния фонд на ЕС „Беку“ общият размер на платените вноски достигна близо 151 милиона евро.</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Във финансовите отчети въздействието на горепосочените дейности е най-видимо в областта на:</w:t>
      </w:r>
    </w:p>
    <w:p>
      <w:pPr>
        <w:numPr>
          <w:ilvl w:val="0"/>
          <w:numId w:val="17"/>
        </w:numPr>
        <w:ind w:left="714" w:hanging="357"/>
        <w:jc w:val="both"/>
        <w:rPr>
          <w:rFonts w:ascii="Verdana" w:hAnsi="Verdana"/>
          <w:noProof/>
          <w:sz w:val="18"/>
          <w:szCs w:val="18"/>
          <w:lang w:val="bg-BG" w:eastAsia="en-US"/>
        </w:rPr>
      </w:pPr>
      <w:r>
        <w:rPr>
          <w:rFonts w:ascii="Verdana" w:hAnsi="Verdana"/>
          <w:noProof/>
          <w:sz w:val="18"/>
          <w:szCs w:val="18"/>
          <w:lang w:val="bg-BG" w:eastAsia="en-US"/>
        </w:rPr>
        <w:t>предварителното финансиране: намаление от 11 405 000 EUR в резултат на осчетоводяване през 2019 г. на неприключени към края на 2018 г. суми и на намаляване на авансовите плащания;</w:t>
      </w:r>
    </w:p>
    <w:p>
      <w:pPr>
        <w:numPr>
          <w:ilvl w:val="0"/>
          <w:numId w:val="17"/>
        </w:numPr>
        <w:spacing w:before="120" w:after="240"/>
        <w:ind w:left="714" w:hanging="357"/>
        <w:jc w:val="both"/>
        <w:rPr>
          <w:rFonts w:ascii="Verdana" w:hAnsi="Verdana"/>
          <w:noProof/>
          <w:sz w:val="18"/>
          <w:szCs w:val="18"/>
          <w:lang w:val="bg-BG" w:eastAsia="en-US"/>
        </w:rPr>
      </w:pPr>
      <w:r>
        <w:rPr>
          <w:rFonts w:ascii="Verdana" w:hAnsi="Verdana"/>
          <w:noProof/>
          <w:sz w:val="18"/>
          <w:szCs w:val="18"/>
          <w:lang w:val="bg-BG" w:eastAsia="en-US"/>
        </w:rPr>
        <w:t>парите и паричните еквиваленти: увеличение в размер на 3 506 000 EUR (вж. отчета за паричните потоци), което се дължи основно на намалелите плащания по предварителното финансиране;</w:t>
      </w:r>
    </w:p>
    <w:p>
      <w:pPr>
        <w:numPr>
          <w:ilvl w:val="0"/>
          <w:numId w:val="17"/>
        </w:numPr>
        <w:spacing w:before="120" w:after="240"/>
        <w:ind w:left="714" w:hanging="357"/>
        <w:jc w:val="both"/>
        <w:rPr>
          <w:rFonts w:ascii="Verdana" w:hAnsi="Verdana"/>
          <w:noProof/>
          <w:sz w:val="18"/>
          <w:szCs w:val="18"/>
          <w:lang w:val="bg-BG" w:eastAsia="en-US"/>
        </w:rPr>
        <w:sectPr>
          <w:headerReference w:type="even" r:id="rId227"/>
          <w:headerReference w:type="default" r:id="rId228"/>
          <w:footerReference w:type="even" r:id="rId229"/>
          <w:footerReference w:type="default" r:id="rId230"/>
          <w:headerReference w:type="first" r:id="rId231"/>
          <w:footerReference w:type="first" r:id="rId232"/>
          <w:pgSz w:w="11906" w:h="16838" w:code="9"/>
          <w:pgMar w:top="1134" w:right="1134" w:bottom="1134" w:left="1134" w:header="708" w:footer="708" w:gutter="0"/>
          <w:cols w:space="708"/>
          <w:docGrid w:linePitch="360"/>
        </w:sectPr>
      </w:pPr>
    </w:p>
    <w:p>
      <w:pPr>
        <w:pStyle w:val="HEADERTITLE1"/>
        <w:rPr>
          <w:lang w:val="bg-BG"/>
        </w:rPr>
      </w:pPr>
      <w:bookmarkStart w:id="98" w:name="_Toc9948396"/>
      <w:bookmarkStart w:id="99" w:name="_Toc41982823"/>
      <w:bookmarkStart w:id="100" w:name="_Toc49527937"/>
      <w:r>
        <w:rPr>
          <w:lang w:val="bg-BG"/>
        </w:rPr>
        <w:t>СЧЕТОВОДЕН БАЛАНС</w:t>
      </w:r>
      <w:bookmarkEnd w:id="98"/>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843"/>
        <w:gridCol w:w="1357"/>
        <w:gridCol w:w="1618"/>
      </w:tblGrid>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noProof/>
                <w:color w:val="000000"/>
                <w:sz w:val="22"/>
                <w:szCs w:val="20"/>
                <w:lang w:val="bg-BG"/>
              </w:rPr>
            </w:pPr>
            <w:bookmarkStart w:id="101" w:name="DOC_TBL00047_1_1"/>
            <w:bookmarkEnd w:id="101"/>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Calibri" w:eastAsia="Calibri" w:hAnsi="Calibri" w:cs="Calibri"/>
                <w:noProof/>
                <w:color w:val="000000"/>
                <w:sz w:val="22"/>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noProof/>
                <w:color w:val="000000"/>
                <w:sz w:val="22"/>
                <w:szCs w:val="20"/>
                <w:lang w:val="bg-BG"/>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 xml:space="preserve"> хиляди евро</w:t>
            </w:r>
          </w:p>
        </w:tc>
      </w:tr>
      <w:tr>
        <w:trPr>
          <w:trHeight w:val="255"/>
        </w:trPr>
        <w:tc>
          <w:tcPr>
            <w:tcW w:w="5940"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p>
        </w:tc>
        <w:tc>
          <w:tcPr>
            <w:tcW w:w="843"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1357"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618"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НЕТЕКУЩИ АКТИВИ</w:t>
            </w: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Предварително финансиране</w:t>
            </w: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3 273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3 443</w:t>
            </w:r>
          </w:p>
        </w:tc>
      </w:tr>
      <w:tr>
        <w:trPr>
          <w:trHeigh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8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3 273</w:t>
            </w:r>
          </w:p>
        </w:tc>
        <w:tc>
          <w:tcPr>
            <w:tcW w:w="16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3 443</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ТЕКУЩИ АКТИВИ</w:t>
            </w: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Предварително финансиране</w:t>
            </w: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18 312</w:t>
            </w: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29 546</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Вземания по операции с размяна и средства, подлежащи на събиране, по операции без размяна</w:t>
            </w: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1 853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1 138</w:t>
            </w:r>
          </w:p>
        </w:tc>
      </w:tr>
      <w:tr>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Пари и парични еквиваленти </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17 432</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13 926</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37 597</w:t>
            </w: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44 611</w:t>
            </w: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АКТИВИ</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40 870</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48 054</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noProof/>
                <w:color w:val="000000"/>
                <w:sz w:val="22"/>
                <w:szCs w:val="20"/>
                <w:lang w:val="bg-BG"/>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Calibri" w:eastAsia="Calibri" w:hAnsi="Calibri" w:cs="Calibri"/>
                <w:noProof/>
                <w:color w:val="000000"/>
                <w:sz w:val="22"/>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noProof/>
                <w:color w:val="000000"/>
                <w:sz w:val="22"/>
                <w:szCs w:val="20"/>
                <w:lang w:val="bg-BG"/>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noProof/>
                <w:color w:val="000000"/>
                <w:sz w:val="22"/>
                <w:szCs w:val="20"/>
                <w:lang w:val="bg-B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НЕТЕКУЩИ ПАСИВИ</w:t>
            </w: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пасиви</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(29 727)</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(42 737)</w:t>
            </w:r>
          </w:p>
        </w:tc>
      </w:tr>
      <w:tr>
        <w:trPr>
          <w:trHeigh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8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(29 727)</w:t>
            </w:r>
          </w:p>
        </w:tc>
        <w:tc>
          <w:tcPr>
            <w:tcW w:w="16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(42 737)</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ТЕКУЩИ ПАСИВИ</w:t>
            </w: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Задължения </w:t>
            </w: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(10)</w:t>
            </w: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(918)</w:t>
            </w:r>
          </w:p>
        </w:tc>
      </w:tr>
      <w:tr>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Начислени разходи и приходи за бъдещи периоди</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(11 133)</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(4 399)</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(11 143)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(5 317)</w:t>
            </w: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ПАСИВИ</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(40 870)</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(48 054)</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bidi="en-GB"/>
              </w:rPr>
            </w:pP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АКТИВИ</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ФОНДОВЕ И РЕЗЕРВИ</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p>
        </w:tc>
        <w:tc>
          <w:tcPr>
            <w:tcW w:w="161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Вноски от членовете</w:t>
            </w: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Натрупан излишък</w:t>
            </w: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84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АКТИВИ</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r>
    </w:tbl>
    <w:p>
      <w:pPr>
        <w:tabs>
          <w:tab w:val="left" w:pos="907"/>
        </w:tabs>
        <w:spacing w:after="240"/>
        <w:rPr>
          <w:rFonts w:ascii="Verdana" w:hAnsi="Verdana"/>
          <w:b/>
          <w:noProof/>
          <w:color w:val="016794"/>
          <w:sz w:val="28"/>
          <w:szCs w:val="18"/>
          <w:lang w:val="bg-BG" w:eastAsia="en-US"/>
        </w:rPr>
      </w:pPr>
    </w:p>
    <w:p>
      <w:pPr>
        <w:rPr>
          <w:rFonts w:ascii="Verdana" w:hAnsi="Verdana"/>
          <w:i/>
          <w:noProof/>
          <w:color w:val="016794"/>
          <w:sz w:val="18"/>
          <w:lang w:val="bg-BG"/>
        </w:rPr>
        <w:sectPr>
          <w:headerReference w:type="even" r:id="rId233"/>
          <w:headerReference w:type="default" r:id="rId234"/>
          <w:footerReference w:type="even" r:id="rId235"/>
          <w:footerReference w:type="default" r:id="rId236"/>
          <w:headerReference w:type="first" r:id="rId237"/>
          <w:footerReference w:type="first" r:id="rId238"/>
          <w:pgSz w:w="11906" w:h="16838" w:code="9"/>
          <w:pgMar w:top="1134" w:right="1134" w:bottom="1134" w:left="1134" w:header="708" w:footer="708" w:gutter="0"/>
          <w:cols w:space="708"/>
          <w:docGrid w:linePitch="360"/>
        </w:sectPr>
      </w:pPr>
    </w:p>
    <w:p>
      <w:pPr>
        <w:pStyle w:val="HEADERTITLE1"/>
        <w:rPr>
          <w:lang w:val="bg-BG"/>
        </w:rPr>
      </w:pPr>
      <w:bookmarkStart w:id="102" w:name="_Toc41982824"/>
      <w:bookmarkStart w:id="103" w:name="_Toc49527938"/>
      <w:r>
        <w:rPr>
          <w:lang w:val="bg-BG"/>
        </w:rPr>
        <w:t>ОТЧЕТ ЗА ФИНАНСОВИЯ РЕЗУЛТАТ</w:t>
      </w:r>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4"/>
        <w:gridCol w:w="833"/>
        <w:gridCol w:w="2032"/>
        <w:gridCol w:w="1279"/>
      </w:tblGrid>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noProof/>
                <w:color w:val="000000"/>
                <w:sz w:val="20"/>
                <w:szCs w:val="20"/>
                <w:lang w:val="bg-BG"/>
              </w:rPr>
            </w:pPr>
            <w:bookmarkStart w:id="104" w:name="DOC_TBL00048_1_1"/>
            <w:bookmarkEnd w:id="104"/>
          </w:p>
        </w:tc>
        <w:tc>
          <w:tcPr>
            <w:tcW w:w="83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noProof/>
                <w:color w:val="000000"/>
                <w:sz w:val="20"/>
                <w:szCs w:val="20"/>
                <w:lang w:val="bg-BG"/>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20"/>
                <w:szCs w:val="20"/>
                <w:lang w:val="bg-BG"/>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хиляди евро</w:t>
            </w:r>
          </w:p>
        </w:tc>
      </w:tr>
      <w:tr>
        <w:trPr>
          <w:trHeight w:val="255"/>
        </w:trPr>
        <w:tc>
          <w:tcPr>
            <w:tcW w:w="5614"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p>
        </w:tc>
        <w:tc>
          <w:tcPr>
            <w:tcW w:w="833"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2032"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279"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w:t>
            </w:r>
          </w:p>
        </w:tc>
        <w:tc>
          <w:tcPr>
            <w:tcW w:w="83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 от операции без размяна</w:t>
            </w:r>
          </w:p>
        </w:tc>
        <w:tc>
          <w:tcPr>
            <w:tcW w:w="83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Приходи от дарения</w:t>
            </w:r>
          </w:p>
        </w:tc>
        <w:tc>
          <w:tcPr>
            <w:tcW w:w="83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48 343</w:t>
            </w:r>
          </w:p>
        </w:tc>
        <w:tc>
          <w:tcPr>
            <w:tcW w:w="127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33 682</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Събиране на разходи</w:t>
            </w:r>
          </w:p>
        </w:tc>
        <w:tc>
          <w:tcPr>
            <w:tcW w:w="83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68</w:t>
            </w:r>
          </w:p>
        </w:tc>
        <w:tc>
          <w:tcPr>
            <w:tcW w:w="127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56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p>
        </w:tc>
        <w:tc>
          <w:tcPr>
            <w:tcW w:w="83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48 410</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33 682</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 от операции с размяна</w:t>
            </w:r>
          </w:p>
        </w:tc>
        <w:tc>
          <w:tcPr>
            <w:tcW w:w="83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приходи</w:t>
            </w:r>
          </w:p>
        </w:tc>
        <w:tc>
          <w:tcPr>
            <w:tcW w:w="83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27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r>
      <w:tr>
        <w:trPr>
          <w:trHeight w:val="255"/>
        </w:trPr>
        <w:tc>
          <w:tcPr>
            <w:tcW w:w="56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83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w:t>
            </w:r>
          </w:p>
        </w:tc>
      </w:tr>
      <w:tr>
        <w:trPr>
          <w:trHeight w:val="255"/>
        </w:trPr>
        <w:tc>
          <w:tcPr>
            <w:tcW w:w="56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приходи</w:t>
            </w:r>
          </w:p>
        </w:tc>
        <w:tc>
          <w:tcPr>
            <w:tcW w:w="83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48 408</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33 683</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РАЗХОДИ</w:t>
            </w:r>
          </w:p>
        </w:tc>
        <w:tc>
          <w:tcPr>
            <w:tcW w:w="83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Оперативни разходи</w:t>
            </w:r>
          </w:p>
        </w:tc>
        <w:tc>
          <w:tcPr>
            <w:tcW w:w="83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(47 620)</w:t>
            </w:r>
          </w:p>
        </w:tc>
        <w:tc>
          <w:tcPr>
            <w:tcW w:w="127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(32 825)</w:t>
            </w:r>
          </w:p>
        </w:tc>
      </w:tr>
      <w:tr>
        <w:trPr>
          <w:trHeight w:val="255"/>
        </w:trPr>
        <w:tc>
          <w:tcPr>
            <w:tcW w:w="5614" w:type="dxa"/>
            <w:tcBorders>
              <w:top w:val="nil"/>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 разходи</w:t>
            </w:r>
          </w:p>
        </w:tc>
        <w:tc>
          <w:tcPr>
            <w:tcW w:w="833"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2032"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(789)</w:t>
            </w:r>
          </w:p>
        </w:tc>
        <w:tc>
          <w:tcPr>
            <w:tcW w:w="1279"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(858)</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разходи</w:t>
            </w:r>
          </w:p>
        </w:tc>
        <w:tc>
          <w:tcPr>
            <w:tcW w:w="833"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(48 408)</w:t>
            </w:r>
          </w:p>
        </w:tc>
        <w:tc>
          <w:tcPr>
            <w:tcW w:w="127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(33 683)</w:t>
            </w:r>
          </w:p>
        </w:tc>
      </w:tr>
      <w:tr>
        <w:trPr>
          <w:trHeight w:val="255"/>
        </w:trPr>
        <w:tc>
          <w:tcPr>
            <w:tcW w:w="5614"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ИКОНОМИЧЕСКИ РЕЗУЛТАТ ЗА ГОДИНАТА</w:t>
            </w:r>
          </w:p>
        </w:tc>
        <w:tc>
          <w:tcPr>
            <w:tcW w:w="833"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2032"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27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r>
    </w:tbl>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sectPr>
          <w:headerReference w:type="even" r:id="rId239"/>
          <w:headerReference w:type="default" r:id="rId240"/>
          <w:footerReference w:type="even" r:id="rId241"/>
          <w:footerReference w:type="default" r:id="rId242"/>
          <w:headerReference w:type="first" r:id="rId243"/>
          <w:footerReference w:type="first" r:id="rId244"/>
          <w:pgSz w:w="11906" w:h="16838" w:code="9"/>
          <w:pgMar w:top="1134" w:right="1134" w:bottom="1134" w:left="1134" w:header="708" w:footer="708" w:gutter="0"/>
          <w:cols w:space="708"/>
          <w:docGrid w:linePitch="360"/>
        </w:sectPr>
      </w:pPr>
    </w:p>
    <w:p>
      <w:pPr>
        <w:pStyle w:val="HEADERTITLE1"/>
        <w:rPr>
          <w:lang w:val="bg-BG"/>
        </w:rPr>
      </w:pPr>
      <w:bookmarkStart w:id="105" w:name="_Toc41982825"/>
      <w:bookmarkStart w:id="106" w:name="_Toc49527939"/>
      <w:r>
        <w:rPr>
          <w:lang w:val="bg-BG"/>
        </w:rPr>
        <w:t>ОТЧЕТ ЗА ПАРИЧНИТЕ ПОТОЦИ</w:t>
      </w:r>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1056"/>
        <w:gridCol w:w="1412"/>
      </w:tblGrid>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noProof/>
                <w:color w:val="000000"/>
                <w:sz w:val="20"/>
                <w:szCs w:val="20"/>
                <w:lang w:val="bg-BG"/>
              </w:rPr>
            </w:pPr>
            <w:bookmarkStart w:id="107" w:name="DOC_TBL00049_1_1"/>
            <w:bookmarkEnd w:id="107"/>
          </w:p>
        </w:tc>
        <w:tc>
          <w:tcPr>
            <w:tcW w:w="1056"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i/>
                <w:noProof/>
                <w:color w:val="000000"/>
                <w:sz w:val="20"/>
                <w:szCs w:val="20"/>
                <w:lang w:val="bg-BG"/>
              </w:rPr>
            </w:pPr>
          </w:p>
        </w:tc>
        <w:tc>
          <w:tcPr>
            <w:tcW w:w="141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хиляди евро</w:t>
            </w:r>
          </w:p>
        </w:tc>
      </w:tr>
      <w:tr>
        <w:trPr>
          <w:trHeight w:val="255"/>
        </w:trPr>
        <w:tc>
          <w:tcPr>
            <w:tcW w:w="7290"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p>
        </w:tc>
        <w:tc>
          <w:tcPr>
            <w:tcW w:w="1056"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412"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предварителното финансиране</w:t>
            </w:r>
          </w:p>
        </w:tc>
        <w:tc>
          <w:tcPr>
            <w:tcW w:w="105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11 405</w:t>
            </w:r>
          </w:p>
        </w:tc>
        <w:tc>
          <w:tcPr>
            <w:tcW w:w="141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(24 839)</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вземанията по операции с размяна и на средствата, подлежащи на събиране, по операции без размяна</w:t>
            </w:r>
          </w:p>
        </w:tc>
        <w:tc>
          <w:tcPr>
            <w:tcW w:w="105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(715)</w:t>
            </w:r>
          </w:p>
        </w:tc>
        <w:tc>
          <w:tcPr>
            <w:tcW w:w="141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(261)</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финансовите пасиви</w:t>
            </w:r>
          </w:p>
        </w:tc>
        <w:tc>
          <w:tcPr>
            <w:tcW w:w="105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(13 010)</w:t>
            </w:r>
          </w:p>
        </w:tc>
        <w:tc>
          <w:tcPr>
            <w:tcW w:w="141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(1 982)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задълженията</w:t>
            </w:r>
          </w:p>
        </w:tc>
        <w:tc>
          <w:tcPr>
            <w:tcW w:w="105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(908)</w:t>
            </w:r>
          </w:p>
        </w:tc>
        <w:tc>
          <w:tcPr>
            <w:tcW w:w="141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202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начислените разходи и приходите за бъдещи периоди</w:t>
            </w:r>
          </w:p>
        </w:tc>
        <w:tc>
          <w:tcPr>
            <w:tcW w:w="105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6 734</w:t>
            </w:r>
          </w:p>
        </w:tc>
        <w:tc>
          <w:tcPr>
            <w:tcW w:w="141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863</w:t>
            </w:r>
          </w:p>
        </w:tc>
      </w:tr>
      <w:tr>
        <w:trPr>
          <w:trHeigh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ПАРИЧНИ ПОТОЦИ</w:t>
            </w:r>
          </w:p>
        </w:tc>
        <w:tc>
          <w:tcPr>
            <w:tcW w:w="1056"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3 506</w:t>
            </w:r>
          </w:p>
        </w:tc>
        <w:tc>
          <w:tcPr>
            <w:tcW w:w="1412"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(26 017)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b/>
                <w:noProof/>
                <w:color w:val="000000"/>
                <w:sz w:val="20"/>
                <w:szCs w:val="20"/>
                <w:lang w:val="bg-BG"/>
              </w:rPr>
            </w:pPr>
          </w:p>
        </w:tc>
        <w:tc>
          <w:tcPr>
            <w:tcW w:w="1056"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noProof/>
                <w:color w:val="000000"/>
                <w:sz w:val="20"/>
                <w:szCs w:val="20"/>
                <w:lang w:val="bg-BG"/>
              </w:rPr>
            </w:pPr>
          </w:p>
        </w:tc>
        <w:tc>
          <w:tcPr>
            <w:tcW w:w="1412"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noProof/>
                <w:color w:val="000000"/>
                <w:sz w:val="20"/>
                <w:szCs w:val="20"/>
                <w:lang w:val="bg-B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Нетно увеличение/(намаление) на парите и паричните еквиваленти</w:t>
            </w:r>
          </w:p>
        </w:tc>
        <w:tc>
          <w:tcPr>
            <w:tcW w:w="105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3 506</w:t>
            </w:r>
          </w:p>
        </w:tc>
        <w:tc>
          <w:tcPr>
            <w:tcW w:w="141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(26 017)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Пари и парични еквиваленти в началото на годината</w:t>
            </w:r>
          </w:p>
        </w:tc>
        <w:tc>
          <w:tcPr>
            <w:tcW w:w="105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13 926</w:t>
            </w:r>
          </w:p>
        </w:tc>
        <w:tc>
          <w:tcPr>
            <w:tcW w:w="141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39 943</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Пари и парични еквиваленти в края на годината</w:t>
            </w:r>
          </w:p>
        </w:tc>
        <w:tc>
          <w:tcPr>
            <w:tcW w:w="105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17 432</w:t>
            </w:r>
          </w:p>
        </w:tc>
        <w:tc>
          <w:tcPr>
            <w:tcW w:w="1412"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13 926</w:t>
            </w:r>
          </w:p>
        </w:tc>
      </w:tr>
    </w:tbl>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sectPr>
          <w:headerReference w:type="even" r:id="rId245"/>
          <w:headerReference w:type="default" r:id="rId246"/>
          <w:footerReference w:type="even" r:id="rId247"/>
          <w:footerReference w:type="default" r:id="rId248"/>
          <w:headerReference w:type="first" r:id="rId249"/>
          <w:footerReference w:type="first" r:id="rId250"/>
          <w:pgSz w:w="11906" w:h="16838" w:code="9"/>
          <w:pgMar w:top="1134" w:right="1134" w:bottom="1134" w:left="1134" w:header="708" w:footer="708" w:gutter="0"/>
          <w:cols w:space="708"/>
          <w:docGrid w:linePitch="360"/>
        </w:sectPr>
      </w:pPr>
    </w:p>
    <w:p>
      <w:pPr>
        <w:tabs>
          <w:tab w:val="left" w:pos="907"/>
        </w:tabs>
        <w:spacing w:before="240" w:after="720"/>
        <w:rPr>
          <w:rFonts w:ascii="Verdana" w:hAnsi="Verdana"/>
          <w:b/>
          <w:noProof/>
          <w:color w:val="016794"/>
          <w:sz w:val="40"/>
          <w:szCs w:val="18"/>
          <w:lang w:val="bg-BG" w:eastAsia="en-US"/>
        </w:rPr>
      </w:pPr>
      <w:bookmarkStart w:id="108" w:name="_Toc9948400"/>
      <w:bookmarkStart w:id="109" w:name="_Toc9959664"/>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pStyle w:val="FIRSTCHAPTERPAGE1"/>
        <w:rPr>
          <w:lang w:val="bg-BG"/>
        </w:rPr>
      </w:pPr>
      <w:bookmarkStart w:id="110" w:name="_Toc41982800"/>
      <w:bookmarkStart w:id="111" w:name="_Toc49527807"/>
      <w:bookmarkStart w:id="112" w:name="_Toc49527940"/>
      <w:r>
        <w:rPr>
          <w:lang w:val="bg-BG"/>
        </w:rPr>
        <w:t>ФИНАНСОВИ ОТЧЕТИ НА ДОВЕРИТЕЛНИЯ ФОНД НА ЕС ЗА АФРИКА ЗА 2019 Г.</w:t>
      </w:r>
      <w:bookmarkEnd w:id="108"/>
      <w:bookmarkEnd w:id="109"/>
      <w:bookmarkEnd w:id="110"/>
      <w:bookmarkEnd w:id="111"/>
      <w:bookmarkEnd w:id="112"/>
    </w:p>
    <w:p>
      <w:pPr>
        <w:spacing w:before="240" w:after="720"/>
        <w:rPr>
          <w:rFonts w:ascii="Verdana" w:hAnsi="Verdana"/>
          <w:b/>
          <w:noProof/>
          <w:color w:val="016794"/>
          <w:sz w:val="40"/>
          <w:szCs w:val="40"/>
          <w:lang w:val="bg-BG"/>
        </w:rPr>
      </w:pPr>
    </w:p>
    <w:p>
      <w:pPr>
        <w:spacing w:before="240" w:after="720"/>
        <w:rPr>
          <w:rFonts w:ascii="Verdana" w:hAnsi="Verdana"/>
          <w:b/>
          <w:noProof/>
          <w:color w:val="016794"/>
          <w:sz w:val="40"/>
          <w:szCs w:val="40"/>
          <w:lang w:val="bg-BG"/>
        </w:rPr>
      </w:pPr>
    </w:p>
    <w:p>
      <w:pPr>
        <w:spacing w:before="240" w:after="720"/>
        <w:rPr>
          <w:rFonts w:ascii="Verdana" w:hAnsi="Verdana"/>
          <w:b/>
          <w:noProof/>
          <w:color w:val="016794"/>
          <w:sz w:val="40"/>
          <w:szCs w:val="40"/>
          <w:lang w:val="bg-BG"/>
        </w:rPr>
      </w:pPr>
    </w:p>
    <w:p>
      <w:pPr>
        <w:spacing w:before="240" w:after="720"/>
        <w:rPr>
          <w:rFonts w:ascii="Verdana" w:hAnsi="Verdana"/>
          <w:b/>
          <w:noProof/>
          <w:color w:val="016794"/>
          <w:sz w:val="40"/>
          <w:szCs w:val="40"/>
          <w:lang w:val="bg-BG"/>
        </w:rPr>
      </w:pPr>
    </w:p>
    <w:p>
      <w:pPr>
        <w:spacing w:before="240" w:after="720"/>
        <w:rPr>
          <w:rFonts w:ascii="Verdana" w:hAnsi="Verdana"/>
          <w:b/>
          <w:noProof/>
          <w:color w:val="016794"/>
          <w:sz w:val="40"/>
          <w:szCs w:val="40"/>
          <w:lang w:val="bg-BG"/>
        </w:rPr>
      </w:pPr>
    </w:p>
    <w:p>
      <w:pPr>
        <w:rPr>
          <w:rFonts w:ascii="Verdana" w:hAnsi="Verdana"/>
          <w:i/>
          <w:noProof/>
          <w:color w:val="016794"/>
          <w:sz w:val="18"/>
          <w:lang w:val="bg-BG"/>
        </w:rPr>
      </w:pPr>
      <w:r>
        <w:rPr>
          <w:rFonts w:ascii="Verdana" w:hAnsi="Verdana"/>
          <w:i/>
          <w:noProof/>
          <w:color w:val="016794"/>
          <w:sz w:val="18"/>
          <w:lang w:val="bg-BG"/>
        </w:rPr>
        <w:t>Следва да се отбележи, че поради закръглянето на цифрите в хиляди евро някои финансови данни в таблиците може да изглеждат грешни.</w:t>
      </w:r>
    </w:p>
    <w:p>
      <w:pPr>
        <w:rPr>
          <w:rFonts w:ascii="Verdana" w:hAnsi="Verdana"/>
          <w:i/>
          <w:noProof/>
          <w:color w:val="016794"/>
          <w:sz w:val="18"/>
          <w:lang w:val="bg-BG"/>
        </w:rPr>
        <w:sectPr>
          <w:headerReference w:type="even" r:id="rId251"/>
          <w:headerReference w:type="default" r:id="rId252"/>
          <w:footerReference w:type="even" r:id="rId253"/>
          <w:footerReference w:type="default" r:id="rId254"/>
          <w:headerReference w:type="first" r:id="rId255"/>
          <w:footerReference w:type="first" r:id="rId256"/>
          <w:pgSz w:w="11906" w:h="16838" w:code="9"/>
          <w:pgMar w:top="1134" w:right="1134" w:bottom="1134" w:left="1134" w:header="709" w:footer="709" w:gutter="0"/>
          <w:cols w:space="708"/>
          <w:docGrid w:linePitch="360"/>
        </w:sectPr>
      </w:pPr>
    </w:p>
    <w:p>
      <w:pPr>
        <w:pStyle w:val="HEADERTITLE"/>
        <w:rPr>
          <w:lang w:val="bg-BG"/>
        </w:rPr>
      </w:pPr>
      <w:r>
        <w:rPr>
          <w:lang w:val="bg-BG"/>
        </w:rPr>
        <w:t>ОБЩА ИНФОРМАЦИЯ ЗА ДОВЕРИТЕЛНИЯ ФОНД НА ЕС ЗА АФРИКА</w:t>
      </w:r>
    </w:p>
    <w:p>
      <w:pPr>
        <w:spacing w:before="240" w:after="240"/>
        <w:jc w:val="both"/>
        <w:rPr>
          <w:rFonts w:ascii="Verdana" w:hAnsi="Verdana"/>
          <w:b/>
          <w:noProof/>
          <w:color w:val="016794"/>
          <w:sz w:val="18"/>
          <w:szCs w:val="18"/>
          <w:lang w:val="bg-BG" w:eastAsia="en-US"/>
        </w:rPr>
      </w:pPr>
      <w:r>
        <w:rPr>
          <w:rFonts w:ascii="Verdana" w:hAnsi="Verdana"/>
          <w:b/>
          <w:noProof/>
          <w:color w:val="016794"/>
          <w:sz w:val="18"/>
          <w:szCs w:val="18"/>
          <w:lang w:val="bg-BG" w:eastAsia="en-US"/>
        </w:rPr>
        <w:t>Обща информация относно доверителните фондове на ЕС</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съответствие с членове 234 и 235 от Финансовия регламент, приложим за общия бюджет на Съюза (ФР на ЕС)</w:t>
      </w:r>
      <w:r>
        <w:rPr>
          <w:rFonts w:ascii="Verdana" w:hAnsi="Verdana"/>
          <w:noProof/>
          <w:sz w:val="18"/>
          <w:szCs w:val="18"/>
          <w:vertAlign w:val="superscript"/>
          <w:lang w:val="bg-BG" w:eastAsia="en-US"/>
        </w:rPr>
        <w:footnoteReference w:id="6"/>
      </w:r>
      <w:r>
        <w:rPr>
          <w:rFonts w:ascii="Verdana" w:hAnsi="Verdana"/>
          <w:noProof/>
          <w:sz w:val="18"/>
          <w:szCs w:val="18"/>
          <w:lang w:val="bg-BG" w:eastAsia="en-US"/>
        </w:rPr>
        <w:t xml:space="preserve"> и член 35 от Финансовия регламент, приложим за 11-ия ЕФР (ФР на ЕФР)</w:t>
      </w:r>
      <w:r>
        <w:rPr>
          <w:rFonts w:ascii="Verdana" w:hAnsi="Verdana"/>
          <w:noProof/>
          <w:sz w:val="18"/>
          <w:szCs w:val="18"/>
          <w:vertAlign w:val="superscript"/>
          <w:lang w:val="bg-BG" w:eastAsia="en-US"/>
        </w:rPr>
        <w:footnoteReference w:id="7"/>
      </w:r>
      <w:r>
        <w:rPr>
          <w:rFonts w:ascii="Verdana" w:hAnsi="Verdana"/>
          <w:noProof/>
          <w:sz w:val="18"/>
          <w:szCs w:val="18"/>
          <w:lang w:val="bg-BG" w:eastAsia="en-US"/>
        </w:rPr>
        <w:t xml:space="preserve">, Европейската комисия може да създава доверителни фондове на Съюза за външни дейности („доверителни фондове на Съюза“). Доверителните фондове на Съюза се създават по силата на споразумение, сключено с други донори, за действия при спешни ситуации и след спешни ситуации, необходими за реагиране на криза или за тематични действия.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Доверителните фондове на Съюза се създават от Европейската комисия с решение, взето след консултация с Европейския парламент и Съвета във връзка с одобрението. Това решение включва учредително споразумение с други донори.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Доверителните фондове на Съюза се създават и изпълняват само при следните условия:</w:t>
      </w:r>
    </w:p>
    <w:p>
      <w:pPr>
        <w:numPr>
          <w:ilvl w:val="0"/>
          <w:numId w:val="19"/>
        </w:numPr>
        <w:jc w:val="both"/>
        <w:rPr>
          <w:rFonts w:ascii="Verdana" w:hAnsi="Verdana"/>
          <w:noProof/>
          <w:spacing w:val="-4"/>
          <w:sz w:val="18"/>
          <w:szCs w:val="18"/>
          <w:lang w:val="bg-BG" w:eastAsia="en-US"/>
        </w:rPr>
      </w:pPr>
      <w:r>
        <w:rPr>
          <w:rFonts w:ascii="Verdana" w:hAnsi="Verdana"/>
          <w:noProof/>
          <w:spacing w:val="-4"/>
          <w:sz w:val="18"/>
          <w:szCs w:val="18"/>
          <w:lang w:val="bg-BG" w:eastAsia="en-US"/>
        </w:rPr>
        <w:t>Намесата на Съюза има добавена стойност: целите на доверителните фондове на Съюза, по-специално поради своя мащаб или потенциални последици, могат да бъдат постигнати по-добре на равнището на Съюза, отколкото на национално равнище, а използването на съществуващите финансови инструменти не би било достатъчно за постигане на целите на политиката на Съюза;</w:t>
      </w:r>
    </w:p>
    <w:p>
      <w:pPr>
        <w:numPr>
          <w:ilvl w:val="0"/>
          <w:numId w:val="19"/>
        </w:numPr>
        <w:jc w:val="both"/>
        <w:rPr>
          <w:rFonts w:ascii="Verdana" w:hAnsi="Verdana"/>
          <w:noProof/>
          <w:sz w:val="18"/>
          <w:szCs w:val="18"/>
          <w:lang w:val="bg-BG" w:eastAsia="en-US"/>
        </w:rPr>
      </w:pPr>
      <w:r>
        <w:rPr>
          <w:rFonts w:ascii="Verdana" w:hAnsi="Verdana"/>
          <w:noProof/>
          <w:sz w:val="18"/>
          <w:szCs w:val="18"/>
          <w:lang w:val="bg-BG" w:eastAsia="en-US"/>
        </w:rPr>
        <w:t>доверителните фондове на Съюза осигуряват ясна политическа видимост на Съюза и управленски преимущества, както и по-добър контрол от страна на Съюза върху рисковете и плащането на вноските на Съюза и на другите донори;</w:t>
      </w:r>
    </w:p>
    <w:p>
      <w:pPr>
        <w:numPr>
          <w:ilvl w:val="0"/>
          <w:numId w:val="19"/>
        </w:numPr>
        <w:jc w:val="both"/>
        <w:rPr>
          <w:rFonts w:ascii="Verdana" w:hAnsi="Verdana"/>
          <w:noProof/>
          <w:sz w:val="18"/>
          <w:szCs w:val="18"/>
          <w:lang w:val="bg-BG" w:eastAsia="en-US"/>
        </w:rPr>
      </w:pPr>
      <w:r>
        <w:rPr>
          <w:rFonts w:ascii="Verdana" w:hAnsi="Verdana"/>
          <w:noProof/>
          <w:sz w:val="18"/>
          <w:szCs w:val="18"/>
          <w:lang w:val="bg-BG" w:eastAsia="en-US"/>
        </w:rPr>
        <w:t>доверителните фондове на Съюза не дублират други съществуващи пътища за финансиране или сходни инструменти, без да добавят нищо;</w:t>
      </w:r>
    </w:p>
    <w:p>
      <w:pPr>
        <w:numPr>
          <w:ilvl w:val="0"/>
          <w:numId w:val="19"/>
        </w:numPr>
        <w:jc w:val="both"/>
        <w:rPr>
          <w:rFonts w:ascii="Verdana" w:hAnsi="Verdana"/>
          <w:noProof/>
          <w:sz w:val="18"/>
          <w:szCs w:val="18"/>
          <w:lang w:val="bg-BG" w:eastAsia="en-US"/>
        </w:rPr>
      </w:pPr>
      <w:r>
        <w:rPr>
          <w:rFonts w:ascii="Verdana" w:hAnsi="Verdana"/>
          <w:noProof/>
          <w:sz w:val="18"/>
          <w:szCs w:val="18"/>
          <w:lang w:val="bg-BG" w:eastAsia="en-US"/>
        </w:rPr>
        <w:t>целите на доверителните фондове на Съюза съответстват на целите на инструмента на Съюза или на бюджетната позиция, от които се финансират.</w:t>
      </w:r>
    </w:p>
    <w:p>
      <w:pPr>
        <w:spacing w:before="240" w:after="240"/>
        <w:jc w:val="both"/>
        <w:rPr>
          <w:rFonts w:ascii="Verdana" w:hAnsi="Verdana"/>
          <w:noProof/>
          <w:spacing w:val="-4"/>
          <w:sz w:val="18"/>
          <w:szCs w:val="18"/>
          <w:lang w:val="bg-BG" w:eastAsia="en-US"/>
        </w:rPr>
      </w:pPr>
      <w:r>
        <w:rPr>
          <w:rFonts w:ascii="Verdana" w:hAnsi="Verdana"/>
          <w:noProof/>
          <w:spacing w:val="-4"/>
          <w:sz w:val="18"/>
          <w:szCs w:val="18"/>
          <w:lang w:val="bg-BG" w:eastAsia="en-US"/>
        </w:rPr>
        <w:t>За всеки доверителен фонд на Съюза се създава управителен съвет, председателстван от Комисията, с цел да се осигури справедливо представителство на донорите, както и с цел да се вземат решения за използването на средствата. Управителният съвет включва представител на всяка неучастваща държава членка като наблюдател. Правилата за състава на управителния съвет и неговият вътрешен правилник се определят в учредителното споразумение на доверителния фонд на Съюза.</w:t>
      </w:r>
    </w:p>
    <w:p>
      <w:pPr>
        <w:spacing w:before="240" w:after="240"/>
        <w:jc w:val="both"/>
        <w:rPr>
          <w:rFonts w:ascii="Verdana" w:hAnsi="Verdana"/>
          <w:noProof/>
          <w:spacing w:val="-4"/>
          <w:sz w:val="18"/>
          <w:szCs w:val="18"/>
          <w:lang w:val="bg-BG" w:eastAsia="en-US"/>
        </w:rPr>
      </w:pPr>
      <w:r>
        <w:rPr>
          <w:rFonts w:ascii="Verdana" w:hAnsi="Verdana"/>
          <w:noProof/>
          <w:spacing w:val="-4"/>
          <w:sz w:val="18"/>
          <w:szCs w:val="18"/>
          <w:lang w:val="bg-BG" w:eastAsia="en-US"/>
        </w:rPr>
        <w:t>Доверителните фондове на Съюза се създават за ограничен срок, определен в тяхното учредително споразумение. Този срок може да бъде удължен при поискване от управителния съвет на доверителния фонд на Съюза и при представяне от страна на Комисията на доклад, който обосновава удължаването. Европейският парламент и/или Съветът могат да изискат от Комисията да спре бюджетните кредити за доверителния фонд или да преразгледа учредителния акт с оглед на неговата ликвидация.</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Счетоводителят на Комисията изпълнява функциите на счетоводител на доверителните фондове на Съюза. Счетоводителят отговаря за определянето на счетоводните процедури и сметкоплана, които са общи за всички доверителни фондове на Съюза. Вътрешният одитор на Комисията, OLAF и Сметната палата упражняват спрямо доверителните фондове на Съюза същите правомощия като упражняваните от тях спрямо останалите действия, извършвани от Комисията. Доверителните фондове на Съюза подлежат всяка година на независим външен одит.</w:t>
      </w:r>
    </w:p>
    <w:p>
      <w:pPr>
        <w:spacing w:before="240" w:after="240"/>
        <w:jc w:val="both"/>
        <w:rPr>
          <w:rFonts w:ascii="Verdana" w:hAnsi="Verdana"/>
          <w:b/>
          <w:noProof/>
          <w:color w:val="016794"/>
          <w:sz w:val="18"/>
          <w:szCs w:val="18"/>
          <w:lang w:val="bg-BG" w:eastAsia="en-US"/>
        </w:rPr>
      </w:pPr>
      <w:r>
        <w:rPr>
          <w:rFonts w:ascii="Verdana" w:hAnsi="Verdana"/>
          <w:b/>
          <w:noProof/>
          <w:color w:val="016794"/>
          <w:sz w:val="18"/>
          <w:szCs w:val="18"/>
          <w:lang w:val="bg-BG" w:eastAsia="en-US"/>
        </w:rPr>
        <w:t>Съществуващи доверителни фондове на ЕС</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Към днешна дата Комисията е създала четири доверителни фонда на ЕС:</w:t>
      </w:r>
    </w:p>
    <w:p>
      <w:pPr>
        <w:spacing w:before="120" w:after="120"/>
        <w:jc w:val="both"/>
        <w:rPr>
          <w:rFonts w:ascii="Verdana" w:hAnsi="Verdana"/>
          <w:noProof/>
          <w:sz w:val="18"/>
          <w:szCs w:val="18"/>
          <w:lang w:val="bg-BG" w:eastAsia="en-US"/>
        </w:rPr>
      </w:pPr>
      <w:r>
        <w:rPr>
          <w:rFonts w:ascii="Verdana" w:hAnsi="Verdana"/>
          <w:noProof/>
          <w:sz w:val="18"/>
          <w:szCs w:val="18"/>
          <w:lang w:val="bg-BG" w:eastAsia="en-US"/>
        </w:rPr>
        <w:t xml:space="preserve">     - </w:t>
      </w:r>
      <w:r>
        <w:rPr>
          <w:rFonts w:ascii="Verdana" w:hAnsi="Verdana"/>
          <w:b/>
          <w:noProof/>
          <w:sz w:val="18"/>
          <w:szCs w:val="18"/>
          <w:lang w:val="bg-BG" w:eastAsia="en-US"/>
        </w:rPr>
        <w:t>Доверителен фонд на ЕС „Беку“</w:t>
      </w:r>
      <w:r>
        <w:rPr>
          <w:rFonts w:ascii="Verdana" w:hAnsi="Verdana"/>
          <w:noProof/>
          <w:sz w:val="18"/>
          <w:szCs w:val="18"/>
          <w:lang w:val="bg-BG" w:eastAsia="en-US"/>
        </w:rPr>
        <w:t>, чиято цел е да подпомогне всички аспекти на излизането от кризата на Централноафриканската република и нейните усилия за възстановяване. Създаден на 15 юли 2014 г.;</w:t>
      </w:r>
    </w:p>
    <w:p>
      <w:pPr>
        <w:spacing w:before="120" w:after="120"/>
        <w:jc w:val="both"/>
        <w:rPr>
          <w:rFonts w:ascii="Verdana" w:hAnsi="Verdana"/>
          <w:noProof/>
          <w:sz w:val="18"/>
          <w:szCs w:val="18"/>
          <w:lang w:val="bg-BG" w:eastAsia="en-US"/>
        </w:rPr>
      </w:pPr>
      <w:r>
        <w:rPr>
          <w:rFonts w:ascii="Verdana" w:hAnsi="Verdana"/>
          <w:noProof/>
          <w:sz w:val="18"/>
          <w:szCs w:val="18"/>
          <w:lang w:val="bg-BG" w:eastAsia="en-US"/>
        </w:rPr>
        <w:t xml:space="preserve">     - </w:t>
      </w:r>
      <w:r>
        <w:rPr>
          <w:rFonts w:ascii="Verdana" w:hAnsi="Verdana"/>
          <w:b/>
          <w:noProof/>
          <w:sz w:val="18"/>
          <w:szCs w:val="18"/>
          <w:lang w:val="bg-BG" w:eastAsia="en-US"/>
        </w:rPr>
        <w:t>Доверителен фонд на ЕС „Мадад“</w:t>
      </w:r>
      <w:r>
        <w:rPr>
          <w:rFonts w:ascii="Verdana" w:hAnsi="Verdana"/>
          <w:noProof/>
          <w:sz w:val="18"/>
          <w:szCs w:val="18"/>
          <w:lang w:val="bg-BG" w:eastAsia="en-US"/>
        </w:rPr>
        <w:t xml:space="preserve"> — регионален доверителен фонд на Европейския съюз в отговор на кризата в Сирия. Създаден на 15 декември 2014 г.;</w:t>
      </w:r>
    </w:p>
    <w:p>
      <w:pPr>
        <w:spacing w:before="120" w:after="120"/>
        <w:jc w:val="both"/>
        <w:rPr>
          <w:rFonts w:ascii="Verdana" w:hAnsi="Verdana"/>
          <w:noProof/>
          <w:sz w:val="18"/>
          <w:szCs w:val="18"/>
          <w:lang w:val="bg-BG" w:eastAsia="en-US"/>
        </w:rPr>
      </w:pPr>
      <w:r>
        <w:rPr>
          <w:rFonts w:ascii="Verdana" w:hAnsi="Verdana"/>
          <w:noProof/>
          <w:sz w:val="18"/>
          <w:szCs w:val="18"/>
          <w:lang w:val="bg-BG" w:eastAsia="en-US"/>
        </w:rPr>
        <w:t xml:space="preserve">     - </w:t>
      </w:r>
      <w:r>
        <w:rPr>
          <w:rFonts w:ascii="Verdana" w:hAnsi="Verdana"/>
          <w:b/>
          <w:noProof/>
          <w:sz w:val="18"/>
          <w:szCs w:val="18"/>
          <w:lang w:val="bg-BG" w:eastAsia="en-US"/>
        </w:rPr>
        <w:t>Доверителен фонд на ЕС за Африка</w:t>
      </w:r>
      <w:r>
        <w:rPr>
          <w:rFonts w:ascii="Verdana" w:hAnsi="Verdana"/>
          <w:noProof/>
          <w:sz w:val="18"/>
          <w:szCs w:val="18"/>
          <w:lang w:val="bg-BG" w:eastAsia="en-US"/>
        </w:rPr>
        <w:t>, извънреден доверителен фонд на Европейския съюз за стабилност и преодоляване на първопричините за незаконната миграция и разселването на хора в Африка. Създаден на 12 ноември 2015 г.;</w:t>
      </w:r>
    </w:p>
    <w:p>
      <w:pPr>
        <w:spacing w:before="120" w:after="120"/>
        <w:jc w:val="both"/>
        <w:rPr>
          <w:rFonts w:ascii="Verdana" w:hAnsi="Verdana"/>
          <w:noProof/>
          <w:sz w:val="18"/>
          <w:szCs w:val="18"/>
          <w:lang w:val="bg-BG" w:eastAsia="en-US"/>
        </w:rPr>
      </w:pPr>
      <w:r>
        <w:rPr>
          <w:rFonts w:ascii="Verdana" w:hAnsi="Verdana"/>
          <w:noProof/>
          <w:sz w:val="18"/>
          <w:szCs w:val="18"/>
          <w:lang w:val="bg-BG" w:eastAsia="en-US"/>
        </w:rPr>
        <w:t xml:space="preserve">     - </w:t>
      </w:r>
      <w:r>
        <w:rPr>
          <w:rFonts w:ascii="Verdana" w:hAnsi="Verdana"/>
          <w:b/>
          <w:noProof/>
          <w:sz w:val="18"/>
          <w:szCs w:val="18"/>
          <w:lang w:val="bg-BG" w:eastAsia="en-US"/>
        </w:rPr>
        <w:t>Доверителен фонд на ЕС „Колумбия“</w:t>
      </w:r>
      <w:r>
        <w:rPr>
          <w:rFonts w:ascii="Verdana" w:hAnsi="Verdana"/>
          <w:noProof/>
          <w:sz w:val="18"/>
          <w:szCs w:val="18"/>
          <w:lang w:val="bg-BG" w:eastAsia="en-US"/>
        </w:rPr>
        <w:t xml:space="preserve"> за подпомагане на изпълнението на мирното споразумение в ранното възстановяване и стабилизиране след конфликти. Създаден на 12 декември 2016 г.</w:t>
      </w:r>
    </w:p>
    <w:p>
      <w:pPr>
        <w:spacing w:before="240" w:after="240"/>
        <w:jc w:val="both"/>
        <w:rPr>
          <w:rFonts w:ascii="Verdana" w:hAnsi="Verdana"/>
          <w:b/>
          <w:noProof/>
          <w:color w:val="016794"/>
          <w:sz w:val="18"/>
          <w:szCs w:val="18"/>
          <w:lang w:val="bg-BG" w:eastAsia="en-US"/>
        </w:rPr>
      </w:pPr>
      <w:r>
        <w:rPr>
          <w:rFonts w:ascii="Verdana" w:hAnsi="Verdana"/>
          <w:b/>
          <w:noProof/>
          <w:color w:val="016794"/>
          <w:sz w:val="18"/>
          <w:szCs w:val="18"/>
          <w:lang w:val="bg-BG" w:eastAsia="en-US"/>
        </w:rPr>
        <w:t>Доверителен фонд на ЕС за Африка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Извънредният доверителен фонд на Европейския съюз за стабилност и преодоляване на първопричините за незаконната миграция и разселването на хора в Африка („ДФЕС Африка“) беше стартиран на 12 ноември 2015 г. по време на срещата на върха във Валета по въпросите на миграцията. Основните цели на този доверителен фонд са да подкрепя всички аспекти на стабилността и да допринася за по-доброто управление на миграцията, както и да преодолява първопричините за дестабилизацията, насилственото разселване и незаконната миграция, по-специално чрез насърчаване на устойчивостта, икономическите възможности, равните възможности, сигурността и развитието и чрез предотвратяване на нарушенията на правата на човека.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Доверителният фонд действа в три основни географски области, а именно региона на Сахел и района на езерото Чад, Африканския рог и Северна Африка. В зависимост от конкретния случай отговарящите на условията съседни държави могат да се възползват от проектите по линия на доверителния фонд. Доверителният фонд е създаден за ограничен срок — до 31 декември 2020 г., за да се осигурят краткосрочни и средносрочни ответни действия по отношение на предизвикателствата, пред които са изправени регионите. Доверителният фонд се управлява от Брюксел.</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Съветът на доверителния фонд и оперативният комитет на ДФЕС Африка са съставени от представители на донорите и на Комисията, както и от представители на неучастващите държави членки, на органите на допустимите държави и на регионални организации като наблюдатели.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Управителният съвет определя и прави преглед на стратегията на доверителния фонд на ЕС. Управителният съвет заседава поне веднъж годишно.</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Оперативният комитет разглежда, одобрява и надзирава изпълнението на действията, финансирани от фонда. Комитетът също одобрява годишните отчети и годишните доклади относно дейностите, финансирани от доверителния фонд.</w:t>
      </w:r>
    </w:p>
    <w:p>
      <w:pPr>
        <w:spacing w:before="240" w:after="240"/>
        <w:jc w:val="both"/>
        <w:rPr>
          <w:rFonts w:ascii="Verdana" w:hAnsi="Verdana"/>
          <w:b/>
          <w:noProof/>
          <w:color w:val="016794"/>
          <w:sz w:val="18"/>
          <w:szCs w:val="18"/>
          <w:lang w:val="bg-BG" w:eastAsia="en-US"/>
        </w:rPr>
      </w:pPr>
      <w:r>
        <w:rPr>
          <w:rFonts w:ascii="Verdana" w:hAnsi="Verdana"/>
          <w:b/>
          <w:noProof/>
          <w:color w:val="016794"/>
          <w:sz w:val="18"/>
          <w:szCs w:val="18"/>
          <w:lang w:val="bg-BG" w:eastAsia="en-US"/>
        </w:rPr>
        <w:t>Годишни отчети на Доверителния фонд на ЕС за Африка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съответствие с член 7 от Споразумението за създаване на Извънреден доверителен фонд на Европейския съюз за стабилност и преодоляване на първопричините за незаконната миграция и разселването на хора в Африка и вътрешните му правила („Учредително споразумение“) годишните отчети се състоят от две части: 1) годишния финансов отчет, за който отговаря управителят на доверителния фонд на ЕС, и 2) годишните финансови отчети, изготвени от счетоводителя на Комисията, който, по силата на същите членове, е счетоводител и на доверителния фонд.</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В съответствие с член 8 от Учредителното споразумение финансовите отчети се изготвят по счетоводните правила, приети от счетоводителя на Комисията (счетоводни правила на ЕС, ЕСП), които се основават на международните счетоводни стандарти за публичния сектор (МССПС).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Годишните отчети подлежат на независим външен одит, като окончателните годишни отчети се представят от управителя на доверителния фонд на ЕС и от счетоводителя на оперативния комитет за одобрение (член 8.3.4, буква в).</w:t>
      </w:r>
    </w:p>
    <w:p>
      <w:pPr>
        <w:spacing w:before="240" w:after="240"/>
        <w:jc w:val="both"/>
        <w:rPr>
          <w:rFonts w:ascii="Verdana" w:hAnsi="Verdana"/>
          <w:b/>
          <w:noProof/>
          <w:color w:val="016794"/>
          <w:sz w:val="18"/>
          <w:szCs w:val="18"/>
          <w:lang w:val="bg-BG" w:eastAsia="en-US"/>
        </w:rPr>
      </w:pPr>
      <w:r>
        <w:rPr>
          <w:rFonts w:ascii="Verdana" w:hAnsi="Verdana"/>
          <w:b/>
          <w:noProof/>
          <w:color w:val="016794"/>
          <w:sz w:val="18"/>
          <w:szCs w:val="18"/>
          <w:lang w:val="bg-BG" w:eastAsia="en-US"/>
        </w:rPr>
        <w:t>Основни моменти през годината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 xml:space="preserve">През 2019 г. Извънредният доверителен фонд на ЕС за Африка се доказа отново като бърз и ефективен инструмент за изпълнение. Той улесни политическия диалог с африканските страни партньори, приложи новаторски подходи и даде осезаеми резултати в трите региона на доверителния фонд на ЕС (Сахел и езерото Чад, Африканския рог и Северна Африка), като обедини финансиране и експертен опит, произхождащи от широк кръг заинтересовани страни. </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Доверителният фонд на ЕС консолидира допълнително постиженията си, действайки в партньорство с агенциите за развитие на държавите — членки на ЕС, организациите на ООН, НПО и държавите партньори, чрез одобрението на още 36 програми и 16 допълнителни програми в трите региона от страна на оперативните комитети на обща стойност от 851 милиона евро</w:t>
      </w:r>
      <w:bookmarkStart w:id="113" w:name="_Ref32237415"/>
      <w:r>
        <w:rPr>
          <w:rFonts w:ascii="Verdana" w:hAnsi="Verdana"/>
          <w:noProof/>
          <w:sz w:val="18"/>
          <w:szCs w:val="18"/>
          <w:vertAlign w:val="superscript"/>
          <w:lang w:val="bg-BG" w:eastAsia="en-US"/>
        </w:rPr>
        <w:footnoteReference w:id="8"/>
      </w:r>
      <w:bookmarkEnd w:id="113"/>
      <w:r>
        <w:rPr>
          <w:rFonts w:ascii="Verdana" w:hAnsi="Verdana"/>
          <w:noProof/>
          <w:sz w:val="18"/>
          <w:szCs w:val="18"/>
          <w:lang w:val="bg-BG" w:eastAsia="en-US"/>
        </w:rPr>
        <w:t>. Така одобрените програми стават общо 223, а общият размер на бюджета за тях е в размер на 4,4 милиарда евро</w:t>
      </w:r>
      <w:r>
        <w:rPr>
          <w:rFonts w:ascii="Verdana" w:hAnsi="Verdana"/>
          <w:noProof/>
          <w:sz w:val="18"/>
          <w:szCs w:val="18"/>
          <w:lang w:val="bg-BG" w:eastAsia="en-US"/>
        </w:rPr>
        <w:fldChar w:fldCharType="begin"/>
      </w:r>
      <w:r>
        <w:rPr>
          <w:rFonts w:ascii="Verdana" w:hAnsi="Verdana"/>
          <w:noProof/>
          <w:sz w:val="18"/>
          <w:szCs w:val="18"/>
          <w:lang w:val="bg-BG" w:eastAsia="en-US"/>
        </w:rPr>
        <w:instrText xml:space="preserve"> NOTEREF _Ref32237415 \f \h </w:instrText>
      </w:r>
      <w:r>
        <w:rPr>
          <w:rFonts w:ascii="Verdana" w:hAnsi="Verdana"/>
          <w:noProof/>
          <w:sz w:val="18"/>
          <w:szCs w:val="18"/>
          <w:lang w:val="bg-BG" w:eastAsia="en-US"/>
        </w:rPr>
      </w:r>
      <w:r>
        <w:rPr>
          <w:rFonts w:ascii="Verdana" w:hAnsi="Verdana"/>
          <w:noProof/>
          <w:sz w:val="18"/>
          <w:szCs w:val="18"/>
          <w:lang w:val="bg-BG" w:eastAsia="en-US"/>
        </w:rPr>
        <w:fldChar w:fldCharType="separate"/>
      </w:r>
      <w:r>
        <w:rPr>
          <w:rFonts w:ascii="Verdana" w:hAnsi="Verdana"/>
          <w:noProof/>
          <w:sz w:val="18"/>
          <w:szCs w:val="18"/>
          <w:vertAlign w:val="superscript"/>
          <w:lang w:val="bg-BG" w:eastAsia="en-US"/>
        </w:rPr>
        <w:t>8</w:t>
      </w:r>
      <w:r>
        <w:rPr>
          <w:rFonts w:ascii="Verdana" w:hAnsi="Verdana"/>
          <w:noProof/>
          <w:sz w:val="18"/>
          <w:szCs w:val="18"/>
          <w:lang w:val="bg-BG" w:eastAsia="en-US"/>
        </w:rPr>
        <w:fldChar w:fldCharType="end"/>
      </w:r>
      <w:r>
        <w:rPr>
          <w:rFonts w:ascii="Verdana" w:hAnsi="Verdana"/>
          <w:noProof/>
          <w:sz w:val="18"/>
          <w:szCs w:val="18"/>
          <w:lang w:val="bg-BG" w:eastAsia="en-US"/>
        </w:rPr>
        <w:t>. През 2019 г. бяха подписани нови договори на стойност 951 милиона евро с партньори по изпълнението, с което общият размер на подписаните договори достигна 3,4 милиарда евро. До края на 2019 г. плащанията достигнаха около 2 милиарда евро.</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През 2019 г. Доверителният фонд на ЕС продължи да работи за постигането на двете цели за насърчаване на стабилността и за справяне с първопричините за принудителното разселване и незаконната миграция в регионите на Сахел и езерото Чад, Африканския рог и Северна Африка. Доверителният фонд на ЕС продължи да се стреми към балансиран подход за справяне с предизвикателствата на незаконната миграция, като се съсредоточи върху области от взаимен интерес за ЕС и Африка. Сред тях са борбата с незаконното превеждане през граница на мигранти и с трафика на хора, както и подкрепата за доброволното връщане и трайната реинтеграция на мигрантите в тяхната държава на произход.</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Миналата година Доверителният фонд на ЕС се възползва от допълнителни финансови ангажименти в размер на 486,6 милиона евро, в т.ч. 101 милиона евро от държавите — членки на ЕС, и други донори. В резултат на това към 31 декември 2019 г. общият размер на средствата, за които беше поет ангажимент да бъдат предоставени на доверителния фонд на ЕС, възлизаха на почти 4,7 милиарда евро, от които за 590 милиона евро беше поет ангажимент от страна на държавите — членки на ЕС, и други донори (Норвегия и Швейцария).</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Доверителният фонд на ЕС продължи да работи в стабилно сътрудничество с широк кръг от партньори по изпълнението (агенции на държавите членки, ООН и международни организации, местни и международни НПО) по същия начин както през 2018 г.</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Също така Доверителният фонд на ЕС започна да изпълнява препоръките, формулирани от Европейската сметна палата в нейния специален доклад, публикуван в края на 2018 г. По-специално Комисията засили прозрачността и основания на доказателства подход на Доверителния фонд на ЕС, по-специално чрез приемането на рамка за оценка на риска и преразглеждането на оперативните рамки на трите региона, приети първоначално през 2016 г.</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През цялата година докладите за системата за мониторинг и обучение в регионите на Сахел и езерото Чад и на Африканския рог продължиха да показват осезаемите резултати, постигнати от Доверителния фонд на ЕС в различни области на дейност. Регионът на Северна Африка е създал своя рамка за мониторинг и обучение с цел насочване на действията на Доверителния фонд на ЕС в региона и гарантиране на отчетност. Първият му доклад, публикуван през септември 2019 г., вече е на разположение на уебсайта на Доверителния фонд на ЕС заедно с докладите за системата за мониторинг и обучение на другите два региона.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Средносрочната оценка на Доверителния фонд на ЕС напредваше добре през годината. Екипът за оценка избра около 50 програми за преглед и посети четири държави от трите региона (Сенегал, Нигер, Етиопия и Мароко), като същевременно разчита на национални консултанти за посещението и събирането на информация за проектите в Сомалия и Либия. Окончателният доклад от междинната оценка се очаква през април 2020 г.</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Чрез засилване на комуникацията бяха подобрени отчетността и прозрачността, при това в ситуация на продължаваща уязвимост. Това беше направено чрез редовно актуализиране на уебсайта на Доверителния фонд на ЕС, публикуване на публикации в социалните медии и организиране на комуникационни мероприятия, като например две фотографски изложби.</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Регионът на Сахел и езерото Чад продължи да бъде изправен пред хуманитарни и екологични предизвикателства и предизвикателства, свързани с развитието и със сигурността, и се сблъсква по-специално с влошаване на положението в Мали и Буркина Фасо. В този контекст Доверителният фонд на ЕС одобри нови програми на обща стойност 302,1 милиона евро</w:t>
      </w:r>
      <w:r>
        <w:rPr>
          <w:rFonts w:ascii="Verdana" w:hAnsi="Verdana"/>
          <w:noProof/>
          <w:sz w:val="18"/>
          <w:szCs w:val="18"/>
          <w:lang w:val="bg-BG" w:eastAsia="en-US"/>
        </w:rPr>
        <w:fldChar w:fldCharType="begin"/>
      </w:r>
      <w:r>
        <w:rPr>
          <w:rFonts w:ascii="Verdana" w:hAnsi="Verdana"/>
          <w:noProof/>
          <w:sz w:val="18"/>
          <w:szCs w:val="18"/>
          <w:lang w:val="bg-BG" w:eastAsia="en-US"/>
        </w:rPr>
        <w:instrText xml:space="preserve"> NOTEREF _Ref32237415 \f \h </w:instrText>
      </w:r>
      <w:r>
        <w:rPr>
          <w:rFonts w:ascii="Verdana" w:hAnsi="Verdana"/>
          <w:noProof/>
          <w:sz w:val="18"/>
          <w:szCs w:val="18"/>
          <w:lang w:val="bg-BG" w:eastAsia="en-US"/>
        </w:rPr>
      </w:r>
      <w:r>
        <w:rPr>
          <w:rFonts w:ascii="Verdana" w:hAnsi="Verdana"/>
          <w:noProof/>
          <w:sz w:val="18"/>
          <w:szCs w:val="18"/>
          <w:lang w:val="bg-BG" w:eastAsia="en-US"/>
        </w:rPr>
        <w:fldChar w:fldCharType="separate"/>
      </w:r>
      <w:r>
        <w:rPr>
          <w:rFonts w:ascii="Verdana" w:hAnsi="Verdana"/>
          <w:noProof/>
          <w:sz w:val="18"/>
          <w:szCs w:val="18"/>
          <w:vertAlign w:val="superscript"/>
          <w:lang w:val="bg-BG" w:eastAsia="en-US"/>
        </w:rPr>
        <w:t>8</w:t>
      </w:r>
      <w:r>
        <w:rPr>
          <w:rFonts w:ascii="Verdana" w:hAnsi="Verdana"/>
          <w:noProof/>
          <w:sz w:val="18"/>
          <w:szCs w:val="18"/>
          <w:lang w:val="bg-BG" w:eastAsia="en-US"/>
        </w:rPr>
        <w:fldChar w:fldCharType="end"/>
      </w:r>
      <w:r>
        <w:rPr>
          <w:rFonts w:ascii="Verdana" w:hAnsi="Verdana"/>
          <w:noProof/>
          <w:sz w:val="18"/>
          <w:szCs w:val="18"/>
          <w:lang w:val="bg-BG" w:eastAsia="en-US"/>
        </w:rPr>
        <w:t>, като допринесе за усилията за стабилизиране в региона, което ще способства за укрепването на връзката между хуманитарните действия, развитието и мира. Над 70 % от одобреното финансиране ще допринесе за засилване на устойчивостта и подобряване на управлението и сигурността в региона. Повече от 20 % ще допринесат допълнително за инициативата на Доверителния фонд на ЕС и Международната организация по миграция и за механизма за транзитно преминаване, която ще подкрепи най-уязвимите мигранти и бежанци до края на 2020 г. Останалата част от финансирането ще допринесе за стимулиране на „зелените“ работни места и предприятия.</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Въпреки положителните политически промени, като сближаването между Етиопия и Еритрея, и формирането на преходно гражданско правителство в Судан, регионът на Африканския рог продължава да е изправен пред редица предизвикателства (политически, екологични, икономически и т.н.). Условията на живот продължават да бъдат бедствени, а трайните решения за бежанците и разселените лица остават първостепенен приоритет. За да се справи с тези предизвикателства, Доверителният фонд на ЕС одобри нови програми на обща стойност 324,4 милиона евро</w:t>
      </w:r>
      <w:r>
        <w:rPr>
          <w:rFonts w:ascii="Verdana" w:hAnsi="Verdana"/>
          <w:noProof/>
          <w:sz w:val="18"/>
          <w:szCs w:val="18"/>
          <w:lang w:val="bg-BG" w:eastAsia="en-US"/>
        </w:rPr>
        <w:fldChar w:fldCharType="begin"/>
      </w:r>
      <w:r>
        <w:rPr>
          <w:rFonts w:ascii="Verdana" w:hAnsi="Verdana"/>
          <w:noProof/>
          <w:sz w:val="18"/>
          <w:szCs w:val="18"/>
          <w:lang w:val="bg-BG" w:eastAsia="en-US"/>
        </w:rPr>
        <w:instrText xml:space="preserve"> NOTEREF _Ref32237415 \f \h </w:instrText>
      </w:r>
      <w:r>
        <w:rPr>
          <w:rFonts w:ascii="Verdana" w:hAnsi="Verdana"/>
          <w:noProof/>
          <w:sz w:val="18"/>
          <w:szCs w:val="18"/>
          <w:lang w:val="bg-BG" w:eastAsia="en-US"/>
        </w:rPr>
      </w:r>
      <w:r>
        <w:rPr>
          <w:rFonts w:ascii="Verdana" w:hAnsi="Verdana"/>
          <w:noProof/>
          <w:sz w:val="18"/>
          <w:szCs w:val="18"/>
          <w:lang w:val="bg-BG" w:eastAsia="en-US"/>
        </w:rPr>
        <w:fldChar w:fldCharType="separate"/>
      </w:r>
      <w:r>
        <w:rPr>
          <w:rFonts w:ascii="Verdana" w:hAnsi="Verdana"/>
          <w:noProof/>
          <w:sz w:val="18"/>
          <w:szCs w:val="18"/>
          <w:vertAlign w:val="superscript"/>
          <w:lang w:val="bg-BG" w:eastAsia="en-US"/>
        </w:rPr>
        <w:t>8</w:t>
      </w:r>
      <w:r>
        <w:rPr>
          <w:rFonts w:ascii="Verdana" w:hAnsi="Verdana"/>
          <w:noProof/>
          <w:sz w:val="18"/>
          <w:szCs w:val="18"/>
          <w:lang w:val="bg-BG" w:eastAsia="en-US"/>
        </w:rPr>
        <w:fldChar w:fldCharType="end"/>
      </w:r>
      <w:r>
        <w:rPr>
          <w:rFonts w:ascii="Verdana" w:hAnsi="Verdana"/>
          <w:noProof/>
          <w:sz w:val="18"/>
          <w:szCs w:val="18"/>
          <w:lang w:val="bg-BG" w:eastAsia="en-US"/>
        </w:rPr>
        <w:t>, които ще осигурят допълнителна подкрепа за най-уязвимите групи от населението, включително бежанците и вътрешно разселените лица. Тези програми ще насърчат политическата и икономическата стабилност и ще подобрят управлението на миграцията. По-специално Доверителният фонд на ЕС одобри пет нови програми, които предоставят допълнителна подкрепа за изпълнението на Глобалния пакт за бежанците в региона.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Регионът на Северна Африка беше изправен пред предизвикателства, изискващи всеобхватна реакция на ЕС за спасяване на човешки живот, за защита на най-уязвимите, за подкрепа на приемните общности и за осигуряване на възможности за безопасна мобилност. В резултат на това през 2019 г. Доверителният фонд на ЕС одобри нови действия, включително допълнителни програми за общо 224,8 милиона евро</w:t>
      </w:r>
      <w:r>
        <w:rPr>
          <w:rFonts w:ascii="Verdana" w:hAnsi="Verdana"/>
          <w:noProof/>
          <w:sz w:val="18"/>
          <w:szCs w:val="18"/>
          <w:lang w:val="bg-BG" w:eastAsia="en-US"/>
        </w:rPr>
        <w:fldChar w:fldCharType="begin"/>
      </w:r>
      <w:r>
        <w:rPr>
          <w:rFonts w:ascii="Verdana" w:hAnsi="Verdana"/>
          <w:noProof/>
          <w:sz w:val="18"/>
          <w:szCs w:val="18"/>
          <w:lang w:val="bg-BG" w:eastAsia="en-US"/>
        </w:rPr>
        <w:instrText xml:space="preserve"> NOTEREF _Ref32237415 \f \h </w:instrText>
      </w:r>
      <w:r>
        <w:rPr>
          <w:rFonts w:ascii="Verdana" w:hAnsi="Verdana"/>
          <w:noProof/>
          <w:sz w:val="18"/>
          <w:szCs w:val="18"/>
          <w:lang w:val="bg-BG" w:eastAsia="en-US"/>
        </w:rPr>
      </w:r>
      <w:r>
        <w:rPr>
          <w:rFonts w:ascii="Verdana" w:hAnsi="Verdana"/>
          <w:noProof/>
          <w:sz w:val="18"/>
          <w:szCs w:val="18"/>
          <w:lang w:val="bg-BG" w:eastAsia="en-US"/>
        </w:rPr>
        <w:fldChar w:fldCharType="separate"/>
      </w:r>
      <w:r>
        <w:rPr>
          <w:rFonts w:ascii="Verdana" w:hAnsi="Verdana"/>
          <w:noProof/>
          <w:sz w:val="18"/>
          <w:szCs w:val="18"/>
          <w:vertAlign w:val="superscript"/>
          <w:lang w:val="bg-BG" w:eastAsia="en-US"/>
        </w:rPr>
        <w:t>8</w:t>
      </w:r>
      <w:r>
        <w:rPr>
          <w:rFonts w:ascii="Verdana" w:hAnsi="Verdana"/>
          <w:noProof/>
          <w:sz w:val="18"/>
          <w:szCs w:val="18"/>
          <w:lang w:val="bg-BG" w:eastAsia="en-US"/>
        </w:rPr>
        <w:fldChar w:fldCharType="end"/>
      </w:r>
      <w:r>
        <w:rPr>
          <w:rFonts w:ascii="Verdana" w:hAnsi="Verdana"/>
          <w:noProof/>
          <w:sz w:val="18"/>
          <w:szCs w:val="18"/>
          <w:lang w:val="bg-BG" w:eastAsia="en-US"/>
        </w:rPr>
        <w:t>. Четири от тези програми ще предоставят допълнителна подкрепа на Либия за:</w:t>
      </w:r>
    </w:p>
    <w:p>
      <w:pPr>
        <w:numPr>
          <w:ilvl w:val="0"/>
          <w:numId w:val="20"/>
        </w:numPr>
        <w:spacing w:before="120" w:after="120"/>
        <w:ind w:left="714" w:hanging="357"/>
        <w:jc w:val="both"/>
        <w:rPr>
          <w:rFonts w:ascii="Verdana" w:hAnsi="Verdana"/>
          <w:noProof/>
          <w:sz w:val="18"/>
          <w:szCs w:val="18"/>
          <w:lang w:val="bg-BG" w:eastAsia="en-US"/>
        </w:rPr>
      </w:pPr>
      <w:r>
        <w:rPr>
          <w:rFonts w:ascii="Verdana" w:hAnsi="Verdana"/>
          <w:noProof/>
          <w:sz w:val="18"/>
          <w:szCs w:val="18"/>
          <w:lang w:val="bg-BG" w:eastAsia="en-US"/>
        </w:rPr>
        <w:t>засилване на дейностите за защита;</w:t>
      </w:r>
    </w:p>
    <w:p>
      <w:pPr>
        <w:numPr>
          <w:ilvl w:val="0"/>
          <w:numId w:val="20"/>
        </w:numPr>
        <w:spacing w:before="120" w:after="120"/>
        <w:ind w:left="714" w:hanging="357"/>
        <w:jc w:val="both"/>
        <w:rPr>
          <w:rFonts w:ascii="Verdana" w:hAnsi="Verdana"/>
          <w:noProof/>
          <w:sz w:val="18"/>
          <w:szCs w:val="18"/>
          <w:lang w:val="bg-BG" w:eastAsia="en-US"/>
        </w:rPr>
      </w:pPr>
      <w:r>
        <w:rPr>
          <w:rFonts w:ascii="Verdana" w:hAnsi="Verdana"/>
          <w:noProof/>
          <w:sz w:val="18"/>
          <w:szCs w:val="18"/>
          <w:lang w:val="bg-BG" w:eastAsia="en-US"/>
        </w:rPr>
        <w:t xml:space="preserve">по-нататъшно подобряване на социалната инфраструктура; </w:t>
      </w:r>
    </w:p>
    <w:p>
      <w:pPr>
        <w:numPr>
          <w:ilvl w:val="0"/>
          <w:numId w:val="20"/>
        </w:numPr>
        <w:spacing w:before="120" w:after="120"/>
        <w:ind w:left="714" w:hanging="357"/>
        <w:jc w:val="both"/>
        <w:rPr>
          <w:rFonts w:ascii="Verdana" w:hAnsi="Verdana"/>
          <w:noProof/>
          <w:sz w:val="18"/>
          <w:szCs w:val="18"/>
          <w:lang w:val="bg-BG" w:eastAsia="en-US"/>
        </w:rPr>
      </w:pPr>
      <w:r>
        <w:rPr>
          <w:rFonts w:ascii="Verdana" w:hAnsi="Verdana"/>
          <w:noProof/>
          <w:sz w:val="18"/>
          <w:szCs w:val="18"/>
          <w:lang w:val="bg-BG" w:eastAsia="en-US"/>
        </w:rPr>
        <w:t>надграждане на дейностите за стабилизиране на общностите;</w:t>
      </w:r>
    </w:p>
    <w:p>
      <w:pPr>
        <w:numPr>
          <w:ilvl w:val="0"/>
          <w:numId w:val="20"/>
        </w:numPr>
        <w:spacing w:before="120" w:after="120"/>
        <w:ind w:left="714" w:hanging="357"/>
        <w:jc w:val="both"/>
        <w:rPr>
          <w:rFonts w:ascii="Verdana" w:hAnsi="Verdana"/>
          <w:noProof/>
          <w:sz w:val="18"/>
          <w:szCs w:val="18"/>
          <w:lang w:val="bg-BG" w:eastAsia="en-US"/>
        </w:rPr>
      </w:pPr>
      <w:r>
        <w:rPr>
          <w:rFonts w:ascii="Verdana" w:hAnsi="Verdana"/>
          <w:noProof/>
          <w:sz w:val="18"/>
          <w:szCs w:val="18"/>
          <w:lang w:val="bg-BG" w:eastAsia="en-US"/>
        </w:rPr>
        <w:t>повишаване на устойчивостта на местното население и мигрантите;</w:t>
      </w:r>
    </w:p>
    <w:p>
      <w:pPr>
        <w:numPr>
          <w:ilvl w:val="0"/>
          <w:numId w:val="20"/>
        </w:numPr>
        <w:spacing w:before="120" w:after="120"/>
        <w:ind w:left="714" w:hanging="357"/>
        <w:jc w:val="both"/>
        <w:rPr>
          <w:rFonts w:ascii="Verdana" w:hAnsi="Verdana"/>
          <w:noProof/>
          <w:sz w:val="18"/>
          <w:szCs w:val="18"/>
          <w:lang w:val="bg-BG" w:eastAsia="en-US"/>
        </w:rPr>
      </w:pPr>
      <w:r>
        <w:rPr>
          <w:rFonts w:ascii="Verdana" w:hAnsi="Verdana"/>
          <w:noProof/>
          <w:sz w:val="18"/>
          <w:szCs w:val="18"/>
          <w:lang w:val="bg-BG" w:eastAsia="en-US"/>
        </w:rPr>
        <w:t>подпомагане на доброволното хуманитарно връщане на блокираните мигранти. Програма за значителна бюджетна подкрепа ще подпомогне Мароко в управлението на границите и борбата с незаконното превеждане на мигранти през границата.</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Освен това четири регионални програми ще помогнат за засилване на устойчивостта на нуждаещите се, за подкрепа на правата на бежанците и лицата, търсещи убежище, за насърчаване на инвестициите от страна на диаспората в държавите на произход и за по-нататъшно насърчаване на трудовата мобилност с цел постигане на напредък в законната миграция. Бяха одобрени допълнителни средства и за Механизма за техническо сътрудничество.</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счетоводния баланс увеличението на дейностите на Доверителния фонд, а именно подписването на 188 нови договора, е най-видимо при предварителното финансиране, което се увеличи със 157 912 000 EUR поради авансовите плащания, направени по тези нови договори. В отчета за финансовия резултат новите дейности са имали най-голямо въздействие върху оперативните разходи, които са се увеличили с 201 322 000 EUR. В същото време се наблюдава значителен растеж на приходите от дарения (увеличение с 206 775 000 EUR в сравнение с 2018 г.) в подкрепа на увеличението на разходите.</w:t>
      </w: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pPr>
    </w:p>
    <w:p>
      <w:pPr>
        <w:rPr>
          <w:rFonts w:ascii="Verdana" w:hAnsi="Verdana"/>
          <w:i/>
          <w:noProof/>
          <w:color w:val="016794"/>
          <w:sz w:val="18"/>
          <w:lang w:val="bg-BG"/>
        </w:rPr>
        <w:sectPr>
          <w:headerReference w:type="even" r:id="rId257"/>
          <w:headerReference w:type="default" r:id="rId258"/>
          <w:footerReference w:type="even" r:id="rId259"/>
          <w:footerReference w:type="default" r:id="rId260"/>
          <w:headerReference w:type="first" r:id="rId261"/>
          <w:footerReference w:type="first" r:id="rId262"/>
          <w:pgSz w:w="11906" w:h="16838" w:code="9"/>
          <w:pgMar w:top="1134" w:right="1134" w:bottom="1134" w:left="1134" w:header="709" w:footer="709" w:gutter="0"/>
          <w:cols w:space="708"/>
          <w:docGrid w:linePitch="360"/>
        </w:sectPr>
      </w:pPr>
    </w:p>
    <w:p>
      <w:pPr>
        <w:pStyle w:val="HEADERTITLE1"/>
        <w:rPr>
          <w:lang w:val="bg-BG"/>
        </w:rPr>
      </w:pPr>
      <w:bookmarkStart w:id="114" w:name="_Toc41982827"/>
      <w:bookmarkStart w:id="115" w:name="_Toc49527941"/>
      <w:r>
        <w:rPr>
          <w:lang w:val="bg-BG"/>
        </w:rPr>
        <w:t>СЧЕТОВОДЕН БАЛАНС</w:t>
      </w:r>
      <w:bookmarkEnd w:id="114"/>
      <w:bookmarkEnd w:id="115"/>
    </w:p>
    <w:tbl>
      <w:tblPr>
        <w:tblW w:w="51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7"/>
        <w:gridCol w:w="1134"/>
        <w:gridCol w:w="1539"/>
        <w:gridCol w:w="1753"/>
      </w:tblGrid>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noProof/>
                <w:color w:val="000000"/>
                <w:sz w:val="22"/>
                <w:szCs w:val="20"/>
                <w:lang w:val="bg-BG"/>
              </w:rPr>
            </w:pPr>
            <w:bookmarkStart w:id="116" w:name="DOC_TBL00050_1_1"/>
            <w:bookmarkEnd w:id="116"/>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Calibri" w:eastAsia="Calibri" w:hAnsi="Calibri" w:cs="Calibri"/>
                <w:noProof/>
                <w:color w:val="000000"/>
                <w:sz w:val="22"/>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noProof/>
                <w:color w:val="000000"/>
                <w:sz w:val="22"/>
                <w:szCs w:val="20"/>
                <w:lang w:val="bg-BG"/>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 xml:space="preserve"> хиляди евро</w:t>
            </w:r>
          </w:p>
        </w:tc>
      </w:tr>
      <w:tr>
        <w:trPr>
          <w:trHeight w:val="280"/>
        </w:trPr>
        <w:tc>
          <w:tcPr>
            <w:tcW w:w="5527"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p>
        </w:tc>
        <w:tc>
          <w:tcPr>
            <w:tcW w:w="1134"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1539"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753"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НЕТЕКУЩИ АКТИВИ</w:t>
            </w: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Предварително финансиране</w:t>
            </w: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48 539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34 144</w:t>
            </w:r>
          </w:p>
        </w:tc>
      </w:tr>
      <w:tr>
        <w:trPr>
          <w:trHeight w:val="280"/>
        </w:trPr>
        <w:tc>
          <w:tcPr>
            <w:tcW w:w="55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1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48 539</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34 144</w:t>
            </w: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ТЕКУЩИ АКТИВИ</w:t>
            </w: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Предварително финансиране</w:t>
            </w: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418 569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273 214</w:t>
            </w: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Вземания по операции с размяна и средства, подлежащи на събиране, по операции без размяна</w:t>
            </w: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18 471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16 656</w:t>
            </w:r>
          </w:p>
        </w:tc>
      </w:tr>
      <w:tr>
        <w:trPr>
          <w:trHeight w:val="280"/>
        </w:trPr>
        <w:tc>
          <w:tcPr>
            <w:tcW w:w="5527" w:type="dxa"/>
            <w:tcBorders>
              <w:top w:val="nil"/>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Пари и парични еквиваленти </w:t>
            </w:r>
          </w:p>
        </w:tc>
        <w:tc>
          <w:tcPr>
            <w:tcW w:w="1134"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26 915</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146 864</w:t>
            </w: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463 955</w:t>
            </w: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436 734</w:t>
            </w:r>
          </w:p>
        </w:tc>
      </w:tr>
      <w:tr>
        <w:trPr>
          <w:trHeight w:val="280"/>
        </w:trPr>
        <w:tc>
          <w:tcPr>
            <w:tcW w:w="5527"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АКТИВИ</w:t>
            </w:r>
          </w:p>
        </w:tc>
        <w:tc>
          <w:tcPr>
            <w:tcW w:w="1134"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53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512 495</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470 878</w:t>
            </w: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noProof/>
                <w:color w:val="000000"/>
                <w:sz w:val="22"/>
                <w:szCs w:val="20"/>
                <w:lang w:val="bg-BG"/>
              </w:rPr>
            </w:pP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Calibri" w:eastAsia="Calibri" w:hAnsi="Calibri" w:cs="Calibri"/>
                <w:noProof/>
                <w:color w:val="000000"/>
                <w:sz w:val="22"/>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noProof/>
                <w:color w:val="000000"/>
                <w:sz w:val="22"/>
                <w:szCs w:val="20"/>
                <w:lang w:val="bg-BG"/>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noProof/>
                <w:color w:val="000000"/>
                <w:sz w:val="22"/>
                <w:szCs w:val="20"/>
                <w:lang w:val="bg-BG" w:bidi="en-GB"/>
              </w:rPr>
            </w:pP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НЕТЕКУЩИ ПАСИВИ</w:t>
            </w: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80"/>
        </w:trPr>
        <w:tc>
          <w:tcPr>
            <w:tcW w:w="5527" w:type="dxa"/>
            <w:tcBorders>
              <w:top w:val="nil"/>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пасиви</w:t>
            </w:r>
          </w:p>
        </w:tc>
        <w:tc>
          <w:tcPr>
            <w:tcW w:w="1134"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(384 411)</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(369 999)</w:t>
            </w:r>
          </w:p>
        </w:tc>
      </w:tr>
      <w:tr>
        <w:trPr>
          <w:trHeight w:val="280"/>
        </w:trPr>
        <w:tc>
          <w:tcPr>
            <w:tcW w:w="55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1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(384 411)</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(369 999)</w:t>
            </w: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ТЕКУЩИ ПАСИВИ</w:t>
            </w: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Задължения </w:t>
            </w: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(25 969)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(12 733)</w:t>
            </w:r>
          </w:p>
        </w:tc>
      </w:tr>
      <w:tr>
        <w:trPr>
          <w:trHeight w:val="280"/>
        </w:trPr>
        <w:tc>
          <w:tcPr>
            <w:tcW w:w="5527" w:type="dxa"/>
            <w:tcBorders>
              <w:top w:val="nil"/>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Начислени разходи и приходи за бъдещи периоди</w:t>
            </w:r>
          </w:p>
        </w:tc>
        <w:tc>
          <w:tcPr>
            <w:tcW w:w="1134"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(102 114)</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(88 146)</w:t>
            </w: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(128 083)</w:t>
            </w: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(100 879)</w:t>
            </w:r>
          </w:p>
        </w:tc>
      </w:tr>
      <w:tr>
        <w:trPr>
          <w:trHeight w:val="280"/>
        </w:trPr>
        <w:tc>
          <w:tcPr>
            <w:tcW w:w="5527"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ПАСИВИ</w:t>
            </w:r>
          </w:p>
        </w:tc>
        <w:tc>
          <w:tcPr>
            <w:tcW w:w="1134"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53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(512 495)</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(470 878)</w:t>
            </w: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bidi="en-GB"/>
              </w:rPr>
            </w:pPr>
          </w:p>
        </w:tc>
      </w:tr>
      <w:tr>
        <w:trPr>
          <w:trHeight w:val="280"/>
        </w:trPr>
        <w:tc>
          <w:tcPr>
            <w:tcW w:w="5527"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АКТИВИ</w:t>
            </w:r>
          </w:p>
        </w:tc>
        <w:tc>
          <w:tcPr>
            <w:tcW w:w="1134"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53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80"/>
        </w:trPr>
        <w:tc>
          <w:tcPr>
            <w:tcW w:w="5527"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ФОНДОВЕ И РЕЗЕРВИ</w:t>
            </w:r>
          </w:p>
        </w:tc>
        <w:tc>
          <w:tcPr>
            <w:tcW w:w="1134"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53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Вноски от членовете</w:t>
            </w: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Натрупан излишък</w:t>
            </w: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80"/>
        </w:trPr>
        <w:tc>
          <w:tcPr>
            <w:tcW w:w="5527"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134"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539"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80"/>
        </w:trPr>
        <w:tc>
          <w:tcPr>
            <w:tcW w:w="5527"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АКТИВИ</w:t>
            </w:r>
          </w:p>
        </w:tc>
        <w:tc>
          <w:tcPr>
            <w:tcW w:w="1134"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53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r>
    </w:tbl>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sectPr>
          <w:headerReference w:type="even" r:id="rId263"/>
          <w:headerReference w:type="default" r:id="rId264"/>
          <w:footerReference w:type="even" r:id="rId265"/>
          <w:footerReference w:type="default" r:id="rId266"/>
          <w:headerReference w:type="first" r:id="rId267"/>
          <w:footerReference w:type="first" r:id="rId268"/>
          <w:pgSz w:w="11906" w:h="16838" w:code="9"/>
          <w:pgMar w:top="1134" w:right="1134" w:bottom="1134" w:left="1134" w:header="709" w:footer="709" w:gutter="0"/>
          <w:cols w:space="708"/>
          <w:docGrid w:linePitch="360"/>
        </w:sectPr>
      </w:pPr>
    </w:p>
    <w:p>
      <w:pPr>
        <w:pStyle w:val="HEADERTITLE1"/>
        <w:rPr>
          <w:lang w:val="bg-BG"/>
        </w:rPr>
      </w:pPr>
      <w:bookmarkStart w:id="117" w:name="_Toc41982828"/>
      <w:bookmarkStart w:id="118" w:name="_Toc49527942"/>
      <w:r>
        <w:rPr>
          <w:lang w:val="bg-BG"/>
        </w:rPr>
        <w:t>ОТЧЕТ ЗА ФИНАНСОВИЯ РЕЗУЛТАТ</w:t>
      </w:r>
      <w:bookmarkEnd w:id="117"/>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9"/>
        <w:gridCol w:w="1081"/>
        <w:gridCol w:w="1768"/>
        <w:gridCol w:w="1320"/>
      </w:tblGrid>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noProof/>
                <w:color w:val="000000"/>
                <w:sz w:val="20"/>
                <w:szCs w:val="20"/>
                <w:lang w:val="bg-BG"/>
              </w:rPr>
            </w:pPr>
            <w:bookmarkStart w:id="119" w:name="DOC_TBL00051_1_1"/>
            <w:bookmarkEnd w:id="119"/>
          </w:p>
        </w:tc>
        <w:tc>
          <w:tcPr>
            <w:tcW w:w="1081"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noProof/>
                <w:color w:val="000000"/>
                <w:sz w:val="20"/>
                <w:szCs w:val="20"/>
                <w:lang w:val="bg-BG"/>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20"/>
                <w:szCs w:val="20"/>
                <w:lang w:val="bg-BG"/>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хиляди евро</w:t>
            </w:r>
          </w:p>
        </w:tc>
      </w:tr>
      <w:tr>
        <w:trPr>
          <w:trHeight w:val="255"/>
        </w:trPr>
        <w:tc>
          <w:tcPr>
            <w:tcW w:w="5589"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p>
        </w:tc>
        <w:tc>
          <w:tcPr>
            <w:tcW w:w="1081"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Бележка</w:t>
            </w:r>
          </w:p>
        </w:tc>
        <w:tc>
          <w:tcPr>
            <w:tcW w:w="1768"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320"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w:t>
            </w:r>
          </w:p>
        </w:tc>
        <w:tc>
          <w:tcPr>
            <w:tcW w:w="1081"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 от операции без размяна</w:t>
            </w:r>
          </w:p>
        </w:tc>
        <w:tc>
          <w:tcPr>
            <w:tcW w:w="1081"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Събиране на разходи</w:t>
            </w:r>
          </w:p>
        </w:tc>
        <w:tc>
          <w:tcPr>
            <w:tcW w:w="1081"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467</w:t>
            </w:r>
          </w:p>
        </w:tc>
        <w:tc>
          <w:tcPr>
            <w:tcW w:w="132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Приходи от дарения</w:t>
            </w:r>
          </w:p>
        </w:tc>
        <w:tc>
          <w:tcPr>
            <w:tcW w:w="1081"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774 090</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576 802</w:t>
            </w:r>
          </w:p>
        </w:tc>
      </w:tr>
      <w:tr>
        <w:trPr>
          <w:trHeight w:val="255"/>
        </w:trPr>
        <w:tc>
          <w:tcPr>
            <w:tcW w:w="5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p>
        </w:tc>
        <w:tc>
          <w:tcPr>
            <w:tcW w:w="10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774 557</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576 802</w:t>
            </w:r>
          </w:p>
        </w:tc>
      </w:tr>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 от операции с размяна</w:t>
            </w:r>
          </w:p>
        </w:tc>
        <w:tc>
          <w:tcPr>
            <w:tcW w:w="1081"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приходи</w:t>
            </w:r>
          </w:p>
        </w:tc>
        <w:tc>
          <w:tcPr>
            <w:tcW w:w="1081"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132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r>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 приходи от размяна</w:t>
            </w:r>
          </w:p>
        </w:tc>
        <w:tc>
          <w:tcPr>
            <w:tcW w:w="1081"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1 855</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w:t>
            </w:r>
          </w:p>
        </w:tc>
      </w:tr>
      <w:tr>
        <w:trPr>
          <w:trHeight w:val="255"/>
        </w:trPr>
        <w:tc>
          <w:tcPr>
            <w:tcW w:w="5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p>
        </w:tc>
        <w:tc>
          <w:tcPr>
            <w:tcW w:w="10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1 848</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w:t>
            </w:r>
          </w:p>
        </w:tc>
      </w:tr>
      <w:tr>
        <w:trPr>
          <w:trHeight w:val="255"/>
        </w:trPr>
        <w:tc>
          <w:tcPr>
            <w:tcW w:w="5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приходи</w:t>
            </w:r>
          </w:p>
        </w:tc>
        <w:tc>
          <w:tcPr>
            <w:tcW w:w="10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776 405</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576 808</w:t>
            </w:r>
          </w:p>
        </w:tc>
      </w:tr>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РАЗХОДИ</w:t>
            </w:r>
          </w:p>
        </w:tc>
        <w:tc>
          <w:tcPr>
            <w:tcW w:w="1081"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Оперативни разходи</w:t>
            </w:r>
          </w:p>
        </w:tc>
        <w:tc>
          <w:tcPr>
            <w:tcW w:w="1081"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(755 904)</w:t>
            </w:r>
          </w:p>
        </w:tc>
        <w:tc>
          <w:tcPr>
            <w:tcW w:w="132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(561 761)</w:t>
            </w:r>
          </w:p>
        </w:tc>
      </w:tr>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разходи</w:t>
            </w:r>
          </w:p>
        </w:tc>
        <w:tc>
          <w:tcPr>
            <w:tcW w:w="1081"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w:t>
            </w:r>
          </w:p>
        </w:tc>
        <w:tc>
          <w:tcPr>
            <w:tcW w:w="132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5589" w:type="dxa"/>
            <w:tcBorders>
              <w:top w:val="nil"/>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 разходи</w:t>
            </w:r>
          </w:p>
        </w:tc>
        <w:tc>
          <w:tcPr>
            <w:tcW w:w="1081"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(20 492)</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(15 047)</w:t>
            </w:r>
          </w:p>
        </w:tc>
      </w:tr>
      <w:tr>
        <w:trPr>
          <w:trHeight w:val="255"/>
        </w:trPr>
        <w:tc>
          <w:tcPr>
            <w:tcW w:w="5589"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разходи</w:t>
            </w:r>
          </w:p>
        </w:tc>
        <w:tc>
          <w:tcPr>
            <w:tcW w:w="1081" w:type="dxa"/>
            <w:tcBorders>
              <w:top w:val="nil"/>
              <w:left w:val="nil"/>
              <w:bottom w:val="nil"/>
              <w:right w:val="nil"/>
              <w:tl2br w:val="nil"/>
              <w:tr2bl w:val="nil"/>
            </w:tcBorders>
            <w:shd w:val="clear" w:color="auto" w:fill="auto"/>
            <w:tcMar>
              <w:left w:w="60" w:type="dxa"/>
              <w:right w:w="60" w:type="dxa"/>
            </w:tcMar>
            <w:vAlign w:val="bottom"/>
          </w:tcPr>
          <w:p>
            <w:pPr>
              <w:jc w:val="center"/>
              <w:rPr>
                <w:rFonts w:ascii="Verdana" w:eastAsia="Verdana" w:hAnsi="Verdana" w:cs="Verdana"/>
                <w:b/>
                <w:noProof/>
                <w:color w:val="000000"/>
                <w:sz w:val="18"/>
                <w:szCs w:val="20"/>
                <w:lang w:val="bg-BG"/>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(776 405)</w:t>
            </w:r>
          </w:p>
        </w:tc>
        <w:tc>
          <w:tcPr>
            <w:tcW w:w="132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(576 808)</w:t>
            </w:r>
          </w:p>
        </w:tc>
      </w:tr>
      <w:tr>
        <w:trPr>
          <w:trHeight w:val="255"/>
        </w:trPr>
        <w:tc>
          <w:tcPr>
            <w:tcW w:w="5589"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ИКОНОМИЧЕСКИ РЕЗУЛТАТ ЗА ГОДИНАТА</w:t>
            </w:r>
          </w:p>
        </w:tc>
        <w:tc>
          <w:tcPr>
            <w:tcW w:w="1081" w:type="dxa"/>
            <w:tcBorders>
              <w:top w:val="nil"/>
              <w:left w:val="nil"/>
              <w:bottom w:val="nil"/>
              <w:right w:val="nil"/>
              <w:tl2br w:val="nil"/>
              <w:tr2bl w:val="nil"/>
            </w:tcBorders>
            <w:shd w:val="solid" w:color="CCE1EA" w:fill="FFFFFF"/>
            <w:tcMar>
              <w:left w:w="60" w:type="dxa"/>
              <w:right w:w="60" w:type="dxa"/>
            </w:tcMar>
            <w:vAlign w:val="bottom"/>
          </w:tcPr>
          <w:p>
            <w:pPr>
              <w:jc w:val="center"/>
              <w:rPr>
                <w:rFonts w:ascii="Verdana" w:eastAsia="Verdana" w:hAnsi="Verdana" w:cs="Verdana"/>
                <w:noProof/>
                <w:color w:val="000000"/>
                <w:sz w:val="18"/>
                <w:szCs w:val="20"/>
                <w:lang w:val="bg-BG"/>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r>
    </w:tbl>
    <w:p>
      <w:pPr>
        <w:tabs>
          <w:tab w:val="left" w:pos="907"/>
        </w:tabs>
        <w:spacing w:after="240"/>
        <w:rPr>
          <w:rFonts w:ascii="Verdana" w:hAnsi="Verdana"/>
          <w:b/>
          <w:noProof/>
          <w:color w:val="016794"/>
          <w:sz w:val="28"/>
          <w:szCs w:val="18"/>
          <w:lang w:val="bg-BG" w:eastAsia="en-US"/>
        </w:rPr>
      </w:pPr>
    </w:p>
    <w:p>
      <w:pPr>
        <w:rPr>
          <w:rFonts w:ascii="Verdana" w:hAnsi="Verdana"/>
          <w:i/>
          <w:noProof/>
          <w:color w:val="016794"/>
          <w:sz w:val="18"/>
          <w:lang w:val="bg-BG"/>
        </w:rPr>
      </w:pPr>
    </w:p>
    <w:p>
      <w:pPr>
        <w:tabs>
          <w:tab w:val="left" w:pos="907"/>
        </w:tabs>
        <w:spacing w:after="240"/>
        <w:rPr>
          <w:rFonts w:ascii="Verdana" w:hAnsi="Verdana"/>
          <w:b/>
          <w:noProof/>
          <w:color w:val="016794"/>
          <w:sz w:val="28"/>
          <w:szCs w:val="18"/>
          <w:lang w:val="bg-BG" w:eastAsia="en-US"/>
        </w:rPr>
        <w:sectPr>
          <w:headerReference w:type="even" r:id="rId269"/>
          <w:headerReference w:type="default" r:id="rId270"/>
          <w:footerReference w:type="even" r:id="rId271"/>
          <w:footerReference w:type="default" r:id="rId272"/>
          <w:headerReference w:type="first" r:id="rId273"/>
          <w:footerReference w:type="first" r:id="rId274"/>
          <w:pgSz w:w="11906" w:h="16838" w:code="9"/>
          <w:pgMar w:top="1134" w:right="1134" w:bottom="1134" w:left="1134" w:header="709" w:footer="709" w:gutter="0"/>
          <w:cols w:space="708"/>
          <w:docGrid w:linePitch="360"/>
        </w:sectPr>
      </w:pPr>
    </w:p>
    <w:p>
      <w:pPr>
        <w:pStyle w:val="HEADERTITLE1"/>
        <w:rPr>
          <w:lang w:val="bg-BG"/>
        </w:rPr>
      </w:pPr>
      <w:bookmarkStart w:id="120" w:name="_Toc41982829"/>
      <w:bookmarkStart w:id="121" w:name="_Toc49527943"/>
      <w:r>
        <w:rPr>
          <w:lang w:val="bg-BG"/>
        </w:rPr>
        <w:t>ОТЧЕТ ЗА ПАРИЧНИТЕ ПОТОЦИ</w:t>
      </w:r>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8"/>
        <w:gridCol w:w="1417"/>
        <w:gridCol w:w="1193"/>
      </w:tblGrid>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noProof/>
                <w:color w:val="000000"/>
                <w:sz w:val="20"/>
                <w:szCs w:val="20"/>
                <w:lang w:val="bg-BG"/>
              </w:rPr>
            </w:pPr>
            <w:bookmarkStart w:id="122" w:name="DOC_TBL00052_1_1"/>
            <w:bookmarkEnd w:id="122"/>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i/>
                <w:noProof/>
                <w:color w:val="000000"/>
                <w:sz w:val="20"/>
                <w:szCs w:val="20"/>
                <w:lang w:val="bg-BG"/>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хиляди евро</w:t>
            </w:r>
          </w:p>
        </w:tc>
      </w:tr>
      <w:tr>
        <w:trPr>
          <w:trHeight w:val="255"/>
        </w:trPr>
        <w:tc>
          <w:tcPr>
            <w:tcW w:w="7148"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p>
        </w:tc>
        <w:tc>
          <w:tcPr>
            <w:tcW w:w="1417"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193"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Оперативни дейности</w:t>
            </w:r>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bidi="en-GB"/>
              </w:rPr>
            </w:pP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предварителното финансиране</w:t>
            </w:r>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(159 750)</w:t>
            </w: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(57 110)</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вземанията по операции с размяна и на средствата, подлежащи на събиране, по операции без размяна</w:t>
            </w:r>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(1 815)</w:t>
            </w: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(13 636)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финансовите пасиви</w:t>
            </w:r>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14 412</w:t>
            </w: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(26 713)</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задълженията</w:t>
            </w:r>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13 236</w:t>
            </w: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12 207</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начислените разходи и приходите за бъдещи периоди</w:t>
            </w:r>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13 968</w:t>
            </w: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69 546</w:t>
            </w:r>
          </w:p>
        </w:tc>
      </w:tr>
      <w:tr>
        <w:trPr>
          <w:trHeight w:val="255"/>
        </w:trPr>
        <w:tc>
          <w:tcPr>
            <w:tcW w:w="7148"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ПАРИЧНИ ПОТОЦИ</w:t>
            </w:r>
          </w:p>
        </w:tc>
        <w:tc>
          <w:tcPr>
            <w:tcW w:w="1417"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(119 949)</w:t>
            </w:r>
          </w:p>
        </w:tc>
        <w:tc>
          <w:tcPr>
            <w:tcW w:w="119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(15 706)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Calibri" w:eastAsia="Calibri" w:hAnsi="Calibri" w:cs="Calibri"/>
                <w:b/>
                <w:noProof/>
                <w:color w:val="000000"/>
                <w:sz w:val="20"/>
                <w:szCs w:val="20"/>
                <w:lang w:val="bg-BG"/>
              </w:rPr>
            </w:pPr>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noProof/>
                <w:color w:val="000000"/>
                <w:sz w:val="20"/>
                <w:szCs w:val="20"/>
                <w:lang w:val="bg-BG"/>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Calibri" w:eastAsia="Calibri" w:hAnsi="Calibri" w:cs="Calibri"/>
                <w:noProof/>
                <w:color w:val="000000"/>
                <w:sz w:val="20"/>
                <w:szCs w:val="20"/>
                <w:lang w:val="bg-BG" w:bidi="en-GB"/>
              </w:rPr>
            </w:pP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Нетно увеличение/(намаление) на парите и паричните еквиваленти</w:t>
            </w:r>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(119 949)</w:t>
            </w: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(15 706)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Пари и парични еквиваленти в началото на годината</w:t>
            </w:r>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146 864</w:t>
            </w: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162 571</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Пари и парични еквиваленти в края на годината</w:t>
            </w:r>
          </w:p>
        </w:tc>
        <w:tc>
          <w:tcPr>
            <w:tcW w:w="141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26 915</w:t>
            </w:r>
          </w:p>
        </w:tc>
        <w:tc>
          <w:tcPr>
            <w:tcW w:w="1193"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146 864</w:t>
            </w:r>
          </w:p>
        </w:tc>
      </w:tr>
    </w:tbl>
    <w:p>
      <w:pPr>
        <w:tabs>
          <w:tab w:val="left" w:pos="907"/>
        </w:tabs>
        <w:spacing w:after="240"/>
        <w:rPr>
          <w:rFonts w:ascii="Verdana" w:hAnsi="Verdana"/>
          <w:b/>
          <w:noProof/>
          <w:color w:val="016794"/>
          <w:sz w:val="28"/>
          <w:szCs w:val="18"/>
          <w:lang w:val="bg-BG" w:eastAsia="en-US"/>
        </w:rPr>
      </w:pPr>
    </w:p>
    <w:p>
      <w:pPr>
        <w:rPr>
          <w:rFonts w:ascii="Verdana" w:hAnsi="Verdana"/>
          <w:i/>
          <w:noProof/>
          <w:color w:val="016794"/>
          <w:sz w:val="18"/>
          <w:lang w:val="bg-BG"/>
        </w:rPr>
        <w:sectPr>
          <w:headerReference w:type="even" r:id="rId275"/>
          <w:headerReference w:type="default" r:id="rId276"/>
          <w:footerReference w:type="even" r:id="rId277"/>
          <w:footerReference w:type="default" r:id="rId278"/>
          <w:headerReference w:type="first" r:id="rId279"/>
          <w:footerReference w:type="first" r:id="rId280"/>
          <w:pgSz w:w="11906" w:h="16838" w:code="9"/>
          <w:pgMar w:top="1134" w:right="1134" w:bottom="1134" w:left="1134" w:header="709" w:footer="709" w:gutter="0"/>
          <w:cols w:space="708"/>
          <w:docGrid w:linePitch="360"/>
        </w:sect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pStyle w:val="FIRSTCHAPTERPAGE1"/>
        <w:rPr>
          <w:lang w:val="bg-BG"/>
        </w:rPr>
      </w:pPr>
      <w:bookmarkStart w:id="123" w:name="_Toc49527808"/>
      <w:bookmarkStart w:id="124" w:name="_Toc49527944"/>
      <w:r>
        <w:rPr>
          <w:lang w:val="bg-BG"/>
        </w:rPr>
        <w:t>КОНСОЛИДИРАНИ ФИНАНСОВИ ОТЧЕТИ НА ЕФР И ДОВЕРИТЕЛНИТЕ ФОНДОВЕ НА ЕС</w:t>
      </w:r>
      <w:bookmarkEnd w:id="123"/>
      <w:bookmarkEnd w:id="124"/>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rPr>
          <w:rFonts w:ascii="Verdana" w:hAnsi="Verdana"/>
          <w:i/>
          <w:noProof/>
          <w:color w:val="016794"/>
          <w:sz w:val="18"/>
          <w:lang w:val="bg-BG"/>
        </w:rPr>
      </w:pPr>
      <w:r>
        <w:rPr>
          <w:rFonts w:ascii="Verdana" w:hAnsi="Verdana"/>
          <w:i/>
          <w:noProof/>
          <w:color w:val="016794"/>
          <w:sz w:val="18"/>
          <w:lang w:val="bg-BG"/>
        </w:rPr>
        <w:t>Следва да се отбележи, че поради закръглянето на цифрите в милиони евро някои финансови данни в таблиците може да изглеждат грешни.</w:t>
      </w:r>
    </w:p>
    <w:p>
      <w:pPr>
        <w:rPr>
          <w:rFonts w:ascii="Verdana" w:hAnsi="Verdana"/>
          <w:i/>
          <w:noProof/>
          <w:color w:val="016794"/>
          <w:sz w:val="18"/>
          <w:lang w:val="bg-BG"/>
        </w:rPr>
        <w:sectPr>
          <w:headerReference w:type="even" r:id="rId281"/>
          <w:headerReference w:type="default" r:id="rId282"/>
          <w:footerReference w:type="even" r:id="rId283"/>
          <w:footerReference w:type="default" r:id="rId284"/>
          <w:headerReference w:type="first" r:id="rId285"/>
          <w:footerReference w:type="first" r:id="rId286"/>
          <w:pgSz w:w="11906" w:h="16838" w:code="9"/>
          <w:pgMar w:top="1134" w:right="1134" w:bottom="1134" w:left="1134" w:header="708" w:footer="708" w:gutter="0"/>
          <w:cols w:space="708"/>
          <w:docGrid w:linePitch="360"/>
        </w:sectPr>
      </w:pPr>
    </w:p>
    <w:p>
      <w:pPr>
        <w:pStyle w:val="HEADERTITLE1"/>
        <w:rPr>
          <w:lang w:val="bg-BG"/>
        </w:rPr>
      </w:pPr>
      <w:bookmarkStart w:id="125" w:name="_Toc49527945"/>
      <w:r>
        <w:rPr>
          <w:lang w:val="bg-BG"/>
        </w:rPr>
        <w:t>КОНСОЛИДИРАН СЧЕТОВОДЕН БАЛАНС</w:t>
      </w:r>
      <w:bookmarkEnd w:id="125"/>
    </w:p>
    <w:tbl>
      <w:tblPr>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4"/>
        <w:gridCol w:w="1678"/>
        <w:gridCol w:w="1678"/>
      </w:tblGrid>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rPr>
            </w:pPr>
            <w:bookmarkStart w:id="126" w:name="DOC_TBL00053_1_1"/>
            <w:bookmarkEnd w:id="126"/>
          </w:p>
        </w:tc>
        <w:tc>
          <w:tcPr>
            <w:tcW w:w="1678"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 xml:space="preserve"> милиони евро</w:t>
            </w:r>
          </w:p>
        </w:tc>
      </w:tr>
      <w:tr>
        <w:trPr>
          <w:trHeight w:hRule="exact" w:val="408"/>
        </w:trPr>
        <w:tc>
          <w:tcPr>
            <w:tcW w:w="6874"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p>
        </w:tc>
        <w:tc>
          <w:tcPr>
            <w:tcW w:w="1678"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31.12.2019 г.</w:t>
            </w:r>
          </w:p>
        </w:tc>
        <w:tc>
          <w:tcPr>
            <w:tcW w:w="1678"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31.12.2018 г.</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НЕТЕКУЩИ АКТИВИ</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активи</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36</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Предварително финансиране</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962</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924</w:t>
            </w:r>
          </w:p>
        </w:tc>
      </w:tr>
      <w:tr>
        <w:trPr>
          <w:trHeight w:hRule="exact" w:val="225"/>
        </w:trPr>
        <w:tc>
          <w:tcPr>
            <w:tcW w:w="6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noProof/>
                <w:color w:val="000000"/>
                <w:sz w:val="18"/>
                <w:szCs w:val="20"/>
                <w:lang w:val="bg-BG"/>
              </w:rPr>
            </w:pPr>
          </w:p>
        </w:tc>
        <w:tc>
          <w:tcPr>
            <w:tcW w:w="1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998</w:t>
            </w:r>
          </w:p>
        </w:tc>
        <w:tc>
          <w:tcPr>
            <w:tcW w:w="1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924</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ТЕКУЩИ АКТИВИ</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Предварително финансиране</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1 725</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1 751</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Вземания по операции с размяна и средства, подлежащи на събиране, по операции без размяна</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143</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156</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Пари и парични еквиваленти </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1 223</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548</w:t>
            </w:r>
          </w:p>
        </w:tc>
      </w:tr>
      <w:tr>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noProof/>
                <w:color w:val="000000"/>
                <w:sz w:val="18"/>
                <w:szCs w:val="20"/>
                <w:lang w:val="bg-BG"/>
              </w:rPr>
            </w:pPr>
          </w:p>
        </w:tc>
        <w:tc>
          <w:tcPr>
            <w:tcW w:w="1678" w:type="dxa"/>
            <w:tcBorders>
              <w:top w:val="single" w:sz="4" w:space="0" w:color="016794"/>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3 092</w:t>
            </w:r>
          </w:p>
        </w:tc>
        <w:tc>
          <w:tcPr>
            <w:tcW w:w="1678" w:type="dxa"/>
            <w:tcBorders>
              <w:top w:val="single" w:sz="4" w:space="0" w:color="016794"/>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2 455</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АКТИВИ</w:t>
            </w:r>
          </w:p>
        </w:tc>
        <w:tc>
          <w:tcPr>
            <w:tcW w:w="167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4 090</w:t>
            </w:r>
          </w:p>
        </w:tc>
        <w:tc>
          <w:tcPr>
            <w:tcW w:w="167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3 379</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НЕТЕКУЩИ ПАСИВИ</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пасиви</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(167)</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(229)</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p>
        </w:tc>
        <w:tc>
          <w:tcPr>
            <w:tcW w:w="167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(167)</w:t>
            </w:r>
          </w:p>
        </w:tc>
        <w:tc>
          <w:tcPr>
            <w:tcW w:w="167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(229)</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ТЕКУЩИ ПАСИВИ</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Задължения</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(542)</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(255)</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Начислени разходи и приходи за бъдещи периоди</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(1 432)</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(1 374)</w:t>
            </w:r>
          </w:p>
        </w:tc>
      </w:tr>
      <w:tr>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noProof/>
                <w:color w:val="000000"/>
                <w:sz w:val="18"/>
                <w:szCs w:val="20"/>
                <w:lang w:val="bg-BG"/>
              </w:rPr>
            </w:pPr>
          </w:p>
        </w:tc>
        <w:tc>
          <w:tcPr>
            <w:tcW w:w="1678" w:type="dxa"/>
            <w:tcBorders>
              <w:top w:val="single" w:sz="4" w:space="0" w:color="016794"/>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(1 974)</w:t>
            </w:r>
          </w:p>
        </w:tc>
        <w:tc>
          <w:tcPr>
            <w:tcW w:w="1678" w:type="dxa"/>
            <w:tcBorders>
              <w:top w:val="single" w:sz="4" w:space="0" w:color="016794"/>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(1 629)</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ПАСИВИ</w:t>
            </w:r>
          </w:p>
        </w:tc>
        <w:tc>
          <w:tcPr>
            <w:tcW w:w="167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(2 141)</w:t>
            </w:r>
          </w:p>
        </w:tc>
        <w:tc>
          <w:tcPr>
            <w:tcW w:w="167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(1 857)</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АКТИВИ</w:t>
            </w:r>
          </w:p>
        </w:tc>
        <w:tc>
          <w:tcPr>
            <w:tcW w:w="167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1 948</w:t>
            </w:r>
          </w:p>
        </w:tc>
        <w:tc>
          <w:tcPr>
            <w:tcW w:w="167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1 521</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ФОНДОВЕ И РЕЗЕРВИ</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rPr>
            </w:pP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Резерв по справедлива стойност</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Поискан капитал на фонда — активни ЕФР</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54 809</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50 423</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Поискан капитал на фонда от пренесени закрити ЕФР</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2 252</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2 252</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пренесен от предходни години</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(51 155)</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(47 037)</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(3 956)</w:t>
            </w:r>
          </w:p>
        </w:tc>
        <w:tc>
          <w:tcPr>
            <w:tcW w:w="1678"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(4 118)</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АКТИВИ</w:t>
            </w:r>
          </w:p>
        </w:tc>
        <w:tc>
          <w:tcPr>
            <w:tcW w:w="167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1 948</w:t>
            </w:r>
          </w:p>
        </w:tc>
        <w:tc>
          <w:tcPr>
            <w:tcW w:w="1678"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1 521</w:t>
            </w:r>
          </w:p>
        </w:tc>
      </w:tr>
    </w:tbl>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pPr>
    </w:p>
    <w:p>
      <w:pPr>
        <w:tabs>
          <w:tab w:val="left" w:pos="907"/>
        </w:tabs>
        <w:spacing w:after="240"/>
        <w:rPr>
          <w:rFonts w:ascii="Verdana" w:hAnsi="Verdana"/>
          <w:b/>
          <w:noProof/>
          <w:color w:val="016794"/>
          <w:sz w:val="28"/>
          <w:szCs w:val="18"/>
          <w:lang w:val="bg-BG" w:eastAsia="en-US"/>
        </w:rPr>
        <w:sectPr>
          <w:headerReference w:type="even" r:id="rId287"/>
          <w:headerReference w:type="default" r:id="rId288"/>
          <w:footerReference w:type="even" r:id="rId289"/>
          <w:footerReference w:type="default" r:id="rId290"/>
          <w:headerReference w:type="first" r:id="rId291"/>
          <w:footerReference w:type="first" r:id="rId292"/>
          <w:pgSz w:w="11906" w:h="16838" w:code="9"/>
          <w:pgMar w:top="1134" w:right="1134" w:bottom="1134" w:left="1134" w:header="708" w:footer="708" w:gutter="0"/>
          <w:cols w:space="708"/>
          <w:docGrid w:linePitch="360"/>
        </w:sectPr>
      </w:pPr>
    </w:p>
    <w:p>
      <w:pPr>
        <w:pStyle w:val="HEADERTITLE1"/>
        <w:rPr>
          <w:lang w:val="bg-BG"/>
        </w:rPr>
      </w:pPr>
      <w:bookmarkStart w:id="127" w:name="_Toc9948407"/>
      <w:bookmarkStart w:id="128" w:name="_Toc49527946"/>
      <w:r>
        <w:rPr>
          <w:lang w:val="bg-BG"/>
        </w:rPr>
        <w:t>КОНСОЛИДИРАН ОТЧЕТ ЗА ФИНАНСОВИЯ РЕЗУЛТАТ</w:t>
      </w:r>
      <w:bookmarkEnd w:id="127"/>
      <w:bookmarkEnd w:id="128"/>
    </w:p>
    <w:tbl>
      <w:tblPr>
        <w:tblW w:w="922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0"/>
        <w:gridCol w:w="1830"/>
        <w:gridCol w:w="1365"/>
      </w:tblGrid>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bookmarkStart w:id="129" w:name="DOC_TBL00054_1_1"/>
            <w:bookmarkEnd w:id="129"/>
          </w:p>
        </w:tc>
        <w:tc>
          <w:tcPr>
            <w:tcW w:w="18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милиони евро</w:t>
            </w:r>
          </w:p>
        </w:tc>
      </w:tr>
      <w:tr>
        <w:trPr>
          <w:trHeight w:val="255"/>
        </w:trPr>
        <w:tc>
          <w:tcPr>
            <w:tcW w:w="6030" w:type="dxa"/>
            <w:tcBorders>
              <w:top w:val="nil"/>
              <w:left w:val="nil"/>
              <w:bottom w:val="nil"/>
              <w:right w:val="nil"/>
              <w:tl2br w:val="nil"/>
              <w:tr2bl w:val="nil"/>
            </w:tcBorders>
            <w:shd w:val="solid" w:color="016794" w:fill="FFFFFF"/>
            <w:tcMar>
              <w:left w:w="60" w:type="dxa"/>
              <w:right w:w="60" w:type="dxa"/>
            </w:tcMar>
            <w:vAlign w:val="bottom"/>
          </w:tcPr>
          <w:p>
            <w:pPr>
              <w:rPr>
                <w:rFonts w:ascii="Verdana" w:eastAsia="Verdana" w:hAnsi="Verdana" w:cs="Verdana"/>
                <w:noProof/>
                <w:color w:val="FFFFFF"/>
                <w:sz w:val="20"/>
                <w:szCs w:val="20"/>
                <w:lang w:val="bg-BG"/>
              </w:rPr>
            </w:pPr>
          </w:p>
        </w:tc>
        <w:tc>
          <w:tcPr>
            <w:tcW w:w="1830"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365"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w:t>
            </w:r>
          </w:p>
        </w:tc>
        <w:tc>
          <w:tcPr>
            <w:tcW w:w="18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 от операции без размяна</w:t>
            </w:r>
          </w:p>
        </w:tc>
        <w:tc>
          <w:tcPr>
            <w:tcW w:w="183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rPr>
            </w:pPr>
          </w:p>
        </w:tc>
        <w:tc>
          <w:tcPr>
            <w:tcW w:w="1365"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Дейности по събиране</w:t>
            </w:r>
          </w:p>
        </w:tc>
        <w:tc>
          <w:tcPr>
            <w:tcW w:w="18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28</w:t>
            </w: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Приходи от дарения за доверителните фондове </w:t>
            </w:r>
          </w:p>
        </w:tc>
        <w:tc>
          <w:tcPr>
            <w:tcW w:w="18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287</w:t>
            </w: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303</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316</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307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Приходи от операции с размяна</w:t>
            </w:r>
          </w:p>
        </w:tc>
        <w:tc>
          <w:tcPr>
            <w:tcW w:w="1830"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rPr>
            </w:pPr>
          </w:p>
        </w:tc>
        <w:tc>
          <w:tcPr>
            <w:tcW w:w="1365"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приходи</w:t>
            </w:r>
          </w:p>
        </w:tc>
        <w:tc>
          <w:tcPr>
            <w:tcW w:w="18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10</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 приходи</w:t>
            </w:r>
          </w:p>
        </w:tc>
        <w:tc>
          <w:tcPr>
            <w:tcW w:w="18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41</w:t>
            </w: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46</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jc w:val="center"/>
              <w:rPr>
                <w:rFonts w:ascii="Verdana" w:eastAsia="Verdana" w:hAnsi="Verdana" w:cs="Verdana"/>
                <w:i/>
                <w:noProof/>
                <w:color w:val="000000"/>
                <w:sz w:val="18"/>
                <w:szCs w:val="20"/>
                <w:lang w:val="bg-BG"/>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48</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57</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приходи</w:t>
            </w: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364</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364</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РАЗХОДИ</w:t>
            </w:r>
          </w:p>
        </w:tc>
        <w:tc>
          <w:tcPr>
            <w:tcW w:w="18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Инструменти за помощ</w:t>
            </w:r>
          </w:p>
        </w:tc>
        <w:tc>
          <w:tcPr>
            <w:tcW w:w="18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(3 220)</w:t>
            </w: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(3 747)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Разходи, направени от доверителните фондове</w:t>
            </w:r>
          </w:p>
        </w:tc>
        <w:tc>
          <w:tcPr>
            <w:tcW w:w="18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(804)</w:t>
            </w: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(595)</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Разходи за съфинансиране</w:t>
            </w:r>
          </w:p>
        </w:tc>
        <w:tc>
          <w:tcPr>
            <w:tcW w:w="18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(14)</w:t>
            </w: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Финансови разходи</w:t>
            </w:r>
          </w:p>
        </w:tc>
        <w:tc>
          <w:tcPr>
            <w:tcW w:w="18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w:t>
            </w: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 разходи</w:t>
            </w:r>
          </w:p>
        </w:tc>
        <w:tc>
          <w:tcPr>
            <w:tcW w:w="18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(282)</w:t>
            </w: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(164)</w:t>
            </w:r>
          </w:p>
        </w:tc>
      </w:tr>
      <w:tr>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Общо разходи</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(4 320)</w:t>
            </w: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(4 482)</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p>
        </w:tc>
        <w:tc>
          <w:tcPr>
            <w:tcW w:w="1830"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6030"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ИКОНОМИЧЕСКИ РЕЗУЛТАТ ЗА ГОДИНАТА</w:t>
            </w:r>
          </w:p>
        </w:tc>
        <w:tc>
          <w:tcPr>
            <w:tcW w:w="1830"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(3 956)</w:t>
            </w:r>
          </w:p>
        </w:tc>
        <w:tc>
          <w:tcPr>
            <w:tcW w:w="1365"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(4 118)</w:t>
            </w:r>
          </w:p>
        </w:tc>
      </w:tr>
    </w:tbl>
    <w:p>
      <w:pPr>
        <w:tabs>
          <w:tab w:val="left" w:pos="907"/>
        </w:tabs>
        <w:spacing w:after="240"/>
        <w:rPr>
          <w:rFonts w:ascii="Verdana" w:hAnsi="Verdana"/>
          <w:b/>
          <w:noProof/>
          <w:color w:val="016794"/>
          <w:sz w:val="28"/>
          <w:szCs w:val="18"/>
          <w:lang w:val="en-US" w:eastAsia="en-US"/>
        </w:rPr>
      </w:pPr>
    </w:p>
    <w:p>
      <w:pPr>
        <w:tabs>
          <w:tab w:val="left" w:pos="907"/>
        </w:tabs>
        <w:spacing w:after="240"/>
        <w:rPr>
          <w:rFonts w:ascii="Verdana" w:hAnsi="Verdana"/>
          <w:b/>
          <w:noProof/>
          <w:color w:val="016794"/>
          <w:sz w:val="28"/>
          <w:szCs w:val="18"/>
          <w:lang w:val="en-US" w:eastAsia="en-US"/>
        </w:rPr>
      </w:pPr>
    </w:p>
    <w:p>
      <w:pPr>
        <w:tabs>
          <w:tab w:val="left" w:pos="907"/>
        </w:tabs>
        <w:spacing w:after="240"/>
        <w:rPr>
          <w:rFonts w:ascii="Verdana" w:hAnsi="Verdana"/>
          <w:b/>
          <w:noProof/>
          <w:color w:val="016794"/>
          <w:sz w:val="28"/>
          <w:szCs w:val="18"/>
          <w:lang w:val="en-US" w:eastAsia="en-US"/>
        </w:rPr>
        <w:sectPr>
          <w:headerReference w:type="even" r:id="rId293"/>
          <w:headerReference w:type="default" r:id="rId294"/>
          <w:footerReference w:type="even" r:id="rId295"/>
          <w:footerReference w:type="default" r:id="rId296"/>
          <w:headerReference w:type="first" r:id="rId297"/>
          <w:footerReference w:type="first" r:id="rId298"/>
          <w:pgSz w:w="11906" w:h="16838" w:code="9"/>
          <w:pgMar w:top="1134" w:right="1134" w:bottom="1134" w:left="1134" w:header="708" w:footer="708" w:gutter="0"/>
          <w:cols w:space="708"/>
          <w:docGrid w:linePitch="360"/>
        </w:sectPr>
      </w:pPr>
    </w:p>
    <w:p>
      <w:pPr>
        <w:pStyle w:val="HEADERTITLE1"/>
        <w:rPr>
          <w:lang w:val="bg-BG"/>
        </w:rPr>
      </w:pPr>
      <w:bookmarkStart w:id="130" w:name="_Toc49527947"/>
      <w:r>
        <w:rPr>
          <w:lang w:val="bg-BG"/>
        </w:rPr>
        <w:t>КОНСОЛИДИРАН ОТЧЕТ ЗА ПАРИЧНИТЕ ПОТОЦИ</w:t>
      </w:r>
      <w:bookmarkEnd w:id="130"/>
    </w:p>
    <w:tbl>
      <w:tblP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1"/>
        <w:gridCol w:w="1087"/>
        <w:gridCol w:w="1476"/>
      </w:tblGrid>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bookmarkStart w:id="131" w:name="DOC_TBL00055_1_1"/>
            <w:bookmarkEnd w:id="131"/>
          </w:p>
        </w:tc>
        <w:tc>
          <w:tcPr>
            <w:tcW w:w="108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милиони евро</w:t>
            </w:r>
          </w:p>
        </w:tc>
      </w:tr>
      <w:tr>
        <w:trPr>
          <w:trHeight w:val="255"/>
        </w:trPr>
        <w:tc>
          <w:tcPr>
            <w:tcW w:w="7431"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p>
        </w:tc>
        <w:tc>
          <w:tcPr>
            <w:tcW w:w="1087"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2019 г.</w:t>
            </w:r>
          </w:p>
        </w:tc>
        <w:tc>
          <w:tcPr>
            <w:tcW w:w="1476" w:type="dxa"/>
            <w:tcBorders>
              <w:top w:val="nil"/>
              <w:left w:val="nil"/>
              <w:bottom w:val="nil"/>
              <w:right w:val="nil"/>
              <w:tl2br w:val="nil"/>
              <w:tr2bl w:val="nil"/>
            </w:tcBorders>
            <w:shd w:val="solid" w:color="016794" w:fill="FFFFFF"/>
            <w:tcMar>
              <w:left w:w="60" w:type="dxa"/>
              <w:right w:w="60" w:type="dxa"/>
            </w:tcMar>
            <w:vAlign w:val="bottom"/>
          </w:tcPr>
          <w:p>
            <w:pPr>
              <w:jc w:val="right"/>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2018 г.</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08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(3 956)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(4 118)</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Оперативни дейности</w:t>
            </w: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 на капитала — вноски</w:t>
            </w: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4 385</w:t>
            </w:r>
          </w:p>
        </w:tc>
        <w:tc>
          <w:tcPr>
            <w:tcW w:w="14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4 250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предварителното финансиране</w:t>
            </w: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(317)</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вземанията по операции с размяна и на средствата, подлежащи на събиране, по операции без размяна</w:t>
            </w: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13</w:t>
            </w:r>
          </w:p>
        </w:tc>
        <w:tc>
          <w:tcPr>
            <w:tcW w:w="147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провизиите</w:t>
            </w: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4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(4)</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финансовите пасиви</w:t>
            </w: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(63)</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задълженията</w:t>
            </w: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288</w:t>
            </w:r>
          </w:p>
        </w:tc>
        <w:tc>
          <w:tcPr>
            <w:tcW w:w="14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(309)</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Увеличение/(намаление) на начислените разходи и приходите за бъдещи периоди</w:t>
            </w: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58</w:t>
            </w:r>
          </w:p>
        </w:tc>
        <w:tc>
          <w:tcPr>
            <w:tcW w:w="147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618</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Други непарични движения</w:t>
            </w: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Инвестиционни дейности</w:t>
            </w: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(Увеличение)/намаление на финансовите активи на разположение за продажба </w:t>
            </w: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(36)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7431"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НЕТНИ ПАРИЧНИ ПОТОЦИ</w:t>
            </w:r>
          </w:p>
        </w:tc>
        <w:tc>
          <w:tcPr>
            <w:tcW w:w="1087"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676</w:t>
            </w:r>
          </w:p>
        </w:tc>
        <w:tc>
          <w:tcPr>
            <w:tcW w:w="1476" w:type="dxa"/>
            <w:tcBorders>
              <w:top w:val="nil"/>
              <w:left w:val="nil"/>
              <w:bottom w:val="nil"/>
              <w:right w:val="nil"/>
              <w:tl2br w:val="nil"/>
              <w:tr2bl w:val="nil"/>
            </w:tcBorders>
            <w:shd w:val="solid" w:color="CCE1EA" w:fill="FFFFFF"/>
            <w:tcMar>
              <w:left w:w="60" w:type="dxa"/>
              <w:right w:w="60" w:type="dxa"/>
            </w:tcMar>
            <w:vAlign w:val="center"/>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b/>
                <w:noProof/>
                <w:color w:val="000000"/>
                <w:sz w:val="18"/>
                <w:szCs w:val="20"/>
                <w:lang w:val="bg-BG"/>
              </w:rPr>
            </w:pPr>
          </w:p>
        </w:tc>
        <w:tc>
          <w:tcPr>
            <w:tcW w:w="1087"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noProof/>
                <w:color w:val="000000"/>
                <w:sz w:val="18"/>
                <w:szCs w:val="20"/>
                <w:lang w:val="bg-B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Нетно увеличение/(намаление) на парите и паричните еквиваленти</w:t>
            </w:r>
          </w:p>
        </w:tc>
        <w:tc>
          <w:tcPr>
            <w:tcW w:w="108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 xml:space="preserve"> 676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 xml:space="preserve"> (2)</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Пари и парични еквиваленти в началото на годината</w:t>
            </w:r>
          </w:p>
        </w:tc>
        <w:tc>
          <w:tcPr>
            <w:tcW w:w="108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 xml:space="preserve">  548</w:t>
            </w:r>
          </w:p>
        </w:tc>
        <w:tc>
          <w:tcPr>
            <w:tcW w:w="147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 xml:space="preserve">  550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Пари и парични еквиваленти в края на годината</w:t>
            </w:r>
          </w:p>
        </w:tc>
        <w:tc>
          <w:tcPr>
            <w:tcW w:w="1087"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 xml:space="preserve"> 1 223</w:t>
            </w:r>
          </w:p>
        </w:tc>
        <w:tc>
          <w:tcPr>
            <w:tcW w:w="1476" w:type="dxa"/>
            <w:tcBorders>
              <w:top w:val="nil"/>
              <w:left w:val="nil"/>
              <w:bottom w:val="nil"/>
              <w:right w:val="nil"/>
              <w:tl2br w:val="nil"/>
              <w:tr2bl w:val="nil"/>
            </w:tcBorders>
            <w:shd w:val="clear" w:color="auto" w:fill="auto"/>
            <w:tcMar>
              <w:left w:w="60" w:type="dxa"/>
              <w:right w:w="60" w:type="dxa"/>
            </w:tcMar>
            <w:vAlign w:val="bottom"/>
          </w:tcPr>
          <w:p>
            <w:pPr>
              <w:jc w:val="right"/>
              <w:rPr>
                <w:rFonts w:ascii="Verdana" w:eastAsia="Verdana" w:hAnsi="Verdana" w:cs="Verdana"/>
                <w:noProof/>
                <w:color w:val="000000"/>
                <w:sz w:val="18"/>
                <w:szCs w:val="20"/>
                <w:lang w:val="bg-BG"/>
              </w:rPr>
            </w:pPr>
            <w:r>
              <w:rPr>
                <w:rFonts w:ascii="Verdana" w:eastAsia="Calibri" w:hAnsi="Verdana"/>
                <w:noProof/>
                <w:color w:val="000000"/>
                <w:sz w:val="18"/>
                <w:szCs w:val="20"/>
                <w:lang w:val="bg-BG"/>
              </w:rPr>
              <w:t xml:space="preserve">  548</w:t>
            </w:r>
          </w:p>
        </w:tc>
      </w:tr>
    </w:tbl>
    <w:p>
      <w:pPr>
        <w:tabs>
          <w:tab w:val="left" w:pos="907"/>
        </w:tabs>
        <w:spacing w:after="240"/>
        <w:rPr>
          <w:rFonts w:ascii="Verdana" w:hAnsi="Verdana"/>
          <w:b/>
          <w:noProof/>
          <w:color w:val="016794"/>
          <w:sz w:val="28"/>
          <w:szCs w:val="18"/>
          <w:lang w:val="en-US" w:eastAsia="en-US"/>
        </w:rPr>
      </w:pPr>
    </w:p>
    <w:p>
      <w:pPr>
        <w:rPr>
          <w:noProof/>
          <w:lang w:val="bg-BG"/>
        </w:rPr>
        <w:sectPr>
          <w:headerReference w:type="even" r:id="rId299"/>
          <w:headerReference w:type="default" r:id="rId300"/>
          <w:footerReference w:type="even" r:id="rId301"/>
          <w:footerReference w:type="default" r:id="rId302"/>
          <w:headerReference w:type="first" r:id="rId303"/>
          <w:footerReference w:type="first" r:id="rId304"/>
          <w:pgSz w:w="11906" w:h="16838" w:code="9"/>
          <w:pgMar w:top="1134" w:right="1134" w:bottom="1134" w:left="1134" w:header="708" w:footer="708" w:gutter="0"/>
          <w:cols w:space="708"/>
          <w:docGrid w:linePitch="360"/>
        </w:sectPr>
      </w:pPr>
      <w:r>
        <w:rPr>
          <w:noProof/>
          <w:lang w:val="bg-BG"/>
        </w:rPr>
        <w:t xml:space="preserve">  </w:t>
      </w:r>
      <w:bookmarkEnd w:id="92"/>
    </w:p>
    <w:p>
      <w:pPr>
        <w:pStyle w:val="HEADERTITLE1"/>
        <w:rPr>
          <w:lang w:val="bg-BG"/>
        </w:rPr>
      </w:pPr>
      <w:bookmarkStart w:id="132" w:name="_Toc49527948"/>
      <w:bookmarkStart w:id="133" w:name="_DMBM_19000"/>
      <w:r>
        <w:rPr>
          <w:lang w:val="bg-BG"/>
        </w:rPr>
        <w:t>КОНСОЛИДИРАН ОТЧЕТ ЗА ПРОМЕНИТЕ В НЕТНИТЕ АКТИВИ</w:t>
      </w:r>
      <w:bookmarkEnd w:id="132"/>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0"/>
        <w:gridCol w:w="1336"/>
        <w:gridCol w:w="1527"/>
        <w:gridCol w:w="1590"/>
        <w:gridCol w:w="1746"/>
        <w:gridCol w:w="1370"/>
        <w:gridCol w:w="1331"/>
        <w:gridCol w:w="1969"/>
      </w:tblGrid>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bookmarkStart w:id="134" w:name="DOC_TBL00056_1_1"/>
            <w:bookmarkEnd w:id="134"/>
          </w:p>
        </w:tc>
        <w:tc>
          <w:tcPr>
            <w:tcW w:w="1349"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606"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76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38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noProof/>
                <w:color w:val="000000"/>
                <w:sz w:val="18"/>
                <w:szCs w:val="20"/>
                <w:lang w:val="bg-BG"/>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6"/>
                <w:szCs w:val="20"/>
                <w:lang w:val="bg-BG"/>
              </w:rPr>
            </w:pPr>
            <w:r>
              <w:rPr>
                <w:rFonts w:ascii="Verdana" w:eastAsia="Calibri" w:hAnsi="Verdana"/>
                <w:i/>
                <w:noProof/>
                <w:color w:val="000000"/>
                <w:sz w:val="16"/>
                <w:szCs w:val="20"/>
                <w:lang w:val="bg-BG"/>
              </w:rPr>
              <w:t>милиони евро</w:t>
            </w:r>
          </w:p>
        </w:tc>
      </w:tr>
      <w:tr>
        <w:trPr>
          <w:trHeight w:hRule="exact" w:val="1260"/>
        </w:trPr>
        <w:tc>
          <w:tcPr>
            <w:tcW w:w="3417"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p>
        </w:tc>
        <w:tc>
          <w:tcPr>
            <w:tcW w:w="1349"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(A)</w:t>
            </w:r>
          </w:p>
        </w:tc>
        <w:tc>
          <w:tcPr>
            <w:tcW w:w="1543"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Непоискани средства — активни ЕФР (B)</w:t>
            </w:r>
          </w:p>
        </w:tc>
        <w:tc>
          <w:tcPr>
            <w:tcW w:w="1606"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 активни ЕФР (C) = (A)-(B)</w:t>
            </w:r>
          </w:p>
        </w:tc>
        <w:tc>
          <w:tcPr>
            <w:tcW w:w="1764"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Натрупани резерви (D)</w:t>
            </w:r>
          </w:p>
        </w:tc>
        <w:tc>
          <w:tcPr>
            <w:tcW w:w="1384"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Поискан капитал на фонда от пренесени закрити ЕФР (E)</w:t>
            </w:r>
          </w:p>
        </w:tc>
        <w:tc>
          <w:tcPr>
            <w:tcW w:w="1344" w:type="dxa"/>
            <w:tcBorders>
              <w:top w:val="nil"/>
              <w:left w:val="nil"/>
              <w:bottom w:val="nil"/>
              <w:right w:val="nil"/>
              <w:tl2br w:val="nil"/>
              <w:tr2bl w:val="nil"/>
            </w:tcBorders>
            <w:shd w:val="solid" w:color="016794" w:fill="FFFFFF"/>
            <w:tcMar>
              <w:left w:w="60" w:type="dxa"/>
              <w:right w:w="60" w:type="dxa"/>
            </w:tcMar>
            <w:vAlign w:val="center"/>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Резерв по справедлива стойност (F)</w:t>
            </w:r>
          </w:p>
        </w:tc>
        <w:tc>
          <w:tcPr>
            <w:tcW w:w="1989" w:type="dxa"/>
            <w:tcBorders>
              <w:top w:val="nil"/>
              <w:left w:val="nil"/>
              <w:bottom w:val="nil"/>
              <w:right w:val="nil"/>
              <w:tl2br w:val="nil"/>
              <w:tr2bl w:val="nil"/>
            </w:tcBorders>
            <w:shd w:val="solid" w:color="016794" w:fill="FFFFFF"/>
            <w:tcMar>
              <w:left w:w="60" w:type="dxa"/>
              <w:right w:w="60" w:type="dxa"/>
            </w:tcMar>
            <w:vAlign w:val="bottom"/>
          </w:tcPr>
          <w:p>
            <w:pPr>
              <w:jc w:val="center"/>
              <w:rPr>
                <w:rFonts w:ascii="Verdana" w:eastAsia="Verdana" w:hAnsi="Verdana" w:cs="Verdana"/>
                <w:noProof/>
                <w:color w:val="FFFFFF"/>
                <w:sz w:val="20"/>
                <w:szCs w:val="20"/>
                <w:lang w:val="bg-BG"/>
              </w:rPr>
            </w:pPr>
            <w:r>
              <w:rPr>
                <w:rFonts w:ascii="Verdana" w:eastAsia="Calibri" w:hAnsi="Verdana"/>
                <w:noProof/>
                <w:color w:val="FFFFFF"/>
                <w:sz w:val="20"/>
                <w:szCs w:val="20"/>
                <w:lang w:val="bg-BG"/>
              </w:rPr>
              <w:t>Общо нетни активи (C)+(D)+(E)+(F)</w:t>
            </w:r>
          </w:p>
        </w:tc>
      </w:tr>
      <w:tr>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31.12.2017 г.</w:t>
            </w:r>
          </w:p>
        </w:tc>
        <w:tc>
          <w:tcPr>
            <w:tcW w:w="134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73 264</w:t>
            </w:r>
          </w:p>
        </w:tc>
        <w:tc>
          <w:tcPr>
            <w:tcW w:w="154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27 090</w:t>
            </w:r>
          </w:p>
        </w:tc>
        <w:tc>
          <w:tcPr>
            <w:tcW w:w="1606"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46 173</w:t>
            </w:r>
          </w:p>
        </w:tc>
        <w:tc>
          <w:tcPr>
            <w:tcW w:w="176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(47 037)</w:t>
            </w:r>
          </w:p>
        </w:tc>
        <w:tc>
          <w:tcPr>
            <w:tcW w:w="138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1 389</w:t>
            </w:r>
          </w:p>
        </w:tc>
      </w:tr>
      <w:tr>
        <w:trPr>
          <w:trHeight w:hRule="exact" w:val="345"/>
        </w:trPr>
        <w:tc>
          <w:tcPr>
            <w:tcW w:w="341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 на капитала — вноски</w:t>
            </w:r>
          </w:p>
        </w:tc>
        <w:tc>
          <w:tcPr>
            <w:tcW w:w="134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(4 250)</w:t>
            </w:r>
          </w:p>
        </w:tc>
        <w:tc>
          <w:tcPr>
            <w:tcW w:w="16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4 250</w:t>
            </w:r>
          </w:p>
        </w:tc>
        <w:tc>
          <w:tcPr>
            <w:tcW w:w="176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38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4 250</w:t>
            </w:r>
          </w:p>
        </w:tc>
      </w:tr>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34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5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6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(4 118)</w:t>
            </w:r>
          </w:p>
        </w:tc>
        <w:tc>
          <w:tcPr>
            <w:tcW w:w="138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(4 118)</w:t>
            </w:r>
          </w:p>
        </w:tc>
      </w:tr>
      <w:tr>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31.12.2018 г.</w:t>
            </w:r>
          </w:p>
        </w:tc>
        <w:tc>
          <w:tcPr>
            <w:tcW w:w="134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73 264</w:t>
            </w:r>
          </w:p>
        </w:tc>
        <w:tc>
          <w:tcPr>
            <w:tcW w:w="154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22 840</w:t>
            </w:r>
          </w:p>
        </w:tc>
        <w:tc>
          <w:tcPr>
            <w:tcW w:w="1606"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50 423</w:t>
            </w:r>
          </w:p>
        </w:tc>
        <w:tc>
          <w:tcPr>
            <w:tcW w:w="176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(51 155)</w:t>
            </w:r>
          </w:p>
        </w:tc>
        <w:tc>
          <w:tcPr>
            <w:tcW w:w="138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1 521</w:t>
            </w:r>
          </w:p>
        </w:tc>
      </w:tr>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Движения на справедливата стойност</w:t>
            </w:r>
          </w:p>
        </w:tc>
        <w:tc>
          <w:tcPr>
            <w:tcW w:w="134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6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76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38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c>
          <w:tcPr>
            <w:tcW w:w="198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 xml:space="preserve"> (2)</w:t>
            </w:r>
          </w:p>
        </w:tc>
      </w:tr>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Увеличение на капитала — вноски</w:t>
            </w:r>
          </w:p>
        </w:tc>
        <w:tc>
          <w:tcPr>
            <w:tcW w:w="134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(4 385)</w:t>
            </w:r>
          </w:p>
        </w:tc>
        <w:tc>
          <w:tcPr>
            <w:tcW w:w="16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4 385</w:t>
            </w:r>
          </w:p>
        </w:tc>
        <w:tc>
          <w:tcPr>
            <w:tcW w:w="176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38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4 385</w:t>
            </w:r>
          </w:p>
        </w:tc>
      </w:tr>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Икономически резултат за годината</w:t>
            </w:r>
          </w:p>
        </w:tc>
        <w:tc>
          <w:tcPr>
            <w:tcW w:w="134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606"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(3 956)</w:t>
            </w:r>
          </w:p>
        </w:tc>
        <w:tc>
          <w:tcPr>
            <w:tcW w:w="138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jc w:val="right"/>
              <w:rPr>
                <w:rFonts w:ascii="Verdana" w:eastAsia="Verdana" w:hAnsi="Verdana" w:cs="Verdana"/>
                <w:i/>
                <w:noProof/>
                <w:color w:val="000000"/>
                <w:sz w:val="18"/>
                <w:szCs w:val="20"/>
                <w:lang w:val="bg-BG"/>
              </w:rPr>
            </w:pPr>
            <w:r>
              <w:rPr>
                <w:rFonts w:ascii="Verdana" w:eastAsia="Calibri" w:hAnsi="Verdana"/>
                <w:i/>
                <w:noProof/>
                <w:color w:val="000000"/>
                <w:sz w:val="18"/>
                <w:szCs w:val="20"/>
                <w:lang w:val="bg-BG"/>
              </w:rPr>
              <w:t>(3 956)</w:t>
            </w:r>
          </w:p>
        </w:tc>
      </w:tr>
      <w:tr>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pPr>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САЛДО КЪМ 31.12.2019 г.</w:t>
            </w:r>
          </w:p>
        </w:tc>
        <w:tc>
          <w:tcPr>
            <w:tcW w:w="134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73 264</w:t>
            </w:r>
          </w:p>
        </w:tc>
        <w:tc>
          <w:tcPr>
            <w:tcW w:w="1543"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18 455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54 809</w:t>
            </w:r>
          </w:p>
        </w:tc>
        <w:tc>
          <w:tcPr>
            <w:tcW w:w="176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(55 111)</w:t>
            </w:r>
          </w:p>
        </w:tc>
        <w:tc>
          <w:tcPr>
            <w:tcW w:w="138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(2)</w:t>
            </w:r>
          </w:p>
        </w:tc>
        <w:tc>
          <w:tcPr>
            <w:tcW w:w="1989" w:type="dxa"/>
            <w:tcBorders>
              <w:top w:val="nil"/>
              <w:left w:val="nil"/>
              <w:bottom w:val="nil"/>
              <w:right w:val="nil"/>
              <w:tl2br w:val="nil"/>
              <w:tr2bl w:val="nil"/>
            </w:tcBorders>
            <w:shd w:val="solid" w:color="CCE1EA" w:fill="FFFFFF"/>
            <w:tcMar>
              <w:left w:w="60" w:type="dxa"/>
              <w:right w:w="60" w:type="dxa"/>
            </w:tcMar>
            <w:vAlign w:val="bottom"/>
          </w:tcPr>
          <w:p>
            <w:pPr>
              <w:jc w:val="right"/>
              <w:rPr>
                <w:rFonts w:ascii="Verdana" w:eastAsia="Verdana" w:hAnsi="Verdana" w:cs="Verdana"/>
                <w:b/>
                <w:noProof/>
                <w:color w:val="000000"/>
                <w:sz w:val="18"/>
                <w:szCs w:val="20"/>
                <w:lang w:val="bg-BG"/>
              </w:rPr>
            </w:pPr>
            <w:r>
              <w:rPr>
                <w:rFonts w:ascii="Verdana" w:eastAsia="Calibri" w:hAnsi="Verdana"/>
                <w:b/>
                <w:noProof/>
                <w:color w:val="000000"/>
                <w:sz w:val="18"/>
                <w:szCs w:val="20"/>
                <w:lang w:val="bg-BG"/>
              </w:rPr>
              <w:t xml:space="preserve"> 1 948</w:t>
            </w:r>
          </w:p>
        </w:tc>
      </w:tr>
      <w:bookmarkEnd w:id="133"/>
    </w:tbl>
    <w:p>
      <w:pPr>
        <w:tabs>
          <w:tab w:val="left" w:pos="907"/>
        </w:tabs>
        <w:spacing w:after="240"/>
        <w:rPr>
          <w:rFonts w:ascii="Verdana" w:hAnsi="Verdana"/>
          <w:b/>
          <w:noProof/>
          <w:color w:val="016794"/>
          <w:sz w:val="28"/>
          <w:szCs w:val="18"/>
          <w:lang w:val="bg-BG" w:eastAsia="en-US"/>
        </w:rPr>
        <w:sectPr>
          <w:headerReference w:type="even" r:id="rId305"/>
          <w:headerReference w:type="default" r:id="rId306"/>
          <w:footerReference w:type="even" r:id="rId307"/>
          <w:footerReference w:type="default" r:id="rId308"/>
          <w:headerReference w:type="first" r:id="rId309"/>
          <w:footerReference w:type="first" r:id="rId310"/>
          <w:pgSz w:w="16838" w:h="11906" w:orient="landscape" w:code="9"/>
          <w:pgMar w:top="1134" w:right="1134" w:bottom="1134" w:left="1134" w:header="709" w:footer="709" w:gutter="0"/>
          <w:cols w:space="708"/>
          <w:docGrid w:linePitch="360"/>
        </w:sectPr>
      </w:pPr>
    </w:p>
    <w:p>
      <w:pPr>
        <w:tabs>
          <w:tab w:val="left" w:pos="907"/>
        </w:tabs>
        <w:spacing w:before="240" w:after="720"/>
        <w:rPr>
          <w:rFonts w:ascii="Verdana" w:hAnsi="Verdana"/>
          <w:b/>
          <w:noProof/>
          <w:color w:val="016794"/>
          <w:sz w:val="40"/>
          <w:szCs w:val="18"/>
          <w:lang w:val="bg-BG" w:eastAsia="en-US"/>
        </w:rPr>
      </w:pPr>
      <w:bookmarkStart w:id="135" w:name="_Toc9948410"/>
      <w:bookmarkStart w:id="136" w:name="_Toc9959666"/>
      <w:bookmarkStart w:id="137" w:name="_DMBM_19005"/>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tabs>
          <w:tab w:val="left" w:pos="907"/>
        </w:tabs>
        <w:spacing w:before="240" w:after="720"/>
        <w:rPr>
          <w:rFonts w:ascii="Verdana" w:hAnsi="Verdana"/>
          <w:b/>
          <w:noProof/>
          <w:color w:val="016794"/>
          <w:sz w:val="40"/>
          <w:szCs w:val="18"/>
          <w:lang w:val="bg-BG" w:eastAsia="en-US"/>
        </w:rPr>
      </w:pPr>
    </w:p>
    <w:p>
      <w:pPr>
        <w:pStyle w:val="FIRSTCHAPTERPAGE1"/>
        <w:rPr>
          <w:lang w:val="bg-BG"/>
        </w:rPr>
      </w:pPr>
      <w:bookmarkStart w:id="138" w:name="_Toc49527809"/>
      <w:bookmarkStart w:id="139" w:name="_Toc49527949"/>
      <w:r>
        <w:rPr>
          <w:lang w:val="bg-BG"/>
        </w:rPr>
        <w:t>ОТЧЕТ ЗА ФИНАНСОВОТО ИЗПЪЛНЕНИЕ НА ЕФР</w:t>
      </w:r>
      <w:bookmarkEnd w:id="135"/>
      <w:bookmarkEnd w:id="136"/>
      <w:bookmarkEnd w:id="138"/>
      <w:bookmarkEnd w:id="139"/>
    </w:p>
    <w:p>
      <w:pPr>
        <w:tabs>
          <w:tab w:val="left" w:pos="907"/>
        </w:tabs>
        <w:spacing w:before="240" w:after="720"/>
        <w:rPr>
          <w:rFonts w:ascii="Verdana" w:hAnsi="Verdana"/>
          <w:b/>
          <w:noProof/>
          <w:color w:val="016794"/>
          <w:sz w:val="40"/>
          <w:szCs w:val="18"/>
          <w:lang w:val="bg-BG" w:eastAsia="en-US"/>
        </w:rPr>
        <w:sectPr>
          <w:headerReference w:type="even" r:id="rId311"/>
          <w:headerReference w:type="default" r:id="rId312"/>
          <w:footerReference w:type="even" r:id="rId313"/>
          <w:footerReference w:type="default" r:id="rId314"/>
          <w:headerReference w:type="first" r:id="rId315"/>
          <w:footerReference w:type="first" r:id="rId316"/>
          <w:pgSz w:w="11906" w:h="16838" w:code="9"/>
          <w:pgMar w:top="1134" w:right="1134" w:bottom="1134" w:left="1134" w:header="709" w:footer="709" w:gutter="0"/>
          <w:cols w:space="708"/>
          <w:docGrid w:linePitch="360"/>
        </w:sectPr>
      </w:pPr>
    </w:p>
    <w:p>
      <w:pPr>
        <w:pStyle w:val="HEADERTITLE0"/>
        <w:rPr>
          <w:lang w:val="bg-BG"/>
        </w:rPr>
      </w:pPr>
      <w:r>
        <w:rPr>
          <w:lang w:val="bg-BG"/>
        </w:rPr>
        <w:t>УВОДНА БЕЛЕЖКА</w:t>
      </w:r>
    </w:p>
    <w:p>
      <w:pPr>
        <w:pStyle w:val="HEADER1Part1"/>
        <w:numPr>
          <w:ilvl w:val="0"/>
          <w:numId w:val="115"/>
        </w:numPr>
        <w:rPr>
          <w:noProof/>
          <w:lang w:val="bg-BG"/>
        </w:rPr>
      </w:pPr>
      <w:r>
        <w:rPr>
          <w:noProof/>
          <w:lang w:val="bg-BG"/>
        </w:rPr>
        <w:t>Предишни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Тъй като 6-и ЕФР бе закрит през 2006 г., а 7-и ЕФР бе закрит през 2008 г., годишните отчети вече не съдържат таблици за усвояването за тези ЕФР. Усвояването на прехвърлените салда обаче се съдържа в 9-ия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Както и през предишните години, за да се гарантира прозрачност при представянето на отчетите за 2019 г., в таблиците са показани поотделно за 8-и ЕФР частта, която се използва въз основа на програмата, предвидена в конвенциите от Ломе, и частта, която се използва въз основа на програмата, предвидена в Споразумението от Котону.</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В съответствие с член 1, параграф 2, буква б) от Вътрешното споразумение, приложимо за деветия ЕФР, салдата и отменените задължения от предишни ЕФР са прехвърлени към 9-ия ЕФР и през периода на действие на 9-ия ЕФР са поети като задължение като средства на 9-ия ЕФР.</w:t>
      </w:r>
    </w:p>
    <w:p>
      <w:pPr>
        <w:spacing w:before="240" w:after="240"/>
        <w:jc w:val="both"/>
        <w:rPr>
          <w:rFonts w:ascii="Verdana" w:hAnsi="Verdana"/>
          <w:noProof/>
          <w:sz w:val="18"/>
          <w:szCs w:val="18"/>
          <w:lang w:val="bg-BG" w:eastAsia="en-US"/>
        </w:rPr>
      </w:pPr>
      <w:r>
        <w:rPr>
          <w:rFonts w:ascii="Verdana" w:hAnsi="Verdana"/>
          <w:noProof/>
          <w:sz w:val="18"/>
          <w:szCs w:val="18"/>
          <w:lang w:val="bg-BG" w:eastAsia="en-US"/>
        </w:rPr>
        <w:t>През 2019 г. Комисията завърши успешно специален процес на приключване на оставащите проекти по 8-ия ЕФР. Окончателният доклад за финансовото изпълнение на 8-ия ЕФР може да бъде намерен в настоящите годишни отчети за 2019 г. Комисията има за цел да продължи тези действия, като приключи 9-ия ЕФР в края на 2020 г.</w:t>
      </w:r>
    </w:p>
    <w:p>
      <w:pPr>
        <w:pStyle w:val="HEADER1Part1"/>
        <w:numPr>
          <w:ilvl w:val="0"/>
          <w:numId w:val="115"/>
        </w:numPr>
        <w:rPr>
          <w:noProof/>
          <w:lang w:val="bg-BG"/>
        </w:rPr>
      </w:pPr>
      <w:r>
        <w:rPr>
          <w:noProof/>
          <w:lang w:val="bg-BG"/>
        </w:rPr>
        <w:t>11-И ЕФР</w:t>
      </w:r>
    </w:p>
    <w:p>
      <w:pPr>
        <w:spacing w:before="120" w:after="120"/>
        <w:jc w:val="both"/>
        <w:rPr>
          <w:rFonts w:ascii="Verdana" w:hAnsi="Verdana"/>
          <w:noProof/>
          <w:sz w:val="18"/>
          <w:szCs w:val="18"/>
          <w:lang w:val="bg-BG"/>
        </w:rPr>
      </w:pPr>
      <w:r>
        <w:rPr>
          <w:rFonts w:ascii="Verdana" w:hAnsi="Verdana"/>
          <w:noProof/>
          <w:sz w:val="18"/>
          <w:szCs w:val="18"/>
          <w:lang w:val="bg-BG"/>
        </w:rPr>
        <w:t>Споразумението за партньорство ЕО-АКТБ, подписано на 23 юни 2000 г. в Котону от държавите — членки на Европейската общност, и държавите от Африка, Карибите и Тихоокеанския басейн (АКТБ), влезе в сила на 1 април 2003 г. Споразумението от Котону бе изменено два пъти, първо със споразумението, подписано в Люксембург на 25 юни 2005 г., второ — със споразумението, подписано в Уагадугу на 22 юни 2010 г.</w:t>
      </w:r>
    </w:p>
    <w:p>
      <w:pPr>
        <w:spacing w:before="120" w:after="120"/>
        <w:jc w:val="both"/>
        <w:rPr>
          <w:rFonts w:ascii="Verdana" w:hAnsi="Verdana"/>
          <w:noProof/>
          <w:sz w:val="18"/>
          <w:szCs w:val="18"/>
          <w:lang w:val="bg-BG"/>
        </w:rPr>
      </w:pPr>
      <w:r>
        <w:rPr>
          <w:rFonts w:ascii="Verdana" w:hAnsi="Verdana"/>
          <w:noProof/>
          <w:sz w:val="18"/>
          <w:szCs w:val="18"/>
          <w:lang w:val="bg-BG"/>
        </w:rPr>
        <w:t>Решението за асоцииране на отвъдморските страни и територии (ОСТ) към Европейската общност (2001/822/ЕО), прието на 27 ноември 2001 г. от Съвета на Европейския съюз, влезе в сила на 2 декември 2001 г. Това решение бе изменено на 19 март 2007 г. (Решение 2007/249/ЕО).</w:t>
      </w:r>
    </w:p>
    <w:p>
      <w:pPr>
        <w:spacing w:before="120" w:after="120"/>
        <w:jc w:val="both"/>
        <w:rPr>
          <w:rFonts w:ascii="Verdana" w:hAnsi="Verdana"/>
          <w:noProof/>
          <w:sz w:val="18"/>
          <w:szCs w:val="18"/>
          <w:lang w:val="bg-BG"/>
        </w:rPr>
      </w:pPr>
      <w:r>
        <w:rPr>
          <w:rFonts w:ascii="Verdana" w:hAnsi="Verdana"/>
          <w:noProof/>
          <w:sz w:val="18"/>
          <w:szCs w:val="18"/>
          <w:lang w:val="bg-BG"/>
        </w:rPr>
        <w:t>Вътрешното споразумение за финансирането и управлението на помощите, предоставени от Общността съгласно многогодишната финансова рамка за периода 2014—2020 г. в съответствие ревизираното Споразумение от Котону, прието от представителите на правителствата на държавите — членки на Европейската общност, през август 2013 г., влезе в сила през март 2015 г.</w:t>
      </w:r>
    </w:p>
    <w:p>
      <w:pPr>
        <w:spacing w:before="120" w:after="120"/>
        <w:jc w:val="both"/>
        <w:rPr>
          <w:rFonts w:ascii="Verdana" w:hAnsi="Verdana"/>
          <w:noProof/>
          <w:sz w:val="18"/>
          <w:szCs w:val="18"/>
          <w:lang w:val="bg-BG"/>
        </w:rPr>
      </w:pPr>
      <w:r>
        <w:rPr>
          <w:rFonts w:ascii="Verdana" w:hAnsi="Verdana"/>
          <w:noProof/>
          <w:sz w:val="18"/>
          <w:szCs w:val="18"/>
          <w:lang w:val="bg-BG"/>
        </w:rPr>
        <w:t>Съгласно Споразумението от Котону третият период (2014—2020 г.) от помощта на Общността за страните от АКТБ и ОСТ се финансира от 11-ия ЕФР със сумата от 30 506 милиона евро, от които:</w:t>
      </w:r>
    </w:p>
    <w:p>
      <w:pPr>
        <w:numPr>
          <w:ilvl w:val="0"/>
          <w:numId w:val="22"/>
        </w:numPr>
        <w:spacing w:before="120" w:after="120"/>
        <w:jc w:val="both"/>
        <w:rPr>
          <w:rFonts w:ascii="Verdana" w:eastAsia="Calibri" w:hAnsi="Verdana"/>
          <w:noProof/>
          <w:sz w:val="18"/>
          <w:szCs w:val="18"/>
          <w:lang w:val="bg-BG" w:eastAsia="de-DE"/>
        </w:rPr>
      </w:pPr>
      <w:r>
        <w:rPr>
          <w:rFonts w:ascii="Verdana" w:hAnsi="Verdana"/>
          <w:noProof/>
          <w:sz w:val="18"/>
          <w:szCs w:val="18"/>
          <w:lang w:val="bg-BG" w:eastAsia="de-DE"/>
        </w:rPr>
        <w:t>29 089 милиона евро са предоставени за страните от АКТБ в съответствие с член 1.2, буква а) и член 2, буква г) от Вътрешното споразумение, от които 27 955 милиона евро се управляват от Европейската комисия,</w:t>
      </w:r>
    </w:p>
    <w:p>
      <w:pPr>
        <w:numPr>
          <w:ilvl w:val="0"/>
          <w:numId w:val="22"/>
        </w:numPr>
        <w:spacing w:before="120" w:after="120"/>
        <w:jc w:val="both"/>
        <w:rPr>
          <w:rFonts w:ascii="Verdana" w:eastAsia="Calibri" w:hAnsi="Verdana"/>
          <w:noProof/>
          <w:sz w:val="18"/>
          <w:szCs w:val="18"/>
          <w:lang w:val="bg-BG" w:eastAsia="de-DE"/>
        </w:rPr>
      </w:pPr>
      <w:r>
        <w:rPr>
          <w:rFonts w:ascii="Verdana" w:hAnsi="Verdana"/>
          <w:noProof/>
          <w:sz w:val="18"/>
          <w:szCs w:val="18"/>
          <w:lang w:val="bg-BG" w:eastAsia="de-DE"/>
        </w:rPr>
        <w:t>364,5 милиона евро са предоставени за ОСТ в съответствие с член 1.2, буква а) и член 3.1 от Вътрешното споразумение, от които 359,5 милиона евро се управляват от Европейската комисия,</w:t>
      </w:r>
    </w:p>
    <w:p>
      <w:pPr>
        <w:numPr>
          <w:ilvl w:val="0"/>
          <w:numId w:val="22"/>
        </w:numPr>
        <w:spacing w:before="120" w:after="120"/>
        <w:jc w:val="both"/>
        <w:rPr>
          <w:rFonts w:ascii="Verdana" w:eastAsia="Calibri" w:hAnsi="Verdana"/>
          <w:noProof/>
          <w:sz w:val="18"/>
          <w:szCs w:val="18"/>
          <w:lang w:val="bg-BG" w:eastAsia="de-DE"/>
        </w:rPr>
      </w:pPr>
      <w:r>
        <w:rPr>
          <w:rFonts w:ascii="Verdana" w:hAnsi="Verdana"/>
          <w:noProof/>
          <w:sz w:val="18"/>
          <w:szCs w:val="18"/>
          <w:lang w:val="bg-BG" w:eastAsia="de-DE"/>
        </w:rPr>
        <w:t>1 052,5 милиона евро са за Комисията за финансиране на разходите, възникнали от програмирането и изпълнението на ресурсите на 11-ия ЕФР, в съответствие с член 1.2, буква а) от Вътрешното споразумение.</w:t>
      </w:r>
    </w:p>
    <w:p>
      <w:pPr>
        <w:pBdr>
          <w:top w:val="nil"/>
          <w:left w:val="nil"/>
          <w:bottom w:val="nil"/>
          <w:right w:val="nil"/>
          <w:between w:val="nil"/>
          <w:bar w:val="nil"/>
        </w:pBdr>
        <w:rPr>
          <w:rFonts w:ascii="Verdana" w:eastAsia="Calibri" w:hAnsi="Verdana"/>
          <w:b/>
          <w:noProof/>
          <w:sz w:val="18"/>
          <w:szCs w:val="18"/>
          <w:bdr w:val="nil"/>
          <w:lang w:val="bg-BG" w:eastAsia="en-US"/>
        </w:rPr>
      </w:pPr>
    </w:p>
    <w:p>
      <w:pPr>
        <w:tabs>
          <w:tab w:val="left" w:pos="720"/>
        </w:tabs>
        <w:spacing w:before="120" w:after="120"/>
        <w:jc w:val="both"/>
        <w:rPr>
          <w:rFonts w:ascii="Verdana" w:hAnsi="Verdana"/>
          <w:b/>
          <w:i/>
          <w:noProof/>
          <w:sz w:val="18"/>
          <w:szCs w:val="18"/>
          <w:lang w:val="bg-BG" w:eastAsia="de-DE"/>
        </w:rPr>
      </w:pPr>
      <w:r>
        <w:rPr>
          <w:rFonts w:ascii="Verdana" w:hAnsi="Verdana"/>
          <w:b/>
          <w:i/>
          <w:noProof/>
          <w:sz w:val="18"/>
          <w:szCs w:val="18"/>
          <w:lang w:val="bg-BG" w:eastAsia="de-DE"/>
        </w:rPr>
        <w:t>- Остатъчни средства по резервите за изпълнение, които не могат да бъдат мобилизирани, към 31.12.2019 г.</w:t>
      </w:r>
    </w:p>
    <w:p>
      <w:pPr>
        <w:spacing w:before="120" w:after="120"/>
        <w:jc w:val="both"/>
        <w:rPr>
          <w:rFonts w:ascii="Verdana" w:hAnsi="Verdana"/>
          <w:noProof/>
          <w:sz w:val="18"/>
          <w:szCs w:val="18"/>
          <w:lang w:val="bg-BG"/>
        </w:rPr>
      </w:pPr>
      <w:r>
        <w:rPr>
          <w:rFonts w:ascii="Verdana" w:hAnsi="Verdana"/>
          <w:noProof/>
          <w:sz w:val="18"/>
          <w:szCs w:val="18"/>
          <w:lang w:val="bg-BG"/>
        </w:rPr>
        <w:t>Отменените суми от проекти по 9-ия и предишни ЕФР са прехвърлени към резерва за изпълнение на 10-ия ЕФР, с изключение на средствата по Stabex.</w:t>
      </w:r>
    </w:p>
    <w:p>
      <w:pPr>
        <w:spacing w:before="120" w:after="120"/>
        <w:jc w:val="both"/>
        <w:rPr>
          <w:rFonts w:ascii="Verdana" w:hAnsi="Verdana"/>
          <w:noProof/>
          <w:spacing w:val="-4"/>
          <w:sz w:val="18"/>
          <w:szCs w:val="18"/>
          <w:lang w:val="bg-BG"/>
        </w:rPr>
      </w:pPr>
      <w:r>
        <w:rPr>
          <w:rFonts w:ascii="Verdana" w:hAnsi="Verdana"/>
          <w:noProof/>
          <w:spacing w:val="-4"/>
          <w:sz w:val="18"/>
          <w:szCs w:val="18"/>
          <w:lang w:val="bg-BG"/>
        </w:rPr>
        <w:t>Отменените средства от проекти по 10-ия ЕФР са прехвърлени към резерва за изпълнение на 11-ия ЕФР.</w:t>
      </w:r>
    </w:p>
    <w:p>
      <w:pPr>
        <w:spacing w:before="120" w:after="120"/>
        <w:jc w:val="both"/>
        <w:rPr>
          <w:rFonts w:ascii="Verdana" w:hAnsi="Verdana"/>
          <w:noProof/>
          <w:spacing w:val="-4"/>
          <w:sz w:val="18"/>
          <w:szCs w:val="18"/>
          <w:lang w:val="bg-BG"/>
        </w:rPr>
      </w:pPr>
      <w:r>
        <w:rPr>
          <w:rFonts w:ascii="Verdana" w:hAnsi="Verdana"/>
          <w:noProof/>
          <w:spacing w:val="-4"/>
          <w:sz w:val="18"/>
          <w:szCs w:val="18"/>
          <w:lang w:val="bg-BG"/>
        </w:rPr>
        <w:t xml:space="preserve">През 2019 г. всички отменени средства от предишни ЕФР бяха прехвърлени към съответните резерви. </w:t>
      </w:r>
    </w:p>
    <w:p>
      <w:pPr>
        <w:spacing w:before="120" w:after="120"/>
        <w:jc w:val="both"/>
        <w:rPr>
          <w:rFonts w:ascii="Verdana" w:hAnsi="Verdana"/>
          <w:noProof/>
          <w:sz w:val="18"/>
          <w:szCs w:val="18"/>
          <w:lang w:val="bg-BG"/>
        </w:rPr>
      </w:pPr>
      <w:r>
        <w:rPr>
          <w:rFonts w:ascii="Verdana" w:hAnsi="Verdana"/>
          <w:noProof/>
          <w:sz w:val="18"/>
          <w:szCs w:val="18"/>
          <w:lang w:val="bg-BG"/>
        </w:rPr>
        <w:t xml:space="preserve">В съответствие с член 1, параграф 4 от Вътрешното споразумение за 11-ия ЕФР и с Решение 2019/640 на Съвета от 15 април 2019 г. сума отменени средства от 10-ия ЕФР бе предоставена с цел допълване на Механизма за подкрепа на мира в Африка за периода 2019—2020 г. в максимален размер до 445 860 000 EUR, от които 14 860 000 EUR се отпускат за подкрепа на разходите. </w:t>
      </w:r>
    </w:p>
    <w:p>
      <w:pPr>
        <w:spacing w:before="120" w:after="120"/>
        <w:jc w:val="both"/>
        <w:rPr>
          <w:rFonts w:ascii="Verdana" w:hAnsi="Verdana"/>
          <w:noProof/>
          <w:sz w:val="18"/>
          <w:szCs w:val="18"/>
          <w:lang w:val="bg-BG"/>
        </w:rPr>
      </w:pPr>
    </w:p>
    <w:p>
      <w:pPr>
        <w:ind w:left="5760" w:right="140" w:firstLine="720"/>
        <w:jc w:val="center"/>
        <w:rPr>
          <w:rFonts w:ascii="Verdana" w:hAnsi="Verdana"/>
          <w:noProof/>
          <w:sz w:val="18"/>
          <w:szCs w:val="18"/>
          <w:lang w:val="bg-BG"/>
        </w:rPr>
      </w:pPr>
      <w:r>
        <w:rPr>
          <w:rFonts w:ascii="Verdana" w:hAnsi="Verdana"/>
          <w:noProof/>
          <w:sz w:val="18"/>
          <w:szCs w:val="18"/>
          <w:lang w:val="bg-BG"/>
        </w:rPr>
        <w:t xml:space="preserve">        милиони евро</w:t>
      </w:r>
    </w:p>
    <w:tbl>
      <w:tblPr>
        <w:tblW w:w="8895" w:type="dxa"/>
        <w:tblInd w:w="93" w:type="dxa"/>
        <w:tblLook w:val="04A0" w:firstRow="1" w:lastRow="0" w:firstColumn="1" w:lastColumn="0" w:noHBand="0" w:noVBand="1"/>
      </w:tblPr>
      <w:tblGrid>
        <w:gridCol w:w="7335"/>
        <w:gridCol w:w="1560"/>
      </w:tblGrid>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lang w:val="bg-BG"/>
              </w:rPr>
            </w:pPr>
            <w:r>
              <w:rPr>
                <w:rFonts w:ascii="Verdana" w:hAnsi="Verdana"/>
                <w:noProof/>
                <w:sz w:val="18"/>
                <w:szCs w:val="18"/>
                <w:lang w:val="bg-BG"/>
              </w:rPr>
              <w:t>Обща налична сума по резервите за изпълнение, които не могат да бъдат мобилизирани, към 31.12.2019 г.</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lang w:val="bg-BG"/>
              </w:rPr>
            </w:pP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lang w:val="bg-BG"/>
              </w:rPr>
            </w:pPr>
            <w:r>
              <w:rPr>
                <w:rFonts w:ascii="Verdana" w:hAnsi="Verdana"/>
                <w:noProof/>
                <w:sz w:val="18"/>
                <w:szCs w:val="18"/>
                <w:lang w:val="bg-BG"/>
              </w:rPr>
              <w:t>Резерв на отменени средства по 8-ия и 9-ия ЕФР, който не може да бъде мобилизиран</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lang w:val="bg-BG"/>
              </w:rPr>
            </w:pPr>
            <w:r>
              <w:rPr>
                <w:rFonts w:ascii="Verdana" w:hAnsi="Verdana"/>
                <w:noProof/>
                <w:sz w:val="18"/>
                <w:szCs w:val="18"/>
                <w:lang w:val="bg-BG"/>
              </w:rPr>
              <w:t>197,3</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lang w:val="bg-BG"/>
              </w:rPr>
            </w:pPr>
            <w:r>
              <w:rPr>
                <w:rFonts w:ascii="Verdana" w:hAnsi="Verdana"/>
                <w:noProof/>
                <w:sz w:val="18"/>
                <w:szCs w:val="18"/>
                <w:lang w:val="bg-BG"/>
              </w:rPr>
              <w:t xml:space="preserve">Резерв на отменени средства по 10-ия ЕФР, който не може да бъде мобилизиран </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lang w:val="bg-BG"/>
              </w:rPr>
            </w:pPr>
            <w:r>
              <w:rPr>
                <w:rFonts w:ascii="Verdana" w:hAnsi="Verdana"/>
                <w:noProof/>
                <w:sz w:val="18"/>
                <w:szCs w:val="18"/>
                <w:lang w:val="bg-BG"/>
              </w:rPr>
              <w:t>142,6</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rPr>
                <w:rFonts w:ascii="Verdana" w:hAnsi="Verdana" w:cs="Arial"/>
                <w:b/>
                <w:noProof/>
                <w:sz w:val="18"/>
                <w:szCs w:val="18"/>
                <w:lang w:val="bg-BG"/>
              </w:rPr>
            </w:pPr>
            <w:r>
              <w:rPr>
                <w:rFonts w:ascii="Verdana" w:hAnsi="Verdana"/>
                <w:b/>
                <w:noProof/>
                <w:sz w:val="18"/>
                <w:szCs w:val="18"/>
                <w:lang w:val="bg-BG"/>
              </w:rPr>
              <w:t>Обща налична сума по резервите за изпълнение, които не могат да бъдат мобилизирани, към 31.12.2019 г.</w:t>
            </w:r>
          </w:p>
        </w:tc>
        <w:tc>
          <w:tcPr>
            <w:tcW w:w="1560" w:type="dxa"/>
            <w:tcBorders>
              <w:top w:val="single" w:sz="4" w:space="0" w:color="auto"/>
              <w:left w:val="nil"/>
              <w:bottom w:val="single" w:sz="4" w:space="0" w:color="auto"/>
              <w:right w:val="single" w:sz="4" w:space="0" w:color="auto"/>
            </w:tcBorders>
            <w:noWrap/>
            <w:vAlign w:val="bottom"/>
          </w:tcPr>
          <w:p>
            <w:pPr>
              <w:jc w:val="right"/>
              <w:rPr>
                <w:rFonts w:ascii="Verdana" w:hAnsi="Verdana" w:cs="Arial"/>
                <w:b/>
                <w:noProof/>
                <w:sz w:val="18"/>
                <w:szCs w:val="18"/>
                <w:lang w:val="bg-BG"/>
              </w:rPr>
            </w:pPr>
            <w:r>
              <w:rPr>
                <w:rFonts w:ascii="Verdana" w:hAnsi="Verdana"/>
                <w:b/>
                <w:noProof/>
                <w:sz w:val="18"/>
                <w:szCs w:val="18"/>
                <w:lang w:val="bg-BG"/>
              </w:rPr>
              <w:t>339,9</w:t>
            </w:r>
          </w:p>
        </w:tc>
      </w:tr>
    </w:tbl>
    <w:p>
      <w:pPr>
        <w:spacing w:before="120" w:after="120"/>
        <w:rPr>
          <w:rFonts w:ascii="Verdana" w:hAnsi="Verdana"/>
          <w:noProof/>
          <w:sz w:val="18"/>
          <w:szCs w:val="18"/>
          <w:lang w:val="bg-BG"/>
        </w:rPr>
      </w:pPr>
    </w:p>
    <w:p>
      <w:pPr>
        <w:jc w:val="both"/>
        <w:rPr>
          <w:rFonts w:ascii="Verdana" w:hAnsi="Verdana"/>
          <w:noProof/>
          <w:sz w:val="18"/>
          <w:szCs w:val="18"/>
          <w:lang w:val="bg-BG"/>
        </w:rPr>
      </w:pPr>
      <w:r>
        <w:rPr>
          <w:rFonts w:ascii="Verdana" w:hAnsi="Verdana"/>
          <w:noProof/>
          <w:sz w:val="18"/>
          <w:szCs w:val="18"/>
          <w:lang w:val="bg-BG"/>
        </w:rPr>
        <w:t xml:space="preserve">По отношение на ЕФР бяха подписани споразумения за трансфер за съфинансиране от държавите членки по 10-ия и 11-ия ЕФР и бяха открити бюджетни кредити за поети задължения в общ размер на 275,2 милиона евро. Бюджетните кредити за плащания бяха открити за получените суми в общ размер на 258,4 милиона евро. </w:t>
      </w:r>
    </w:p>
    <w:p>
      <w:pPr>
        <w:rPr>
          <w:rFonts w:ascii="Verdana" w:hAnsi="Verdana"/>
          <w:noProof/>
          <w:sz w:val="18"/>
          <w:szCs w:val="18"/>
          <w:lang w:val="bg-BG"/>
        </w:rPr>
      </w:pPr>
      <w:r>
        <w:rPr>
          <w:rFonts w:ascii="Verdana" w:hAnsi="Verdana"/>
          <w:noProof/>
          <w:sz w:val="18"/>
          <w:szCs w:val="18"/>
          <w:lang w:val="bg-BG"/>
        </w:rPr>
        <w:t xml:space="preserve">Ситуацията с бюджетните кредити за съфинансиране към 31 декември 2019 г. е изложена в таблицата по-долу: </w:t>
      </w:r>
    </w:p>
    <w:p>
      <w:pPr>
        <w:ind w:left="5760" w:right="424" w:firstLine="720"/>
        <w:jc w:val="center"/>
        <w:rPr>
          <w:rFonts w:ascii="Verdana" w:hAnsi="Verdana"/>
          <w:noProof/>
          <w:sz w:val="18"/>
          <w:szCs w:val="18"/>
          <w:lang w:val="bg-BG"/>
        </w:rPr>
      </w:pPr>
      <w:r>
        <w:rPr>
          <w:rFonts w:ascii="Verdana" w:hAnsi="Verdana"/>
          <w:noProof/>
          <w:sz w:val="18"/>
          <w:szCs w:val="18"/>
          <w:lang w:val="bg-BG"/>
        </w:rPr>
        <w:t xml:space="preserve">          милиони евро</w:t>
      </w:r>
    </w:p>
    <w:tbl>
      <w:tblPr>
        <w:tblW w:w="8804" w:type="dxa"/>
        <w:tblInd w:w="93" w:type="dxa"/>
        <w:tblLook w:val="04A0" w:firstRow="1" w:lastRow="0" w:firstColumn="1" w:lastColumn="0" w:noHBand="0" w:noVBand="1"/>
      </w:tblPr>
      <w:tblGrid>
        <w:gridCol w:w="3540"/>
        <w:gridCol w:w="2854"/>
        <w:gridCol w:w="2410"/>
      </w:tblGrid>
      <w:tr>
        <w:trPr>
          <w:trHeight w:val="510"/>
        </w:trPr>
        <w:tc>
          <w:tcPr>
            <w:tcW w:w="3540" w:type="dxa"/>
            <w:tcBorders>
              <w:top w:val="single" w:sz="8" w:space="0" w:color="auto"/>
              <w:left w:val="single" w:sz="4" w:space="0" w:color="000000"/>
              <w:bottom w:val="single" w:sz="4" w:space="0" w:color="000000"/>
              <w:right w:val="single" w:sz="4" w:space="0" w:color="000000"/>
            </w:tcBorders>
            <w:vAlign w:val="center"/>
          </w:tcPr>
          <w:p>
            <w:pPr>
              <w:rPr>
                <w:rFonts w:ascii="Verdana" w:hAnsi="Verdana" w:cs="Arial"/>
                <w:noProof/>
                <w:sz w:val="18"/>
                <w:szCs w:val="18"/>
                <w:lang w:val="bg-BG"/>
              </w:rPr>
            </w:pPr>
          </w:p>
        </w:tc>
        <w:tc>
          <w:tcPr>
            <w:tcW w:w="2854" w:type="dxa"/>
            <w:tcBorders>
              <w:top w:val="single" w:sz="8" w:space="0" w:color="auto"/>
              <w:left w:val="nil"/>
              <w:bottom w:val="single" w:sz="4" w:space="0" w:color="000000"/>
              <w:right w:val="single" w:sz="4" w:space="0" w:color="000000"/>
            </w:tcBorders>
            <w:vAlign w:val="center"/>
            <w:hideMark/>
          </w:tcPr>
          <w:p>
            <w:pPr>
              <w:rPr>
                <w:rFonts w:ascii="Verdana" w:hAnsi="Verdana" w:cs="Arial"/>
                <w:noProof/>
                <w:sz w:val="18"/>
                <w:szCs w:val="18"/>
                <w:lang w:val="bg-BG"/>
              </w:rPr>
            </w:pPr>
            <w:r>
              <w:rPr>
                <w:rFonts w:ascii="Verdana" w:hAnsi="Verdana"/>
                <w:noProof/>
                <w:sz w:val="18"/>
                <w:szCs w:val="18"/>
                <w:lang w:val="bg-BG"/>
              </w:rPr>
              <w:t>Бюджетни кредити за поети задължения</w:t>
            </w:r>
          </w:p>
        </w:tc>
        <w:tc>
          <w:tcPr>
            <w:tcW w:w="2410" w:type="dxa"/>
            <w:tcBorders>
              <w:top w:val="single" w:sz="8" w:space="0" w:color="auto"/>
              <w:left w:val="nil"/>
              <w:bottom w:val="single" w:sz="4" w:space="0" w:color="000000"/>
              <w:right w:val="single" w:sz="8" w:space="0" w:color="auto"/>
            </w:tcBorders>
            <w:vAlign w:val="center"/>
            <w:hideMark/>
          </w:tcPr>
          <w:p>
            <w:pPr>
              <w:rPr>
                <w:rFonts w:ascii="Verdana" w:hAnsi="Verdana" w:cs="Arial"/>
                <w:noProof/>
                <w:sz w:val="18"/>
                <w:szCs w:val="18"/>
                <w:lang w:val="bg-BG"/>
              </w:rPr>
            </w:pPr>
            <w:r>
              <w:rPr>
                <w:rFonts w:ascii="Verdana" w:hAnsi="Verdana"/>
                <w:noProof/>
                <w:sz w:val="18"/>
                <w:szCs w:val="18"/>
                <w:lang w:val="bg-BG"/>
              </w:rPr>
              <w:t>Бюджетни кредити за плащания</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lang w:val="bg-BG"/>
              </w:rPr>
            </w:pPr>
            <w:r>
              <w:rPr>
                <w:rFonts w:ascii="Verdana" w:hAnsi="Verdana"/>
                <w:noProof/>
                <w:sz w:val="18"/>
                <w:szCs w:val="18"/>
                <w:lang w:val="bg-BG"/>
              </w:rPr>
              <w:t>Съфинансиране — пакет А</w:t>
            </w:r>
          </w:p>
        </w:tc>
        <w:tc>
          <w:tcPr>
            <w:tcW w:w="2854"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lang w:val="bg-BG"/>
              </w:rPr>
            </w:pPr>
            <w:r>
              <w:rPr>
                <w:rFonts w:ascii="Verdana" w:hAnsi="Verdana"/>
                <w:noProof/>
                <w:sz w:val="18"/>
                <w:szCs w:val="18"/>
                <w:lang w:val="bg-BG"/>
              </w:rPr>
              <w:t>230,8</w:t>
            </w:r>
          </w:p>
        </w:tc>
        <w:tc>
          <w:tcPr>
            <w:tcW w:w="2410"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lang w:val="bg-BG"/>
              </w:rPr>
            </w:pPr>
            <w:r>
              <w:rPr>
                <w:rFonts w:ascii="Verdana" w:hAnsi="Verdana"/>
                <w:noProof/>
                <w:sz w:val="18"/>
                <w:szCs w:val="18"/>
                <w:lang w:val="bg-BG"/>
              </w:rPr>
              <w:t>214,4</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lang w:val="bg-BG"/>
              </w:rPr>
            </w:pPr>
            <w:r>
              <w:rPr>
                <w:rFonts w:ascii="Verdana" w:hAnsi="Verdana"/>
                <w:noProof/>
                <w:sz w:val="18"/>
                <w:szCs w:val="18"/>
                <w:lang w:val="bg-BG"/>
              </w:rPr>
              <w:t>Съфинансиране — между държавите от АКТБ</w:t>
            </w:r>
          </w:p>
        </w:tc>
        <w:tc>
          <w:tcPr>
            <w:tcW w:w="2854"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lang w:val="bg-BG"/>
              </w:rPr>
            </w:pPr>
            <w:r>
              <w:rPr>
                <w:rFonts w:ascii="Verdana" w:hAnsi="Verdana"/>
                <w:noProof/>
                <w:sz w:val="18"/>
                <w:szCs w:val="18"/>
                <w:lang w:val="bg-BG"/>
              </w:rPr>
              <w:t>36,2</w:t>
            </w:r>
          </w:p>
        </w:tc>
        <w:tc>
          <w:tcPr>
            <w:tcW w:w="2410"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lang w:val="bg-BG"/>
              </w:rPr>
            </w:pPr>
            <w:r>
              <w:rPr>
                <w:rFonts w:ascii="Verdana" w:hAnsi="Verdana"/>
                <w:noProof/>
                <w:sz w:val="18"/>
                <w:szCs w:val="18"/>
                <w:lang w:val="bg-BG"/>
              </w:rPr>
              <w:t>36,2</w:t>
            </w:r>
          </w:p>
        </w:tc>
      </w:tr>
      <w:tr>
        <w:trPr>
          <w:trHeight w:val="467"/>
        </w:trPr>
        <w:tc>
          <w:tcPr>
            <w:tcW w:w="3540" w:type="dxa"/>
            <w:tcBorders>
              <w:top w:val="nil"/>
              <w:left w:val="single" w:sz="4" w:space="0" w:color="000000"/>
              <w:bottom w:val="single" w:sz="8" w:space="0" w:color="auto"/>
              <w:right w:val="single" w:sz="4" w:space="0" w:color="000000"/>
            </w:tcBorders>
            <w:noWrap/>
            <w:vAlign w:val="center"/>
            <w:hideMark/>
          </w:tcPr>
          <w:p>
            <w:pPr>
              <w:rPr>
                <w:rFonts w:ascii="Verdana" w:hAnsi="Verdana" w:cs="Arial"/>
                <w:noProof/>
                <w:sz w:val="18"/>
                <w:szCs w:val="18"/>
                <w:lang w:val="bg-BG"/>
              </w:rPr>
            </w:pPr>
            <w:r>
              <w:rPr>
                <w:rFonts w:ascii="Verdana" w:hAnsi="Verdana"/>
                <w:noProof/>
                <w:sz w:val="18"/>
                <w:szCs w:val="18"/>
                <w:lang w:val="bg-BG"/>
              </w:rPr>
              <w:t>Съфинансиране — административни разходи</w:t>
            </w:r>
          </w:p>
        </w:tc>
        <w:tc>
          <w:tcPr>
            <w:tcW w:w="2854" w:type="dxa"/>
            <w:tcBorders>
              <w:top w:val="nil"/>
              <w:left w:val="nil"/>
              <w:bottom w:val="single" w:sz="8" w:space="0" w:color="auto"/>
              <w:right w:val="single" w:sz="4" w:space="0" w:color="000000"/>
            </w:tcBorders>
            <w:noWrap/>
            <w:vAlign w:val="center"/>
            <w:hideMark/>
          </w:tcPr>
          <w:p>
            <w:pPr>
              <w:jc w:val="right"/>
              <w:rPr>
                <w:rFonts w:ascii="Verdana" w:hAnsi="Verdana" w:cs="Arial"/>
                <w:noProof/>
                <w:sz w:val="18"/>
                <w:szCs w:val="18"/>
                <w:lang w:val="bg-BG"/>
              </w:rPr>
            </w:pPr>
            <w:r>
              <w:rPr>
                <w:rFonts w:ascii="Verdana" w:hAnsi="Verdana"/>
                <w:noProof/>
                <w:sz w:val="18"/>
                <w:szCs w:val="18"/>
                <w:lang w:val="bg-BG"/>
              </w:rPr>
              <w:t>8,3</w:t>
            </w:r>
          </w:p>
          <w:p>
            <w:pPr>
              <w:jc w:val="right"/>
              <w:rPr>
                <w:rFonts w:ascii="Verdana" w:hAnsi="Verdana" w:cs="Arial"/>
                <w:noProof/>
                <w:sz w:val="18"/>
                <w:szCs w:val="18"/>
                <w:lang w:val="bg-BG"/>
              </w:rPr>
            </w:pPr>
          </w:p>
        </w:tc>
        <w:tc>
          <w:tcPr>
            <w:tcW w:w="2410" w:type="dxa"/>
            <w:tcBorders>
              <w:top w:val="nil"/>
              <w:left w:val="nil"/>
              <w:bottom w:val="single" w:sz="8" w:space="0" w:color="auto"/>
              <w:right w:val="single" w:sz="8" w:space="0" w:color="auto"/>
            </w:tcBorders>
            <w:noWrap/>
            <w:vAlign w:val="center"/>
            <w:hideMark/>
          </w:tcPr>
          <w:p>
            <w:pPr>
              <w:jc w:val="right"/>
              <w:rPr>
                <w:rFonts w:ascii="Verdana" w:hAnsi="Verdana" w:cs="Arial"/>
                <w:noProof/>
                <w:sz w:val="18"/>
                <w:szCs w:val="18"/>
                <w:lang w:val="bg-BG"/>
              </w:rPr>
            </w:pPr>
            <w:r>
              <w:rPr>
                <w:rFonts w:ascii="Verdana" w:hAnsi="Verdana"/>
                <w:noProof/>
                <w:sz w:val="18"/>
                <w:szCs w:val="18"/>
                <w:lang w:val="bg-BG"/>
              </w:rPr>
              <w:t>7,8</w:t>
            </w:r>
          </w:p>
        </w:tc>
      </w:tr>
      <w:tr>
        <w:trPr>
          <w:trHeight w:val="270"/>
        </w:trPr>
        <w:tc>
          <w:tcPr>
            <w:tcW w:w="3540" w:type="dxa"/>
            <w:noWrap/>
            <w:vAlign w:val="bottom"/>
          </w:tcPr>
          <w:p>
            <w:pPr>
              <w:rPr>
                <w:rFonts w:ascii="Verdana" w:hAnsi="Verdana" w:cs="Arial"/>
                <w:noProof/>
                <w:sz w:val="18"/>
                <w:szCs w:val="18"/>
                <w:lang w:val="bg-BG"/>
              </w:rPr>
            </w:pPr>
          </w:p>
        </w:tc>
        <w:tc>
          <w:tcPr>
            <w:tcW w:w="2854" w:type="dxa"/>
            <w:tcBorders>
              <w:top w:val="nil"/>
              <w:left w:val="single" w:sz="8" w:space="0" w:color="auto"/>
              <w:bottom w:val="single" w:sz="8" w:space="0" w:color="auto"/>
              <w:right w:val="single" w:sz="4" w:space="0" w:color="auto"/>
            </w:tcBorders>
            <w:noWrap/>
            <w:vAlign w:val="bottom"/>
            <w:hideMark/>
          </w:tcPr>
          <w:p>
            <w:pPr>
              <w:jc w:val="right"/>
              <w:rPr>
                <w:rFonts w:ascii="Verdana" w:hAnsi="Verdana" w:cs="Arial"/>
                <w:b/>
                <w:bCs/>
                <w:noProof/>
                <w:sz w:val="18"/>
                <w:szCs w:val="18"/>
                <w:lang w:val="bg-BG"/>
              </w:rPr>
            </w:pPr>
            <w:r>
              <w:rPr>
                <w:rFonts w:ascii="Verdana" w:hAnsi="Verdana"/>
                <w:b/>
                <w:bCs/>
                <w:noProof/>
                <w:sz w:val="18"/>
                <w:szCs w:val="18"/>
                <w:lang w:val="bg-BG"/>
              </w:rPr>
              <w:t>275,2</w:t>
            </w:r>
          </w:p>
        </w:tc>
        <w:tc>
          <w:tcPr>
            <w:tcW w:w="2410" w:type="dxa"/>
            <w:tcBorders>
              <w:top w:val="nil"/>
              <w:left w:val="nil"/>
              <w:bottom w:val="single" w:sz="8" w:space="0" w:color="auto"/>
              <w:right w:val="single" w:sz="8" w:space="0" w:color="auto"/>
            </w:tcBorders>
            <w:noWrap/>
            <w:vAlign w:val="bottom"/>
            <w:hideMark/>
          </w:tcPr>
          <w:p>
            <w:pPr>
              <w:jc w:val="right"/>
              <w:rPr>
                <w:rFonts w:ascii="Verdana" w:hAnsi="Verdana" w:cs="Arial"/>
                <w:b/>
                <w:noProof/>
                <w:sz w:val="18"/>
                <w:szCs w:val="18"/>
                <w:lang w:val="bg-BG"/>
              </w:rPr>
            </w:pPr>
            <w:r>
              <w:rPr>
                <w:rFonts w:ascii="Verdana" w:hAnsi="Verdana"/>
                <w:b/>
                <w:noProof/>
                <w:sz w:val="18"/>
                <w:szCs w:val="18"/>
                <w:lang w:val="bg-BG"/>
              </w:rPr>
              <w:t>258,4</w:t>
            </w:r>
          </w:p>
        </w:tc>
      </w:tr>
    </w:tbl>
    <w:p>
      <w:pPr>
        <w:rPr>
          <w:rFonts w:ascii="Verdana" w:hAnsi="Verdana"/>
          <w:noProof/>
          <w:sz w:val="18"/>
          <w:szCs w:val="18"/>
          <w:lang w:val="bg-BG"/>
        </w:rPr>
      </w:pPr>
    </w:p>
    <w:p>
      <w:pPr>
        <w:rPr>
          <w:noProof/>
          <w:lang w:val="bg-BG"/>
        </w:rPr>
      </w:pPr>
      <w:r>
        <w:rPr>
          <w:rFonts w:ascii="Verdana" w:hAnsi="Verdana"/>
          <w:noProof/>
          <w:sz w:val="18"/>
          <w:szCs w:val="18"/>
          <w:lang w:val="bg-BG"/>
        </w:rPr>
        <w:t xml:space="preserve">Следните таблици относно сумите, които са решени, договорени и платени, съдържат </w:t>
      </w:r>
      <w:r>
        <w:rPr>
          <w:rFonts w:ascii="Verdana" w:hAnsi="Verdana"/>
          <w:noProof/>
          <w:sz w:val="18"/>
          <w:szCs w:val="18"/>
          <w:u w:val="single"/>
          <w:lang w:val="bg-BG"/>
        </w:rPr>
        <w:t>нетни данни</w:t>
      </w:r>
      <w:r>
        <w:rPr>
          <w:rFonts w:ascii="Verdana" w:hAnsi="Verdana"/>
          <w:noProof/>
          <w:sz w:val="18"/>
          <w:szCs w:val="18"/>
          <w:lang w:val="bg-BG"/>
        </w:rPr>
        <w:t>.</w:t>
      </w:r>
      <w:r>
        <w:rPr>
          <w:rFonts w:ascii="Verdana" w:hAnsi="Verdana"/>
          <w:noProof/>
          <w:sz w:val="18"/>
          <w:szCs w:val="18"/>
          <w:u w:val="single"/>
          <w:lang w:val="bg-BG"/>
        </w:rPr>
        <w:t xml:space="preserve"> </w:t>
      </w:r>
      <w:r>
        <w:rPr>
          <w:rFonts w:ascii="Verdana" w:hAnsi="Verdana"/>
          <w:noProof/>
          <w:sz w:val="18"/>
          <w:szCs w:val="18"/>
          <w:u w:val="single"/>
          <w:lang w:val="bg-BG"/>
        </w:rPr>
        <w:br/>
      </w:r>
      <w:r>
        <w:rPr>
          <w:rFonts w:ascii="Verdana" w:hAnsi="Verdana"/>
          <w:noProof/>
          <w:sz w:val="18"/>
          <w:szCs w:val="18"/>
          <w:lang w:val="bg-BG"/>
        </w:rPr>
        <w:t>Таблиците, представящи ситуацията по инструменти, са в приложенията.</w:t>
      </w:r>
    </w:p>
    <w:bookmarkEnd w:id="137"/>
    <w:p>
      <w:pPr>
        <w:tabs>
          <w:tab w:val="left" w:pos="907"/>
        </w:tabs>
        <w:spacing w:before="360" w:after="360"/>
        <w:rPr>
          <w:rFonts w:ascii="Verdana" w:hAnsi="Verdana"/>
          <w:b/>
          <w:noProof/>
          <w:sz w:val="18"/>
          <w:szCs w:val="18"/>
          <w:lang w:val="bg-BG" w:eastAsia="en-US"/>
        </w:rPr>
        <w:sectPr>
          <w:headerReference w:type="even" r:id="rId317"/>
          <w:headerReference w:type="default" r:id="rId318"/>
          <w:footerReference w:type="even" r:id="rId319"/>
          <w:footerReference w:type="default" r:id="rId320"/>
          <w:headerReference w:type="first" r:id="rId321"/>
          <w:footerReference w:type="first" r:id="rId322"/>
          <w:pgSz w:w="11906" w:h="16838" w:code="9"/>
          <w:pgMar w:top="1440" w:right="1134" w:bottom="1440" w:left="1134" w:header="709" w:footer="709" w:gutter="0"/>
          <w:cols w:space="708"/>
          <w:docGrid w:linePitch="360"/>
        </w:sectPr>
      </w:pPr>
    </w:p>
    <w:p>
      <w:pPr>
        <w:rPr>
          <w:noProof/>
          <w:sz w:val="16"/>
          <w:szCs w:val="16"/>
          <w:lang w:val="bg-BG"/>
        </w:rPr>
      </w:pPr>
      <w:bookmarkStart w:id="140" w:name="_DMBM_19006"/>
      <w:r>
        <w:rPr>
          <w:noProof/>
          <w:sz w:val="16"/>
          <w:szCs w:val="16"/>
          <w:lang w:val="bg-BG"/>
        </w:rPr>
        <w:t>Таблица 1.1</w:t>
      </w:r>
      <w:r>
        <w:rPr>
          <w:noProof/>
          <w:sz w:val="16"/>
          <w:szCs w:val="16"/>
          <w:lang w:val="bg-BG"/>
        </w:rPr>
        <w:tab/>
      </w:r>
    </w:p>
    <w:p>
      <w:pPr>
        <w:jc w:val="center"/>
        <w:rPr>
          <w:rFonts w:ascii="Arial" w:hAnsi="Arial" w:cs="Arial"/>
          <w:b/>
          <w:bCs/>
          <w:noProof/>
          <w:color w:val="000000"/>
          <w:sz w:val="14"/>
          <w:szCs w:val="14"/>
          <w:lang w:val="bg-BG"/>
        </w:rPr>
      </w:pPr>
      <w:r>
        <w:rPr>
          <w:rFonts w:ascii="Arial" w:hAnsi="Arial"/>
          <w:b/>
          <w:bCs/>
          <w:noProof/>
          <w:color w:val="000000"/>
          <w:sz w:val="14"/>
          <w:szCs w:val="14"/>
          <w:lang w:val="bg-BG"/>
        </w:rPr>
        <w:t>8-и ЕФР</w:t>
      </w:r>
      <w:r>
        <w:rPr>
          <w:rFonts w:ascii="Arial" w:hAnsi="Arial"/>
          <w:b/>
          <w:bCs/>
          <w:noProof/>
          <w:color w:val="000000"/>
          <w:sz w:val="14"/>
          <w:szCs w:val="14"/>
          <w:lang w:val="bg-BG"/>
        </w:rPr>
        <w:br/>
        <w:t>ИЗМЕНЕНИЕ НА БЮДЖЕТНИТЕ КРЕДИТИ:  31 декември 2019 г.</w:t>
      </w:r>
      <w:r>
        <w:rPr>
          <w:rFonts w:ascii="Arial" w:hAnsi="Arial"/>
          <w:b/>
          <w:bCs/>
          <w:noProof/>
          <w:color w:val="000000"/>
          <w:sz w:val="14"/>
          <w:szCs w:val="14"/>
          <w:lang w:val="bg-BG"/>
        </w:rPr>
        <w:br/>
        <w:t>АНАЛИЗ НА КРЕДИТИТЕ ПО ИНСТРУМЕНТИ</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252"/>
        <w:gridCol w:w="2410"/>
        <w:gridCol w:w="2268"/>
        <w:gridCol w:w="2126"/>
        <w:gridCol w:w="995"/>
        <w:gridCol w:w="1982"/>
      </w:tblGrid>
      <w:tr>
        <w:trPr>
          <w:trHeight w:hRule="exact" w:val="272"/>
        </w:trPr>
        <w:tc>
          <w:tcPr>
            <w:tcW w:w="4738" w:type="dxa"/>
            <w:gridSpan w:val="2"/>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bookmarkStart w:id="141" w:name="DOC_TBL00057_1_1"/>
            <w:bookmarkEnd w:id="141"/>
          </w:p>
        </w:tc>
        <w:tc>
          <w:tcPr>
            <w:tcW w:w="241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2268"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99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(милиони евро)</w:t>
            </w:r>
          </w:p>
        </w:tc>
      </w:tr>
      <w:tr>
        <w:trPr>
          <w:trHeight w:hRule="exact" w:val="510"/>
        </w:trPr>
        <w:tc>
          <w:tcPr>
            <w:tcW w:w="4738"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ИНСТРУМЕНТ</w:t>
            </w:r>
          </w:p>
        </w:tc>
        <w:tc>
          <w:tcPr>
            <w:tcW w:w="241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ПЪРВОНАЧАЛЕН БЮДЖЕТЕН КРЕДИТ</w:t>
            </w:r>
          </w:p>
        </w:tc>
        <w:tc>
          <w:tcPr>
            <w:tcW w:w="2268"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УВЕЛИЧЕНИЯ/НАМАЛЕНИЯ НА КУМУЛАТИВНИТЕ РЕСУРСИ КЪМ 31 ДЕКЕМВРИ 2018 Г.</w:t>
            </w:r>
          </w:p>
        </w:tc>
        <w:tc>
          <w:tcPr>
            <w:tcW w:w="212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УВЕЛИЧЕНИЕ ИЛИ НАМАЛЕНИЕ НА РЕСУРСИТЕ ПРЕЗ 2019 г.</w:t>
            </w:r>
          </w:p>
        </w:tc>
        <w:tc>
          <w:tcPr>
            <w:tcW w:w="99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Забележки</w:t>
            </w:r>
          </w:p>
        </w:tc>
        <w:tc>
          <w:tcPr>
            <w:tcW w:w="198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ТЕКУЩО НИВО НА БЮДЖЕТНИТЕ КРЕДИТИ</w:t>
            </w: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425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Ломе</w:t>
            </w:r>
          </w:p>
        </w:tc>
        <w:tc>
          <w:tcPr>
            <w:tcW w:w="241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268"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9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425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41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26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47</w:t>
            </w:r>
          </w:p>
        </w:tc>
        <w:tc>
          <w:tcPr>
            <w:tcW w:w="212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p>
        </w:tc>
        <w:tc>
          <w:tcPr>
            <w:tcW w:w="9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47</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АКТБ</w:t>
            </w: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Структурна корекция</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18</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18</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Общо индикативни програми</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29</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29</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АКТБ</w:t>
            </w:r>
          </w:p>
        </w:tc>
        <w:tc>
          <w:tcPr>
            <w:tcW w:w="4252"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241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268"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26"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99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425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МЕЖДИННА СУМА АКТБ</w:t>
            </w:r>
          </w:p>
        </w:tc>
        <w:tc>
          <w:tcPr>
            <w:tcW w:w="241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w:t>
            </w:r>
          </w:p>
        </w:tc>
        <w:tc>
          <w:tcPr>
            <w:tcW w:w="2268"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47</w:t>
            </w:r>
          </w:p>
        </w:tc>
        <w:tc>
          <w:tcPr>
            <w:tcW w:w="212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p>
        </w:tc>
        <w:tc>
          <w:tcPr>
            <w:tcW w:w="99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47</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4252"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41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268"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99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425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Ломе</w:t>
            </w:r>
          </w:p>
        </w:tc>
        <w:tc>
          <w:tcPr>
            <w:tcW w:w="241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268"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9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425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41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12,967</w:t>
            </w:r>
          </w:p>
        </w:tc>
        <w:tc>
          <w:tcPr>
            <w:tcW w:w="226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FF0000"/>
                <w:sz w:val="14"/>
                <w:szCs w:val="20"/>
                <w:lang w:val="bg-BG"/>
              </w:rPr>
            </w:pPr>
            <w:r>
              <w:rPr>
                <w:rFonts w:ascii="Arial" w:eastAsia="Calibri" w:hAnsi="Arial"/>
                <w:b/>
                <w:i/>
                <w:noProof/>
                <w:color w:val="FF0000"/>
                <w:sz w:val="14"/>
                <w:szCs w:val="20"/>
                <w:lang w:val="bg-BG"/>
              </w:rPr>
              <w:t>(3,332)</w:t>
            </w:r>
          </w:p>
        </w:tc>
        <w:tc>
          <w:tcPr>
            <w:tcW w:w="212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FF0000"/>
                <w:sz w:val="14"/>
                <w:szCs w:val="20"/>
                <w:lang w:val="bg-BG"/>
              </w:rPr>
            </w:pPr>
            <w:r>
              <w:rPr>
                <w:rFonts w:ascii="Arial" w:eastAsia="Calibri" w:hAnsi="Arial"/>
                <w:b/>
                <w:i/>
                <w:noProof/>
                <w:color w:val="FF0000"/>
                <w:sz w:val="14"/>
                <w:szCs w:val="20"/>
                <w:lang w:val="bg-BG"/>
              </w:rPr>
              <w:t>(1)</w:t>
            </w:r>
          </w:p>
        </w:tc>
        <w:tc>
          <w:tcPr>
            <w:tcW w:w="9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*1</w:t>
            </w: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9,635</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АКТБ </w:t>
            </w: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Помощ за бежанци</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120</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(20)</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100</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Спешна помощ (Ломе)</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140</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(4)</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136</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Тежко задлъжнели бедни страни (Ломе)</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1,060</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1,060</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Лихвени субсидии</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370</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(301)</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69</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Рисков капитал</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1,000</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12</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1,012</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Stabex</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1,800</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(1,077)</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723</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Структурна корекция</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1,400</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79</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w:t>
            </w: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1,479</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Sysmin</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575</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(474)</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101</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Общо индикативни програми</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7,562</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(2,640)</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w:t>
            </w: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4,921</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Използване на приходите от лихви</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35</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35</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Котону</w:t>
            </w:r>
          </w:p>
        </w:tc>
        <w:tc>
          <w:tcPr>
            <w:tcW w:w="241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268"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9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bidi="en-GB"/>
              </w:rPr>
            </w:pP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41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26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650</w:t>
            </w:r>
          </w:p>
        </w:tc>
        <w:tc>
          <w:tcPr>
            <w:tcW w:w="212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p>
        </w:tc>
        <w:tc>
          <w:tcPr>
            <w:tcW w:w="9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650</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417</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417</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Б — Национални средства</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233</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233</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Лихви и други приходи</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 xml:space="preserve">АКТБ </w:t>
            </w:r>
          </w:p>
        </w:tc>
        <w:tc>
          <w:tcPr>
            <w:tcW w:w="4252"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241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268"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26"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99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425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 xml:space="preserve">МЕЖДИННА СУМА АКТБ </w:t>
            </w:r>
          </w:p>
        </w:tc>
        <w:tc>
          <w:tcPr>
            <w:tcW w:w="241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12,967</w:t>
            </w:r>
          </w:p>
        </w:tc>
        <w:tc>
          <w:tcPr>
            <w:tcW w:w="2268"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0000"/>
                <w:sz w:val="16"/>
                <w:szCs w:val="20"/>
                <w:lang w:val="bg-BG"/>
              </w:rPr>
            </w:pPr>
            <w:r>
              <w:rPr>
                <w:rFonts w:ascii="Arial" w:eastAsia="Calibri" w:hAnsi="Arial"/>
                <w:b/>
                <w:noProof/>
                <w:color w:val="FF0000"/>
                <w:sz w:val="16"/>
                <w:szCs w:val="20"/>
                <w:lang w:val="bg-BG"/>
              </w:rPr>
              <w:t>(2,681)</w:t>
            </w:r>
          </w:p>
        </w:tc>
        <w:tc>
          <w:tcPr>
            <w:tcW w:w="212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0000"/>
                <w:sz w:val="16"/>
                <w:szCs w:val="20"/>
                <w:lang w:val="bg-BG"/>
              </w:rPr>
            </w:pPr>
            <w:r>
              <w:rPr>
                <w:rFonts w:ascii="Arial" w:eastAsia="Calibri" w:hAnsi="Arial"/>
                <w:b/>
                <w:noProof/>
                <w:color w:val="FF0000"/>
                <w:sz w:val="16"/>
                <w:szCs w:val="20"/>
                <w:lang w:val="bg-BG"/>
              </w:rPr>
              <w:t>(1)</w:t>
            </w:r>
          </w:p>
        </w:tc>
        <w:tc>
          <w:tcPr>
            <w:tcW w:w="99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*1</w:t>
            </w: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10,285</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4252"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41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268"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99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425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Ломе</w:t>
            </w:r>
          </w:p>
        </w:tc>
        <w:tc>
          <w:tcPr>
            <w:tcW w:w="2410"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268"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12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99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425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41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26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46</w:t>
            </w:r>
          </w:p>
        </w:tc>
        <w:tc>
          <w:tcPr>
            <w:tcW w:w="212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p>
        </w:tc>
        <w:tc>
          <w:tcPr>
            <w:tcW w:w="99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46</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ОСТ</w:t>
            </w: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Лихвени субсидии</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Рисков капитал</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Stabex</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Sysmin</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r>
      <w:tr>
        <w:trPr>
          <w:trHeight w:hRule="exact" w:val="208"/>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4252"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Общо индикативни програми</w:t>
            </w:r>
          </w:p>
        </w:tc>
        <w:tc>
          <w:tcPr>
            <w:tcW w:w="241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26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35</w:t>
            </w:r>
          </w:p>
        </w:tc>
        <w:tc>
          <w:tcPr>
            <w:tcW w:w="212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99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35</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ОСТ</w:t>
            </w:r>
          </w:p>
        </w:tc>
        <w:tc>
          <w:tcPr>
            <w:tcW w:w="4252"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241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268"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26"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99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425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МЕЖДИННА СУМА ОСТ</w:t>
            </w:r>
          </w:p>
        </w:tc>
        <w:tc>
          <w:tcPr>
            <w:tcW w:w="241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w:t>
            </w:r>
          </w:p>
        </w:tc>
        <w:tc>
          <w:tcPr>
            <w:tcW w:w="2268"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46</w:t>
            </w:r>
          </w:p>
        </w:tc>
        <w:tc>
          <w:tcPr>
            <w:tcW w:w="212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p>
        </w:tc>
        <w:tc>
          <w:tcPr>
            <w:tcW w:w="99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46</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4252"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41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268"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2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99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208"/>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rPr>
                <w:rFonts w:ascii="Arial" w:eastAsia="Arial" w:hAnsi="Arial" w:cs="Arial"/>
                <w:noProof/>
                <w:color w:val="000000"/>
                <w:sz w:val="14"/>
                <w:szCs w:val="20"/>
                <w:lang w:val="bg-BG"/>
              </w:rPr>
            </w:pPr>
          </w:p>
        </w:tc>
        <w:tc>
          <w:tcPr>
            <w:tcW w:w="4252"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ОБЩО 8-и ЕФР</w:t>
            </w:r>
          </w:p>
        </w:tc>
        <w:tc>
          <w:tcPr>
            <w:tcW w:w="241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12,967</w:t>
            </w:r>
          </w:p>
        </w:tc>
        <w:tc>
          <w:tcPr>
            <w:tcW w:w="2268"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b/>
                <w:noProof/>
                <w:color w:val="FF0000"/>
                <w:sz w:val="16"/>
                <w:szCs w:val="20"/>
                <w:lang w:val="bg-BG"/>
              </w:rPr>
            </w:pPr>
            <w:r>
              <w:rPr>
                <w:rFonts w:ascii="Arial" w:eastAsia="Calibri" w:hAnsi="Arial"/>
                <w:b/>
                <w:noProof/>
                <w:color w:val="FF0000"/>
                <w:sz w:val="16"/>
                <w:szCs w:val="20"/>
                <w:lang w:val="bg-BG"/>
              </w:rPr>
              <w:t>(2,588)</w:t>
            </w:r>
          </w:p>
        </w:tc>
        <w:tc>
          <w:tcPr>
            <w:tcW w:w="212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b/>
                <w:noProof/>
                <w:color w:val="FF0000"/>
                <w:sz w:val="16"/>
                <w:szCs w:val="20"/>
                <w:lang w:val="bg-BG"/>
              </w:rPr>
            </w:pPr>
            <w:r>
              <w:rPr>
                <w:rFonts w:ascii="Arial" w:eastAsia="Calibri" w:hAnsi="Arial"/>
                <w:b/>
                <w:noProof/>
                <w:color w:val="FF0000"/>
                <w:sz w:val="16"/>
                <w:szCs w:val="20"/>
                <w:lang w:val="bg-BG"/>
              </w:rPr>
              <w:t>(1)</w:t>
            </w:r>
          </w:p>
        </w:tc>
        <w:tc>
          <w:tcPr>
            <w:tcW w:w="99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*1</w:t>
            </w:r>
          </w:p>
        </w:tc>
        <w:tc>
          <w:tcPr>
            <w:tcW w:w="1982"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10,378</w:t>
            </w:r>
          </w:p>
        </w:tc>
      </w:tr>
    </w:tbl>
    <w:p>
      <w:pPr>
        <w:rPr>
          <w:rFonts w:ascii="Arial" w:hAnsi="Arial" w:cs="Arial"/>
          <w:noProof/>
          <w:color w:val="000000"/>
          <w:sz w:val="14"/>
          <w:szCs w:val="14"/>
          <w:lang w:val="bg-BG"/>
        </w:rPr>
      </w:pPr>
      <w:r>
        <w:rPr>
          <w:rFonts w:ascii="Arial" w:hAnsi="Arial"/>
          <w:noProof/>
          <w:color w:val="000000"/>
          <w:sz w:val="14"/>
          <w:szCs w:val="14"/>
          <w:lang w:val="bg-BG"/>
        </w:rPr>
        <w:t>*1 Намаленията са отменени задължения, прехвърлени към резерва за изпълнение на 10-ия ЕФР, който не може да бъде мобилизиран</w:t>
      </w:r>
    </w:p>
    <w:p>
      <w:pPr>
        <w:jc w:val="center"/>
        <w:rPr>
          <w:rFonts w:ascii="Arial" w:hAnsi="Arial" w:cs="Arial"/>
          <w:b/>
          <w:bCs/>
          <w:noProof/>
          <w:color w:val="000000"/>
          <w:sz w:val="14"/>
          <w:szCs w:val="14"/>
          <w:lang w:val="bg-BG"/>
        </w:rPr>
      </w:pPr>
    </w:p>
    <w:p>
      <w:pPr>
        <w:jc w:val="center"/>
        <w:rPr>
          <w:rFonts w:ascii="Arial" w:hAnsi="Arial" w:cs="Arial"/>
          <w:b/>
          <w:bCs/>
          <w:noProof/>
          <w:color w:val="000000"/>
          <w:sz w:val="14"/>
          <w:szCs w:val="14"/>
          <w:lang w:val="bg-BG"/>
        </w:rPr>
      </w:pPr>
    </w:p>
    <w:p>
      <w:pPr>
        <w:jc w:val="center"/>
        <w:rPr>
          <w:rFonts w:ascii="Arial" w:hAnsi="Arial" w:cs="Arial"/>
          <w:b/>
          <w:bCs/>
          <w:noProof/>
          <w:color w:val="000000"/>
          <w:sz w:val="14"/>
          <w:szCs w:val="14"/>
          <w:lang w:val="bg-BG"/>
        </w:rPr>
        <w:sectPr>
          <w:headerReference w:type="even" r:id="rId323"/>
          <w:headerReference w:type="default" r:id="rId324"/>
          <w:footerReference w:type="even" r:id="rId325"/>
          <w:footerReference w:type="default" r:id="rId326"/>
          <w:headerReference w:type="first" r:id="rId327"/>
          <w:footerReference w:type="first" r:id="rId328"/>
          <w:pgSz w:w="16840" w:h="11907" w:orient="landscape" w:code="9"/>
          <w:pgMar w:top="1134" w:right="1134" w:bottom="1134" w:left="1134" w:header="709" w:footer="709" w:gutter="0"/>
          <w:cols w:space="708"/>
          <w:docGrid w:linePitch="360"/>
        </w:sectPr>
      </w:pPr>
    </w:p>
    <w:p>
      <w:pPr>
        <w:rPr>
          <w:noProof/>
          <w:sz w:val="16"/>
          <w:szCs w:val="16"/>
          <w:lang w:val="bg-BG"/>
        </w:rPr>
      </w:pPr>
      <w:r>
        <w:rPr>
          <w:noProof/>
          <w:sz w:val="16"/>
          <w:szCs w:val="16"/>
          <w:lang w:val="bg-BG"/>
        </w:rPr>
        <w:t>Таблица 1.2</w:t>
      </w:r>
    </w:p>
    <w:p>
      <w:pPr>
        <w:jc w:val="center"/>
        <w:rPr>
          <w:rFonts w:ascii="Arial" w:hAnsi="Arial" w:cs="Arial"/>
          <w:b/>
          <w:bCs/>
          <w:noProof/>
          <w:color w:val="000000"/>
          <w:sz w:val="16"/>
          <w:szCs w:val="16"/>
          <w:lang w:val="bg-BG"/>
        </w:rPr>
      </w:pPr>
      <w:r>
        <w:rPr>
          <w:rFonts w:ascii="Arial" w:hAnsi="Arial"/>
          <w:b/>
          <w:bCs/>
          <w:noProof/>
          <w:color w:val="000000"/>
          <w:sz w:val="16"/>
          <w:szCs w:val="16"/>
          <w:lang w:val="bg-BG"/>
        </w:rPr>
        <w:t>9-и ЕФР</w:t>
      </w:r>
    </w:p>
    <w:p>
      <w:pPr>
        <w:jc w:val="center"/>
        <w:rPr>
          <w:rFonts w:ascii="Arial" w:hAnsi="Arial" w:cs="Arial"/>
          <w:b/>
          <w:bCs/>
          <w:noProof/>
          <w:color w:val="000000"/>
          <w:sz w:val="16"/>
          <w:szCs w:val="16"/>
          <w:lang w:val="bg-BG"/>
        </w:rPr>
      </w:pPr>
      <w:r>
        <w:rPr>
          <w:rFonts w:ascii="Arial" w:hAnsi="Arial"/>
          <w:b/>
          <w:bCs/>
          <w:noProof/>
          <w:color w:val="000000"/>
          <w:sz w:val="16"/>
          <w:szCs w:val="16"/>
          <w:lang w:val="bg-BG"/>
        </w:rPr>
        <w:t>ИЗМЕНЕНИЕ НА БЮДЖЕТНИТЕ КРЕДИТИ:  31 декември 2019 г.</w:t>
      </w:r>
    </w:p>
    <w:p>
      <w:pPr>
        <w:jc w:val="center"/>
        <w:rPr>
          <w:rFonts w:ascii="Arial" w:hAnsi="Arial" w:cs="Arial"/>
          <w:b/>
          <w:bCs/>
          <w:noProof/>
          <w:color w:val="000000"/>
          <w:sz w:val="16"/>
          <w:szCs w:val="16"/>
          <w:lang w:val="bg-BG"/>
        </w:rPr>
      </w:pPr>
      <w:r>
        <w:rPr>
          <w:rFonts w:ascii="Arial" w:hAnsi="Arial"/>
          <w:b/>
          <w:bCs/>
          <w:noProof/>
          <w:color w:val="000000"/>
          <w:sz w:val="16"/>
          <w:szCs w:val="16"/>
          <w:lang w:val="bg-BG"/>
        </w:rPr>
        <w:t>АНАЛИЗ НА КРЕДИТИТЕ ПО ИНСТРУМЕНТИ</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3975"/>
        <w:gridCol w:w="2409"/>
        <w:gridCol w:w="2799"/>
        <w:gridCol w:w="1737"/>
        <w:gridCol w:w="1155"/>
        <w:gridCol w:w="2105"/>
      </w:tblGrid>
      <w:tr>
        <w:trPr>
          <w:trHeight w:hRule="exact" w:val="133"/>
        </w:trPr>
        <w:tc>
          <w:tcPr>
            <w:tcW w:w="4455" w:type="dxa"/>
            <w:gridSpan w:val="2"/>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bookmarkStart w:id="142" w:name="DOC_TBL00058_1_1"/>
            <w:bookmarkEnd w:id="142"/>
          </w:p>
        </w:tc>
        <w:tc>
          <w:tcPr>
            <w:tcW w:w="2409"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2799"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1737"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1155"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(милиони евро)</w:t>
            </w:r>
          </w:p>
        </w:tc>
      </w:tr>
      <w:tr>
        <w:trPr>
          <w:trHeight w:hRule="exact" w:val="480"/>
        </w:trPr>
        <w:tc>
          <w:tcPr>
            <w:tcW w:w="4455"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ИНСТРУМЕНТ</w:t>
            </w:r>
          </w:p>
        </w:tc>
        <w:tc>
          <w:tcPr>
            <w:tcW w:w="240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ПЪРВОНАЧАЛЕН БЮДЖЕТЕН КРЕДИТ</w:t>
            </w:r>
          </w:p>
        </w:tc>
        <w:tc>
          <w:tcPr>
            <w:tcW w:w="279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УВЕЛИЧЕНИЯ/НАМАЛЕНИЯ НА КУМУЛАТИВНИТЕ РЕСУРСИ КЪМ 31 ДЕКЕМВРИ 2018 Г.</w:t>
            </w:r>
          </w:p>
        </w:tc>
        <w:tc>
          <w:tcPr>
            <w:tcW w:w="173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УВЕЛИЧЕНИЕ ИЛИ НАМАЛЕНИЕ НА РЕСУРСИТЕ ПРЕЗ 2019 г.</w:t>
            </w:r>
          </w:p>
        </w:tc>
        <w:tc>
          <w:tcPr>
            <w:tcW w:w="115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Забележки</w:t>
            </w:r>
          </w:p>
        </w:tc>
        <w:tc>
          <w:tcPr>
            <w:tcW w:w="210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ТЕКУЩО НИВО НА БЮДЖЕТНИТЕ КРЕДИТИ</w:t>
            </w:r>
          </w:p>
        </w:tc>
      </w:tr>
      <w:tr>
        <w:trPr>
          <w:trHeight w:hRule="exact" w:val="170"/>
        </w:trPr>
        <w:tc>
          <w:tcPr>
            <w:tcW w:w="48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97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Ломе</w:t>
            </w:r>
          </w:p>
        </w:tc>
        <w:tc>
          <w:tcPr>
            <w:tcW w:w="240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79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73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15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bidi="en-GB"/>
              </w:rPr>
            </w:pPr>
          </w:p>
        </w:tc>
      </w:tr>
      <w:tr>
        <w:trPr>
          <w:trHeight w:hRule="exact" w:val="219"/>
        </w:trPr>
        <w:tc>
          <w:tcPr>
            <w:tcW w:w="48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97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40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79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173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p>
        </w:tc>
        <w:tc>
          <w:tcPr>
            <w:tcW w:w="115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r>
      <w:tr>
        <w:trPr>
          <w:trHeight w:hRule="exact" w:val="170"/>
        </w:trPr>
        <w:tc>
          <w:tcPr>
            <w:tcW w:w="480"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АКТБ</w:t>
            </w: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Трансфери от 7-и ЕФР — Ломе</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Котону</w:t>
            </w:r>
          </w:p>
        </w:tc>
        <w:tc>
          <w:tcPr>
            <w:tcW w:w="240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79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73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15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bidi="en-GB"/>
              </w:rPr>
            </w:pP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40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79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50</w:t>
            </w:r>
          </w:p>
        </w:tc>
        <w:tc>
          <w:tcPr>
            <w:tcW w:w="173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p>
        </w:tc>
        <w:tc>
          <w:tcPr>
            <w:tcW w:w="115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50</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44</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44</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Б — Национални средства</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w:t>
            </w:r>
          </w:p>
        </w:tc>
      </w:tr>
      <w:tr>
        <w:trPr>
          <w:trHeight w:hRule="exact" w:val="57"/>
        </w:trPr>
        <w:tc>
          <w:tcPr>
            <w:tcW w:w="48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АКТБ</w:t>
            </w:r>
          </w:p>
        </w:tc>
        <w:tc>
          <w:tcPr>
            <w:tcW w:w="397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2409"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799"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737"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1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170"/>
        </w:trPr>
        <w:tc>
          <w:tcPr>
            <w:tcW w:w="480"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97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МЕЖДИННА СУМА АКТБ</w:t>
            </w:r>
          </w:p>
        </w:tc>
        <w:tc>
          <w:tcPr>
            <w:tcW w:w="240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w:t>
            </w:r>
          </w:p>
        </w:tc>
        <w:tc>
          <w:tcPr>
            <w:tcW w:w="279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50</w:t>
            </w:r>
          </w:p>
        </w:tc>
        <w:tc>
          <w:tcPr>
            <w:tcW w:w="173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p>
        </w:tc>
        <w:tc>
          <w:tcPr>
            <w:tcW w:w="11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50</w:t>
            </w:r>
          </w:p>
        </w:tc>
      </w:tr>
      <w:tr>
        <w:trPr>
          <w:trHeight w:hRule="exact" w:val="57"/>
        </w:trPr>
        <w:tc>
          <w:tcPr>
            <w:tcW w:w="48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97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409"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799"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737"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15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170"/>
        </w:trPr>
        <w:tc>
          <w:tcPr>
            <w:tcW w:w="48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97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Ломе</w:t>
            </w:r>
          </w:p>
        </w:tc>
        <w:tc>
          <w:tcPr>
            <w:tcW w:w="240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79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73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15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bidi="en-GB"/>
              </w:rPr>
            </w:pPr>
          </w:p>
        </w:tc>
      </w:tr>
      <w:tr>
        <w:trPr>
          <w:trHeight w:hRule="exact" w:val="170"/>
        </w:trPr>
        <w:tc>
          <w:tcPr>
            <w:tcW w:w="48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97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40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79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667</w:t>
            </w:r>
          </w:p>
        </w:tc>
        <w:tc>
          <w:tcPr>
            <w:tcW w:w="173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FF0000"/>
                <w:sz w:val="14"/>
                <w:szCs w:val="20"/>
                <w:lang w:val="bg-BG"/>
              </w:rPr>
            </w:pPr>
            <w:r>
              <w:rPr>
                <w:rFonts w:ascii="Arial" w:eastAsia="Calibri" w:hAnsi="Arial"/>
                <w:b/>
                <w:i/>
                <w:noProof/>
                <w:color w:val="FF0000"/>
                <w:sz w:val="14"/>
                <w:szCs w:val="20"/>
                <w:lang w:val="bg-BG"/>
              </w:rPr>
              <w:t>–</w:t>
            </w:r>
          </w:p>
        </w:tc>
        <w:tc>
          <w:tcPr>
            <w:tcW w:w="115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667</w:t>
            </w:r>
          </w:p>
        </w:tc>
      </w:tr>
      <w:tr>
        <w:trPr>
          <w:trHeight w:hRule="exact" w:val="170"/>
        </w:trPr>
        <w:tc>
          <w:tcPr>
            <w:tcW w:w="480"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АКТБ </w:t>
            </w: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Трансфери от 6-и ЕФР - Ломе</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20</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20</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Трансфери от 7-и ЕФР — Ломе</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647</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w:t>
            </w: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647</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Котону</w:t>
            </w:r>
          </w:p>
        </w:tc>
        <w:tc>
          <w:tcPr>
            <w:tcW w:w="240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79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73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15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bidi="en-GB"/>
              </w:rPr>
            </w:pP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40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8,919</w:t>
            </w:r>
          </w:p>
        </w:tc>
        <w:tc>
          <w:tcPr>
            <w:tcW w:w="279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5,464</w:t>
            </w:r>
          </w:p>
        </w:tc>
        <w:tc>
          <w:tcPr>
            <w:tcW w:w="173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FF0000"/>
                <w:sz w:val="14"/>
                <w:szCs w:val="20"/>
                <w:lang w:val="bg-BG"/>
              </w:rPr>
            </w:pPr>
            <w:r>
              <w:rPr>
                <w:rFonts w:ascii="Arial" w:eastAsia="Calibri" w:hAnsi="Arial"/>
                <w:b/>
                <w:i/>
                <w:noProof/>
                <w:color w:val="FF0000"/>
                <w:sz w:val="14"/>
                <w:szCs w:val="20"/>
                <w:lang w:val="bg-BG"/>
              </w:rPr>
              <w:t>(41)</w:t>
            </w:r>
          </w:p>
        </w:tc>
        <w:tc>
          <w:tcPr>
            <w:tcW w:w="115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14,342</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5,318</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3,246</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(10)</w:t>
            </w: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8,554</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Б — Национални средства</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2,108</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(905)</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w:t>
            </w: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1,203</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CDE, CTA и Парламентарна асамблея</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164</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(10)</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154</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Разходи за прилагане</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125</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52</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w:t>
            </w: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177</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Лихви и други приходи</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63</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63</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Други средства в рамките на АКТБ</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300</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2,289</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(5)</w:t>
            </w: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2,584</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Инструмент за мир</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353</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353</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Регионални средства</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904</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(145)</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(11)</w:t>
            </w: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749</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Специална вноска за ДР Конго</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105</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105</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Спец. вноска за Южен Судан</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267</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*3</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267</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Спец. вноска за Судан</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110</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110</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Доброволна вноска Инструмент за мир</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39</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(15)</w:t>
            </w: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*4</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24</w:t>
            </w:r>
          </w:p>
        </w:tc>
      </w:tr>
      <w:tr>
        <w:trPr>
          <w:trHeight w:hRule="exact" w:val="57"/>
        </w:trPr>
        <w:tc>
          <w:tcPr>
            <w:tcW w:w="48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 xml:space="preserve">АКТБ </w:t>
            </w:r>
          </w:p>
        </w:tc>
        <w:tc>
          <w:tcPr>
            <w:tcW w:w="397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2409"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799"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737"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1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170"/>
        </w:trPr>
        <w:tc>
          <w:tcPr>
            <w:tcW w:w="480"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97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 xml:space="preserve">МЕЖДИННА СУМА АКТБ </w:t>
            </w:r>
          </w:p>
        </w:tc>
        <w:tc>
          <w:tcPr>
            <w:tcW w:w="240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8,919</w:t>
            </w:r>
          </w:p>
        </w:tc>
        <w:tc>
          <w:tcPr>
            <w:tcW w:w="279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6,131</w:t>
            </w:r>
          </w:p>
        </w:tc>
        <w:tc>
          <w:tcPr>
            <w:tcW w:w="173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0000"/>
                <w:sz w:val="16"/>
                <w:szCs w:val="20"/>
                <w:lang w:val="bg-BG"/>
              </w:rPr>
            </w:pPr>
            <w:r>
              <w:rPr>
                <w:rFonts w:ascii="Arial" w:eastAsia="Calibri" w:hAnsi="Arial"/>
                <w:b/>
                <w:noProof/>
                <w:color w:val="FF0000"/>
                <w:sz w:val="16"/>
                <w:szCs w:val="20"/>
                <w:lang w:val="bg-BG"/>
              </w:rPr>
              <w:t>(42)</w:t>
            </w:r>
          </w:p>
        </w:tc>
        <w:tc>
          <w:tcPr>
            <w:tcW w:w="11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*1 *4</w:t>
            </w: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15,009</w:t>
            </w:r>
          </w:p>
        </w:tc>
      </w:tr>
      <w:tr>
        <w:trPr>
          <w:trHeight w:hRule="exact" w:val="57"/>
        </w:trPr>
        <w:tc>
          <w:tcPr>
            <w:tcW w:w="48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97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409"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799"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737"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15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170"/>
        </w:trPr>
        <w:tc>
          <w:tcPr>
            <w:tcW w:w="480"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97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Ломе</w:t>
            </w:r>
          </w:p>
        </w:tc>
        <w:tc>
          <w:tcPr>
            <w:tcW w:w="240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79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73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15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bidi="en-GB"/>
              </w:rPr>
            </w:pPr>
          </w:p>
        </w:tc>
      </w:tr>
      <w:tr>
        <w:trPr>
          <w:trHeight w:hRule="exact" w:val="170"/>
        </w:trPr>
        <w:tc>
          <w:tcPr>
            <w:tcW w:w="48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97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40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79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3</w:t>
            </w:r>
          </w:p>
        </w:tc>
        <w:tc>
          <w:tcPr>
            <w:tcW w:w="173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p>
        </w:tc>
        <w:tc>
          <w:tcPr>
            <w:tcW w:w="115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3</w:t>
            </w:r>
          </w:p>
        </w:tc>
      </w:tr>
      <w:tr>
        <w:trPr>
          <w:trHeight w:hRule="exact" w:val="170"/>
        </w:trPr>
        <w:tc>
          <w:tcPr>
            <w:tcW w:w="480"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ОСТ</w:t>
            </w: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Трансфери от 6-и ЕФР - Ломе</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Трансфери от 7-и ЕФР — Ломе</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Котону</w:t>
            </w:r>
          </w:p>
        </w:tc>
        <w:tc>
          <w:tcPr>
            <w:tcW w:w="240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799"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737"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115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bidi="en-GB"/>
              </w:rPr>
            </w:pP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40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79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287</w:t>
            </w:r>
          </w:p>
        </w:tc>
        <w:tc>
          <w:tcPr>
            <w:tcW w:w="173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FF0000"/>
                <w:sz w:val="14"/>
                <w:szCs w:val="20"/>
                <w:lang w:val="bg-BG"/>
              </w:rPr>
            </w:pPr>
            <w:r>
              <w:rPr>
                <w:rFonts w:ascii="Arial" w:eastAsia="Calibri" w:hAnsi="Arial"/>
                <w:b/>
                <w:i/>
                <w:noProof/>
                <w:color w:val="FF0000"/>
                <w:sz w:val="14"/>
                <w:szCs w:val="20"/>
                <w:lang w:val="bg-BG"/>
              </w:rPr>
              <w:t>(1)</w:t>
            </w:r>
          </w:p>
        </w:tc>
        <w:tc>
          <w:tcPr>
            <w:tcW w:w="115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286</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237</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w:t>
            </w: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236</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Б — Национални средства</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Регионални средства</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45</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w:t>
            </w: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45</w:t>
            </w:r>
          </w:p>
        </w:tc>
      </w:tr>
      <w:tr>
        <w:trPr>
          <w:trHeight w:hRule="exact" w:val="170"/>
        </w:trPr>
        <w:tc>
          <w:tcPr>
            <w:tcW w:w="480"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97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Проучвания/Техническа помощ OCT</w:t>
            </w:r>
          </w:p>
        </w:tc>
        <w:tc>
          <w:tcPr>
            <w:tcW w:w="240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79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173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11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r>
      <w:tr>
        <w:trPr>
          <w:trHeight w:hRule="exact" w:val="57"/>
        </w:trPr>
        <w:tc>
          <w:tcPr>
            <w:tcW w:w="48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ОСТ</w:t>
            </w:r>
          </w:p>
        </w:tc>
        <w:tc>
          <w:tcPr>
            <w:tcW w:w="397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2409"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799"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737"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1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170"/>
        </w:trPr>
        <w:tc>
          <w:tcPr>
            <w:tcW w:w="480"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97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МЕЖДИННА СУМА ОСТ</w:t>
            </w:r>
          </w:p>
        </w:tc>
        <w:tc>
          <w:tcPr>
            <w:tcW w:w="240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w:t>
            </w:r>
          </w:p>
        </w:tc>
        <w:tc>
          <w:tcPr>
            <w:tcW w:w="279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290</w:t>
            </w:r>
          </w:p>
        </w:tc>
        <w:tc>
          <w:tcPr>
            <w:tcW w:w="173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0000"/>
                <w:sz w:val="16"/>
                <w:szCs w:val="20"/>
                <w:lang w:val="bg-BG"/>
              </w:rPr>
            </w:pPr>
            <w:r>
              <w:rPr>
                <w:rFonts w:ascii="Arial" w:eastAsia="Calibri" w:hAnsi="Arial"/>
                <w:b/>
                <w:noProof/>
                <w:color w:val="FF0000"/>
                <w:sz w:val="16"/>
                <w:szCs w:val="20"/>
                <w:lang w:val="bg-BG"/>
              </w:rPr>
              <w:t>(1)</w:t>
            </w:r>
          </w:p>
        </w:tc>
        <w:tc>
          <w:tcPr>
            <w:tcW w:w="11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*1</w:t>
            </w: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289</w:t>
            </w:r>
          </w:p>
        </w:tc>
      </w:tr>
      <w:tr>
        <w:trPr>
          <w:trHeight w:hRule="exact" w:val="57"/>
        </w:trPr>
        <w:tc>
          <w:tcPr>
            <w:tcW w:w="48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97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409"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799"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737"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15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170"/>
        </w:trPr>
        <w:tc>
          <w:tcPr>
            <w:tcW w:w="480"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rPr>
                <w:rFonts w:ascii="Arial" w:eastAsia="Arial" w:hAnsi="Arial" w:cs="Arial"/>
                <w:noProof/>
                <w:color w:val="000000"/>
                <w:sz w:val="14"/>
                <w:szCs w:val="20"/>
                <w:lang w:val="bg-BG"/>
              </w:rPr>
            </w:pPr>
          </w:p>
        </w:tc>
        <w:tc>
          <w:tcPr>
            <w:tcW w:w="397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ОБЩО 9-и ЕФР</w:t>
            </w:r>
          </w:p>
        </w:tc>
        <w:tc>
          <w:tcPr>
            <w:tcW w:w="240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8,919</w:t>
            </w:r>
          </w:p>
        </w:tc>
        <w:tc>
          <w:tcPr>
            <w:tcW w:w="279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6,471</w:t>
            </w:r>
          </w:p>
        </w:tc>
        <w:tc>
          <w:tcPr>
            <w:tcW w:w="173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b/>
                <w:noProof/>
                <w:color w:val="FF0000"/>
                <w:sz w:val="16"/>
                <w:szCs w:val="20"/>
                <w:lang w:val="bg-BG"/>
              </w:rPr>
            </w:pPr>
            <w:r>
              <w:rPr>
                <w:rFonts w:ascii="Arial" w:eastAsia="Calibri" w:hAnsi="Arial"/>
                <w:b/>
                <w:noProof/>
                <w:color w:val="FF0000"/>
                <w:sz w:val="16"/>
                <w:szCs w:val="20"/>
                <w:lang w:val="bg-BG"/>
              </w:rPr>
              <w:t>(42)</w:t>
            </w:r>
          </w:p>
        </w:tc>
        <w:tc>
          <w:tcPr>
            <w:tcW w:w="115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*1 *4</w:t>
            </w:r>
          </w:p>
        </w:tc>
        <w:tc>
          <w:tcPr>
            <w:tcW w:w="2105"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15,348</w:t>
            </w:r>
          </w:p>
        </w:tc>
      </w:tr>
    </w:tbl>
    <w:p>
      <w:pPr>
        <w:rPr>
          <w:noProof/>
          <w:lang w:val="bg-BG"/>
        </w:rPr>
        <w:sectPr>
          <w:headerReference w:type="even" r:id="rId329"/>
          <w:headerReference w:type="default" r:id="rId330"/>
          <w:footerReference w:type="even" r:id="rId331"/>
          <w:footerReference w:type="default" r:id="rId332"/>
          <w:headerReference w:type="first" r:id="rId333"/>
          <w:footerReference w:type="first" r:id="rId334"/>
          <w:pgSz w:w="16840" w:h="11907" w:orient="landscape" w:code="9"/>
          <w:pgMar w:top="1440" w:right="1134" w:bottom="1134" w:left="1134" w:header="709" w:footer="709" w:gutter="0"/>
          <w:cols w:space="708"/>
          <w:docGrid w:linePitch="360"/>
        </w:sectPr>
      </w:pPr>
    </w:p>
    <w:p>
      <w:pPr>
        <w:rPr>
          <w:rFonts w:ascii="Arial" w:hAnsi="Arial" w:cs="Arial"/>
          <w:noProof/>
          <w:color w:val="000000"/>
          <w:sz w:val="14"/>
          <w:szCs w:val="14"/>
          <w:lang w:val="bg-BG"/>
        </w:rPr>
      </w:pPr>
      <w:r>
        <w:rPr>
          <w:rFonts w:ascii="Arial" w:hAnsi="Arial"/>
          <w:noProof/>
          <w:color w:val="000000"/>
          <w:sz w:val="14"/>
          <w:szCs w:val="14"/>
          <w:lang w:val="bg-BG"/>
        </w:rPr>
        <w:t>*1 Всички намаления са отменени задължения, прехвърлени към резерва за изпълнение на 10-ия ЕФР, който не може да бъде мобилизиран</w:t>
      </w:r>
    </w:p>
    <w:p>
      <w:pPr>
        <w:rPr>
          <w:rFonts w:ascii="Arial" w:hAnsi="Arial" w:cs="Arial"/>
          <w:noProof/>
          <w:color w:val="000000"/>
          <w:sz w:val="14"/>
          <w:szCs w:val="14"/>
          <w:lang w:val="bg-BG"/>
        </w:rPr>
      </w:pPr>
      <w:r>
        <w:rPr>
          <w:rFonts w:ascii="Arial" w:hAnsi="Arial"/>
          <w:noProof/>
          <w:color w:val="000000"/>
          <w:sz w:val="14"/>
          <w:szCs w:val="14"/>
          <w:lang w:val="bg-BG"/>
        </w:rPr>
        <w:t>*2 Съгласно Решение 2010/406/ЕС на Съвета 150 милиона евро бяха добавени от резерва за изпълнение на 10-ия ЕФР, който не може да бъде мобилизиран, за Судан (147 милиона евро за специалната вноска за Судан</w:t>
      </w:r>
      <w:r>
        <w:rPr>
          <w:rFonts w:ascii="Arial" w:hAnsi="Arial"/>
          <w:noProof/>
          <w:color w:val="000000"/>
          <w:sz w:val="14"/>
          <w:szCs w:val="14"/>
          <w:lang w:val="bg-BG"/>
        </w:rPr>
        <w:br/>
        <w:t>и 3 милион евро за разходите за прилагане)</w:t>
      </w:r>
    </w:p>
    <w:p>
      <w:pPr>
        <w:rPr>
          <w:rFonts w:ascii="Arial" w:hAnsi="Arial" w:cs="Arial"/>
          <w:noProof/>
          <w:color w:val="000000"/>
          <w:sz w:val="14"/>
          <w:szCs w:val="14"/>
          <w:lang w:val="bg-BG"/>
        </w:rPr>
      </w:pPr>
      <w:r>
        <w:rPr>
          <w:rFonts w:ascii="Arial" w:hAnsi="Arial"/>
          <w:noProof/>
          <w:color w:val="000000"/>
          <w:sz w:val="14"/>
          <w:szCs w:val="14"/>
          <w:lang w:val="bg-BG"/>
        </w:rPr>
        <w:t>*3 Съгласно Решение 2011/315/ЕС на Съвета 200 милиона евро бяха добавени от резерва за изпълнение на 10-ия ЕФР, който не може да бъде мобилизиран, за Судан (194 милиона евро за специалната вноска за Южен</w:t>
      </w:r>
      <w:r>
        <w:rPr>
          <w:rFonts w:ascii="Arial" w:hAnsi="Arial"/>
          <w:noProof/>
          <w:color w:val="000000"/>
          <w:sz w:val="14"/>
          <w:szCs w:val="14"/>
          <w:lang w:val="bg-BG"/>
        </w:rPr>
        <w:br/>
        <w:t>Судан и 6 милиона евро за разходите за прилагане)</w:t>
      </w:r>
    </w:p>
    <w:p>
      <w:pPr>
        <w:rPr>
          <w:rFonts w:ascii="Arial" w:hAnsi="Arial" w:cs="Arial"/>
          <w:noProof/>
          <w:color w:val="000000"/>
          <w:sz w:val="14"/>
          <w:szCs w:val="14"/>
          <w:lang w:val="bg-BG"/>
        </w:rPr>
      </w:pPr>
      <w:r>
        <w:rPr>
          <w:rFonts w:ascii="Arial" w:hAnsi="Arial"/>
          <w:noProof/>
          <w:color w:val="000000"/>
          <w:sz w:val="14"/>
          <w:szCs w:val="14"/>
          <w:lang w:val="bg-BG"/>
        </w:rPr>
        <w:t>* 4 Всички намаления на доброволни вноски са възстановявания на донори</w:t>
      </w:r>
    </w:p>
    <w:p>
      <w:pPr>
        <w:rPr>
          <w:noProof/>
          <w:sz w:val="16"/>
          <w:szCs w:val="16"/>
          <w:lang w:val="bg-BG"/>
        </w:rPr>
      </w:pPr>
    </w:p>
    <w:p>
      <w:pPr>
        <w:rPr>
          <w:noProof/>
          <w:sz w:val="16"/>
          <w:szCs w:val="16"/>
          <w:lang w:val="bg-BG"/>
        </w:rPr>
        <w:sectPr>
          <w:headerReference w:type="even" r:id="rId335"/>
          <w:headerReference w:type="default" r:id="rId336"/>
          <w:footerReference w:type="even" r:id="rId337"/>
          <w:footerReference w:type="default" r:id="rId338"/>
          <w:headerReference w:type="first" r:id="rId339"/>
          <w:footerReference w:type="first" r:id="rId340"/>
          <w:pgSz w:w="16840" w:h="11907" w:orient="landscape" w:code="9"/>
          <w:pgMar w:top="1440" w:right="1134" w:bottom="1134" w:left="1134" w:header="709" w:footer="709" w:gutter="0"/>
          <w:cols w:space="708"/>
          <w:docGrid w:linePitch="360"/>
        </w:sectPr>
      </w:pPr>
    </w:p>
    <w:p>
      <w:pPr>
        <w:rPr>
          <w:noProof/>
          <w:sz w:val="16"/>
          <w:szCs w:val="16"/>
          <w:lang w:val="bg-BG"/>
        </w:rPr>
      </w:pPr>
      <w:r>
        <w:rPr>
          <w:noProof/>
          <w:sz w:val="16"/>
          <w:szCs w:val="16"/>
          <w:lang w:val="bg-BG"/>
        </w:rPr>
        <w:t>Таблица 1.3</w:t>
      </w:r>
    </w:p>
    <w:p>
      <w:pPr>
        <w:jc w:val="center"/>
        <w:rPr>
          <w:rFonts w:ascii="Arial" w:hAnsi="Arial" w:cs="Arial"/>
          <w:b/>
          <w:bCs/>
          <w:noProof/>
          <w:color w:val="000000"/>
          <w:sz w:val="16"/>
          <w:szCs w:val="16"/>
          <w:lang w:val="bg-BG"/>
        </w:rPr>
      </w:pPr>
      <w:r>
        <w:rPr>
          <w:rFonts w:ascii="Arial" w:hAnsi="Arial"/>
          <w:b/>
          <w:bCs/>
          <w:noProof/>
          <w:color w:val="000000"/>
          <w:sz w:val="16"/>
          <w:szCs w:val="16"/>
          <w:lang w:val="bg-BG"/>
        </w:rPr>
        <w:t>10-и ЕФР</w:t>
      </w:r>
    </w:p>
    <w:p>
      <w:pPr>
        <w:jc w:val="center"/>
        <w:rPr>
          <w:rFonts w:ascii="Arial" w:hAnsi="Arial" w:cs="Arial"/>
          <w:b/>
          <w:bCs/>
          <w:noProof/>
          <w:color w:val="000000"/>
          <w:sz w:val="16"/>
          <w:szCs w:val="16"/>
          <w:lang w:val="bg-BG"/>
        </w:rPr>
      </w:pPr>
      <w:r>
        <w:rPr>
          <w:rFonts w:ascii="Arial" w:hAnsi="Arial"/>
          <w:b/>
          <w:bCs/>
          <w:noProof/>
          <w:color w:val="000000"/>
          <w:sz w:val="16"/>
          <w:szCs w:val="16"/>
          <w:lang w:val="bg-BG"/>
        </w:rPr>
        <w:t>ИЗМЕНЕНИЕ НА БЮДЖЕТНИТЕ КРЕДИТИ:  31 декември 2019 г.</w:t>
      </w:r>
    </w:p>
    <w:p>
      <w:pPr>
        <w:jc w:val="center"/>
        <w:rPr>
          <w:rFonts w:ascii="Arial" w:hAnsi="Arial" w:cs="Arial"/>
          <w:b/>
          <w:bCs/>
          <w:noProof/>
          <w:color w:val="000000"/>
          <w:sz w:val="16"/>
          <w:szCs w:val="16"/>
          <w:lang w:val="bg-BG"/>
        </w:rPr>
      </w:pPr>
      <w:r>
        <w:rPr>
          <w:rFonts w:ascii="Arial" w:hAnsi="Arial"/>
          <w:b/>
          <w:bCs/>
          <w:noProof/>
          <w:color w:val="000000"/>
          <w:sz w:val="16"/>
          <w:szCs w:val="16"/>
          <w:lang w:val="bg-BG"/>
        </w:rPr>
        <w:t>АНАЛИЗ НА КРЕДИТИТЕ ПО ИНСТРУМЕНТИ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3685"/>
        <w:gridCol w:w="2977"/>
        <w:gridCol w:w="2517"/>
        <w:gridCol w:w="2136"/>
        <w:gridCol w:w="755"/>
        <w:gridCol w:w="2136"/>
      </w:tblGrid>
      <w:tr>
        <w:trPr>
          <w:trHeight w:hRule="exact" w:val="132"/>
        </w:trPr>
        <w:tc>
          <w:tcPr>
            <w:tcW w:w="4171" w:type="dxa"/>
            <w:gridSpan w:val="2"/>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bookmarkStart w:id="143" w:name="DOC_TBL00059_1_1"/>
            <w:bookmarkEnd w:id="143"/>
          </w:p>
        </w:tc>
        <w:tc>
          <w:tcPr>
            <w:tcW w:w="2977"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2517"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(милиони евро)</w:t>
            </w:r>
          </w:p>
        </w:tc>
      </w:tr>
      <w:tr>
        <w:trPr>
          <w:trHeight w:hRule="exact" w:val="548"/>
        </w:trPr>
        <w:tc>
          <w:tcPr>
            <w:tcW w:w="4171"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ИНСТРУМЕНТ</w:t>
            </w:r>
          </w:p>
        </w:tc>
        <w:tc>
          <w:tcPr>
            <w:tcW w:w="297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ПЪРВОНАЧАЛЕН БЮДЖЕТЕН КРЕДИТ</w:t>
            </w:r>
          </w:p>
        </w:tc>
        <w:tc>
          <w:tcPr>
            <w:tcW w:w="2517"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УВЕЛИЧЕНИЯ/НАМАЛЕНИЯ НА КУМУЛАТИВНИТЕ РЕСУРСИ КЪМ 31 ДЕКЕМВРИ 2018 Г.</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УВЕЛИЧЕНИЕ ИЛИ НАМАЛЕНИЕ НА РЕСУРСИТЕ ПРЕЗ 2019 г.</w:t>
            </w:r>
          </w:p>
        </w:tc>
        <w:tc>
          <w:tcPr>
            <w:tcW w:w="75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Забележки</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ТЕКУЩО НИВО НА БЮДЖЕТНИТЕ КРЕДИТИ</w:t>
            </w: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97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51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66</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FF0000"/>
                <w:sz w:val="14"/>
                <w:szCs w:val="20"/>
                <w:lang w:val="bg-BG"/>
              </w:rPr>
            </w:pPr>
            <w:r>
              <w:rPr>
                <w:rFonts w:ascii="Arial" w:eastAsia="Calibri" w:hAnsi="Arial"/>
                <w:b/>
                <w:i/>
                <w:noProof/>
                <w:color w:val="FF0000"/>
                <w:sz w:val="14"/>
                <w:szCs w:val="20"/>
                <w:lang w:val="bg-BG"/>
              </w:rPr>
              <w:t>(1)</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65</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АКТБ</w:t>
            </w: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57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56</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Б — Национални средства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9</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национални средства Пакет A STABEX</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АКТБ</w:t>
            </w:r>
          </w:p>
        </w:tc>
        <w:tc>
          <w:tcPr>
            <w:tcW w:w="36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2977"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517"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170"/>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МЕЖДИННА СУМА АКТБ</w:t>
            </w:r>
          </w:p>
        </w:tc>
        <w:tc>
          <w:tcPr>
            <w:tcW w:w="297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w:t>
            </w:r>
          </w:p>
        </w:tc>
        <w:tc>
          <w:tcPr>
            <w:tcW w:w="251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66</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0000"/>
                <w:sz w:val="16"/>
                <w:szCs w:val="20"/>
                <w:lang w:val="bg-BG"/>
              </w:rPr>
            </w:pPr>
            <w:r>
              <w:rPr>
                <w:rFonts w:ascii="Arial" w:eastAsia="Calibri" w:hAnsi="Arial"/>
                <w:b/>
                <w:noProof/>
                <w:color w:val="FF0000"/>
                <w:sz w:val="16"/>
                <w:szCs w:val="20"/>
                <w:lang w:val="bg-BG"/>
              </w:rPr>
              <w:t>(1)</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*2</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65</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977"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517"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97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20,896</w:t>
            </w:r>
          </w:p>
        </w:tc>
        <w:tc>
          <w:tcPr>
            <w:tcW w:w="251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FF0000"/>
                <w:sz w:val="14"/>
                <w:szCs w:val="20"/>
                <w:lang w:val="bg-BG"/>
              </w:rPr>
            </w:pPr>
            <w:r>
              <w:rPr>
                <w:rFonts w:ascii="Arial" w:eastAsia="Calibri" w:hAnsi="Arial"/>
                <w:b/>
                <w:i/>
                <w:noProof/>
                <w:color w:val="FF0000"/>
                <w:sz w:val="14"/>
                <w:szCs w:val="20"/>
                <w:lang w:val="bg-BG"/>
              </w:rPr>
              <w:t>(19)</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213</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 *4</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20,891</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АКТБ </w:t>
            </w: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12,865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(169)</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12,696</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Пакет 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13,500</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(13,500)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Б — Национални средства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1,991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(9)</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1,983</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Пакет Б</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1,800</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(1,800)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Разходи за прилагане</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430</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15</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*4</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460</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Институционални разходи и разходи за подкрепа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230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(5)</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226</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Лихви и други приходи</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85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(14)</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71</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в рамките на АКТБ</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2,700</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(2,700)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национални средства Пакет A STABEX</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НИП/РИП</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683</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(683)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който не може да бъде мобилизиран</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131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40</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171</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Други средства в рамките на АКТБ</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1,868</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(13)</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1,855</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Инструмент за мир</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1,119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408</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*4</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1,527</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Регионални средства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1,942</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(40)</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1,902</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регионални средства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1,783</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(1,783)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Съфинансиране</w:t>
            </w:r>
          </w:p>
        </w:tc>
        <w:tc>
          <w:tcPr>
            <w:tcW w:w="297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51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204</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FF0000"/>
                <w:sz w:val="14"/>
                <w:szCs w:val="20"/>
                <w:lang w:val="bg-BG"/>
              </w:rPr>
            </w:pPr>
            <w:r>
              <w:rPr>
                <w:rFonts w:ascii="Arial" w:eastAsia="Calibri" w:hAnsi="Arial"/>
                <w:b/>
                <w:i/>
                <w:noProof/>
                <w:color w:val="FF0000"/>
                <w:sz w:val="14"/>
                <w:szCs w:val="20"/>
                <w:lang w:val="bg-BG"/>
              </w:rPr>
              <w:t>(2)</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*3</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203</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187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(2)</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*3</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185</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Разходи за прилагане</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*3</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5</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Други средства в рамките на АКТБ</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12</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12</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Инструмент за мир</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 xml:space="preserve">АКТБ </w:t>
            </w:r>
          </w:p>
        </w:tc>
        <w:tc>
          <w:tcPr>
            <w:tcW w:w="36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2977"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517"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170"/>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 xml:space="preserve">МЕЖДИННА СУМА АКТБ </w:t>
            </w:r>
          </w:p>
        </w:tc>
        <w:tc>
          <w:tcPr>
            <w:tcW w:w="297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20,896</w:t>
            </w:r>
          </w:p>
        </w:tc>
        <w:tc>
          <w:tcPr>
            <w:tcW w:w="251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186</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211</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*2 *4</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21,093</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977"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517"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297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51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275</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FF0000"/>
                <w:sz w:val="14"/>
                <w:szCs w:val="20"/>
                <w:lang w:val="bg-BG"/>
              </w:rPr>
            </w:pPr>
            <w:r>
              <w:rPr>
                <w:rFonts w:ascii="Arial" w:eastAsia="Calibri" w:hAnsi="Arial"/>
                <w:b/>
                <w:i/>
                <w:noProof/>
                <w:color w:val="FF0000"/>
                <w:sz w:val="14"/>
                <w:szCs w:val="20"/>
                <w:lang w:val="bg-BG"/>
              </w:rPr>
              <w:t>(4)</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271</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ОСТ</w:t>
            </w: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190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(4)</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187</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Пакет 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Б — Национални средства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15</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Пакет Б</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национални средства Пакет A STABEX</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който не може да бъде мобилизиран</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26</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Регионални средства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39</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регионални средства</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0"/>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Проучвания/Техническа помощ OCT</w:t>
            </w:r>
          </w:p>
        </w:tc>
        <w:tc>
          <w:tcPr>
            <w:tcW w:w="297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51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5</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ОСТ</w:t>
            </w:r>
          </w:p>
        </w:tc>
        <w:tc>
          <w:tcPr>
            <w:tcW w:w="36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2977"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517"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170"/>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МЕЖДИННА СУМА ОСТ</w:t>
            </w:r>
          </w:p>
        </w:tc>
        <w:tc>
          <w:tcPr>
            <w:tcW w:w="297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w:t>
            </w:r>
          </w:p>
        </w:tc>
        <w:tc>
          <w:tcPr>
            <w:tcW w:w="251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275</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0000"/>
                <w:sz w:val="16"/>
                <w:szCs w:val="20"/>
                <w:lang w:val="bg-BG"/>
              </w:rPr>
            </w:pPr>
            <w:r>
              <w:rPr>
                <w:rFonts w:ascii="Arial" w:eastAsia="Calibri" w:hAnsi="Arial"/>
                <w:b/>
                <w:noProof/>
                <w:color w:val="FF0000"/>
                <w:sz w:val="16"/>
                <w:szCs w:val="20"/>
                <w:lang w:val="bg-BG"/>
              </w:rPr>
              <w:t>(4)</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*2</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271</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977"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517"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170"/>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rPr>
                <w:rFonts w:ascii="Arial" w:eastAsia="Arial" w:hAnsi="Arial" w:cs="Arial"/>
                <w:noProof/>
                <w:color w:val="000000"/>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ОБЩО 10-и ЕФР</w:t>
            </w:r>
          </w:p>
        </w:tc>
        <w:tc>
          <w:tcPr>
            <w:tcW w:w="297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20,896</w:t>
            </w:r>
          </w:p>
        </w:tc>
        <w:tc>
          <w:tcPr>
            <w:tcW w:w="251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527</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206</w:t>
            </w:r>
          </w:p>
        </w:tc>
        <w:tc>
          <w:tcPr>
            <w:tcW w:w="75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*2 *4</w:t>
            </w:r>
          </w:p>
        </w:tc>
        <w:tc>
          <w:tcPr>
            <w:tcW w:w="2136"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21,430</w:t>
            </w:r>
          </w:p>
        </w:tc>
      </w:tr>
    </w:tbl>
    <w:p>
      <w:pPr>
        <w:rPr>
          <w:rFonts w:ascii="Arial" w:hAnsi="Arial" w:cs="Arial"/>
          <w:noProof/>
          <w:color w:val="000000"/>
          <w:sz w:val="14"/>
          <w:szCs w:val="14"/>
          <w:lang w:val="bg-BG"/>
        </w:rPr>
      </w:pPr>
      <w:r>
        <w:rPr>
          <w:rFonts w:ascii="Arial" w:hAnsi="Arial"/>
          <w:noProof/>
          <w:color w:val="000000"/>
          <w:sz w:val="14"/>
          <w:szCs w:val="14"/>
          <w:lang w:val="bg-BG"/>
        </w:rPr>
        <w:t>*1 Прехвърляния на отменени задължения във/от 8-ия и 9-ия ЕФР към резервите на 10-ия ЕФР</w:t>
      </w:r>
    </w:p>
    <w:p>
      <w:pPr>
        <w:rPr>
          <w:rFonts w:ascii="Arial" w:hAnsi="Arial" w:cs="Arial"/>
          <w:noProof/>
          <w:color w:val="000000"/>
          <w:sz w:val="14"/>
          <w:szCs w:val="14"/>
          <w:lang w:val="bg-BG"/>
        </w:rPr>
      </w:pPr>
      <w:r>
        <w:rPr>
          <w:rFonts w:ascii="Arial" w:hAnsi="Arial"/>
          <w:noProof/>
          <w:color w:val="000000"/>
          <w:sz w:val="14"/>
          <w:szCs w:val="14"/>
          <w:lang w:val="bg-BG"/>
        </w:rPr>
        <w:t>*2 Всички намаления са отменени задължения, прехвърлени към резерва за изпълнение на 11-ия ЕФР, който не може да бъде мобилизиран</w:t>
      </w:r>
    </w:p>
    <w:p>
      <w:pPr>
        <w:rPr>
          <w:rFonts w:ascii="Arial" w:hAnsi="Arial" w:cs="Arial"/>
          <w:noProof/>
          <w:color w:val="000000"/>
          <w:sz w:val="14"/>
          <w:szCs w:val="14"/>
          <w:lang w:val="bg-BG"/>
        </w:rPr>
      </w:pPr>
      <w:r>
        <w:rPr>
          <w:rFonts w:ascii="Arial" w:hAnsi="Arial"/>
          <w:noProof/>
          <w:color w:val="000000"/>
          <w:sz w:val="14"/>
          <w:szCs w:val="14"/>
          <w:lang w:val="bg-BG"/>
        </w:rPr>
        <w:t>*3 За съфинансирането в таблицата са представени само бюджетните кредити за поети задължения</w:t>
      </w:r>
    </w:p>
    <w:p>
      <w:pPr>
        <w:rPr>
          <w:rFonts w:ascii="Arial" w:hAnsi="Arial" w:cs="Arial"/>
          <w:noProof/>
          <w:color w:val="000000"/>
          <w:sz w:val="14"/>
          <w:szCs w:val="14"/>
          <w:lang w:val="bg-BG"/>
        </w:rPr>
      </w:pPr>
      <w:r>
        <w:rPr>
          <w:rFonts w:ascii="Arial" w:hAnsi="Arial"/>
          <w:noProof/>
          <w:color w:val="000000"/>
          <w:sz w:val="14"/>
          <w:szCs w:val="14"/>
          <w:lang w:val="bg-BG"/>
        </w:rPr>
        <w:t>*4 Съгласно Решение 2017/xxx/ЕС на Съвета ххх милиона евро бяха добавени от резерва за изпълнение на 10-ия ЕФР, който не може да бъде мобилизиран, за Механизма за подкрепа на мира в Африка</w:t>
      </w:r>
    </w:p>
    <w:p>
      <w:pPr>
        <w:rPr>
          <w:noProof/>
          <w:sz w:val="12"/>
          <w:szCs w:val="12"/>
          <w:lang w:val="bg-BG"/>
        </w:rPr>
      </w:pPr>
    </w:p>
    <w:p>
      <w:pPr>
        <w:rPr>
          <w:noProof/>
          <w:sz w:val="12"/>
          <w:szCs w:val="12"/>
          <w:lang w:val="bg-BG"/>
        </w:rPr>
        <w:sectPr>
          <w:headerReference w:type="even" r:id="rId341"/>
          <w:headerReference w:type="default" r:id="rId342"/>
          <w:footerReference w:type="even" r:id="rId343"/>
          <w:footerReference w:type="default" r:id="rId344"/>
          <w:headerReference w:type="first" r:id="rId345"/>
          <w:footerReference w:type="first" r:id="rId346"/>
          <w:pgSz w:w="16840" w:h="11907" w:orient="landscape" w:code="9"/>
          <w:pgMar w:top="1440" w:right="1134" w:bottom="1134" w:left="1134" w:header="709" w:footer="709" w:gutter="0"/>
          <w:cols w:space="708"/>
          <w:docGrid w:linePitch="360"/>
        </w:sectPr>
      </w:pPr>
    </w:p>
    <w:p>
      <w:pPr>
        <w:rPr>
          <w:noProof/>
          <w:sz w:val="16"/>
          <w:szCs w:val="16"/>
          <w:lang w:val="bg-BG"/>
        </w:rPr>
      </w:pPr>
      <w:r>
        <w:rPr>
          <w:noProof/>
          <w:sz w:val="16"/>
          <w:szCs w:val="16"/>
          <w:lang w:val="bg-BG"/>
        </w:rPr>
        <w:t>Таблица 1.4</w:t>
      </w:r>
    </w:p>
    <w:p>
      <w:pPr>
        <w:jc w:val="center"/>
        <w:rPr>
          <w:rFonts w:ascii="Arial" w:hAnsi="Arial" w:cs="Arial"/>
          <w:b/>
          <w:bCs/>
          <w:noProof/>
          <w:color w:val="000000"/>
          <w:sz w:val="16"/>
          <w:szCs w:val="16"/>
          <w:lang w:val="bg-BG"/>
        </w:rPr>
      </w:pPr>
      <w:r>
        <w:rPr>
          <w:rFonts w:ascii="Arial" w:hAnsi="Arial"/>
          <w:b/>
          <w:bCs/>
          <w:noProof/>
          <w:color w:val="000000"/>
          <w:sz w:val="16"/>
          <w:szCs w:val="16"/>
          <w:lang w:val="bg-BG"/>
        </w:rPr>
        <w:t>11-и ЕФР</w:t>
      </w:r>
    </w:p>
    <w:p>
      <w:pPr>
        <w:jc w:val="center"/>
        <w:rPr>
          <w:rFonts w:ascii="Arial" w:hAnsi="Arial" w:cs="Arial"/>
          <w:b/>
          <w:bCs/>
          <w:noProof/>
          <w:color w:val="000000"/>
          <w:sz w:val="16"/>
          <w:szCs w:val="16"/>
          <w:lang w:val="bg-BG"/>
        </w:rPr>
      </w:pPr>
      <w:r>
        <w:rPr>
          <w:rFonts w:ascii="Arial" w:hAnsi="Arial"/>
          <w:b/>
          <w:bCs/>
          <w:noProof/>
          <w:color w:val="000000"/>
          <w:sz w:val="16"/>
          <w:szCs w:val="16"/>
          <w:lang w:val="bg-BG"/>
        </w:rPr>
        <w:t>ИЗМЕНЕНИЕ НА БЮДЖЕТНИТЕ КРЕДИТИ:  31 декември 2019 г.</w:t>
      </w:r>
    </w:p>
    <w:p>
      <w:pPr>
        <w:jc w:val="center"/>
        <w:rPr>
          <w:rFonts w:ascii="Arial" w:hAnsi="Arial" w:cs="Arial"/>
          <w:b/>
          <w:bCs/>
          <w:noProof/>
          <w:color w:val="000000"/>
          <w:sz w:val="16"/>
          <w:szCs w:val="16"/>
          <w:lang w:val="bg-BG"/>
        </w:rPr>
      </w:pPr>
      <w:r>
        <w:rPr>
          <w:rFonts w:ascii="Arial" w:hAnsi="Arial"/>
          <w:b/>
          <w:bCs/>
          <w:noProof/>
          <w:color w:val="000000"/>
          <w:sz w:val="16"/>
          <w:szCs w:val="16"/>
          <w:lang w:val="bg-BG"/>
        </w:rPr>
        <w:t>АНАЛИЗ НА КРЕДИТИТЕ ПО ИНСТРУМЕНТИ</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3685"/>
        <w:gridCol w:w="1843"/>
        <w:gridCol w:w="3665"/>
        <w:gridCol w:w="2430"/>
        <w:gridCol w:w="851"/>
        <w:gridCol w:w="1753"/>
      </w:tblGrid>
      <w:tr>
        <w:trPr>
          <w:trHeight w:hRule="exact" w:val="115"/>
        </w:trPr>
        <w:tc>
          <w:tcPr>
            <w:tcW w:w="4171" w:type="dxa"/>
            <w:gridSpan w:val="2"/>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bookmarkStart w:id="144" w:name="DOC_TBL00060_1_1"/>
            <w:bookmarkEnd w:id="144"/>
          </w:p>
        </w:tc>
        <w:tc>
          <w:tcPr>
            <w:tcW w:w="1843"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65"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243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851"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(милиони евро)</w:t>
            </w:r>
          </w:p>
        </w:tc>
      </w:tr>
      <w:tr>
        <w:trPr>
          <w:trHeight w:hRule="exact" w:val="430"/>
        </w:trPr>
        <w:tc>
          <w:tcPr>
            <w:tcW w:w="4171"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ИНСТРУМЕНТ</w:t>
            </w:r>
          </w:p>
        </w:tc>
        <w:tc>
          <w:tcPr>
            <w:tcW w:w="1843"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ПЪРВОНАЧАЛЕН БЮДЖЕТЕН КРЕДИТ</w:t>
            </w:r>
          </w:p>
        </w:tc>
        <w:tc>
          <w:tcPr>
            <w:tcW w:w="366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УВЕЛИЧЕНИЯ/НАМАЛЕНИЯ НА КУМУЛАТИВНИТЕ РЕСУРСИ КЪМ 31 ДЕКЕМВРИ 2018 Г.</w:t>
            </w:r>
          </w:p>
        </w:tc>
        <w:tc>
          <w:tcPr>
            <w:tcW w:w="243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УВЕЛИЧЕНИЕ ИЛИ НАМАЛЕНИЕ НА РЕСУРСИТЕ ПРЕЗ 2019 г.</w:t>
            </w:r>
          </w:p>
        </w:tc>
        <w:tc>
          <w:tcPr>
            <w:tcW w:w="851"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Забележки</w:t>
            </w:r>
          </w:p>
        </w:tc>
        <w:tc>
          <w:tcPr>
            <w:tcW w:w="1753"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ТЕКУЩО НИВО НА БЮДЖЕТНИТЕ КРЕДИТИ</w:t>
            </w: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184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36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82</w:t>
            </w:r>
          </w:p>
        </w:tc>
        <w:tc>
          <w:tcPr>
            <w:tcW w:w="243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p>
        </w:tc>
        <w:tc>
          <w:tcPr>
            <w:tcW w:w="85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175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82</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АКТБ</w:t>
            </w: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65</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65</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Б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17</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17</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национални средства Пакет A STABEX</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АКТБ</w:t>
            </w:r>
          </w:p>
        </w:tc>
        <w:tc>
          <w:tcPr>
            <w:tcW w:w="36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1843"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36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43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851"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753"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МЕЖДИННА СУМА АКТБ</w:t>
            </w:r>
          </w:p>
        </w:tc>
        <w:tc>
          <w:tcPr>
            <w:tcW w:w="184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w:t>
            </w:r>
          </w:p>
        </w:tc>
        <w:tc>
          <w:tcPr>
            <w:tcW w:w="366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82</w:t>
            </w:r>
          </w:p>
        </w:tc>
        <w:tc>
          <w:tcPr>
            <w:tcW w:w="243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p>
        </w:tc>
        <w:tc>
          <w:tcPr>
            <w:tcW w:w="85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p>
        </w:tc>
        <w:tc>
          <w:tcPr>
            <w:tcW w:w="1753"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82</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843"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6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43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851"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184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29,008</w:t>
            </w:r>
          </w:p>
        </w:tc>
        <w:tc>
          <w:tcPr>
            <w:tcW w:w="36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253</w:t>
            </w:r>
          </w:p>
        </w:tc>
        <w:tc>
          <w:tcPr>
            <w:tcW w:w="243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FF0000"/>
                <w:sz w:val="14"/>
                <w:szCs w:val="20"/>
                <w:lang w:val="bg-BG"/>
              </w:rPr>
            </w:pPr>
            <w:r>
              <w:rPr>
                <w:rFonts w:ascii="Arial" w:eastAsia="Calibri" w:hAnsi="Arial"/>
                <w:b/>
                <w:i/>
                <w:noProof/>
                <w:color w:val="FF0000"/>
                <w:sz w:val="14"/>
                <w:szCs w:val="20"/>
                <w:lang w:val="bg-BG"/>
              </w:rPr>
              <w:t>(179)</w:t>
            </w:r>
          </w:p>
        </w:tc>
        <w:tc>
          <w:tcPr>
            <w:tcW w:w="85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175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29,081</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АКТБ </w:t>
            </w: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15,354</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213</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15,567</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Б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700</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139</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838</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Пакет Б</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Разходи за прилагане</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1,053</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1,053</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Институционални разходи и разходи за подкрепа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246</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(49)</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197</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Лихви и други приходи</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16</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18</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в рамките на АКТБ</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3,590</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(3,521)</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(42)</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27</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национални средства Пакет A STABEX</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НИП/РИП</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24,365</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(23,095)</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(731)</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540</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който не може да бъде мобилизиран</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311</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(181)</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130</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Други средства в рамките на АКТБ</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2,700</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91</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2,791</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Инструмент за мир</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1,000</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1,000</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Регионални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6,541</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379</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6,920</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Съфинансиране</w:t>
            </w:r>
          </w:p>
        </w:tc>
        <w:tc>
          <w:tcPr>
            <w:tcW w:w="184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36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38</w:t>
            </w:r>
          </w:p>
        </w:tc>
        <w:tc>
          <w:tcPr>
            <w:tcW w:w="243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35</w:t>
            </w:r>
          </w:p>
        </w:tc>
        <w:tc>
          <w:tcPr>
            <w:tcW w:w="85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*2</w:t>
            </w:r>
          </w:p>
        </w:tc>
        <w:tc>
          <w:tcPr>
            <w:tcW w:w="175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73</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23</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19</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42</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Разходи за прилагане</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Инструмент за мир</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11</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13</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24</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Регионални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*2</w:t>
            </w: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Вътрешни SLA на ЕК</w:t>
            </w:r>
          </w:p>
        </w:tc>
        <w:tc>
          <w:tcPr>
            <w:tcW w:w="184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36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1</w:t>
            </w:r>
          </w:p>
        </w:tc>
        <w:tc>
          <w:tcPr>
            <w:tcW w:w="243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p>
        </w:tc>
        <w:tc>
          <w:tcPr>
            <w:tcW w:w="85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175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1</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r>
      <w:tr>
        <w:trPr>
          <w:trHeight w:hRule="exact" w:val="20"/>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 xml:space="preserve">АКТБ </w:t>
            </w:r>
          </w:p>
        </w:tc>
        <w:tc>
          <w:tcPr>
            <w:tcW w:w="36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1843"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36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43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851"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753"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 xml:space="preserve">МЕЖДИННА СУМА АКТБ </w:t>
            </w:r>
          </w:p>
        </w:tc>
        <w:tc>
          <w:tcPr>
            <w:tcW w:w="184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29,008</w:t>
            </w:r>
          </w:p>
        </w:tc>
        <w:tc>
          <w:tcPr>
            <w:tcW w:w="366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291</w:t>
            </w:r>
          </w:p>
        </w:tc>
        <w:tc>
          <w:tcPr>
            <w:tcW w:w="243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p>
        </w:tc>
        <w:tc>
          <w:tcPr>
            <w:tcW w:w="85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p>
        </w:tc>
        <w:tc>
          <w:tcPr>
            <w:tcW w:w="1753"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29,155</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843"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6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43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851"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184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36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350</w:t>
            </w:r>
          </w:p>
        </w:tc>
        <w:tc>
          <w:tcPr>
            <w:tcW w:w="243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5</w:t>
            </w:r>
          </w:p>
        </w:tc>
        <w:tc>
          <w:tcPr>
            <w:tcW w:w="85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175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355</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r>
              <w:rPr>
                <w:rFonts w:ascii="Arial" w:eastAsia="Calibri" w:hAnsi="Arial"/>
                <w:noProof/>
                <w:color w:val="000000"/>
                <w:sz w:val="14"/>
                <w:szCs w:val="20"/>
                <w:lang w:val="bg-BG"/>
              </w:rPr>
              <w:t>ОСТ</w:t>
            </w: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196</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196</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Б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8</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8</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НИП/РИП</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49</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4"/>
                <w:szCs w:val="20"/>
                <w:lang w:val="bg-BG"/>
              </w:rPr>
            </w:pPr>
            <w:r>
              <w:rPr>
                <w:rFonts w:ascii="Arial" w:eastAsia="Calibri" w:hAnsi="Arial"/>
                <w:noProof/>
                <w:color w:val="FF0000"/>
                <w:sz w:val="14"/>
                <w:szCs w:val="20"/>
                <w:lang w:val="bg-BG"/>
              </w:rPr>
              <w:t>(18)</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32</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Резерв, който не може да бъде мобилизиран</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7</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5</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*1</w:t>
            </w: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12</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Регионални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81</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18</w:t>
            </w: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99</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Проучвания/Техническа помощ OCT</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9</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9</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Съфинансиране</w:t>
            </w:r>
          </w:p>
        </w:tc>
        <w:tc>
          <w:tcPr>
            <w:tcW w:w="184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36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43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p>
        </w:tc>
        <w:tc>
          <w:tcPr>
            <w:tcW w:w="85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175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Вътрешни SLA на ЕК</w:t>
            </w:r>
          </w:p>
        </w:tc>
        <w:tc>
          <w:tcPr>
            <w:tcW w:w="184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36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243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p>
        </w:tc>
        <w:tc>
          <w:tcPr>
            <w:tcW w:w="85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175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r>
      <w:tr>
        <w:trPr>
          <w:trHeight w:hRule="exact" w:val="173"/>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r>
              <w:rPr>
                <w:rFonts w:ascii="Arial" w:eastAsia="Calibri" w:hAnsi="Arial"/>
                <w:noProof/>
                <w:color w:val="FFFFFF"/>
                <w:sz w:val="14"/>
                <w:szCs w:val="20"/>
                <w:lang w:val="bg-BG"/>
              </w:rPr>
              <w:t>ОСТ</w:t>
            </w:r>
          </w:p>
        </w:tc>
        <w:tc>
          <w:tcPr>
            <w:tcW w:w="36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1843"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36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43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851"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753"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МЕЖДИННА СУМА ОСТ</w:t>
            </w:r>
          </w:p>
        </w:tc>
        <w:tc>
          <w:tcPr>
            <w:tcW w:w="184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w:t>
            </w:r>
          </w:p>
        </w:tc>
        <w:tc>
          <w:tcPr>
            <w:tcW w:w="366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350</w:t>
            </w:r>
          </w:p>
        </w:tc>
        <w:tc>
          <w:tcPr>
            <w:tcW w:w="243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p>
        </w:tc>
        <w:tc>
          <w:tcPr>
            <w:tcW w:w="85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p>
        </w:tc>
        <w:tc>
          <w:tcPr>
            <w:tcW w:w="1753"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355</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843"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6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43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851"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162"/>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Редовни вноски на държавите членки</w:t>
            </w:r>
          </w:p>
        </w:tc>
        <w:tc>
          <w:tcPr>
            <w:tcW w:w="1843"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w:t>
            </w:r>
          </w:p>
        </w:tc>
        <w:tc>
          <w:tcPr>
            <w:tcW w:w="366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17</w:t>
            </w:r>
          </w:p>
        </w:tc>
        <w:tc>
          <w:tcPr>
            <w:tcW w:w="243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p>
        </w:tc>
        <w:tc>
          <w:tcPr>
            <w:tcW w:w="851"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i/>
                <w:noProof/>
                <w:color w:val="000000"/>
                <w:sz w:val="14"/>
                <w:szCs w:val="20"/>
                <w:lang w:val="bg-BG"/>
              </w:rPr>
            </w:pPr>
          </w:p>
        </w:tc>
        <w:tc>
          <w:tcPr>
            <w:tcW w:w="1753"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jc w:val="right"/>
              <w:rPr>
                <w:rFonts w:ascii="Arial" w:eastAsia="Arial" w:hAnsi="Arial" w:cs="Arial"/>
                <w:b/>
                <w:i/>
                <w:noProof/>
                <w:color w:val="000000"/>
                <w:sz w:val="14"/>
                <w:szCs w:val="20"/>
                <w:lang w:val="bg-BG"/>
              </w:rPr>
            </w:pPr>
            <w:r>
              <w:rPr>
                <w:rFonts w:ascii="Arial" w:eastAsia="Calibri" w:hAnsi="Arial"/>
                <w:b/>
                <w:i/>
                <w:noProof/>
                <w:color w:val="000000"/>
                <w:sz w:val="14"/>
                <w:szCs w:val="20"/>
                <w:lang w:val="bg-BG"/>
              </w:rPr>
              <w:t>17</w:t>
            </w:r>
          </w:p>
        </w:tc>
      </w:tr>
      <w:tr>
        <w:trPr>
          <w:trHeight w:hRule="exact" w:val="162"/>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A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10</w:t>
            </w:r>
          </w:p>
        </w:tc>
      </w:tr>
      <w:tr>
        <w:trPr>
          <w:trHeight w:hRule="exact" w:val="162"/>
        </w:trPr>
        <w:tc>
          <w:tcPr>
            <w:tcW w:w="486"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685"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r>
              <w:rPr>
                <w:rFonts w:ascii="Arial" w:eastAsia="Calibri" w:hAnsi="Arial"/>
                <w:noProof/>
                <w:color w:val="000000"/>
                <w:sz w:val="14"/>
                <w:szCs w:val="20"/>
                <w:lang w:val="bg-BG"/>
              </w:rPr>
              <w:t xml:space="preserve">       Пакет Б — Национални средства</w:t>
            </w:r>
          </w:p>
        </w:tc>
        <w:tc>
          <w:tcPr>
            <w:tcW w:w="1843"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w:t>
            </w:r>
          </w:p>
        </w:tc>
        <w:tc>
          <w:tcPr>
            <w:tcW w:w="366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7</w:t>
            </w:r>
          </w:p>
        </w:tc>
        <w:tc>
          <w:tcPr>
            <w:tcW w:w="243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p>
        </w:tc>
        <w:tc>
          <w:tcPr>
            <w:tcW w:w="851"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4"/>
                <w:szCs w:val="20"/>
                <w:lang w:val="bg-BG"/>
              </w:rPr>
            </w:pPr>
            <w:r>
              <w:rPr>
                <w:rFonts w:ascii="Arial" w:eastAsia="Calibri" w:hAnsi="Arial"/>
                <w:noProof/>
                <w:color w:val="000000"/>
                <w:sz w:val="14"/>
                <w:szCs w:val="20"/>
                <w:lang w:val="bg-BG"/>
              </w:rPr>
              <w:t>7</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FFFFFF"/>
                <w:sz w:val="14"/>
                <w:szCs w:val="20"/>
                <w:lang w:val="bg-BG"/>
              </w:rPr>
            </w:pPr>
          </w:p>
        </w:tc>
        <w:tc>
          <w:tcPr>
            <w:tcW w:w="368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1843"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36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243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851"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753"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bidi="en-GB"/>
              </w:rPr>
            </w:pPr>
          </w:p>
        </w:tc>
      </w:tr>
      <w:tr>
        <w:trPr>
          <w:trHeight w:hRule="exact" w:val="162"/>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 xml:space="preserve">МЕЖДИННА СУМА </w:t>
            </w:r>
          </w:p>
        </w:tc>
        <w:tc>
          <w:tcPr>
            <w:tcW w:w="1843"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w:t>
            </w:r>
          </w:p>
        </w:tc>
        <w:tc>
          <w:tcPr>
            <w:tcW w:w="366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17</w:t>
            </w:r>
          </w:p>
        </w:tc>
        <w:tc>
          <w:tcPr>
            <w:tcW w:w="243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FFFFFF"/>
                <w:sz w:val="16"/>
                <w:szCs w:val="20"/>
                <w:lang w:val="bg-BG"/>
              </w:rPr>
            </w:pPr>
          </w:p>
        </w:tc>
        <w:tc>
          <w:tcPr>
            <w:tcW w:w="85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6"/>
                <w:szCs w:val="20"/>
                <w:lang w:val="bg-BG"/>
              </w:rPr>
            </w:pPr>
          </w:p>
        </w:tc>
        <w:tc>
          <w:tcPr>
            <w:tcW w:w="1753"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jc w:val="right"/>
              <w:rPr>
                <w:rFonts w:ascii="Arial" w:eastAsia="Arial" w:hAnsi="Arial" w:cs="Arial"/>
                <w:b/>
                <w:noProof/>
                <w:color w:val="FFFFFF"/>
                <w:sz w:val="16"/>
                <w:szCs w:val="20"/>
                <w:lang w:val="bg-BG"/>
              </w:rPr>
            </w:pPr>
            <w:r>
              <w:rPr>
                <w:rFonts w:ascii="Arial" w:eastAsia="Calibri" w:hAnsi="Arial"/>
                <w:b/>
                <w:noProof/>
                <w:color w:val="FFFFFF"/>
                <w:sz w:val="16"/>
                <w:szCs w:val="20"/>
                <w:lang w:val="bg-BG"/>
              </w:rPr>
              <w:t>17</w:t>
            </w:r>
          </w:p>
        </w:tc>
      </w:tr>
      <w:tr>
        <w:trPr>
          <w:trHeight w:hRule="exact" w:val="20"/>
        </w:trPr>
        <w:tc>
          <w:tcPr>
            <w:tcW w:w="48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8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843"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366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243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851"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rPr>
            </w:pPr>
          </w:p>
        </w:tc>
        <w:tc>
          <w:tcPr>
            <w:tcW w:w="1753"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Cs w:val="20"/>
                <w:lang w:val="bg-BG" w:bidi="en-GB"/>
              </w:rPr>
            </w:pPr>
          </w:p>
        </w:tc>
      </w:tr>
      <w:tr>
        <w:trPr>
          <w:trHeight w:hRule="exact" w:val="231"/>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rPr>
                <w:rFonts w:ascii="Arial" w:eastAsia="Arial" w:hAnsi="Arial" w:cs="Arial"/>
                <w:noProof/>
                <w:color w:val="000000"/>
                <w:sz w:val="14"/>
                <w:szCs w:val="20"/>
                <w:lang w:val="bg-BG"/>
              </w:rPr>
            </w:pPr>
          </w:p>
        </w:tc>
        <w:tc>
          <w:tcPr>
            <w:tcW w:w="368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rPr>
                <w:rFonts w:ascii="Arial" w:eastAsia="Arial" w:hAnsi="Arial" w:cs="Arial"/>
                <w:b/>
                <w:noProof/>
                <w:color w:val="FFFFFF"/>
                <w:sz w:val="16"/>
                <w:szCs w:val="20"/>
                <w:lang w:val="bg-BG"/>
              </w:rPr>
            </w:pPr>
            <w:r>
              <w:rPr>
                <w:rFonts w:ascii="Arial" w:eastAsia="Calibri" w:hAnsi="Arial"/>
                <w:b/>
                <w:noProof/>
                <w:color w:val="FFFFFF"/>
                <w:sz w:val="16"/>
                <w:szCs w:val="20"/>
                <w:lang w:val="bg-BG"/>
              </w:rPr>
              <w:t>ОБЩО 11-и ЕФР</w:t>
            </w:r>
          </w:p>
        </w:tc>
        <w:tc>
          <w:tcPr>
            <w:tcW w:w="1843"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noProof/>
                <w:color w:val="FFFFFF"/>
                <w:sz w:val="16"/>
                <w:szCs w:val="20"/>
                <w:lang w:val="bg-BG"/>
              </w:rPr>
            </w:pPr>
            <w:r>
              <w:rPr>
                <w:rFonts w:ascii="Arial" w:eastAsia="Calibri" w:hAnsi="Arial"/>
                <w:noProof/>
                <w:color w:val="FFFFFF"/>
                <w:sz w:val="16"/>
                <w:szCs w:val="20"/>
                <w:lang w:val="bg-BG"/>
              </w:rPr>
              <w:t>29,008</w:t>
            </w:r>
          </w:p>
        </w:tc>
        <w:tc>
          <w:tcPr>
            <w:tcW w:w="366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noProof/>
                <w:color w:val="FFFFFF"/>
                <w:sz w:val="16"/>
                <w:szCs w:val="20"/>
                <w:lang w:val="bg-BG"/>
              </w:rPr>
            </w:pPr>
            <w:r>
              <w:rPr>
                <w:rFonts w:ascii="Arial" w:eastAsia="Calibri" w:hAnsi="Arial"/>
                <w:noProof/>
                <w:color w:val="FFFFFF"/>
                <w:sz w:val="16"/>
                <w:szCs w:val="20"/>
                <w:lang w:val="bg-BG"/>
              </w:rPr>
              <w:t>740</w:t>
            </w:r>
          </w:p>
        </w:tc>
        <w:tc>
          <w:tcPr>
            <w:tcW w:w="243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jc w:val="right"/>
              <w:rPr>
                <w:rFonts w:ascii="Arial" w:eastAsia="Arial" w:hAnsi="Arial" w:cs="Arial"/>
                <w:noProof/>
                <w:color w:val="FF0000"/>
                <w:sz w:val="16"/>
                <w:szCs w:val="20"/>
                <w:lang w:val="bg-BG"/>
              </w:rPr>
            </w:pPr>
            <w:r>
              <w:rPr>
                <w:rFonts w:ascii="Arial" w:eastAsia="Calibri" w:hAnsi="Arial"/>
                <w:noProof/>
                <w:color w:val="FF0000"/>
                <w:sz w:val="16"/>
                <w:szCs w:val="20"/>
                <w:lang w:val="bg-BG"/>
              </w:rPr>
              <w:t>(139)</w:t>
            </w:r>
          </w:p>
        </w:tc>
        <w:tc>
          <w:tcPr>
            <w:tcW w:w="851"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rPr>
                <w:rFonts w:ascii="Arial" w:eastAsia="Arial" w:hAnsi="Arial" w:cs="Arial"/>
                <w:noProof/>
                <w:color w:val="FFFFFF"/>
                <w:sz w:val="14"/>
                <w:szCs w:val="20"/>
                <w:lang w:val="bg-BG"/>
              </w:rPr>
            </w:pPr>
          </w:p>
        </w:tc>
        <w:tc>
          <w:tcPr>
            <w:tcW w:w="1753"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jc w:val="right"/>
              <w:rPr>
                <w:rFonts w:ascii="Arial" w:eastAsia="Arial" w:hAnsi="Arial" w:cs="Arial"/>
                <w:noProof/>
                <w:color w:val="FFFFFF"/>
                <w:sz w:val="16"/>
                <w:szCs w:val="20"/>
                <w:lang w:val="bg-BG"/>
              </w:rPr>
            </w:pPr>
            <w:r>
              <w:rPr>
                <w:rFonts w:ascii="Arial" w:eastAsia="Calibri" w:hAnsi="Arial"/>
                <w:noProof/>
                <w:color w:val="FFFFFF"/>
                <w:sz w:val="16"/>
                <w:szCs w:val="20"/>
                <w:lang w:val="bg-BG"/>
              </w:rPr>
              <w:t>29,608</w:t>
            </w:r>
          </w:p>
        </w:tc>
      </w:tr>
    </w:tbl>
    <w:p>
      <w:pPr>
        <w:rPr>
          <w:rFonts w:ascii="Arial" w:hAnsi="Arial" w:cs="Arial"/>
          <w:noProof/>
          <w:color w:val="000000"/>
          <w:sz w:val="14"/>
          <w:szCs w:val="14"/>
          <w:lang w:val="bg-BG"/>
        </w:rPr>
      </w:pPr>
      <w:r>
        <w:rPr>
          <w:rFonts w:ascii="Arial" w:hAnsi="Arial"/>
          <w:noProof/>
          <w:color w:val="000000"/>
          <w:sz w:val="14"/>
          <w:szCs w:val="14"/>
          <w:lang w:val="bg-BG"/>
        </w:rPr>
        <w:t>*1 Прехвърляния на отменени задължения във/от 10-ия към резервите на 10-ия ЕФР</w:t>
      </w:r>
    </w:p>
    <w:p>
      <w:pPr>
        <w:rPr>
          <w:rFonts w:ascii="Arial" w:hAnsi="Arial" w:cs="Arial"/>
          <w:noProof/>
          <w:color w:val="000000"/>
          <w:sz w:val="14"/>
          <w:szCs w:val="14"/>
          <w:lang w:val="bg-BG"/>
        </w:rPr>
        <w:sectPr>
          <w:headerReference w:type="even" r:id="rId347"/>
          <w:headerReference w:type="default" r:id="rId348"/>
          <w:footerReference w:type="even" r:id="rId349"/>
          <w:footerReference w:type="default" r:id="rId350"/>
          <w:headerReference w:type="first" r:id="rId351"/>
          <w:footerReference w:type="first" r:id="rId352"/>
          <w:pgSz w:w="16840" w:h="11907" w:orient="landscape" w:code="9"/>
          <w:pgMar w:top="1276" w:right="1134" w:bottom="1134" w:left="1134" w:header="709" w:footer="709" w:gutter="0"/>
          <w:cols w:space="708"/>
          <w:docGrid w:linePitch="360"/>
        </w:sectPr>
      </w:pPr>
      <w:r>
        <w:rPr>
          <w:rFonts w:ascii="Arial" w:hAnsi="Arial"/>
          <w:noProof/>
          <w:color w:val="000000"/>
          <w:sz w:val="14"/>
          <w:szCs w:val="14"/>
          <w:lang w:val="bg-BG"/>
        </w:rPr>
        <w:t>*2 За съфинансирането в таблицата са представени само бюджетните кредити за поети задължения</w:t>
      </w:r>
      <w:bookmarkEnd w:id="140"/>
    </w:p>
    <w:p>
      <w:pPr>
        <w:rPr>
          <w:rFonts w:ascii="Arial" w:hAnsi="Arial" w:cs="Arial"/>
          <w:noProof/>
          <w:color w:val="000000"/>
          <w:sz w:val="16"/>
          <w:szCs w:val="16"/>
          <w:lang w:val="bg-BG"/>
        </w:rPr>
      </w:pPr>
      <w:bookmarkStart w:id="145" w:name="_DMBM_19007"/>
      <w:r>
        <w:rPr>
          <w:rFonts w:ascii="Arial" w:hAnsi="Arial"/>
          <w:noProof/>
          <w:color w:val="000000"/>
          <w:sz w:val="16"/>
          <w:szCs w:val="16"/>
          <w:lang w:val="bg-BG"/>
        </w:rPr>
        <w:t>Таблица 2.1</w:t>
      </w:r>
    </w:p>
    <w:p>
      <w:pPr>
        <w:jc w:val="center"/>
        <w:rPr>
          <w:b/>
          <w:noProof/>
          <w:sz w:val="16"/>
          <w:szCs w:val="16"/>
          <w:lang w:val="bg-BG"/>
        </w:rPr>
      </w:pPr>
      <w:r>
        <w:rPr>
          <w:b/>
          <w:noProof/>
          <w:sz w:val="16"/>
          <w:szCs w:val="16"/>
          <w:lang w:val="bg-BG"/>
        </w:rPr>
        <w:t>КОНСОЛИДИРАНИ ОТЧЕТИ НА ЕФР КЪМ 31 ДЕКЕМВРИ 2019 г.</w:t>
      </w:r>
    </w:p>
    <w:p>
      <w:pPr>
        <w:jc w:val="center"/>
        <w:rPr>
          <w:b/>
          <w:noProof/>
          <w:sz w:val="16"/>
          <w:szCs w:val="16"/>
          <w:lang w:val="bg-BG"/>
        </w:rPr>
      </w:pPr>
      <w:r>
        <w:rPr>
          <w:b/>
          <w:noProof/>
          <w:sz w:val="16"/>
          <w:szCs w:val="16"/>
          <w:lang w:val="bg-BG"/>
        </w:rPr>
        <w:t>ДОКЛАД ЗА НАПРЕДЪКА</w:t>
      </w:r>
    </w:p>
    <w:tbl>
      <w:tblPr>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
        <w:gridCol w:w="969"/>
        <w:gridCol w:w="865"/>
        <w:gridCol w:w="731"/>
        <w:gridCol w:w="909"/>
        <w:gridCol w:w="909"/>
        <w:gridCol w:w="909"/>
        <w:gridCol w:w="909"/>
        <w:gridCol w:w="909"/>
        <w:gridCol w:w="909"/>
      </w:tblGrid>
      <w:tr>
        <w:trPr>
          <w:trHeight w:hRule="exact" w:val="279"/>
        </w:trPr>
        <w:tc>
          <w:tcPr>
            <w:tcW w:w="1065" w:type="dxa"/>
            <w:gridSpan w:val="2"/>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bookmarkStart w:id="146" w:name="DOC_TBL00061_1_1"/>
            <w:bookmarkEnd w:id="146"/>
          </w:p>
        </w:tc>
        <w:tc>
          <w:tcPr>
            <w:tcW w:w="87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73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830" w:type="dxa"/>
            <w:gridSpan w:val="2"/>
            <w:tcBorders>
              <w:top w:val="nil"/>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(милиони евро)</w:t>
            </w:r>
          </w:p>
        </w:tc>
      </w:tr>
      <w:tr>
        <w:trPr>
          <w:trHeight w:hRule="exact" w:val="279"/>
        </w:trPr>
        <w:tc>
          <w:tcPr>
            <w:tcW w:w="3585" w:type="dxa"/>
            <w:gridSpan w:val="5"/>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4575" w:type="dxa"/>
            <w:gridSpan w:val="5"/>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ЕФР</w:t>
            </w:r>
          </w:p>
        </w:tc>
      </w:tr>
      <w:tr>
        <w:trPr>
          <w:trHeight w:hRule="exact" w:val="298"/>
        </w:trPr>
        <w:tc>
          <w:tcPr>
            <w:tcW w:w="9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4"/>
                <w:szCs w:val="20"/>
                <w:lang w:val="bg-BG"/>
              </w:rPr>
            </w:pPr>
          </w:p>
        </w:tc>
        <w:tc>
          <w:tcPr>
            <w:tcW w:w="3495" w:type="dxa"/>
            <w:gridSpan w:val="4"/>
            <w:tcBorders>
              <w:top w:val="nil"/>
              <w:left w:val="nil"/>
              <w:bottom w:val="single" w:sz="4" w:space="0" w:color="000000"/>
              <w:right w:val="nil"/>
              <w:tl2br w:val="nil"/>
              <w:tr2bl w:val="nil"/>
            </w:tcBorders>
            <w:shd w:val="solid" w:color="FFFFFF" w:fill="FFFFFF"/>
            <w:tcMar>
              <w:left w:w="60" w:type="dxa"/>
              <w:right w:w="60" w:type="dxa"/>
            </w:tcMa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 xml:space="preserve">                                      РАЗПРЕДЕЛЕНИЕ</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8</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9</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10</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11</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ОБЩО</w:t>
            </w:r>
          </w:p>
        </w:tc>
      </w:tr>
      <w:tr>
        <w:trPr>
          <w:trHeight w:hRule="exact" w:val="279"/>
        </w:trPr>
        <w:tc>
          <w:tcPr>
            <w:tcW w:w="90"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Ломе</w:t>
            </w: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Разни приходи</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Общо индикативни програми</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4,985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4,985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Общо непрограмирана помощ</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4,707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4,707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Трансфери от други фондове</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РЕДОВНИ ВНОСКИ ОТ ДЪРЖАВИТЕ ЧЛЕНКИ</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9,728</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670</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10,398</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bidi="en-GB"/>
              </w:rPr>
            </w:pPr>
          </w:p>
        </w:tc>
      </w:tr>
      <w:tr>
        <w:trPr>
          <w:trHeight w:hRule="exact" w:val="279"/>
        </w:trPr>
        <w:tc>
          <w:tcPr>
            <w:tcW w:w="90"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Котону</w:t>
            </w: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Пакет A — Национални средства</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417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8,835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12,939</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15,838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38,029</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Пакет Б — Национални средства</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1,213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2,006</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870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4,322</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Преходен инструмент</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CDE, CTA и Парламентарна асамблея</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по държави</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Разходи за прилагане и приходи от лихви</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1,079</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1,855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Средства в рамките на АКТБ</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2,937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3,608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3,988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10,534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в рамките на АКТБ</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национални средства Пакет A STABEX</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НИП/РИП</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571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571</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който не може да бъде мобилизиран</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340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Регионални средства</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793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1,941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7,018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9,752</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регионални средства</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Специална вноска за ДР Конго</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Спец. вноска за Южен Судан</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Спец. вноска за Судан</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Доброволна вноска Инструмент за мир</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РЕДОВНИ ВНОСКИ ОТ ДЪРЖАВИТЕ ЧЛЕНКИ</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650</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14,678</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21,227</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29,535</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66,089</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bidi="en-GB"/>
              </w:rPr>
            </w:pP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Пакет A — Национални средства</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Вътрешни SLA на ЕК</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bidi="en-GB"/>
              </w:rPr>
            </w:pP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Пакет A — Национални средства</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227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Разходи за прилагане и приходи от лихви</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Средства в рамките на АКТБ</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36</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Регионални средства</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СЪФИНАНСИРАНЕ</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203</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73</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275</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bidi="en-GB"/>
              </w:rPr>
            </w:pPr>
          </w:p>
        </w:tc>
      </w:tr>
      <w:tr>
        <w:trPr>
          <w:trHeight w:hRule="exact" w:val="345"/>
        </w:trPr>
        <w:tc>
          <w:tcPr>
            <w:tcW w:w="90"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3495" w:type="dxa"/>
            <w:gridSpan w:val="4"/>
            <w:tcBorders>
              <w:top w:val="nil"/>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ОБЩО</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10,378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15,348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21,430</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29,608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76,764</w:t>
            </w:r>
          </w:p>
        </w:tc>
      </w:tr>
      <w:bookmarkEnd w:id="145"/>
    </w:tbl>
    <w:p>
      <w:pPr>
        <w:rPr>
          <w:noProof/>
          <w:lang w:val="bg-BG"/>
        </w:rPr>
        <w:sectPr>
          <w:headerReference w:type="even" r:id="rId353"/>
          <w:headerReference w:type="default" r:id="rId354"/>
          <w:footerReference w:type="even" r:id="rId355"/>
          <w:footerReference w:type="default" r:id="rId356"/>
          <w:headerReference w:type="first" r:id="rId357"/>
          <w:footerReference w:type="first" r:id="rId358"/>
          <w:pgSz w:w="11906" w:h="16838" w:code="9"/>
          <w:pgMar w:top="1134" w:right="1134" w:bottom="1134" w:left="1134" w:header="709" w:footer="709" w:gutter="0"/>
          <w:cols w:space="708"/>
          <w:docGrid w:linePitch="360"/>
        </w:sectPr>
      </w:pPr>
    </w:p>
    <w:p>
      <w:pPr>
        <w:rPr>
          <w:noProof/>
          <w:lang w:val="bg-BG"/>
        </w:rPr>
      </w:pPr>
      <w:bookmarkStart w:id="147" w:name="_DMBM_19008"/>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85"/>
        <w:gridCol w:w="870"/>
        <w:gridCol w:w="735"/>
        <w:gridCol w:w="915"/>
        <w:gridCol w:w="915"/>
        <w:gridCol w:w="915"/>
        <w:gridCol w:w="915"/>
        <w:gridCol w:w="915"/>
        <w:gridCol w:w="915"/>
        <w:gridCol w:w="915"/>
        <w:gridCol w:w="915"/>
        <w:gridCol w:w="915"/>
        <w:gridCol w:w="915"/>
        <w:gridCol w:w="915"/>
        <w:gridCol w:w="915"/>
        <w:gridCol w:w="915"/>
      </w:tblGrid>
      <w:tr>
        <w:trPr>
          <w:trHeight w:hRule="exact" w:val="195"/>
        </w:trPr>
        <w:tc>
          <w:tcPr>
            <w:tcW w:w="78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bookmarkStart w:id="148" w:name="DOC_TBL00062_1_1"/>
            <w:bookmarkEnd w:id="148"/>
            <w:r>
              <w:rPr>
                <w:rFonts w:ascii="Arial" w:eastAsia="Calibri" w:hAnsi="Arial"/>
                <w:b/>
                <w:noProof/>
                <w:color w:val="000000"/>
                <w:sz w:val="12"/>
                <w:szCs w:val="20"/>
                <w:lang w:val="bg-BG"/>
              </w:rPr>
              <w:t>Решения</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52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Съвкупна сума</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Кумулативни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r>
      <w:tr>
        <w:trPr>
          <w:trHeight w:hRule="exact" w:val="150"/>
        </w:trPr>
        <w:tc>
          <w:tcPr>
            <w:tcW w:w="78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ЕФР</w:t>
            </w: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Към 31.12.2019 г.</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Неизпълнени поети задължения (RAL)</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 от разпределението</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2008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eastAsia="Arial"/>
                <w:noProof/>
              </w:rPr>
            </w:pPr>
            <w:r>
              <w:rPr>
                <w:rFonts w:ascii="Arial" w:eastAsia="Calibri" w:hAnsi="Arial"/>
                <w:noProof/>
                <w:color w:val="000000"/>
                <w:sz w:val="12"/>
                <w:szCs w:val="20"/>
                <w:lang w:val="bg-BG"/>
              </w:rPr>
              <w:t>2009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2010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2011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2012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2013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2014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2015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2016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2017</w:t>
            </w:r>
            <w:r>
              <w:rPr>
                <w:rFonts w:ascii="Arial" w:eastAsia="Calibri" w:hAnsi="Arial"/>
                <w:noProof/>
                <w:color w:val="000000"/>
                <w:sz w:val="12"/>
                <w:szCs w:val="20"/>
              </w:rPr>
              <w:t xml:space="preserve"> </w:t>
            </w:r>
            <w:r>
              <w:rPr>
                <w:rFonts w:ascii="Arial" w:eastAsia="Calibri" w:hAnsi="Arial"/>
                <w:noProof/>
                <w:color w:val="000000"/>
                <w:sz w:val="12"/>
                <w:szCs w:val="20"/>
                <w:lang w:val="bg-BG"/>
              </w:rPr>
              <w:t>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2018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2019 г.</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10,375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10,786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(42)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(64)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(98)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(63)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(2)</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15,335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16,633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(54)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(297)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(381)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(104)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(38)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(33)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(22)</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10</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21,088</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1,803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4,766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3,501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2,349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3,118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4,131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(95)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(156)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(80)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(147)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183</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26,511</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13,959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90 %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5,372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6,688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5,807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4,332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3,153</w:t>
            </w:r>
          </w:p>
        </w:tc>
      </w:tr>
      <w:tr>
        <w:trPr>
          <w:trHeight w:hRule="exact" w:val="128"/>
        </w:trPr>
        <w:tc>
          <w:tcPr>
            <w:tcW w:w="78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Общо</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73,309</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15,896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32,185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3,405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2,187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3,049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3,163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3,961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621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5,034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6,491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5,754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4,147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3,311</w:t>
            </w:r>
          </w:p>
        </w:tc>
      </w:tr>
      <w:tr>
        <w:trPr>
          <w:trHeight w:hRule="exact" w:val="158"/>
        </w:trPr>
        <w:tc>
          <w:tcPr>
            <w:tcW w:w="78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Целеви средства</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52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Съвкупна сума</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Кумулативни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r>
      <w:tr>
        <w:trPr>
          <w:trHeight w:hRule="exact" w:val="150"/>
        </w:trPr>
        <w:tc>
          <w:tcPr>
            <w:tcW w:w="78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ЕФР</w:t>
            </w: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Към 31.12.2019 г.</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RAL</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 от разпределението</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2008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2009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2010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2011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2012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2013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2014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2015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2016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2017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2018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2019 г.</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10,374</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10,541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(42)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(46)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(37)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15,302</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14,209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(96)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(52)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(46)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(20)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(4)</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10</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20,310</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1,025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95 %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3,184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2,820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2,514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3,460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3,457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783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541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550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(51)</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21,697</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9,144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73 %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3,293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3,745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5,684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4,687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3,557</w:t>
            </w:r>
          </w:p>
        </w:tc>
      </w:tr>
      <w:tr>
        <w:trPr>
          <w:trHeight w:hRule="exact" w:val="128"/>
        </w:trPr>
        <w:tc>
          <w:tcPr>
            <w:tcW w:w="78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Общо</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67,683</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10,269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24,881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4,140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3,304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2,509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3,226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3,350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3,380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4,234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6,211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4,940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3,501</w:t>
            </w:r>
          </w:p>
        </w:tc>
      </w:tr>
      <w:tr>
        <w:trPr>
          <w:trHeight w:hRule="exact" w:val="158"/>
        </w:trPr>
        <w:tc>
          <w:tcPr>
            <w:tcW w:w="78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Плащания</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4"/>
                <w:szCs w:val="20"/>
                <w:lang w:val="bg-BG"/>
              </w:rPr>
            </w:pPr>
          </w:p>
        </w:tc>
        <w:tc>
          <w:tcPr>
            <w:tcW w:w="252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Съвкупна сума</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Кумулативни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Годишни цифри</w:t>
            </w:r>
          </w:p>
        </w:tc>
      </w:tr>
      <w:tr>
        <w:trPr>
          <w:trHeight w:hRule="exact" w:val="150"/>
        </w:trPr>
        <w:tc>
          <w:tcPr>
            <w:tcW w:w="78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ЕФР</w:t>
            </w: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Към 31.12.2019 г.</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 от разпределението</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2008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2009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2010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2011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2012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2013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2014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2015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2016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2017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2018 г.</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2019 г.</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10,374</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9,930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15,201</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1,806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1,304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906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539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10</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19,285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90 %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1,879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2,655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2,718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2,760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1,466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1,277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1,076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456</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8"/>
                <w:szCs w:val="20"/>
                <w:lang w:val="bg-BG"/>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12,553</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center"/>
              <w:rPr>
                <w:rFonts w:ascii="Arial" w:eastAsia="Arial" w:hAnsi="Arial" w:cs="Arial"/>
                <w:noProof/>
                <w:color w:val="000000"/>
                <w:sz w:val="12"/>
                <w:szCs w:val="20"/>
                <w:lang w:val="bg-BG"/>
              </w:rPr>
            </w:pPr>
            <w:r>
              <w:rPr>
                <w:rFonts w:ascii="Arial" w:eastAsia="Calibri" w:hAnsi="Arial"/>
                <w:noProof/>
                <w:color w:val="000000"/>
                <w:sz w:val="12"/>
                <w:szCs w:val="20"/>
                <w:lang w:val="bg-BG"/>
              </w:rPr>
              <w:t>42 %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595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2,770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3,377</w:t>
            </w:r>
          </w:p>
        </w:tc>
      </w:tr>
      <w:tr>
        <w:trPr>
          <w:trHeight w:hRule="exact" w:val="128"/>
        </w:trPr>
        <w:tc>
          <w:tcPr>
            <w:tcW w:w="78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Общо</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4"/>
                <w:szCs w:val="20"/>
                <w:lang w:val="bg-BG"/>
              </w:rPr>
            </w:pP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57,414</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20,031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3,069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3,233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2,874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3,209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2,967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3,088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3,350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4,158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4,069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3,847</w:t>
            </w:r>
          </w:p>
        </w:tc>
      </w:tr>
      <w:bookmarkEnd w:id="147"/>
    </w:tbl>
    <w:p>
      <w:pPr>
        <w:rPr>
          <w:noProof/>
          <w:lang w:val="bg-BG"/>
        </w:rPr>
        <w:sectPr>
          <w:headerReference w:type="even" r:id="rId359"/>
          <w:headerReference w:type="default" r:id="rId360"/>
          <w:footerReference w:type="even" r:id="rId361"/>
          <w:footerReference w:type="default" r:id="rId362"/>
          <w:headerReference w:type="first" r:id="rId363"/>
          <w:footerReference w:type="first" r:id="rId364"/>
          <w:pgSz w:w="16838" w:h="11906" w:orient="landscape" w:code="9"/>
          <w:pgMar w:top="1134" w:right="1134" w:bottom="1134" w:left="1134" w:header="709" w:footer="709" w:gutter="0"/>
          <w:cols w:space="708"/>
          <w:docGrid w:linePitch="360"/>
        </w:sectPr>
      </w:pPr>
    </w:p>
    <w:p>
      <w:pPr>
        <w:rPr>
          <w:rFonts w:ascii="Arial" w:hAnsi="Arial" w:cs="Arial"/>
          <w:noProof/>
          <w:color w:val="000000"/>
          <w:sz w:val="12"/>
          <w:szCs w:val="12"/>
          <w:lang w:val="bg-BG"/>
        </w:rPr>
      </w:pPr>
      <w:bookmarkStart w:id="149" w:name="_DMBM_19009"/>
      <w:r>
        <w:rPr>
          <w:rFonts w:ascii="Arial" w:hAnsi="Arial"/>
          <w:noProof/>
          <w:color w:val="000000"/>
          <w:sz w:val="12"/>
          <w:szCs w:val="12"/>
          <w:lang w:val="bg-BG"/>
        </w:rPr>
        <w:t>Таблица 2.2</w:t>
      </w:r>
    </w:p>
    <w:p>
      <w:pPr>
        <w:jc w:val="center"/>
        <w:rPr>
          <w:b/>
          <w:noProof/>
          <w:sz w:val="16"/>
          <w:szCs w:val="16"/>
          <w:lang w:val="bg-BG"/>
        </w:rPr>
      </w:pPr>
      <w:r>
        <w:rPr>
          <w:b/>
          <w:noProof/>
          <w:sz w:val="16"/>
          <w:szCs w:val="16"/>
          <w:lang w:val="bg-BG"/>
        </w:rPr>
        <w:t>КОНСОЛИДИРАНИ ОТЧЕТИ НА ЕФР КЪМ 31 ДЕКЕМВРИ 2019 г.</w:t>
      </w:r>
    </w:p>
    <w:p>
      <w:pPr>
        <w:jc w:val="center"/>
        <w:rPr>
          <w:b/>
          <w:noProof/>
          <w:sz w:val="16"/>
          <w:szCs w:val="16"/>
          <w:lang w:val="bg-BG"/>
        </w:rPr>
      </w:pPr>
      <w:r>
        <w:rPr>
          <w:b/>
          <w:noProof/>
          <w:sz w:val="16"/>
          <w:szCs w:val="16"/>
          <w:lang w:val="bg-BG"/>
        </w:rPr>
        <w:t>ВИД ПОМОЩ</w:t>
      </w:r>
    </w:p>
    <w:p>
      <w:pPr>
        <w:rPr>
          <w:rFonts w:ascii="Arial" w:hAnsi="Arial" w:cs="Arial"/>
          <w:noProof/>
          <w:color w:val="000000"/>
          <w:sz w:val="12"/>
          <w:szCs w:val="12"/>
          <w:lang w:val="en-US"/>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
        <w:gridCol w:w="693"/>
        <w:gridCol w:w="448"/>
        <w:gridCol w:w="571"/>
        <w:gridCol w:w="573"/>
        <w:gridCol w:w="574"/>
        <w:gridCol w:w="575"/>
        <w:gridCol w:w="575"/>
        <w:gridCol w:w="575"/>
        <w:gridCol w:w="575"/>
        <w:gridCol w:w="575"/>
        <w:gridCol w:w="575"/>
        <w:gridCol w:w="575"/>
        <w:gridCol w:w="575"/>
        <w:gridCol w:w="575"/>
        <w:gridCol w:w="575"/>
        <w:gridCol w:w="575"/>
        <w:gridCol w:w="576"/>
        <w:gridCol w:w="154"/>
      </w:tblGrid>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bookmarkStart w:id="150" w:name="DOC_TBL00063_1_1"/>
            <w:bookmarkEnd w:id="150"/>
          </w:p>
        </w:tc>
        <w:tc>
          <w:tcPr>
            <w:tcW w:w="674" w:type="dxa"/>
            <w:gridSpan w:val="2"/>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556"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557"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557" w:type="dxa"/>
            <w:gridSpan w:val="2"/>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558" w:type="dxa"/>
            <w:gridSpan w:val="3"/>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558" w:type="dxa"/>
            <w:gridSpan w:val="6"/>
            <w:tcBorders>
              <w:top w:val="nil"/>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(милиони евро)</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0"/>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674" w:type="dxa"/>
            <w:gridSpan w:val="4"/>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557" w:type="dxa"/>
            <w:gridSpan w:val="1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ЕФР</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Cs w:val="20"/>
                <w:lang w:val="bg-BG"/>
              </w:rPr>
            </w:pPr>
          </w:p>
        </w:tc>
        <w:tc>
          <w:tcPr>
            <w:tcW w:w="674" w:type="dxa"/>
            <w:gridSpan w:val="4"/>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Cs w:val="20"/>
                <w:lang w:val="bg-BG"/>
              </w:rPr>
            </w:pP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8</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9</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10</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11</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ОБЩО</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Cs w:val="20"/>
                <w:lang w:val="bg-BG"/>
              </w:rPr>
            </w:pPr>
          </w:p>
        </w:tc>
        <w:tc>
          <w:tcPr>
            <w:tcW w:w="3270" w:type="dxa"/>
            <w:gridSpan w:val="4"/>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Cs w:val="20"/>
                <w:lang w:val="bg-BG"/>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r>
              <w:rPr>
                <w:rFonts w:ascii="Arial" w:eastAsia="Calibri" w:hAnsi="Arial"/>
                <w:b/>
                <w:noProof/>
                <w:color w:val="FFFFFF"/>
                <w:sz w:val="18"/>
                <w:szCs w:val="20"/>
                <w:lang w:val="bg-BG"/>
              </w:rPr>
              <w:t>Редовни вноски на държавите членки</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Ломе</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Разни приходи</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Общо индикативни програми</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Общо непрограмирана помощ</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4,707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4,707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Трансфери от други фондове</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1"/>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30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r>
              <w:rPr>
                <w:rFonts w:ascii="Arial" w:eastAsia="Calibri" w:hAnsi="Arial"/>
                <w:b/>
                <w:noProof/>
                <w:color w:val="FFFFFF"/>
                <w:sz w:val="18"/>
                <w:szCs w:val="20"/>
                <w:lang w:val="bg-BG"/>
              </w:rPr>
              <w:t>Редовни вноски на държавите членки</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Котону</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Пакет A — Национални средства</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8,835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12,939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15,838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38,029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8,834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12,837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14,456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36,545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8,822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12,621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11,325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33,186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8,800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12,011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6,248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27,477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300"/>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Пакет Б — Национални средства</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1,213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2,006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870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4,322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1,213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2,005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853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4,301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1,209</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1,984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734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4,158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1,203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1,964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644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4,042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94 %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Преходен инструмент</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285"/>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CDE, CTA и Парламентарна асамблея</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298"/>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Разходи за прилагане и приходи от лихви</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535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1,079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1,855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514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871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1,625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836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1,588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779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1,531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83 %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Средства в рамките на АКТБ</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2,937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3,608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3,988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10,534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3,600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3,139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3,020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9,083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2,920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2,973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2,256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8,149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Регионални средства</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793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1,941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7,018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9,752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792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1,935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6,748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9,475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786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1,863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5,724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8,373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777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1,658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2,604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5,040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416"/>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Специална вноска за ДР Конго</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296"/>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Спец. вноска за Южен Судан</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78 %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310"/>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Спец. вноска за Судан</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97 %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95 %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91 %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91 %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295"/>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Доброволна вноска Инструмент за мир</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29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357"/>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r>
              <w:rPr>
                <w:rFonts w:ascii="Arial" w:eastAsia="Calibri" w:hAnsi="Arial"/>
                <w:b/>
                <w:noProof/>
                <w:color w:val="FFFFFF"/>
                <w:sz w:val="18"/>
                <w:szCs w:val="20"/>
                <w:lang w:val="bg-BG"/>
              </w:rPr>
              <w:t>Съфинансиране</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Пакет A — Национални средства</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227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212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94 %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30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Разходи за прилагане и приходи от лихви</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31 %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Средства в рамките на АКТБ</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94 %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79 %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Регионални средства</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Съфинансиране</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316"/>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r>
              <w:rPr>
                <w:rFonts w:ascii="Arial" w:eastAsia="Calibri" w:hAnsi="Arial"/>
                <w:b/>
                <w:noProof/>
                <w:color w:val="FFFFFF"/>
                <w:sz w:val="18"/>
                <w:szCs w:val="20"/>
                <w:lang w:val="bg-BG"/>
              </w:rPr>
              <w:t>Вътрешни SLA на ЕК</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Пакет A — Национални средства</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71 %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Вътрешни SLA на ЕК</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436"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6"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Cs w:val="20"/>
                <w:lang w:val="bg-BG"/>
              </w:rPr>
            </w:pPr>
          </w:p>
        </w:tc>
        <w:tc>
          <w:tcPr>
            <w:tcW w:w="674"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Бюджетни кредити</w:t>
            </w: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8</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9</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10</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11</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ОБЩО</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Cs w:val="20"/>
                <w:lang w:val="bg-BG"/>
              </w:rPr>
            </w:pPr>
          </w:p>
        </w:tc>
        <w:tc>
          <w:tcPr>
            <w:tcW w:w="327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r>
              <w:rPr>
                <w:rFonts w:ascii="Arial" w:eastAsia="Calibri" w:hAnsi="Arial"/>
                <w:b/>
                <w:noProof/>
                <w:color w:val="FFFFFF"/>
                <w:sz w:val="18"/>
                <w:szCs w:val="20"/>
                <w:lang w:val="bg-BG"/>
              </w:rPr>
              <w:t>Резерви, които могат да бъдат мобилизирани</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Котону</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по държави</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в рамките на АКТБ</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27</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27</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49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национални средства Пакет A STABEX</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НИП/РИП</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571</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571</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регионални средства</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 които могат да бъдат мобилизирани</w:t>
            </w:r>
          </w:p>
        </w:tc>
        <w:tc>
          <w:tcPr>
            <w:tcW w:w="557"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r>
              <w:rPr>
                <w:rFonts w:ascii="Arial" w:eastAsia="Calibri" w:hAnsi="Arial"/>
                <w:b/>
                <w:noProof/>
                <w:color w:val="FFFFFF"/>
                <w:sz w:val="18"/>
                <w:szCs w:val="20"/>
                <w:lang w:val="bg-BG"/>
              </w:rPr>
              <w:t>Резерв, който не може да бъде мобилизиран</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Резерв, който не може да бъде мобилизиран</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197</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142</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340</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 който не може да бъде мобилизиран</w:t>
            </w:r>
          </w:p>
        </w:tc>
        <w:tc>
          <w:tcPr>
            <w:tcW w:w="557"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436"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6"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Cs w:val="20"/>
                <w:lang w:val="bg-BG"/>
              </w:rPr>
            </w:pPr>
          </w:p>
        </w:tc>
        <w:tc>
          <w:tcPr>
            <w:tcW w:w="674"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Cs w:val="20"/>
                <w:lang w:val="bg-BG"/>
              </w:rPr>
            </w:pP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8</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9</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10</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11</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ОБЩО</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Cs w:val="20"/>
                <w:lang w:val="bg-BG"/>
              </w:rPr>
            </w:pPr>
          </w:p>
        </w:tc>
        <w:tc>
          <w:tcPr>
            <w:tcW w:w="327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Cs w:val="20"/>
                <w:lang w:val="bg-BG"/>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Бюджетни кредити</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10,378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15,348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21,630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29,608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76,964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Решения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10,375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15,335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21,088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26,511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73,309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Целеви средства</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10,374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15,302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20,310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21,697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67,683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67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436" w:type="dxa"/>
            <w:gridSpan w:val="3"/>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Плащания</w:t>
            </w:r>
          </w:p>
        </w:tc>
        <w:tc>
          <w:tcPr>
            <w:tcW w:w="5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10,374</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15,201</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19,285</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89 %</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12,553</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42 %</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57,414</w:t>
            </w:r>
          </w:p>
        </w:tc>
        <w:tc>
          <w:tcPr>
            <w:tcW w:w="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324"/>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ОБЩО: ВСИЧКИ РАЗПРЕДЕЛЕНИЯ</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436" w:type="dxa"/>
            <w:gridSpan w:val="3"/>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436"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p>
        </w:tc>
      </w:tr>
    </w:tbl>
    <w:p>
      <w:pPr>
        <w:rPr>
          <w:rFonts w:ascii="Arial" w:hAnsi="Arial" w:cs="Arial"/>
          <w:noProof/>
          <w:color w:val="000000"/>
          <w:sz w:val="12"/>
          <w:szCs w:val="12"/>
          <w:lang w:val="bg-BG"/>
        </w:rPr>
      </w:pPr>
      <w:r>
        <w:rPr>
          <w:rFonts w:ascii="Arial" w:hAnsi="Arial"/>
          <w:noProof/>
          <w:color w:val="000000"/>
          <w:sz w:val="12"/>
          <w:szCs w:val="12"/>
          <w:lang w:val="bg-BG"/>
        </w:rPr>
        <w:t>(1) % от бюджетните кредити</w:t>
      </w:r>
    </w:p>
    <w:bookmarkEnd w:id="149"/>
    <w:p>
      <w:pPr>
        <w:rPr>
          <w:noProof/>
          <w:lang w:val="bg-BG"/>
        </w:rPr>
        <w:sectPr>
          <w:headerReference w:type="even" r:id="rId365"/>
          <w:headerReference w:type="default" r:id="rId366"/>
          <w:footerReference w:type="even" r:id="rId367"/>
          <w:footerReference w:type="default" r:id="rId368"/>
          <w:headerReference w:type="first" r:id="rId369"/>
          <w:footerReference w:type="first" r:id="rId370"/>
          <w:pgSz w:w="11906" w:h="16838" w:code="9"/>
          <w:pgMar w:top="1134" w:right="1134" w:bottom="1134" w:left="1134" w:header="709" w:footer="709" w:gutter="0"/>
          <w:cols w:space="708"/>
          <w:docGrid w:linePitch="360"/>
        </w:sectPr>
      </w:pPr>
    </w:p>
    <w:p>
      <w:pPr>
        <w:rPr>
          <w:rFonts w:ascii="Arial" w:hAnsi="Arial" w:cs="Arial"/>
          <w:noProof/>
          <w:color w:val="000000"/>
          <w:sz w:val="12"/>
          <w:szCs w:val="12"/>
          <w:lang w:val="bg-BG"/>
        </w:rPr>
      </w:pPr>
      <w:bookmarkStart w:id="151" w:name="_DMBM_19010"/>
      <w:r>
        <w:rPr>
          <w:rFonts w:ascii="Arial" w:hAnsi="Arial"/>
          <w:noProof/>
          <w:color w:val="000000"/>
          <w:sz w:val="12"/>
          <w:szCs w:val="12"/>
          <w:lang w:val="bg-BG"/>
        </w:rPr>
        <w:t>Таблица 2.3</w:t>
      </w:r>
    </w:p>
    <w:p>
      <w:pPr>
        <w:jc w:val="center"/>
        <w:rPr>
          <w:b/>
          <w:noProof/>
          <w:sz w:val="16"/>
          <w:szCs w:val="16"/>
          <w:lang w:val="bg-BG"/>
        </w:rPr>
      </w:pPr>
      <w:r>
        <w:rPr>
          <w:b/>
          <w:noProof/>
          <w:sz w:val="16"/>
          <w:szCs w:val="16"/>
          <w:lang w:val="bg-BG"/>
        </w:rPr>
        <w:t>КОНСОЛИДИРАНИ ОТЧЕТИ НА ЕФР КЪМ 31 ДЕКЕМВРИ 2019 г.</w:t>
      </w:r>
    </w:p>
    <w:p>
      <w:pPr>
        <w:jc w:val="center"/>
        <w:rPr>
          <w:b/>
          <w:noProof/>
          <w:sz w:val="16"/>
          <w:szCs w:val="16"/>
          <w:lang w:val="bg-BG"/>
        </w:rPr>
      </w:pPr>
      <w:r>
        <w:rPr>
          <w:b/>
          <w:noProof/>
          <w:sz w:val="16"/>
          <w:szCs w:val="16"/>
          <w:lang w:val="bg-BG"/>
        </w:rPr>
        <w:t>ВИД ПОМОЩ</w:t>
      </w:r>
    </w:p>
    <w:p>
      <w:pPr>
        <w:jc w:val="center"/>
        <w:rPr>
          <w:b/>
          <w:noProof/>
          <w:sz w:val="16"/>
          <w:szCs w:val="16"/>
          <w:lang w:val="bg-BG"/>
        </w:rPr>
      </w:pPr>
      <w:r>
        <w:rPr>
          <w:b/>
          <w:noProof/>
          <w:sz w:val="16"/>
          <w:szCs w:val="16"/>
          <w:lang w:val="bg-BG"/>
        </w:rPr>
        <w:t>АКТБ + ОСТ - 8-и ЕФР</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09"/>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bookmarkStart w:id="152" w:name="DOC_TBL00064_1_1"/>
            <w:bookmarkEnd w:id="152"/>
          </w:p>
        </w:tc>
        <w:tc>
          <w:tcPr>
            <w:tcW w:w="109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(милиони евро)</w:t>
            </w:r>
          </w:p>
        </w:tc>
      </w:tr>
      <w:tr>
        <w:trPr>
          <w:trHeight w:hRule="exact" w:val="165"/>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КРЕДИТИ</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РЕШЕНИЯ</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ЦЕЛЕВИ СРЕДСТВА</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ПЛАЩАНИЯ</w:t>
            </w:r>
          </w:p>
        </w:tc>
      </w:tr>
      <w:tr>
        <w:trPr>
          <w:trHeight w:hRule="exact" w:val="165"/>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r>
      <w:tr>
        <w:trPr>
          <w:trHeight w:hRule="exact" w:val="165"/>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(4) : (3)</w:t>
            </w:r>
          </w:p>
        </w:tc>
      </w:tr>
      <w:tr>
        <w:trPr>
          <w:trHeight w:hRule="exact" w:val="55"/>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АКТБ</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Ломе</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Общо индикативни програми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ОБЩО ИНДИКАТИВНИ ПРОГРАМИ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Структурна корекция</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ОБЩО НЕПРОГРАМИРАНА ПОМОЩ</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 xml:space="preserve">ОБЩО АКТБ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r>
      <w:tr>
        <w:trPr>
          <w:trHeight w:hRule="exact" w:val="19"/>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bidi="en-GB"/>
              </w:rPr>
            </w:pP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 xml:space="preserve">АКТБ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Ломе</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Използване на приходите от лихви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РАЗНИ ПРИХОДИ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Общо индикативни програми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ОБЩО ИНДИКАТИВНИ ПРОГРАМИ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Помощ за бежанци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Спешна помощ (Ломе)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Тежко задлъжнели бедни страни (Ломе)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Лихвени субсидии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Рисков капитал</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723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Структурна корекция</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Sysmin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ОБЩО НЕПРОГРАМИРАНА ПОМОЩ</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4,679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4,678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4,677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4,677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 xml:space="preserve">АКТБ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Котону</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Б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Компенсация постъпления от износ</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Б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Лихви и други приходи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РАЗХОДИ ЗА ПРИЛАГАНЕ И ПРИХОДИ ОТ ЛИХВИ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ОБЩО АКТБ      (A)</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10,285</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10,282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10,282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10,282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r>
      <w:tr>
        <w:trPr>
          <w:trHeight w:hRule="exact" w:val="19"/>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bidi="en-GB"/>
              </w:rPr>
            </w:pP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ОСТ</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Ломе</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Общо индикативни програми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ОБЩО ИНДИКАТИВНИ ПРОГРАМИ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Лихвени субсидии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Рисков капитал</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Sysmin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ОБЩО НЕПРОГРАМИРАНА ПОМОЩ</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 xml:space="preserve">ОБЩО ОСТ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r>
      <w:tr>
        <w:trPr>
          <w:trHeight w:hRule="exact" w:val="55"/>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jc w:val="cente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ОБЩО: АКТБ+OCT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10,378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10,375</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10,374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10,374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r>
    </w:tbl>
    <w:p>
      <w:pPr>
        <w:rPr>
          <w:rFonts w:ascii="Arial" w:hAnsi="Arial" w:cs="Arial"/>
          <w:noProof/>
          <w:color w:val="000000"/>
          <w:sz w:val="12"/>
          <w:szCs w:val="12"/>
          <w:lang w:val="en-US"/>
        </w:rPr>
      </w:pPr>
    </w:p>
    <w:p>
      <w:pPr>
        <w:rPr>
          <w:rFonts w:ascii="Arial" w:hAnsi="Arial" w:cs="Arial"/>
          <w:noProof/>
          <w:color w:val="000000"/>
          <w:sz w:val="12"/>
          <w:szCs w:val="12"/>
          <w:lang w:val="en-US"/>
        </w:rPr>
      </w:pPr>
    </w:p>
    <w:p>
      <w:pPr>
        <w:rPr>
          <w:rFonts w:ascii="Arial" w:hAnsi="Arial" w:cs="Arial"/>
          <w:noProof/>
          <w:color w:val="000000"/>
          <w:sz w:val="12"/>
          <w:szCs w:val="12"/>
          <w:lang w:val="bg-BG"/>
        </w:rPr>
      </w:pPr>
      <w:r>
        <w:rPr>
          <w:rFonts w:ascii="Arial" w:hAnsi="Arial"/>
          <w:noProof/>
          <w:color w:val="000000"/>
          <w:sz w:val="12"/>
          <w:szCs w:val="12"/>
          <w:lang w:val="bg-BG"/>
        </w:rPr>
        <w:t>Таблица 2.4</w:t>
      </w:r>
    </w:p>
    <w:p>
      <w:pPr>
        <w:jc w:val="center"/>
        <w:rPr>
          <w:b/>
          <w:noProof/>
          <w:sz w:val="16"/>
          <w:szCs w:val="16"/>
          <w:lang w:val="bg-BG"/>
        </w:rPr>
        <w:sectPr>
          <w:headerReference w:type="even" r:id="rId371"/>
          <w:headerReference w:type="default" r:id="rId372"/>
          <w:footerReference w:type="even" r:id="rId373"/>
          <w:footerReference w:type="default" r:id="rId374"/>
          <w:headerReference w:type="first" r:id="rId375"/>
          <w:footerReference w:type="first" r:id="rId376"/>
          <w:pgSz w:w="16838" w:h="11906" w:orient="landscape"/>
          <w:pgMar w:top="1134" w:right="1134" w:bottom="1134" w:left="1134" w:header="709" w:footer="709" w:gutter="0"/>
          <w:cols w:space="708"/>
          <w:docGrid w:linePitch="360"/>
        </w:sectPr>
      </w:pPr>
    </w:p>
    <w:p>
      <w:pPr>
        <w:jc w:val="center"/>
        <w:rPr>
          <w:b/>
          <w:noProof/>
          <w:sz w:val="16"/>
          <w:szCs w:val="16"/>
          <w:lang w:val="bg-BG"/>
        </w:rPr>
      </w:pPr>
      <w:r>
        <w:rPr>
          <w:b/>
          <w:noProof/>
          <w:sz w:val="16"/>
          <w:szCs w:val="16"/>
          <w:lang w:val="bg-BG"/>
        </w:rPr>
        <w:t>КОНСОЛИДИРАНИ ОТЧЕТИ НА ЕФР КЪМ 31 ДЕКЕМВРИ 2019 г.</w:t>
      </w:r>
    </w:p>
    <w:p>
      <w:pPr>
        <w:jc w:val="center"/>
        <w:rPr>
          <w:b/>
          <w:noProof/>
          <w:sz w:val="16"/>
          <w:szCs w:val="16"/>
          <w:lang w:val="bg-BG"/>
        </w:rPr>
      </w:pPr>
      <w:r>
        <w:rPr>
          <w:b/>
          <w:noProof/>
          <w:sz w:val="16"/>
          <w:szCs w:val="16"/>
          <w:lang w:val="bg-BG"/>
        </w:rPr>
        <w:t>ВИД ПОМОЩ</w:t>
      </w:r>
    </w:p>
    <w:p>
      <w:pPr>
        <w:jc w:val="center"/>
        <w:rPr>
          <w:b/>
          <w:noProof/>
          <w:sz w:val="16"/>
          <w:szCs w:val="16"/>
          <w:lang w:val="bg-BG"/>
        </w:rPr>
      </w:pPr>
      <w:r>
        <w:rPr>
          <w:b/>
          <w:noProof/>
          <w:sz w:val="16"/>
          <w:szCs w:val="16"/>
          <w:lang w:val="bg-BG"/>
        </w:rPr>
        <w:t>АКТБ + ОСТ - 9-и ЕФР</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79"/>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bookmarkStart w:id="153" w:name="DOC_TBL00065_1_1"/>
            <w:bookmarkEnd w:id="153"/>
          </w:p>
        </w:tc>
        <w:tc>
          <w:tcPr>
            <w:tcW w:w="109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(милиони евро)</w:t>
            </w:r>
          </w:p>
        </w:tc>
      </w:tr>
      <w:tr>
        <w:trPr>
          <w:trHeight w:hRule="exact" w:val="179"/>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КРЕДИТИ</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РЕШЕНИЯ</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ЦЕЛЕВИ СРЕДСТВА</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ПЛАЩАНИЯ</w:t>
            </w:r>
          </w:p>
        </w:tc>
      </w:tr>
      <w:tr>
        <w:trPr>
          <w:trHeight w:hRule="exact" w:val="179"/>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r>
      <w:tr>
        <w:trPr>
          <w:trHeight w:hRule="exact" w:val="179"/>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(4) : (3)</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АКТБ</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Ломе</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Трансфери от 7-и ЕФР — Ломе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ТРАНСФЕРИ ОТ ДРУГИ ФОНДОВЕ</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АКТБ</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Котону</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Б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Спешна помощ</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Б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jc w:val="right"/>
              <w:rPr>
                <w:rFonts w:ascii="Arial" w:eastAsia="Arial" w:hAnsi="Arial" w:cs="Arial"/>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 xml:space="preserve">ОБЩО: АКТБ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r>
      <w:tr>
        <w:trPr>
          <w:trHeight w:hRule="exact" w:val="56"/>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bidi="en-GB"/>
              </w:rPr>
            </w:pP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 xml:space="preserve">АКТБ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Ломе</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Трансфери от 6-и ЕФР - Ломе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Трансфери от 7-и ЕФР — Ломе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647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647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ТРАНСФЕРИ ОТ ДРУГИ ФОНДОВЕ</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 xml:space="preserve">АКТБ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Котону</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8,554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8,553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8,543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8,521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8,554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8,553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8,543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8,521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Б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1,203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Компенсация постъпления от износ</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Спешна помощ</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Тежко задлъжнели бедни страни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Б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1,203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1,203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1,199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1,193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CDE, CTA и Парламентарна асамблея</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CDE, CTA И ПАРЛАМЕНТАРНА АСАМБЛЕЯ</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Разходи за прилагане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Лихви и други приходи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РАЗХОДИ ЗА ПРИЛАГАНЕ И ПРИХОДИ ОТ ЛИХВИ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Други средства в рамките на АКТБ</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2,584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2,578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2,571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2,567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Инструмент за мир</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СРЕДСТВА В РАМКИТЕ НА АКТБ</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2,937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2,931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2,924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Регионални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741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732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РЕГИОНАЛНИ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749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748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741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Специална вноска за ДР Конго</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СПЕЦИАЛНА ВНОСКА ЗА ДР КОНГО</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Спец. вноска за Южен Судан</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СПЕЦИАЛНА ВНОСКА ЗА ЮЖЕН СУДАН</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266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263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208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Спец. вноска за Судан</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97 %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СПЕЦИАЛНА ВНОСКА ЗА СУДАН</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97 %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96 %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Доброволна вноска Инструмент за мир</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ДОБРОВОЛНА ВНОСКА ИНСТРУМЕНТ ЗА МИР</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jc w:val="right"/>
              <w:rPr>
                <w:rFonts w:ascii="Arial" w:eastAsia="Arial" w:hAnsi="Arial" w:cs="Arial"/>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ОБЩО: АКТБ   (A)</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15,009</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14,996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(21)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14,964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14,864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99 %</w:t>
            </w:r>
          </w:p>
        </w:tc>
      </w:tr>
      <w:tr>
        <w:trPr>
          <w:trHeight w:hRule="exact" w:val="127"/>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bidi="en-GB"/>
              </w:rPr>
            </w:pP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ОСТ</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Ломе</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Трансфери от 6-и ЕФР - Ломе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Трансфери от 7-и ЕФР — Ломе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ТРАНСФЕРИ ОТ ДРУГИ ФОНДОВЕ</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ОСТ</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rPr>
                <w:rFonts w:ascii="Arial" w:eastAsia="Arial" w:hAnsi="Arial" w:cs="Arial"/>
                <w:b/>
                <w:noProof/>
                <w:color w:val="FFFFFF"/>
                <w:sz w:val="18"/>
                <w:szCs w:val="20"/>
                <w:lang w:val="bg-BG"/>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Редовни вноски на държавите членки</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r>
              <w:rPr>
                <w:rFonts w:ascii="Arial" w:eastAsia="Calibri" w:hAnsi="Arial"/>
                <w:b/>
                <w:noProof/>
                <w:color w:val="000000"/>
                <w:sz w:val="12"/>
                <w:szCs w:val="20"/>
                <w:lang w:val="bg-BG"/>
              </w:rPr>
              <w:t>Котону</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Б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Спешна помощ</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Б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Проучвания/Техническа помощ OCT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РАЗХОДИ ЗА ПРИЛАГАНЕ И ПРИХОДИ ОТ ЛИХВИ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Регионални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РЕГИОНАЛНИ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jc w:val="right"/>
              <w:rPr>
                <w:rFonts w:ascii="Arial" w:eastAsia="Arial" w:hAnsi="Arial" w:cs="Arial"/>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 xml:space="preserve">ОБЩО: ОСТ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289</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289</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288</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99 %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288</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r>
      <w:tr>
        <w:trPr>
          <w:trHeight w:hRule="exact" w:val="127"/>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2"/>
                <w:szCs w:val="20"/>
                <w:lang w:val="bg-B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jc w:val="cente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ОБЩО: АКТБ+OCT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15,348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15,335</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(22)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15,302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15,201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99 %</w:t>
            </w:r>
          </w:p>
        </w:tc>
      </w:tr>
    </w:tbl>
    <w:p>
      <w:pPr>
        <w:rPr>
          <w:rFonts w:ascii="Arial" w:hAnsi="Arial" w:cs="Arial"/>
          <w:noProof/>
          <w:color w:val="000000"/>
          <w:sz w:val="12"/>
          <w:szCs w:val="12"/>
          <w:lang w:val="bg-BG"/>
        </w:rPr>
      </w:pPr>
      <w:r>
        <w:rPr>
          <w:rFonts w:ascii="Arial" w:hAnsi="Arial"/>
          <w:noProof/>
          <w:color w:val="000000"/>
          <w:sz w:val="12"/>
          <w:szCs w:val="12"/>
          <w:lang w:val="bg-BG"/>
        </w:rPr>
        <w:t>Таблица 2.6</w:t>
      </w:r>
    </w:p>
    <w:p>
      <w:pPr>
        <w:jc w:val="center"/>
        <w:rPr>
          <w:b/>
          <w:noProof/>
          <w:sz w:val="16"/>
          <w:szCs w:val="16"/>
          <w:lang w:val="bg-BG"/>
        </w:rPr>
        <w:sectPr>
          <w:headerReference w:type="even" r:id="rId377"/>
          <w:headerReference w:type="default" r:id="rId378"/>
          <w:footerReference w:type="even" r:id="rId379"/>
          <w:footerReference w:type="default" r:id="rId380"/>
          <w:headerReference w:type="first" r:id="rId381"/>
          <w:footerReference w:type="first" r:id="rId382"/>
          <w:pgSz w:w="11906" w:h="16838" w:code="9"/>
          <w:pgMar w:top="1134" w:right="1440" w:bottom="1134" w:left="1440" w:header="709" w:footer="709" w:gutter="0"/>
          <w:cols w:space="708"/>
          <w:docGrid w:linePitch="360"/>
        </w:sectPr>
      </w:pPr>
    </w:p>
    <w:p>
      <w:pPr>
        <w:jc w:val="center"/>
        <w:rPr>
          <w:b/>
          <w:noProof/>
          <w:sz w:val="16"/>
          <w:szCs w:val="16"/>
          <w:lang w:val="bg-BG"/>
        </w:rPr>
      </w:pPr>
      <w:r>
        <w:rPr>
          <w:b/>
          <w:noProof/>
          <w:sz w:val="16"/>
          <w:szCs w:val="16"/>
          <w:lang w:val="bg-BG"/>
        </w:rPr>
        <w:t>КОНСОЛИДИРАНИ ОТЧЕТИ НА ЕФР КЪМ 31 ДЕКЕМВРИ 2019 г.</w:t>
      </w:r>
    </w:p>
    <w:p>
      <w:pPr>
        <w:jc w:val="center"/>
        <w:rPr>
          <w:b/>
          <w:noProof/>
          <w:sz w:val="16"/>
          <w:szCs w:val="16"/>
          <w:lang w:val="bg-BG"/>
        </w:rPr>
      </w:pPr>
      <w:r>
        <w:rPr>
          <w:b/>
          <w:noProof/>
          <w:sz w:val="16"/>
          <w:szCs w:val="16"/>
          <w:lang w:val="bg-BG"/>
        </w:rPr>
        <w:t>ВИД ПОМОЩ</w:t>
      </w:r>
    </w:p>
    <w:p>
      <w:pPr>
        <w:jc w:val="center"/>
        <w:rPr>
          <w:b/>
          <w:noProof/>
          <w:sz w:val="16"/>
          <w:szCs w:val="16"/>
          <w:lang w:val="bg-BG"/>
        </w:rPr>
      </w:pPr>
      <w:r>
        <w:rPr>
          <w:b/>
          <w:noProof/>
          <w:sz w:val="16"/>
          <w:szCs w:val="16"/>
          <w:lang w:val="bg-BG"/>
        </w:rPr>
        <w:t>АКТБ + ОСТ - 10-и ЕФР</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58"/>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bookmarkStart w:id="154" w:name="DOC_TBL00066_1_1"/>
            <w:bookmarkEnd w:id="154"/>
          </w:p>
        </w:tc>
        <w:tc>
          <w:tcPr>
            <w:tcW w:w="109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(милиони евро)</w:t>
            </w:r>
          </w:p>
        </w:tc>
      </w:tr>
      <w:tr>
        <w:trPr>
          <w:trHeight w:hRule="exact" w:val="158"/>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КРЕДИТИ</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РЕШЕНИЯ</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ЦЕЛЕВИ СРЕДСТВА</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ПЛАЩАНИЯ</w:t>
            </w:r>
          </w:p>
        </w:tc>
      </w:tr>
      <w:tr>
        <w:trPr>
          <w:trHeight w:hRule="exact" w:val="158"/>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r>
      <w:tr>
        <w:trPr>
          <w:trHeight w:hRule="exact" w:val="158"/>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(4) : (3)</w:t>
            </w: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Редовни вноски на държавите членки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Разпределени средства</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АКТБ</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Б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Други шокове с бюджетно въздействие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Б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Резерви, които могат да бъдат мобилизирани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национални средства Пакет A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НАЦИОНАЛНИ СРЕДСТВА ПАКЕТ A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Редовни вноски на държавите членки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Разпределени средства</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 xml:space="preserve">АКТБ </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12,696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12,594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12,384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(42)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11,798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286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12,696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12,594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(168)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12,384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(42)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11,798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286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Б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1,983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Компенсация постъпления от износ</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97 %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97 %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Спешна помощ</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Тежко задлъжнели бедни страни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Други шокове с бюджетно въздействие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895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Б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1,983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1,981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1,961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1,941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Разходи за прилагане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Лихви и други приходи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РАЗХОДИ ЗА ПРИЛАГАНЕ И ПРИХОДИ ОТ ЛИХВИ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509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507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507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Институционални разходи и разходи за подкрепа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93 %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Други средства в рамките на АКТБ</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Инструмент за мир</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408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СРЕДСТВА В РАМКИТЕ НА АКТБ</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3,608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3,600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388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3,139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87 %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2,973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Регионални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1,902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(30)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1,625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РЕГИОНАЛНИ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1,902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1,827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1,625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Съфинансиране</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Разпределени средства</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86 %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152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86 %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Разходи за прилагане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78 %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РАЗХОДИ ЗА ПРИЛАГАНЕ И ПРИХОДИ ОТ ЛИХВИ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78 %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Други средства в рамките на АКТБ</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92 %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Инструмент за мир</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СРЕДСТВА В РАМКИТЕ НА АКТБ</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92 %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Резерви, които могат да бъдат мобилизирани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Пакет 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Пакет Б</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ПО ДЪРЖАВИ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в рамките на АКТБ</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В РАМКИТЕ НА АКТБ</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национални средства Пакет A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НАЦИОНАЛНИ СРЕДСТВА ПАКЕТ A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НИП/РИП</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НИП/РИП</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регионални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РЕГИОНАЛНИ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Резерв, който не може да бъде мобилизиран</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който не може да бъде мобилизиран</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КОЙТО НЕ МОЖЕ ДА БЪДЕ МОБИЛИЗИРАН</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171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Редовни вноски на държавите членки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Разпределени средства</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ОСТ</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97 %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87 %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97 %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157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87 %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Б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Спешна помощ</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Други шокове с бюджетно въздействие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Б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Проучвания/Техническа помощ OCT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РАЗХОДИ ЗА ПРИЛАГАНЕ И ПРИХОДИ ОТ ЛИХВИ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Регионални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93 %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94 %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РЕГИОНАЛНИ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93 %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94 %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Резерви, които могат да бъдат мобилизирани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Пакет 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Пакет Б</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ПО ДЪРЖАВИ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национални средства Пакет A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НАЦИОНАЛНИ СРЕДСТВА ПАКЕТ A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регионални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РЕГИОНАЛНИ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Резерв, който не може да бъде мобилизиран</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който не може да бъде мобилизиран</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КОЙТО НЕ МОЖЕ ДА БЪДЕ МОБИЛИЗИРАН</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bidi="en-GB"/>
              </w:rPr>
            </w:pPr>
          </w:p>
        </w:tc>
      </w:tr>
      <w:tr>
        <w:trPr>
          <w:trHeight w:hRule="exact" w:val="170"/>
        </w:trPr>
        <w:tc>
          <w:tcPr>
            <w:tcW w:w="16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ОБЩО: АКТБ+OCT (ВКЛ. РЕЗЕРВИ)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21,430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21,088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183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97 %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20,310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0000"/>
                <w:sz w:val="14"/>
                <w:szCs w:val="20"/>
                <w:lang w:val="bg-BG"/>
              </w:rPr>
            </w:pPr>
            <w:r>
              <w:rPr>
                <w:rFonts w:ascii="Arial" w:eastAsia="Calibri" w:hAnsi="Arial"/>
                <w:b/>
                <w:noProof/>
                <w:color w:val="FF0000"/>
                <w:sz w:val="14"/>
                <w:szCs w:val="20"/>
                <w:lang w:val="bg-BG"/>
              </w:rPr>
              <w:t>(51)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96 %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19,285</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456</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95 %</w:t>
            </w:r>
          </w:p>
        </w:tc>
      </w:tr>
    </w:tbl>
    <w:p>
      <w:pPr>
        <w:rPr>
          <w:noProof/>
          <w:lang w:val="bg-BG"/>
        </w:rPr>
      </w:pPr>
    </w:p>
    <w:p>
      <w:pPr>
        <w:rPr>
          <w:rFonts w:ascii="Arial" w:hAnsi="Arial" w:cs="Arial"/>
          <w:noProof/>
          <w:color w:val="000000"/>
          <w:sz w:val="12"/>
          <w:szCs w:val="12"/>
          <w:lang w:val="bg-BG"/>
        </w:rPr>
        <w:sectPr>
          <w:headerReference w:type="even" r:id="rId383"/>
          <w:headerReference w:type="default" r:id="rId384"/>
          <w:footerReference w:type="even" r:id="rId385"/>
          <w:footerReference w:type="default" r:id="rId386"/>
          <w:headerReference w:type="first" r:id="rId387"/>
          <w:footerReference w:type="first" r:id="rId388"/>
          <w:pgSz w:w="11906" w:h="16838" w:code="9"/>
          <w:pgMar w:top="1134" w:right="1440" w:bottom="1134" w:left="1440" w:header="709" w:footer="709" w:gutter="0"/>
          <w:cols w:space="708"/>
          <w:docGrid w:linePitch="360"/>
        </w:sectPr>
      </w:pPr>
      <w:r>
        <w:rPr>
          <w:rFonts w:ascii="Arial" w:hAnsi="Arial"/>
          <w:noProof/>
          <w:color w:val="000000"/>
          <w:sz w:val="12"/>
          <w:szCs w:val="12"/>
          <w:lang w:val="bg-BG"/>
        </w:rPr>
        <w:t>Таблица 2.6</w:t>
      </w:r>
    </w:p>
    <w:p>
      <w:pPr>
        <w:rPr>
          <w:rFonts w:ascii="Arial" w:hAnsi="Arial" w:cs="Arial"/>
          <w:noProof/>
          <w:color w:val="000000"/>
          <w:sz w:val="12"/>
          <w:szCs w:val="12"/>
          <w:lang w:val="en-US"/>
        </w:rPr>
      </w:pPr>
    </w:p>
    <w:p>
      <w:pPr>
        <w:jc w:val="center"/>
        <w:rPr>
          <w:b/>
          <w:noProof/>
          <w:sz w:val="16"/>
          <w:szCs w:val="16"/>
          <w:lang w:val="bg-BG"/>
        </w:rPr>
      </w:pPr>
      <w:r>
        <w:rPr>
          <w:b/>
          <w:noProof/>
          <w:sz w:val="16"/>
          <w:szCs w:val="16"/>
          <w:lang w:val="bg-BG"/>
        </w:rPr>
        <w:t>КОНСОЛИДИРАНИ ОТЧЕТИ НА ЕФР КЪМ 31 ДЕКЕМВРИ 2019 г.</w:t>
      </w:r>
    </w:p>
    <w:p>
      <w:pPr>
        <w:jc w:val="center"/>
        <w:rPr>
          <w:b/>
          <w:noProof/>
          <w:sz w:val="16"/>
          <w:szCs w:val="16"/>
          <w:lang w:val="bg-BG"/>
        </w:rPr>
      </w:pPr>
      <w:r>
        <w:rPr>
          <w:b/>
          <w:noProof/>
          <w:sz w:val="16"/>
          <w:szCs w:val="16"/>
          <w:lang w:val="bg-BG"/>
        </w:rPr>
        <w:t>ВИД ПОМОЩ</w:t>
      </w:r>
    </w:p>
    <w:p>
      <w:pPr>
        <w:jc w:val="center"/>
        <w:rPr>
          <w:b/>
          <w:noProof/>
          <w:sz w:val="16"/>
          <w:szCs w:val="16"/>
          <w:lang w:val="bg-BG"/>
        </w:rPr>
      </w:pPr>
      <w:r>
        <w:rPr>
          <w:b/>
          <w:noProof/>
          <w:sz w:val="16"/>
          <w:szCs w:val="16"/>
          <w:lang w:val="bg-BG"/>
        </w:rPr>
        <w:t>АКТБ + ОСТ - 11-и ЕФР</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11"/>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bookmarkStart w:id="155" w:name="DOC_TBL00067_1_1"/>
            <w:bookmarkEnd w:id="155"/>
          </w:p>
        </w:tc>
        <w:tc>
          <w:tcPr>
            <w:tcW w:w="109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(милиони евро)</w:t>
            </w:r>
          </w:p>
        </w:tc>
      </w:tr>
      <w:tr>
        <w:trPr>
          <w:trHeight w:hRule="exact" w:val="160"/>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КРЕДИТИ</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РЕШЕНИЯ</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ЦЕЛЕВИ СРЕДСТВА</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ПЛАЩАНИЯ</w:t>
            </w:r>
          </w:p>
        </w:tc>
      </w:tr>
      <w:tr>
        <w:trPr>
          <w:trHeight w:hRule="exact" w:val="160"/>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СЪВКУПНИ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ГОДИШНИ</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w:t>
            </w:r>
          </w:p>
        </w:tc>
      </w:tr>
      <w:tr>
        <w:trPr>
          <w:trHeight w:hRule="exact" w:val="160"/>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4"/>
                <w:szCs w:val="20"/>
                <w:lang w:val="bg-BG"/>
              </w:rPr>
            </w:pPr>
            <w:r>
              <w:rPr>
                <w:rFonts w:ascii="Arial" w:eastAsia="Calibri" w:hAnsi="Arial"/>
                <w:b/>
                <w:noProof/>
                <w:color w:val="000000"/>
                <w:sz w:val="14"/>
                <w:szCs w:val="20"/>
                <w:lang w:val="bg-BG"/>
              </w:rPr>
              <w:t>(4) : (3)</w:t>
            </w: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Редовни вноски на държавите членки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Разпределени средства</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АКТБ</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Б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Спешна помощ</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Б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Резерви, които могат да бъдат мобилизирани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национални средства Пакет A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НАЦИОНАЛНИ СРЕДСТВА ПАКЕТ A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Редовни вноски на държавите членки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Разпределени средства</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 xml:space="preserve">АКТБ </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15,567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14,186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1,617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11,063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6,077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1,637</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15,567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14,186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1,617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11,063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6,077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1,637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Б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Спешна помощ</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84 %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Други шокове с бюджетно въздействие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Б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838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137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709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87 %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Преходен инструмент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ПРЕХОДЕН ИНСТРУМЕНТ</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Разходи за прилагане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769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166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Лихви и други приходи</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РАЗХОДИ ЗА ПРИЛАГАНЕ И ПРИХОДИ ОТ ЛИХВИ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1,071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864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178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775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166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Институционални разходи и разходи за подкрепа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64 %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Други средства в рамките на АКТБ</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2,791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380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Инструмент за мир</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СРЕДСТВА В РАМКИТЕ НА АКТБ</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3,988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3,524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275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3,020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2,256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Регионални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6,920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6,649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5,644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704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2,591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1,038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РЕГИОНАЛНИ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6,649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846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5,644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704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2,591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1,038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Съфинансиране</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Разпределени средства</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Разходи за прилагане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РАЗХОДИ ЗА ПРИЛАГАНЕ И ПРИХОДИ ОТ ЛИХВИ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Инструмент за мир</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78 %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СРЕДСТВА В РАМКИТЕ НА АКТБ</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78 %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Регионални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РЕГИОНАЛНИ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Резерви, които могат да бъдат мобилизирани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Пакет Б</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ПО ДЪРЖАВИ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в рамките на АКТБ</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В РАМКИТЕ НА АКТБ</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национални средства Пакет A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НАЦИОНАЛНИ СРЕДСТВА ПАКЕТ A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НИП/РИП</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НИП/РИП</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540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Резерв, който не може да бъде мобилизиран</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който не може да бъде мобилизиран</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КОЙТО НЕ МОЖЕ ДА БЪДЕ МОБИЛИЗИРАН</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Вътрешни SLA на ЕК</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73 %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73 %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Редовни вноски на държавите членки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Разпределени средства</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ОСТ</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192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44</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192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Б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Спешна помощ</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78 %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Други шокове с бюджетно въздействие</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Б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87 %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Преходен инструмент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ПРЕХОДЕН ИНСТРУМЕНТ</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Проучвания/Техническа помощ OCT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84 %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0000"/>
                <w:sz w:val="12"/>
                <w:szCs w:val="20"/>
                <w:lang w:val="bg-BG"/>
              </w:rPr>
            </w:pPr>
            <w:r>
              <w:rPr>
                <w:rFonts w:ascii="Arial" w:eastAsia="Calibri" w:hAnsi="Arial"/>
                <w:noProof/>
                <w:color w:val="FF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87 %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РАЗХОДИ ЗА ПРИЛАГАНЕ И ПРИХОДИ ОТ ЛИХВИ</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84 %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FF0000"/>
                <w:sz w:val="12"/>
                <w:szCs w:val="20"/>
                <w:lang w:val="bg-BG"/>
              </w:rPr>
            </w:pPr>
            <w:r>
              <w:rPr>
                <w:rFonts w:ascii="Arial" w:eastAsia="Calibri" w:hAnsi="Arial"/>
                <w:b/>
                <w:noProof/>
                <w:color w:val="FF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87 %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Регионални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РЕГИОНАЛНИ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81 %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Съфинансиране</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Разпределени средства</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Резерви, които могат да бъдат мобилизирани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НИП/РИП</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32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НИП/РИП</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Резерв, който не може да бъде мобилизиран</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Резерв, който не може да бъде мобилизиран</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РЕЗЕРВ, КОЙТО НЕ МОЖЕ ДА БЪДЕ МОБИЛИЗИРАН</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Вътрешни SLA на ЕК</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Резерви</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4"/>
                <w:szCs w:val="20"/>
                <w:lang w:val="bg-BG"/>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rPr>
                <w:rFonts w:ascii="Arial" w:eastAsia="Arial" w:hAnsi="Arial" w:cs="Arial"/>
                <w:b/>
                <w:noProof/>
                <w:color w:val="000000"/>
                <w:sz w:val="14"/>
                <w:szCs w:val="20"/>
                <w:lang w:val="bg-BG"/>
              </w:rPr>
            </w:pPr>
            <w:r>
              <w:rPr>
                <w:rFonts w:ascii="Arial" w:eastAsia="Calibri" w:hAnsi="Arial"/>
                <w:b/>
                <w:noProof/>
                <w:color w:val="000000"/>
                <w:sz w:val="14"/>
                <w:szCs w:val="20"/>
                <w:lang w:val="bg-BG"/>
              </w:rPr>
              <w:t>Редовни вноски на държавите членки</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jc w:val="center"/>
              <w:rPr>
                <w:rFonts w:ascii="Arial" w:eastAsia="Arial" w:hAnsi="Arial" w:cs="Arial"/>
                <w:b/>
                <w:noProof/>
                <w:color w:val="000000"/>
                <w:sz w:val="14"/>
                <w:szCs w:val="20"/>
                <w:lang w:val="bg-B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rPr>
                <w:rFonts w:ascii="Arial" w:eastAsia="Arial" w:hAnsi="Arial" w:cs="Arial"/>
                <w:b/>
                <w:noProof/>
                <w:color w:val="000000"/>
                <w:sz w:val="12"/>
                <w:szCs w:val="20"/>
                <w:lang w:val="bg-BG"/>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Разпределени средства</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jc w:val="center"/>
              <w:rPr>
                <w:rFonts w:ascii="Arial" w:eastAsia="Arial" w:hAnsi="Arial" w:cs="Arial"/>
                <w:b/>
                <w:noProof/>
                <w:color w:val="000000"/>
                <w:sz w:val="12"/>
                <w:szCs w:val="20"/>
                <w:lang w:val="bg-B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A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59 %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99 %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A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noProof/>
                <w:color w:val="FFFFFF"/>
                <w:sz w:val="12"/>
                <w:szCs w:val="20"/>
                <w:lang w:val="bg-BG"/>
              </w:rPr>
            </w:pPr>
            <w:r>
              <w:rPr>
                <w:rFonts w:ascii="Arial" w:eastAsia="Calibri" w:hAnsi="Arial"/>
                <w:noProof/>
                <w:color w:val="FFFFFF"/>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59 %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99 %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Пакет Б — Национални средства</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rPr>
                <w:rFonts w:ascii="Arial" w:eastAsia="Arial" w:hAnsi="Arial" w:cs="Arial"/>
                <w:noProof/>
                <w:color w:val="000000"/>
                <w:sz w:val="12"/>
                <w:szCs w:val="20"/>
                <w:lang w:val="bg-BG"/>
              </w:rPr>
            </w:pPr>
            <w:r>
              <w:rPr>
                <w:rFonts w:ascii="Arial" w:eastAsia="Calibri" w:hAnsi="Arial"/>
                <w:noProof/>
                <w:color w:val="000000"/>
                <w:sz w:val="12"/>
                <w:szCs w:val="20"/>
                <w:lang w:val="bg-BG"/>
              </w:rPr>
              <w:t xml:space="preserve">      Спешна помощ</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r>
              <w:rPr>
                <w:rFonts w:ascii="Arial" w:eastAsia="Calibri" w:hAnsi="Arial"/>
                <w:noProof/>
                <w:color w:val="000000"/>
                <w:sz w:val="12"/>
                <w:szCs w:val="20"/>
                <w:lang w:val="bg-BG"/>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jc w:val="right"/>
              <w:rPr>
                <w:rFonts w:ascii="Arial" w:eastAsia="Arial" w:hAnsi="Arial" w:cs="Arial"/>
                <w:noProof/>
                <w:color w:val="000000"/>
                <w:sz w:val="12"/>
                <w:szCs w:val="20"/>
                <w:lang w:val="bg-B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rPr>
                <w:rFonts w:ascii="Arial" w:eastAsia="Arial" w:hAnsi="Arial" w:cs="Arial"/>
                <w:b/>
                <w:noProof/>
                <w:color w:val="000000"/>
                <w:sz w:val="12"/>
                <w:szCs w:val="20"/>
                <w:lang w:val="bg-BG"/>
              </w:rPr>
            </w:pPr>
            <w:r>
              <w:rPr>
                <w:rFonts w:ascii="Arial" w:eastAsia="Calibri" w:hAnsi="Arial"/>
                <w:b/>
                <w:noProof/>
                <w:color w:val="000000"/>
                <w:sz w:val="12"/>
                <w:szCs w:val="20"/>
                <w:lang w:val="bg-BG"/>
              </w:rPr>
              <w:t>МЕЖДИННА СУМА: ПАКЕТ Б — НАЦИОНАЛНИ СРЕДСТВА</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r>
              <w:rPr>
                <w:rFonts w:ascii="Arial" w:eastAsia="Calibri" w:hAnsi="Arial"/>
                <w:b/>
                <w:noProof/>
                <w:color w:val="000000"/>
                <w:sz w:val="12"/>
                <w:szCs w:val="20"/>
                <w:lang w:val="bg-BG"/>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jc w:val="right"/>
              <w:rPr>
                <w:rFonts w:ascii="Arial" w:eastAsia="Arial" w:hAnsi="Arial" w:cs="Arial"/>
                <w:b/>
                <w:noProof/>
                <w:color w:val="000000"/>
                <w:sz w:val="12"/>
                <w:szCs w:val="20"/>
                <w:lang w:val="bg-B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rPr>
                <w:rFonts w:ascii="Arial" w:eastAsia="Arial" w:hAnsi="Arial" w:cs="Arial"/>
                <w:b/>
                <w:noProof/>
                <w:color w:val="FFFFFF"/>
                <w:sz w:val="14"/>
                <w:szCs w:val="20"/>
                <w:lang w:val="bg-BG" w:bidi="en-GB"/>
              </w:rPr>
            </w:pPr>
          </w:p>
        </w:tc>
      </w:tr>
      <w:tr>
        <w:trPr>
          <w:trHeight w:hRule="exact" w:val="167"/>
        </w:trPr>
        <w:tc>
          <w:tcPr>
            <w:tcW w:w="16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rPr>
                <w:rFonts w:ascii="Arial" w:eastAsia="Arial" w:hAnsi="Arial" w:cs="Arial"/>
                <w:b/>
                <w:noProof/>
                <w:color w:val="FFFFFF"/>
                <w:sz w:val="14"/>
                <w:szCs w:val="20"/>
                <w:lang w:val="bg-BG"/>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rPr>
                <w:rFonts w:ascii="Arial" w:eastAsia="Arial" w:hAnsi="Arial" w:cs="Arial"/>
                <w:b/>
                <w:noProof/>
                <w:color w:val="FFFFFF"/>
                <w:sz w:val="14"/>
                <w:szCs w:val="20"/>
                <w:lang w:val="bg-BG"/>
              </w:rPr>
            </w:pPr>
            <w:r>
              <w:rPr>
                <w:rFonts w:ascii="Arial" w:eastAsia="Calibri" w:hAnsi="Arial"/>
                <w:b/>
                <w:noProof/>
                <w:color w:val="FFFFFF"/>
                <w:sz w:val="14"/>
                <w:szCs w:val="20"/>
                <w:lang w:val="bg-BG"/>
              </w:rPr>
              <w:t>ОБЩО: АКТБ+OCT (ВКЛ. РЕЗЕРВИ)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29,608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26,511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3,153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90 %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21,697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3,557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82 %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12,553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3,377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jc w:val="right"/>
              <w:rPr>
                <w:rFonts w:ascii="Arial" w:eastAsia="Arial" w:hAnsi="Arial" w:cs="Arial"/>
                <w:b/>
                <w:noProof/>
                <w:color w:val="FFFFFF"/>
                <w:sz w:val="14"/>
                <w:szCs w:val="20"/>
                <w:lang w:val="bg-BG"/>
              </w:rPr>
            </w:pPr>
            <w:r>
              <w:rPr>
                <w:rFonts w:ascii="Arial" w:eastAsia="Calibri" w:hAnsi="Arial"/>
                <w:b/>
                <w:noProof/>
                <w:color w:val="FFFFFF"/>
                <w:sz w:val="14"/>
                <w:szCs w:val="20"/>
                <w:lang w:val="bg-BG"/>
              </w:rPr>
              <w:t>58 %</w:t>
            </w:r>
          </w:p>
        </w:tc>
      </w:tr>
      <w:bookmarkEnd w:id="151"/>
    </w:tbl>
    <w:p>
      <w:pPr>
        <w:rPr>
          <w:noProof/>
          <w:lang w:val="bg-BG"/>
        </w:rPr>
        <w:sectPr>
          <w:headerReference w:type="even" r:id="rId389"/>
          <w:headerReference w:type="default" r:id="rId390"/>
          <w:footerReference w:type="even" r:id="rId391"/>
          <w:footerReference w:type="default" r:id="rId392"/>
          <w:headerReference w:type="first" r:id="rId393"/>
          <w:footerReference w:type="first" r:id="rId394"/>
          <w:pgSz w:w="11906" w:h="16838" w:code="9"/>
          <w:pgMar w:top="1134" w:right="1440" w:bottom="1134" w:left="1440" w:header="709" w:footer="709" w:gutter="0"/>
          <w:cols w:space="708"/>
          <w:docGrid w:linePitch="360"/>
        </w:sect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rPr>
          <w:rFonts w:ascii="Arial" w:hAnsi="Arial"/>
          <w:b/>
          <w:noProof/>
          <w:sz w:val="20"/>
          <w:szCs w:val="20"/>
          <w:u w:val="single"/>
          <w:lang w:val="bg-BG"/>
        </w:rPr>
      </w:pPr>
    </w:p>
    <w:p>
      <w:pPr>
        <w:pStyle w:val="FIRSTCHAPTERPAGE"/>
        <w:rPr>
          <w:noProof/>
          <w:lang w:val="bg-BG"/>
        </w:rPr>
      </w:pPr>
      <w:bookmarkStart w:id="156" w:name="_Toc478631948"/>
      <w:bookmarkStart w:id="157" w:name="_Toc49527810"/>
      <w:r>
        <w:rPr>
          <w:noProof/>
          <w:lang w:val="bg-BG"/>
        </w:rPr>
        <w:t xml:space="preserve">ГОДИШЕН ДОКЛАД ЗА ИЗПЪЛНЕНИЕТО — </w:t>
      </w:r>
      <w:bookmarkStart w:id="158" w:name="_Toc478054614"/>
      <w:r>
        <w:rPr>
          <w:noProof/>
          <w:lang w:val="bg-BG"/>
        </w:rPr>
        <w:t>ФОНДОВЕ, УПРАВЛЯВАНИ ОТ ЕВРОПЕЙСКАТА ИНВЕСТИЦИОННА БАНКА</w:t>
      </w:r>
      <w:bookmarkEnd w:id="156"/>
      <w:bookmarkEnd w:id="158"/>
      <w:bookmarkEnd w:id="157"/>
    </w:p>
    <w:p>
      <w:pPr>
        <w:rPr>
          <w:rFonts w:ascii="Arial" w:hAnsi="Arial"/>
          <w:b/>
          <w:noProof/>
          <w:sz w:val="20"/>
          <w:szCs w:val="20"/>
          <w:u w:val="single"/>
          <w:lang w:val="bg-BG"/>
        </w:rPr>
      </w:pPr>
    </w:p>
    <w:p>
      <w:pPr>
        <w:rPr>
          <w:rFonts w:ascii="Arial" w:hAnsi="Arial"/>
          <w:b/>
          <w:noProof/>
          <w:sz w:val="20"/>
          <w:szCs w:val="20"/>
          <w:u w:val="single"/>
          <w:lang w:val="bg-BG"/>
        </w:rPr>
        <w:sectPr>
          <w:headerReference w:type="even" r:id="rId395"/>
          <w:headerReference w:type="default" r:id="rId396"/>
          <w:footerReference w:type="even" r:id="rId397"/>
          <w:footerReference w:type="default" r:id="rId398"/>
          <w:headerReference w:type="first" r:id="rId399"/>
          <w:footerReference w:type="first" r:id="rId400"/>
          <w:pgSz w:w="11907" w:h="16840" w:code="9"/>
          <w:pgMar w:top="1134" w:right="1134" w:bottom="1134" w:left="1134" w:header="709" w:footer="709" w:gutter="0"/>
          <w:pgBorders>
            <w:top w:val="nil"/>
            <w:left w:val="nil"/>
            <w:bottom w:val="nil"/>
            <w:right w:val="nil"/>
          </w:pgBorders>
          <w:cols w:space="720"/>
          <w:docGrid w:linePitch="360"/>
        </w:sectPr>
      </w:pPr>
    </w:p>
    <w:p>
      <w:pPr>
        <w:rPr>
          <w:noProof/>
          <w:lang w:val="bg-BG"/>
        </w:rPr>
      </w:pPr>
      <w:r>
        <w:rPr>
          <w:rFonts w:ascii="Arial" w:hAnsi="Arial"/>
          <w:b/>
          <w:noProof/>
          <w:sz w:val="20"/>
          <w:szCs w:val="20"/>
          <w:u w:val="single"/>
          <w:lang w:val="bg-BG"/>
        </w:rPr>
        <w:t>ЕВРОПЕЙСКА ИНВЕСТИЦИОННА БАНКА</w:t>
      </w:r>
      <w:r>
        <w:rPr>
          <w:noProof/>
          <w:lang w:val="bg-BG"/>
        </w:rPr>
        <w:t xml:space="preserve"> </w:t>
      </w:r>
    </w:p>
    <w:p>
      <w:pPr>
        <w:rPr>
          <w:noProof/>
          <w:lang w:val="bg-BG"/>
        </w:rPr>
      </w:pPr>
    </w:p>
    <w:p>
      <w:pPr>
        <w:suppressAutoHyphens/>
        <w:snapToGrid w:val="0"/>
        <w:spacing w:before="60" w:after="60"/>
        <w:jc w:val="right"/>
        <w:rPr>
          <w:rFonts w:ascii="Arial" w:hAnsi="Arial"/>
          <w:b/>
          <w:noProof/>
          <w:sz w:val="20"/>
          <w:szCs w:val="20"/>
          <w:u w:val="single"/>
          <w:lang w:val="bg-BG" w:eastAsia="ar-SA"/>
        </w:rPr>
      </w:pPr>
      <w:r>
        <w:rPr>
          <w:rFonts w:ascii="Arial" w:hAnsi="Arial"/>
          <w:b/>
          <w:noProof/>
          <w:sz w:val="20"/>
          <w:szCs w:val="20"/>
          <w:u w:val="single"/>
          <w:lang w:val="bg-BG" w:eastAsia="ar-SA"/>
        </w:rPr>
        <w:t>CA/531/20</w:t>
      </w:r>
    </w:p>
    <w:p>
      <w:pPr>
        <w:suppressAutoHyphens/>
        <w:snapToGrid w:val="0"/>
        <w:spacing w:before="60" w:after="60"/>
        <w:jc w:val="right"/>
        <w:rPr>
          <w:rFonts w:ascii="Arial" w:hAnsi="Arial"/>
          <w:noProof/>
          <w:sz w:val="20"/>
          <w:szCs w:val="20"/>
          <w:lang w:val="bg-BG" w:eastAsia="ar-SA"/>
        </w:rPr>
      </w:pPr>
      <w:r>
        <w:rPr>
          <w:rFonts w:ascii="Arial" w:hAnsi="Arial"/>
          <w:noProof/>
          <w:sz w:val="20"/>
          <w:szCs w:val="20"/>
          <w:lang w:val="bg-BG" w:eastAsia="ar-SA"/>
        </w:rPr>
        <w:t>12 март 2020 г.</w:t>
      </w:r>
    </w:p>
    <w:p>
      <w:pPr>
        <w:suppressAutoHyphens/>
        <w:snapToGrid w:val="0"/>
        <w:spacing w:before="60" w:after="60"/>
        <w:jc w:val="right"/>
        <w:rPr>
          <w:rFonts w:ascii="Arial" w:hAnsi="Arial"/>
          <w:noProof/>
          <w:sz w:val="20"/>
          <w:szCs w:val="20"/>
          <w:lang w:val="bg-BG" w:eastAsia="ar-SA"/>
        </w:rPr>
      </w:pPr>
    </w:p>
    <w:p>
      <w:pPr>
        <w:suppressAutoHyphens/>
        <w:snapToGrid w:val="0"/>
        <w:spacing w:before="60" w:after="60"/>
        <w:jc w:val="right"/>
        <w:rPr>
          <w:rFonts w:ascii="Arial" w:hAnsi="Arial"/>
          <w:noProof/>
          <w:sz w:val="20"/>
          <w:szCs w:val="20"/>
          <w:u w:val="single"/>
          <w:lang w:val="bg-BG" w:eastAsia="ar-SA"/>
        </w:rPr>
      </w:pPr>
      <w:r>
        <w:rPr>
          <w:rFonts w:ascii="Arial" w:hAnsi="Arial"/>
          <w:noProof/>
          <w:sz w:val="20"/>
          <w:szCs w:val="20"/>
          <w:u w:val="single"/>
          <w:lang w:val="bg-BG" w:eastAsia="ar-SA"/>
        </w:rPr>
        <w:t>Документ 20/108</w:t>
      </w:r>
    </w:p>
    <w:p>
      <w:pPr>
        <w:suppressAutoHyphens/>
        <w:snapToGrid w:val="0"/>
        <w:spacing w:before="60" w:after="60"/>
        <w:jc w:val="right"/>
        <w:rPr>
          <w:rFonts w:ascii="Arial" w:hAnsi="Arial"/>
          <w:noProof/>
          <w:sz w:val="20"/>
          <w:szCs w:val="20"/>
          <w:u w:val="single"/>
          <w:lang w:val="bg-BG" w:eastAsia="ar-SA"/>
        </w:rPr>
      </w:pPr>
    </w:p>
    <w:p>
      <w:pPr>
        <w:suppressAutoHyphens/>
        <w:snapToGrid w:val="0"/>
        <w:spacing w:before="60" w:after="60"/>
        <w:jc w:val="right"/>
        <w:rPr>
          <w:rFonts w:ascii="Arial" w:hAnsi="Arial"/>
          <w:noProof/>
          <w:sz w:val="20"/>
          <w:szCs w:val="20"/>
          <w:u w:val="single"/>
          <w:lang w:val="bg-BG" w:eastAsia="ar-SA"/>
        </w:rPr>
      </w:pPr>
    </w:p>
    <w:p>
      <w:pPr>
        <w:suppressAutoHyphens/>
        <w:snapToGrid w:val="0"/>
        <w:spacing w:before="60" w:after="60"/>
        <w:jc w:val="right"/>
        <w:rPr>
          <w:rFonts w:ascii="Arial" w:hAnsi="Arial"/>
          <w:noProof/>
          <w:sz w:val="20"/>
          <w:szCs w:val="20"/>
          <w:u w:val="single"/>
          <w:lang w:val="bg-BG" w:eastAsia="ar-SA"/>
        </w:rPr>
      </w:pPr>
    </w:p>
    <w:p>
      <w:pPr>
        <w:suppressAutoHyphens/>
        <w:snapToGrid w:val="0"/>
        <w:spacing w:before="60" w:after="60"/>
        <w:jc w:val="right"/>
        <w:rPr>
          <w:rFonts w:ascii="Arial" w:hAnsi="Arial"/>
          <w:noProof/>
          <w:sz w:val="20"/>
          <w:szCs w:val="20"/>
          <w:u w:val="single"/>
          <w:lang w:val="bg-BG" w:eastAsia="ar-SA"/>
        </w:rPr>
      </w:pPr>
    </w:p>
    <w:p>
      <w:pPr>
        <w:suppressAutoHyphens/>
        <w:snapToGrid w:val="0"/>
        <w:spacing w:before="60" w:after="60"/>
        <w:jc w:val="right"/>
        <w:rPr>
          <w:rFonts w:ascii="Arial" w:hAnsi="Arial"/>
          <w:noProof/>
          <w:sz w:val="20"/>
          <w:szCs w:val="20"/>
          <w:u w:val="single"/>
          <w:lang w:val="bg-BG" w:eastAsia="ar-SA"/>
        </w:rPr>
      </w:pPr>
    </w:p>
    <w:p>
      <w:pPr>
        <w:suppressAutoHyphens/>
        <w:snapToGrid w:val="0"/>
        <w:spacing w:before="60" w:after="60"/>
        <w:jc w:val="right"/>
        <w:rPr>
          <w:rFonts w:ascii="Arial" w:hAnsi="Arial"/>
          <w:noProof/>
          <w:sz w:val="20"/>
          <w:szCs w:val="20"/>
          <w:u w:val="single"/>
          <w:lang w:val="bg-BG" w:eastAsia="ar-SA"/>
        </w:rPr>
      </w:pPr>
    </w:p>
    <w:p>
      <w:pPr>
        <w:suppressAutoHyphens/>
        <w:snapToGrid w:val="0"/>
        <w:spacing w:before="60" w:after="60"/>
        <w:jc w:val="right"/>
        <w:rPr>
          <w:rFonts w:ascii="Arial" w:hAnsi="Arial"/>
          <w:noProof/>
          <w:sz w:val="20"/>
          <w:szCs w:val="20"/>
          <w:u w:val="single"/>
          <w:lang w:val="bg-BG" w:eastAsia="ar-SA"/>
        </w:rPr>
      </w:pPr>
    </w:p>
    <w:p>
      <w:pPr>
        <w:suppressAutoHyphens/>
        <w:snapToGrid w:val="0"/>
        <w:spacing w:before="60" w:after="60"/>
        <w:jc w:val="right"/>
        <w:rPr>
          <w:rFonts w:ascii="Arial" w:hAnsi="Arial"/>
          <w:noProof/>
          <w:sz w:val="20"/>
          <w:szCs w:val="20"/>
          <w:u w:val="single"/>
          <w:lang w:val="bg-BG" w:eastAsia="ar-SA"/>
        </w:rPr>
      </w:pPr>
    </w:p>
    <w:p>
      <w:pPr>
        <w:suppressAutoHyphens/>
        <w:snapToGrid w:val="0"/>
        <w:spacing w:before="60" w:after="60"/>
        <w:jc w:val="center"/>
        <w:rPr>
          <w:noProof/>
          <w:lang w:val="bg-BG" w:eastAsia="ar-SA"/>
        </w:rPr>
      </w:pPr>
      <w:r>
        <w:rPr>
          <w:rFonts w:ascii="Arial" w:hAnsi="Arial"/>
          <w:b/>
          <w:caps/>
          <w:noProof/>
          <w:sz w:val="20"/>
          <w:szCs w:val="20"/>
          <w:lang w:val="bg-BG" w:eastAsia="ar-SA"/>
        </w:rPr>
        <w:t>СЪВЕТ НА ДИРЕКТОРИТЕ</w:t>
      </w:r>
      <w:r>
        <w:rPr>
          <w:noProof/>
          <w:lang w:val="bg-BG" w:eastAsia="ar-SA"/>
        </w:rPr>
        <w:t xml:space="preserve"> </w:t>
      </w:r>
    </w:p>
    <w:p>
      <w:pPr>
        <w:suppressAutoHyphens/>
        <w:snapToGrid w:val="0"/>
        <w:spacing w:before="60" w:after="60"/>
        <w:jc w:val="center"/>
        <w:rPr>
          <w:noProof/>
          <w:lang w:val="bg-BG" w:eastAsia="ar-SA"/>
        </w:rPr>
      </w:pPr>
    </w:p>
    <w:p>
      <w:pPr>
        <w:suppressAutoHyphens/>
        <w:snapToGrid w:val="0"/>
        <w:spacing w:before="60" w:after="60"/>
        <w:jc w:val="center"/>
        <w:rPr>
          <w:rFonts w:ascii="Arial" w:hAnsi="Arial"/>
          <w:b/>
          <w:caps/>
          <w:noProof/>
          <w:spacing w:val="20"/>
          <w:sz w:val="20"/>
          <w:szCs w:val="20"/>
          <w:lang w:val="bg-BG" w:eastAsia="ar-SA"/>
        </w:rPr>
      </w:pPr>
      <w:r>
        <w:rPr>
          <w:rFonts w:ascii="Arial" w:hAnsi="Arial"/>
          <w:b/>
          <w:caps/>
          <w:noProof/>
          <w:sz w:val="20"/>
          <w:szCs w:val="20"/>
          <w:lang w:val="bg-BG" w:eastAsia="ar-SA"/>
        </w:rPr>
        <w:t>ИНВЕСТИЦИОНЕН ИНСТРУМЕНТ</w:t>
      </w:r>
    </w:p>
    <w:p>
      <w:pPr>
        <w:suppressAutoHyphens/>
        <w:snapToGrid w:val="0"/>
        <w:spacing w:before="60" w:after="60"/>
        <w:jc w:val="center"/>
        <w:rPr>
          <w:rFonts w:ascii="Arial" w:hAnsi="Arial"/>
          <w:b/>
          <w:caps/>
          <w:noProof/>
          <w:spacing w:val="20"/>
          <w:sz w:val="20"/>
          <w:szCs w:val="20"/>
          <w:lang w:val="bg-BG" w:eastAsia="ar-SA"/>
        </w:rPr>
      </w:pPr>
      <w:r>
        <w:rPr>
          <w:rFonts w:ascii="Arial" w:hAnsi="Arial"/>
          <w:b/>
          <w:caps/>
          <w:noProof/>
          <w:sz w:val="20"/>
          <w:szCs w:val="20"/>
          <w:lang w:val="bg-BG" w:eastAsia="ar-SA"/>
        </w:rPr>
        <w:t>ФИНАНСОВИ ОТЧЕТИ</w:t>
      </w:r>
    </w:p>
    <w:p>
      <w:pPr>
        <w:suppressAutoHyphens/>
        <w:snapToGrid w:val="0"/>
        <w:spacing w:before="60" w:after="60"/>
        <w:jc w:val="center"/>
        <w:rPr>
          <w:rFonts w:ascii="Arial" w:hAnsi="Arial"/>
          <w:b/>
          <w:caps/>
          <w:noProof/>
          <w:spacing w:val="20"/>
          <w:sz w:val="20"/>
          <w:szCs w:val="20"/>
          <w:lang w:val="bg-BG" w:eastAsia="ar-SA"/>
        </w:rPr>
      </w:pPr>
      <w:r>
        <w:rPr>
          <w:rFonts w:ascii="Arial" w:hAnsi="Arial"/>
          <w:b/>
          <w:caps/>
          <w:noProof/>
          <w:sz w:val="20"/>
          <w:szCs w:val="20"/>
          <w:lang w:val="bg-BG" w:eastAsia="ar-SA"/>
        </w:rPr>
        <w:t>КЪМ 31 ДЕКЕМВРИ 2019 Г.</w:t>
      </w:r>
    </w:p>
    <w:p>
      <w:pPr>
        <w:suppressAutoHyphens/>
        <w:snapToGrid w:val="0"/>
        <w:spacing w:before="60" w:after="60"/>
        <w:jc w:val="center"/>
        <w:rPr>
          <w:rFonts w:ascii="Arial" w:hAnsi="Arial"/>
          <w:b/>
          <w:caps/>
          <w:noProof/>
          <w:spacing w:val="20"/>
          <w:sz w:val="20"/>
          <w:szCs w:val="20"/>
          <w:lang w:val="bg-BG" w:eastAsia="ar-SA"/>
        </w:rPr>
      </w:pPr>
    </w:p>
    <w:p>
      <w:pPr>
        <w:suppressAutoHyphens/>
        <w:snapToGrid w:val="0"/>
        <w:spacing w:before="60" w:after="60"/>
        <w:jc w:val="center"/>
        <w:rPr>
          <w:rFonts w:ascii="Arial" w:hAnsi="Arial"/>
          <w:b/>
          <w:caps/>
          <w:noProof/>
          <w:spacing w:val="20"/>
          <w:sz w:val="20"/>
          <w:szCs w:val="20"/>
          <w:lang w:val="bg-BG" w:eastAsia="ar-SA"/>
        </w:rPr>
      </w:pPr>
    </w:p>
    <w:p>
      <w:pPr>
        <w:suppressAutoHyphens/>
        <w:snapToGrid w:val="0"/>
        <w:spacing w:before="60" w:after="60"/>
        <w:jc w:val="center"/>
        <w:rPr>
          <w:rFonts w:ascii="Arial" w:hAnsi="Arial"/>
          <w:b/>
          <w:caps/>
          <w:noProof/>
          <w:spacing w:val="20"/>
          <w:sz w:val="20"/>
          <w:szCs w:val="20"/>
          <w:lang w:val="bg-BG" w:eastAsia="ar-SA"/>
        </w:rPr>
      </w:pPr>
    </w:p>
    <w:p>
      <w:pPr>
        <w:suppressAutoHyphens/>
        <w:snapToGrid w:val="0"/>
        <w:spacing w:before="60" w:after="60"/>
        <w:jc w:val="center"/>
        <w:rPr>
          <w:rFonts w:ascii="Arial" w:hAnsi="Arial"/>
          <w:b/>
          <w:caps/>
          <w:noProof/>
          <w:spacing w:val="20"/>
          <w:sz w:val="20"/>
          <w:szCs w:val="20"/>
          <w:lang w:val="bg-BG" w:eastAsia="ar-SA"/>
        </w:rPr>
      </w:pPr>
    </w:p>
    <w:p>
      <w:pPr>
        <w:suppressAutoHyphens/>
        <w:snapToGrid w:val="0"/>
        <w:spacing w:before="60" w:after="60"/>
        <w:jc w:val="center"/>
        <w:rPr>
          <w:rFonts w:ascii="Arial" w:hAnsi="Arial"/>
          <w:b/>
          <w:caps/>
          <w:noProof/>
          <w:spacing w:val="20"/>
          <w:sz w:val="20"/>
          <w:szCs w:val="20"/>
          <w:lang w:val="bg-BG" w:eastAsia="ar-SA"/>
        </w:rPr>
      </w:pPr>
    </w:p>
    <w:p>
      <w:pPr>
        <w:suppressAutoHyphens/>
        <w:snapToGrid w:val="0"/>
        <w:spacing w:before="60" w:after="60"/>
        <w:jc w:val="center"/>
        <w:rPr>
          <w:rFonts w:ascii="Arial" w:hAnsi="Arial"/>
          <w:b/>
          <w:caps/>
          <w:noProof/>
          <w:spacing w:val="20"/>
          <w:sz w:val="20"/>
          <w:szCs w:val="20"/>
          <w:lang w:val="bg-BG" w:eastAsia="ar-SA"/>
        </w:rPr>
      </w:pPr>
    </w:p>
    <w:p>
      <w:pPr>
        <w:suppressAutoHyphens/>
        <w:snapToGrid w:val="0"/>
        <w:spacing w:before="60" w:after="60"/>
        <w:jc w:val="center"/>
        <w:rPr>
          <w:rFonts w:ascii="Arial" w:hAnsi="Arial"/>
          <w:b/>
          <w:caps/>
          <w:noProof/>
          <w:spacing w:val="20"/>
          <w:sz w:val="20"/>
          <w:szCs w:val="20"/>
          <w:lang w:val="bg-BG" w:eastAsia="ar-SA"/>
        </w:rPr>
      </w:pPr>
    </w:p>
    <w:p>
      <w:pPr>
        <w:suppressAutoHyphens/>
        <w:snapToGrid w:val="0"/>
        <w:spacing w:before="60" w:after="60"/>
        <w:jc w:val="center"/>
        <w:rPr>
          <w:rFonts w:ascii="Arial" w:hAnsi="Arial"/>
          <w:b/>
          <w:caps/>
          <w:noProof/>
          <w:spacing w:val="20"/>
          <w:sz w:val="20"/>
          <w:szCs w:val="20"/>
          <w:lang w:val="bg-BG" w:eastAsia="ar-SA"/>
        </w:rPr>
      </w:pPr>
    </w:p>
    <w:p>
      <w:pPr>
        <w:suppressAutoHyphens/>
        <w:snapToGrid w:val="0"/>
        <w:spacing w:before="60" w:after="60"/>
        <w:jc w:val="center"/>
        <w:rPr>
          <w:rFonts w:ascii="Arial" w:hAnsi="Arial"/>
          <w:b/>
          <w:caps/>
          <w:noProof/>
          <w:spacing w:val="20"/>
          <w:sz w:val="20"/>
          <w:szCs w:val="20"/>
          <w:lang w:val="bg-BG" w:eastAsia="ar-SA"/>
        </w:rPr>
      </w:pPr>
    </w:p>
    <w:p>
      <w:pPr>
        <w:suppressAutoHyphens/>
        <w:snapToGrid w:val="0"/>
        <w:spacing w:before="60" w:after="60"/>
        <w:jc w:val="center"/>
        <w:rPr>
          <w:rFonts w:ascii="Arial" w:hAnsi="Arial"/>
          <w:b/>
          <w:caps/>
          <w:noProof/>
          <w:spacing w:val="20"/>
          <w:sz w:val="20"/>
          <w:szCs w:val="20"/>
          <w:lang w:val="bg-BG" w:eastAsia="ar-SA"/>
        </w:rPr>
      </w:pPr>
    </w:p>
    <w:p>
      <w:pPr>
        <w:suppressAutoHyphens/>
        <w:snapToGrid w:val="0"/>
        <w:spacing w:before="60" w:after="60"/>
        <w:jc w:val="center"/>
        <w:rPr>
          <w:rFonts w:ascii="Arial" w:hAnsi="Arial"/>
          <w:b/>
          <w:caps/>
          <w:noProof/>
          <w:spacing w:val="20"/>
          <w:sz w:val="20"/>
          <w:szCs w:val="20"/>
          <w:lang w:val="bg-BG" w:eastAsia="ar-SA"/>
        </w:rPr>
      </w:pPr>
    </w:p>
    <w:p>
      <w:pPr>
        <w:pStyle w:val="Textstand-alonenumberingLetters0"/>
        <w:ind w:left="284" w:hanging="284"/>
        <w:rPr>
          <w:noProof/>
          <w:lang w:val="bg-BG" w:eastAsia="ar-SA"/>
        </w:rPr>
      </w:pPr>
      <w:r>
        <w:rPr>
          <w:noProof/>
          <w:lang w:val="bg-BG" w:eastAsia="ar-SA"/>
        </w:rPr>
        <w:t>Отчет за финансовото състояние</w:t>
      </w:r>
    </w:p>
    <w:p>
      <w:pPr>
        <w:pStyle w:val="Textstand-alonenumberingLetters0"/>
        <w:ind w:left="284" w:hanging="284"/>
        <w:rPr>
          <w:noProof/>
          <w:lang w:val="bg-BG" w:eastAsia="ar-SA"/>
        </w:rPr>
      </w:pPr>
      <w:r>
        <w:rPr>
          <w:noProof/>
          <w:lang w:val="bg-BG" w:eastAsia="ar-SA"/>
        </w:rPr>
        <w:t>Отчет за печалбата или загубата и другия всеобхватен доход</w:t>
      </w:r>
    </w:p>
    <w:p>
      <w:pPr>
        <w:pStyle w:val="Textstand-alonenumberingLetters0"/>
        <w:ind w:left="284" w:hanging="284"/>
        <w:rPr>
          <w:noProof/>
          <w:lang w:val="bg-BG" w:eastAsia="ar-SA"/>
        </w:rPr>
      </w:pPr>
      <w:r>
        <w:rPr>
          <w:noProof/>
          <w:lang w:val="bg-BG" w:eastAsia="ar-SA"/>
        </w:rPr>
        <w:t>Отчет за промените в ресурсите на вносителите</w:t>
      </w:r>
    </w:p>
    <w:p>
      <w:pPr>
        <w:pStyle w:val="Textstand-alonenumberingLetters0"/>
        <w:ind w:left="284" w:hanging="284"/>
        <w:rPr>
          <w:noProof/>
          <w:lang w:val="bg-BG" w:eastAsia="ar-SA"/>
        </w:rPr>
      </w:pPr>
      <w:r>
        <w:rPr>
          <w:noProof/>
          <w:lang w:val="bg-BG" w:eastAsia="ar-SA"/>
        </w:rPr>
        <w:t>Отчет за паричните потоци</w:t>
      </w:r>
    </w:p>
    <w:p>
      <w:pPr>
        <w:pStyle w:val="Textstand-alonenumberingLetters0"/>
        <w:ind w:left="284" w:hanging="284"/>
        <w:rPr>
          <w:noProof/>
          <w:lang w:val="bg-BG" w:eastAsia="ar-SA"/>
        </w:rPr>
      </w:pPr>
      <w:r>
        <w:rPr>
          <w:noProof/>
          <w:lang w:val="bg-BG" w:eastAsia="ar-SA"/>
        </w:rPr>
        <w:t>Бележки към финансовите отчети</w:t>
      </w:r>
      <w:r>
        <w:rPr>
          <w:noProof/>
          <w:lang w:val="bg-BG" w:eastAsia="ar-SA"/>
        </w:rPr>
        <w:br w:type="page"/>
      </w:r>
    </w:p>
    <w:p>
      <w:pPr>
        <w:pageBreakBefore/>
        <w:pBdr>
          <w:top w:val="nil"/>
          <w:left w:val="nil"/>
          <w:bottom w:val="nil"/>
          <w:right w:val="nil"/>
          <w:between w:val="nil"/>
          <w:bar w:val="nil"/>
        </w:pBdr>
        <w:jc w:val="center"/>
        <w:rPr>
          <w:rFonts w:ascii="Arial" w:hAnsi="Arial"/>
          <w:b/>
          <w:noProof/>
          <w:sz w:val="20"/>
          <w:szCs w:val="16"/>
          <w:bdr w:val="nil"/>
          <w:lang w:val="bg-BG"/>
        </w:rPr>
      </w:pPr>
      <w:r>
        <w:rPr>
          <w:rFonts w:ascii="Arial" w:hAnsi="Arial"/>
          <w:b/>
          <w:noProof/>
          <w:sz w:val="20"/>
          <w:szCs w:val="16"/>
          <w:bdr w:val="nil"/>
          <w:lang w:val="bg-BG"/>
        </w:rPr>
        <w:t>ОТЧЕТ ЗА ФИНАНСОВОТО СЪСТОЯНИЕ</w:t>
      </w:r>
    </w:p>
    <w:p>
      <w:pPr>
        <w:pBdr>
          <w:top w:val="nil"/>
          <w:left w:val="nil"/>
          <w:bottom w:val="nil"/>
          <w:right w:val="nil"/>
          <w:between w:val="nil"/>
          <w:bar w:val="nil"/>
        </w:pBdr>
        <w:jc w:val="center"/>
        <w:rPr>
          <w:rFonts w:ascii="Arial" w:hAnsi="Arial"/>
          <w:b/>
          <w:noProof/>
          <w:sz w:val="20"/>
          <w:szCs w:val="16"/>
          <w:bdr w:val="nil"/>
          <w:lang w:val="bg-BG"/>
        </w:rPr>
      </w:pPr>
      <w:r>
        <w:rPr>
          <w:rFonts w:ascii="Arial" w:hAnsi="Arial"/>
          <w:b/>
          <w:noProof/>
          <w:sz w:val="20"/>
          <w:bdr w:val="nil"/>
          <w:lang w:val="bg-BG"/>
        </w:rPr>
        <w:t>към 31 12 2019 г.</w:t>
      </w:r>
    </w:p>
    <w:p>
      <w:pPr>
        <w:pBdr>
          <w:top w:val="nil"/>
          <w:left w:val="nil"/>
          <w:bottom w:val="nil"/>
          <w:right w:val="nil"/>
          <w:between w:val="nil"/>
          <w:bar w:val="nil"/>
        </w:pBdr>
        <w:spacing w:before="60" w:after="60"/>
        <w:jc w:val="center"/>
        <w:rPr>
          <w:rFonts w:ascii="Arial" w:hAnsi="Arial"/>
          <w:noProof/>
          <w:sz w:val="16"/>
          <w:szCs w:val="16"/>
          <w:bdr w:val="nil"/>
          <w:lang w:val="bg-BG"/>
        </w:rPr>
      </w:pPr>
      <w:r>
        <w:rPr>
          <w:rFonts w:ascii="Arial" w:hAnsi="Arial"/>
          <w:noProof/>
          <w:sz w:val="16"/>
          <w:szCs w:val="16"/>
          <w:bdr w:val="nil"/>
          <w:lang w:val="bg-BG"/>
        </w:rPr>
        <w:t>(в хиляди евро)</w:t>
      </w:r>
    </w:p>
    <w:p>
      <w:pPr>
        <w:pBdr>
          <w:top w:val="nil"/>
          <w:left w:val="nil"/>
          <w:bottom w:val="nil"/>
          <w:right w:val="nil"/>
          <w:between w:val="nil"/>
          <w:bar w:val="nil"/>
        </w:pBdr>
        <w:spacing w:before="60" w:after="60"/>
        <w:rPr>
          <w:rFonts w:ascii="Arial" w:hAnsi="Arial"/>
          <w:noProof/>
          <w:vanish/>
          <w:sz w:val="16"/>
          <w:szCs w:val="16"/>
          <w:bdr w:val="nil"/>
          <w:lang w:val="bg-BG"/>
        </w:rPr>
      </w:pPr>
    </w:p>
    <w:tbl>
      <w:tblPr>
        <w:tblStyle w:val="CDMRange1"/>
        <w:tblW w:w="9975" w:type="dxa"/>
        <w:tblLayout w:type="fixed"/>
        <w:tblLook w:val="0600" w:firstRow="0" w:lastRow="0" w:firstColumn="0" w:lastColumn="0" w:noHBand="1" w:noVBand="1"/>
      </w:tblPr>
      <w:tblGrid>
        <w:gridCol w:w="6000"/>
        <w:gridCol w:w="975"/>
        <w:gridCol w:w="1500"/>
        <w:gridCol w:w="1500"/>
      </w:tblGrid>
      <w:tr>
        <w:trPr>
          <w:trHeight w:val="250"/>
        </w:trPr>
        <w:tc>
          <w:tcPr>
            <w:tcW w:w="60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suppressAutoHyphens/>
              <w:rPr>
                <w:rFonts w:ascii="Arial" w:eastAsia="Arial" w:hAnsi="Arial" w:cs="Arial"/>
                <w:b/>
                <w:noProof/>
                <w:color w:val="000000"/>
                <w:sz w:val="16"/>
                <w:lang w:val="bg-BG" w:eastAsia="ar-SA"/>
              </w:rPr>
            </w:pP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uppressAutoHyphens/>
              <w:jc w:val="center"/>
              <w:rPr>
                <w:rFonts w:ascii="Arial" w:eastAsia="Arial" w:hAnsi="Arial" w:cs="Arial"/>
                <w:b/>
                <w:noProof/>
                <w:color w:val="000000"/>
                <w:sz w:val="16"/>
                <w:lang w:val="bg-BG" w:eastAsia="ar-SA"/>
              </w:rPr>
            </w:pPr>
            <w:r>
              <w:rPr>
                <w:rFonts w:ascii="Arial" w:hAnsi="Arial"/>
                <w:b/>
                <w:noProof/>
                <w:color w:val="000000"/>
                <w:sz w:val="16"/>
                <w:lang w:val="bg-BG" w:eastAsia="ar-SA"/>
              </w:rPr>
              <w:t>Забележки</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cs="Arial"/>
                <w:b/>
                <w:noProof/>
                <w:color w:val="000000"/>
                <w:sz w:val="16"/>
                <w:lang w:val="bg-BG" w:eastAsia="ar-SA"/>
              </w:rPr>
            </w:pPr>
            <w:r>
              <w:rPr>
                <w:rFonts w:ascii="Arial" w:hAnsi="Arial"/>
                <w:b/>
                <w:noProof/>
                <w:color w:val="000000"/>
                <w:sz w:val="16"/>
                <w:lang w:val="bg-BG" w:eastAsia="ar-SA"/>
              </w:rPr>
              <w:t>31.12.2019 г.</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cs="Arial"/>
                <w:b/>
                <w:noProof/>
                <w:color w:val="000000"/>
                <w:sz w:val="16"/>
                <w:lang w:val="bg-BG" w:eastAsia="ar-SA"/>
              </w:rPr>
            </w:pPr>
            <w:r>
              <w:rPr>
                <w:rFonts w:ascii="Arial" w:hAnsi="Arial"/>
                <w:b/>
                <w:noProof/>
                <w:color w:val="000000"/>
                <w:sz w:val="16"/>
                <w:lang w:val="bg-BG" w:eastAsia="ar-SA"/>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suppressAutoHyphens/>
              <w:rPr>
                <w:rFonts w:ascii="Arial" w:eastAsia="Arial" w:hAnsi="Arial" w:cs="Arial"/>
                <w:noProof/>
                <w:color w:val="000000"/>
                <w:sz w:val="16"/>
                <w:lang w:val="bg-BG" w:eastAsia="ar-SA"/>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pPr>
              <w:suppressAutoHyphens/>
              <w:jc w:val="center"/>
              <w:rPr>
                <w:rFonts w:ascii="Arial" w:eastAsia="Arial" w:hAnsi="Arial" w:cs="Arial"/>
                <w:noProof/>
                <w:color w:val="000000"/>
                <w:sz w:val="16"/>
                <w:lang w:val="bg-BG" w:eastAsia="ar-SA"/>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b/>
                <w:noProof/>
                <w:color w:val="000000"/>
                <w:sz w:val="16"/>
                <w:lang w:val="bg-BG" w:eastAsia="ar-SA"/>
              </w:rPr>
            </w:pPr>
            <w:r>
              <w:rPr>
                <w:rFonts w:ascii="Arial" w:hAnsi="Arial"/>
                <w:b/>
                <w:noProof/>
                <w:color w:val="000000"/>
                <w:sz w:val="16"/>
                <w:lang w:val="bg-BG" w:eastAsia="ar-SA"/>
              </w:rPr>
              <w:t>АКТИВИ</w:t>
            </w:r>
          </w:p>
        </w:tc>
        <w:tc>
          <w:tcPr>
            <w:tcW w:w="975" w:type="dxa"/>
            <w:tcBorders>
              <w:top w:val="nil"/>
              <w:left w:val="nil"/>
              <w:bottom w:val="nil"/>
              <w:right w:val="nil"/>
              <w:tl2br w:val="nil"/>
              <w:tr2bl w:val="nil"/>
            </w:tcBorders>
            <w:shd w:val="clear" w:color="auto" w:fill="auto"/>
            <w:tcMar>
              <w:left w:w="0" w:type="dxa"/>
              <w:right w:w="0" w:type="dxa"/>
            </w:tcMar>
            <w:vAlign w:val="center"/>
          </w:tcPr>
          <w:p>
            <w:pPr>
              <w:suppressAutoHyphens/>
              <w:jc w:val="center"/>
              <w:rPr>
                <w:rFonts w:ascii="Arial" w:eastAsia="Arial" w:hAnsi="Arial" w:cs="Arial"/>
                <w:b/>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b/>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b/>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Пари и парични еквиваленти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837,777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573,708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Вземания от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9/17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86,330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100,000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Касови финансови активи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330,587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335,140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Дериватни финансови инструменти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14,184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9,873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Заеми и аванси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1,518,675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Акции и други ценни книжа с променлива доходност</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619,928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567,292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Други активи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suppressAutoHyphens/>
              <w:rPr>
                <w:rFonts w:ascii="Arial" w:eastAsia="Arial" w:hAnsi="Arial" w:cs="Arial"/>
                <w:noProof/>
                <w:color w:val="000000"/>
                <w:sz w:val="16"/>
                <w:lang w:val="bg-BG" w:eastAsia="ar-SA"/>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FFFFFF" w:fill="C0C0C0"/>
            <w:tcMar>
              <w:left w:w="40" w:type="dxa"/>
              <w:right w:w="40" w:type="dxa"/>
            </w:tcMar>
            <w:vAlign w:val="center"/>
          </w:tcPr>
          <w:p>
            <w:pPr>
              <w:suppressAutoHyphens/>
              <w:rPr>
                <w:rFonts w:ascii="Arial" w:eastAsia="Arial" w:hAnsi="Arial" w:cs="Arial"/>
                <w:b/>
                <w:noProof/>
                <w:color w:val="000000"/>
                <w:sz w:val="16"/>
                <w:lang w:val="bg-BG" w:eastAsia="ar-SA"/>
              </w:rPr>
            </w:pPr>
            <w:r>
              <w:rPr>
                <w:rFonts w:ascii="Arial" w:hAnsi="Arial"/>
                <w:b/>
                <w:noProof/>
                <w:color w:val="000000"/>
                <w:sz w:val="16"/>
                <w:lang w:val="bg-BG" w:eastAsia="ar-SA"/>
              </w:rPr>
              <w:t>Общо активи</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pPr>
              <w:suppressAutoHyphens/>
              <w:jc w:val="center"/>
              <w:rPr>
                <w:rFonts w:ascii="Arial" w:eastAsia="Arial" w:hAnsi="Arial" w:cs="Arial"/>
                <w:b/>
                <w:noProof/>
                <w:color w:val="000000"/>
                <w:sz w:val="16"/>
                <w:lang w:val="bg-BG" w:eastAsia="ar-SA"/>
              </w:rPr>
            </w:pPr>
            <w:r>
              <w:rPr>
                <w:rFonts w:ascii="Arial" w:hAnsi="Arial"/>
                <w:b/>
                <w:noProof/>
                <w:color w:val="000000"/>
                <w:sz w:val="16"/>
                <w:lang w:val="bg-BG" w:eastAsia="ar-SA"/>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suppressAutoHyphens/>
              <w:jc w:val="right"/>
              <w:rPr>
                <w:rFonts w:ascii="Arial" w:eastAsia="Arial" w:hAnsi="Arial" w:cs="Arial"/>
                <w:b/>
                <w:noProof/>
                <w:color w:val="000000"/>
                <w:sz w:val="16"/>
                <w:lang w:val="bg-BG" w:eastAsia="ar-SA"/>
              </w:rPr>
            </w:pPr>
            <w:r>
              <w:rPr>
                <w:rFonts w:ascii="Arial" w:hAnsi="Arial"/>
                <w:b/>
                <w:noProof/>
                <w:color w:val="000000"/>
                <w:sz w:val="16"/>
                <w:lang w:val="bg-BG" w:eastAsia="ar-SA"/>
              </w:rPr>
              <w:t>3,407,481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suppressAutoHyphens/>
              <w:jc w:val="right"/>
              <w:rPr>
                <w:rFonts w:ascii="Arial" w:eastAsia="Arial" w:hAnsi="Arial" w:cs="Arial"/>
                <w:b/>
                <w:noProof/>
                <w:color w:val="000000"/>
                <w:sz w:val="16"/>
                <w:lang w:val="bg-BG" w:eastAsia="ar-SA"/>
              </w:rPr>
            </w:pPr>
            <w:r>
              <w:rPr>
                <w:rFonts w:ascii="Arial" w:hAnsi="Arial"/>
                <w:b/>
                <w:noProof/>
                <w:color w:val="000000"/>
                <w:sz w:val="16"/>
                <w:lang w:val="bg-BG" w:eastAsia="ar-SA"/>
              </w:rPr>
              <w:t>3,127,175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suppressAutoHyphens/>
              <w:rPr>
                <w:rFonts w:ascii="Arial" w:eastAsia="Arial" w:hAnsi="Arial" w:cs="Arial"/>
                <w:noProof/>
                <w:color w:val="000000"/>
                <w:sz w:val="16"/>
                <w:lang w:val="bg-BG" w:eastAsia="ar-SA"/>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suppressAutoHyphens/>
              <w:rPr>
                <w:rFonts w:ascii="Arial" w:eastAsia="Arial" w:hAnsi="Arial" w:cs="Arial"/>
                <w:noProof/>
                <w:color w:val="000000"/>
                <w:sz w:val="16"/>
                <w:lang w:val="bg-BG" w:eastAsia="ar-SA"/>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b/>
                <w:noProof/>
                <w:color w:val="000000"/>
                <w:sz w:val="16"/>
                <w:lang w:val="bg-BG" w:eastAsia="ar-SA"/>
              </w:rPr>
            </w:pPr>
            <w:r>
              <w:rPr>
                <w:rFonts w:ascii="Arial" w:hAnsi="Arial"/>
                <w:b/>
                <w:noProof/>
                <w:color w:val="000000"/>
                <w:sz w:val="16"/>
                <w:lang w:val="bg-BG" w:eastAsia="ar-SA"/>
              </w:rPr>
              <w:t>ПАСИВИ И РЕСУРСИ НА ВНОСИТЕЛИТЕ</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b/>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b/>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b/>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suppressAutoHyphens/>
              <w:rPr>
                <w:rFonts w:ascii="Arial" w:eastAsia="Arial" w:hAnsi="Arial" w:cs="Arial"/>
                <w:b/>
                <w:noProof/>
                <w:color w:val="000000"/>
                <w:sz w:val="16"/>
                <w:lang w:val="bg-BG" w:eastAsia="ar-SA"/>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b/>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b/>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b/>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b/>
                <w:noProof/>
                <w:color w:val="000000"/>
                <w:sz w:val="16"/>
                <w:lang w:val="bg-BG" w:eastAsia="ar-SA"/>
              </w:rPr>
            </w:pPr>
            <w:r>
              <w:rPr>
                <w:rFonts w:ascii="Arial" w:hAnsi="Arial"/>
                <w:b/>
                <w:noProof/>
                <w:color w:val="000000"/>
                <w:sz w:val="16"/>
                <w:lang w:val="bg-BG" w:eastAsia="ar-SA"/>
              </w:rPr>
              <w:t>ПАСИВИ</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b/>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b/>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b/>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Дериватни финансови инструменти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8,493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Приходи за бъдещи периоди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32,566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33,764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Провизии за издадени гаранции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628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Провизии за кредитни ангажименти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37,269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23,822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Сума, дължима на трети страни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147,438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143,813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Други пасиви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2,353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2,493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suppressAutoHyphens/>
              <w:rPr>
                <w:rFonts w:ascii="Arial" w:eastAsia="Arial" w:hAnsi="Arial" w:cs="Arial"/>
                <w:noProof/>
                <w:color w:val="000000"/>
                <w:sz w:val="16"/>
                <w:lang w:val="bg-BG" w:eastAsia="ar-SA"/>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noProof/>
                <w:color w:val="000000"/>
                <w:sz w:val="16"/>
                <w:lang w:val="bg-BG" w:eastAsia="ar-SA"/>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b/>
                <w:noProof/>
                <w:color w:val="000000"/>
                <w:sz w:val="16"/>
                <w:lang w:val="bg-BG" w:eastAsia="ar-SA"/>
              </w:rPr>
            </w:pPr>
            <w:r>
              <w:rPr>
                <w:rFonts w:ascii="Arial" w:hAnsi="Arial"/>
                <w:b/>
                <w:noProof/>
                <w:color w:val="000000"/>
                <w:sz w:val="16"/>
                <w:lang w:val="bg-BG" w:eastAsia="ar-SA"/>
              </w:rPr>
              <w:t>Общо пасиви</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b/>
                <w:noProof/>
                <w:color w:val="000000"/>
                <w:sz w:val="16"/>
                <w:lang w:val="bg-BG" w:eastAsia="ar-SA"/>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cs="Arial"/>
                <w:b/>
                <w:noProof/>
                <w:color w:val="000000"/>
                <w:sz w:val="16"/>
                <w:lang w:val="bg-BG" w:eastAsia="ar-SA"/>
              </w:rPr>
            </w:pPr>
            <w:r>
              <w:rPr>
                <w:rFonts w:ascii="Arial" w:hAnsi="Arial"/>
                <w:b/>
                <w:noProof/>
                <w:color w:val="000000"/>
                <w:sz w:val="16"/>
                <w:lang w:val="bg-BG" w:eastAsia="ar-SA"/>
              </w:rPr>
              <w:t>220,445</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cs="Arial"/>
                <w:b/>
                <w:noProof/>
                <w:color w:val="000000"/>
                <w:sz w:val="16"/>
                <w:lang w:val="bg-BG" w:eastAsia="ar-SA"/>
              </w:rPr>
            </w:pPr>
            <w:r>
              <w:rPr>
                <w:rFonts w:ascii="Arial" w:hAnsi="Arial"/>
                <w:b/>
                <w:noProof/>
                <w:color w:val="000000"/>
                <w:sz w:val="16"/>
                <w:lang w:val="bg-BG" w:eastAsia="ar-SA"/>
              </w:rPr>
              <w:t>213,178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suppressAutoHyphens/>
              <w:rPr>
                <w:rFonts w:ascii="Arial" w:eastAsia="Arial" w:hAnsi="Arial" w:cs="Arial"/>
                <w:noProof/>
                <w:color w:val="000000"/>
                <w:sz w:val="16"/>
                <w:lang w:val="bg-BG" w:eastAsia="ar-SA"/>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noProof/>
                <w:color w:val="000000"/>
                <w:sz w:val="16"/>
                <w:lang w:val="bg-BG" w:eastAsia="ar-SA"/>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b/>
                <w:noProof/>
                <w:color w:val="000000"/>
                <w:sz w:val="16"/>
                <w:lang w:val="bg-BG" w:eastAsia="ar-SA"/>
              </w:rPr>
            </w:pPr>
            <w:r>
              <w:rPr>
                <w:rFonts w:ascii="Arial" w:hAnsi="Arial"/>
                <w:b/>
                <w:noProof/>
                <w:color w:val="000000"/>
                <w:sz w:val="16"/>
                <w:lang w:val="bg-BG" w:eastAsia="ar-SA"/>
              </w:rPr>
              <w:t>РЕСУРСИ НА ВНОСИТЕЛИТЕ</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b/>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b/>
                <w:noProof/>
                <w:color w:val="000000"/>
                <w:sz w:val="16"/>
                <w:lang w:val="bg-BG" w:eastAsia="ar-SA"/>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b/>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Поискана вноска за механизма от държавите членки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center"/>
              <w:rPr>
                <w:rFonts w:ascii="Arial" w:eastAsia="Arial" w:hAnsi="Arial" w:cs="Arial"/>
                <w:noProof/>
                <w:color w:val="000000"/>
                <w:sz w:val="16"/>
                <w:lang w:val="bg-BG" w:eastAsia="ar-SA"/>
              </w:rPr>
            </w:pPr>
            <w:r>
              <w:rPr>
                <w:rFonts w:ascii="Arial" w:hAnsi="Arial"/>
                <w:noProof/>
                <w:color w:val="000000"/>
                <w:sz w:val="16"/>
                <w:lang w:val="bg-BG" w:eastAsia="ar-SA"/>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2,967,000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2,697,000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noProof/>
                <w:color w:val="000000"/>
                <w:sz w:val="16"/>
                <w:lang w:val="bg-BG" w:eastAsia="ar-SA"/>
              </w:rPr>
            </w:pPr>
            <w:r>
              <w:rPr>
                <w:rFonts w:ascii="Arial" w:hAnsi="Arial"/>
                <w:noProof/>
                <w:color w:val="000000"/>
                <w:sz w:val="16"/>
                <w:lang w:val="bg-BG" w:eastAsia="ar-SA"/>
              </w:rPr>
              <w:t>Неразпределена печалба</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noProof/>
                <w:color w:val="000000"/>
                <w:sz w:val="16"/>
                <w:lang w:val="bg-BG" w:eastAsia="ar-SA"/>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220,036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uppressAutoHyphens/>
              <w:jc w:val="right"/>
              <w:rPr>
                <w:rFonts w:ascii="Arial" w:eastAsia="Arial" w:hAnsi="Arial" w:cs="Arial"/>
                <w:noProof/>
                <w:color w:val="000000"/>
                <w:sz w:val="16"/>
                <w:lang w:val="bg-BG" w:eastAsia="ar-SA"/>
              </w:rPr>
            </w:pPr>
            <w:r>
              <w:rPr>
                <w:rFonts w:ascii="Arial" w:hAnsi="Arial"/>
                <w:noProof/>
                <w:color w:val="000000"/>
                <w:sz w:val="16"/>
                <w:lang w:val="bg-BG" w:eastAsia="ar-SA"/>
              </w:rPr>
              <w:t>216,997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suppressAutoHyphens/>
              <w:rPr>
                <w:rFonts w:ascii="Arial" w:eastAsia="Arial" w:hAnsi="Arial" w:cs="Arial"/>
                <w:noProof/>
                <w:color w:val="000000"/>
                <w:sz w:val="16"/>
                <w:lang w:val="bg-BG" w:eastAsia="ar-SA"/>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noProof/>
                <w:color w:val="000000"/>
                <w:sz w:val="16"/>
                <w:lang w:val="bg-BG" w:eastAsia="ar-SA"/>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suppressAutoHyphens/>
              <w:rPr>
                <w:rFonts w:ascii="Arial" w:eastAsia="Arial" w:hAnsi="Arial" w:cs="Arial"/>
                <w:b/>
                <w:noProof/>
                <w:color w:val="000000"/>
                <w:sz w:val="16"/>
                <w:lang w:val="bg-BG" w:eastAsia="ar-SA"/>
              </w:rPr>
            </w:pPr>
            <w:r>
              <w:rPr>
                <w:rFonts w:ascii="Arial" w:hAnsi="Arial"/>
                <w:b/>
                <w:noProof/>
                <w:color w:val="000000"/>
                <w:sz w:val="16"/>
                <w:lang w:val="bg-BG" w:eastAsia="ar-SA"/>
              </w:rPr>
              <w:t>Общо ресурси на вносителите</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suppressAutoHyphens/>
              <w:jc w:val="center"/>
              <w:rPr>
                <w:rFonts w:ascii="Arial" w:eastAsia="Arial" w:hAnsi="Arial" w:cs="Arial"/>
                <w:b/>
                <w:noProof/>
                <w:color w:val="000000"/>
                <w:sz w:val="16"/>
                <w:lang w:val="bg-BG" w:eastAsia="ar-SA"/>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cs="Arial"/>
                <w:b/>
                <w:noProof/>
                <w:color w:val="000000"/>
                <w:sz w:val="16"/>
                <w:lang w:val="bg-BG" w:eastAsia="ar-SA"/>
              </w:rPr>
            </w:pPr>
            <w:r>
              <w:rPr>
                <w:rFonts w:ascii="Arial" w:hAnsi="Arial"/>
                <w:b/>
                <w:noProof/>
                <w:color w:val="000000"/>
                <w:sz w:val="16"/>
                <w:lang w:val="bg-BG" w:eastAsia="ar-SA"/>
              </w:rPr>
              <w:t>3,187,036</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cs="Arial"/>
                <w:b/>
                <w:noProof/>
                <w:color w:val="000000"/>
                <w:sz w:val="16"/>
                <w:lang w:val="bg-BG" w:eastAsia="ar-SA"/>
              </w:rPr>
            </w:pPr>
            <w:r>
              <w:rPr>
                <w:rFonts w:ascii="Arial" w:hAnsi="Arial"/>
                <w:b/>
                <w:noProof/>
                <w:color w:val="000000"/>
                <w:sz w:val="16"/>
                <w:lang w:val="bg-BG" w:eastAsia="ar-SA"/>
              </w:rPr>
              <w:t>2,913,997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suppressAutoHyphens/>
              <w:rPr>
                <w:rFonts w:ascii="Arial" w:eastAsia="Arial" w:hAnsi="Arial" w:cs="Arial"/>
                <w:noProof/>
                <w:color w:val="000000"/>
                <w:sz w:val="16"/>
                <w:lang w:val="bg-BG" w:eastAsia="ar-SA"/>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suppressAutoHyphens/>
              <w:jc w:val="center"/>
              <w:rPr>
                <w:rFonts w:ascii="Arial" w:eastAsia="Arial" w:hAnsi="Arial" w:cs="Arial"/>
                <w:noProof/>
                <w:color w:val="000000"/>
                <w:sz w:val="16"/>
                <w:lang w:val="bg-BG" w:eastAsia="ar-SA"/>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suppressAutoHyphens/>
              <w:jc w:val="right"/>
              <w:rPr>
                <w:rFonts w:ascii="Arial" w:eastAsia="Arial" w:hAnsi="Arial" w:cs="Arial"/>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FFFFFF" w:fill="C0C0C0"/>
            <w:tcMar>
              <w:left w:w="40" w:type="dxa"/>
              <w:right w:w="40" w:type="dxa"/>
            </w:tcMar>
            <w:vAlign w:val="center"/>
          </w:tcPr>
          <w:p>
            <w:pPr>
              <w:suppressAutoHyphens/>
              <w:rPr>
                <w:rFonts w:ascii="Arial" w:eastAsia="Arial" w:hAnsi="Arial" w:cs="Arial"/>
                <w:b/>
                <w:noProof/>
                <w:color w:val="000000"/>
                <w:sz w:val="16"/>
                <w:lang w:val="bg-BG" w:eastAsia="ar-SA"/>
              </w:rPr>
            </w:pPr>
            <w:r>
              <w:rPr>
                <w:rFonts w:ascii="Arial" w:hAnsi="Arial"/>
                <w:b/>
                <w:noProof/>
                <w:color w:val="000000"/>
                <w:sz w:val="16"/>
                <w:lang w:val="bg-BG" w:eastAsia="ar-SA"/>
              </w:rPr>
              <w:t>Общо пасиви и ресурси на вносителите</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suppressAutoHyphens/>
              <w:jc w:val="center"/>
              <w:rPr>
                <w:rFonts w:ascii="Arial" w:eastAsia="Arial" w:hAnsi="Arial" w:cs="Arial"/>
                <w:b/>
                <w:noProof/>
                <w:color w:val="000000"/>
                <w:sz w:val="16"/>
                <w:lang w:val="bg-BG" w:eastAsia="ar-SA"/>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suppressAutoHyphens/>
              <w:jc w:val="right"/>
              <w:rPr>
                <w:rFonts w:ascii="Arial" w:eastAsia="Arial" w:hAnsi="Arial" w:cs="Arial"/>
                <w:b/>
                <w:noProof/>
                <w:color w:val="000000"/>
                <w:sz w:val="16"/>
                <w:lang w:val="bg-BG" w:eastAsia="ar-SA"/>
              </w:rPr>
            </w:pPr>
            <w:r>
              <w:rPr>
                <w:rFonts w:ascii="Arial" w:hAnsi="Arial"/>
                <w:b/>
                <w:noProof/>
                <w:color w:val="000000"/>
                <w:sz w:val="16"/>
                <w:lang w:val="bg-BG" w:eastAsia="ar-SA"/>
              </w:rPr>
              <w:t>3,407,481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suppressAutoHyphens/>
              <w:jc w:val="right"/>
              <w:rPr>
                <w:rFonts w:ascii="Arial" w:eastAsia="Arial" w:hAnsi="Arial" w:cs="Arial"/>
                <w:b/>
                <w:noProof/>
                <w:color w:val="000000"/>
                <w:sz w:val="16"/>
                <w:lang w:val="bg-BG" w:eastAsia="ar-SA"/>
              </w:rPr>
            </w:pPr>
            <w:r>
              <w:rPr>
                <w:rFonts w:ascii="Arial" w:hAnsi="Arial"/>
                <w:b/>
                <w:noProof/>
                <w:color w:val="000000"/>
                <w:sz w:val="16"/>
                <w:lang w:val="bg-BG" w:eastAsia="ar-SA"/>
              </w:rPr>
              <w:t>3,127,175</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szCs w:val="20"/>
          <w:bdr w:val="nil"/>
          <w:lang w:val="bg-BG"/>
        </w:rPr>
        <w:t xml:space="preserve">ОТЧЕТ ЗА печалбата или загубата и другия ВСЕОБХВАТЕН ДОХОД </w:t>
      </w:r>
    </w:p>
    <w:p>
      <w:pPr>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szCs w:val="20"/>
          <w:bdr w:val="nil"/>
          <w:lang w:val="bg-BG"/>
        </w:rPr>
        <w:t>За годината, ПРИКЛЮЧИЛА НА 31 декември 2019 г.</w:t>
      </w:r>
    </w:p>
    <w:p>
      <w:pPr>
        <w:pBdr>
          <w:top w:val="nil"/>
          <w:left w:val="nil"/>
          <w:bottom w:val="nil"/>
          <w:right w:val="nil"/>
          <w:between w:val="nil"/>
          <w:bar w:val="nil"/>
        </w:pBdr>
        <w:spacing w:before="60" w:after="60"/>
        <w:jc w:val="center"/>
        <w:rPr>
          <w:rFonts w:ascii="Arial" w:hAnsi="Arial"/>
          <w:noProof/>
          <w:sz w:val="16"/>
          <w:szCs w:val="16"/>
          <w:bdr w:val="nil"/>
          <w:lang w:val="bg-BG"/>
        </w:rPr>
      </w:pPr>
      <w:r>
        <w:rPr>
          <w:rFonts w:ascii="Arial" w:hAnsi="Arial"/>
          <w:noProof/>
          <w:sz w:val="16"/>
          <w:szCs w:val="16"/>
          <w:bdr w:val="nil"/>
          <w:lang w:val="bg-BG"/>
        </w:rPr>
        <w:t>(в хиляди евро)</w:t>
      </w:r>
    </w:p>
    <w:p>
      <w:pPr>
        <w:pBdr>
          <w:top w:val="nil"/>
          <w:left w:val="nil"/>
          <w:bottom w:val="nil"/>
          <w:right w:val="nil"/>
          <w:between w:val="nil"/>
          <w:bar w:val="nil"/>
        </w:pBdr>
        <w:spacing w:before="60" w:after="60"/>
        <w:rPr>
          <w:rFonts w:ascii="Arial" w:hAnsi="Arial"/>
          <w:noProof/>
          <w:sz w:val="16"/>
          <w:szCs w:val="16"/>
          <w:bdr w:val="nil"/>
          <w:lang w:val="bg-BG"/>
        </w:rPr>
      </w:pPr>
      <w:r>
        <w:rPr>
          <w:noProof/>
          <w:lang w:val="bg-BG"/>
        </w:rPr>
        <w:t xml:space="preserve"> </w:t>
      </w:r>
    </w:p>
    <w:tbl>
      <w:tblPr>
        <w:tblStyle w:val="CDMRange2"/>
        <w:tblW w:w="9975" w:type="dxa"/>
        <w:tblLayout w:type="fixed"/>
        <w:tblLook w:val="0600" w:firstRow="0" w:lastRow="0" w:firstColumn="0" w:lastColumn="0" w:noHBand="1" w:noVBand="1"/>
      </w:tblPr>
      <w:tblGrid>
        <w:gridCol w:w="6000"/>
        <w:gridCol w:w="975"/>
        <w:gridCol w:w="1500"/>
        <w:gridCol w:w="1500"/>
      </w:tblGrid>
      <w:tr>
        <w:trPr>
          <w:trHeight w:val="26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975" w:type="dxa"/>
            <w:vMerge w:val="restart"/>
            <w:tcBorders>
              <w:top w:val="single" w:sz="4" w:space="0" w:color="000000"/>
              <w:left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Забележки</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1.1.2019 г.</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975" w:type="dxa"/>
            <w:vMerge/>
            <w:tcBorders>
              <w:left w:val="nil"/>
              <w:bottom w:val="single" w:sz="4" w:space="0" w:color="000000"/>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31.12.2019 г.</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Приходи от лихви и други подобни приходи*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93,923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96,730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Разходи за лихви и други подобни разходи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Нетни лихви и други подобни приходи</w:t>
            </w:r>
          </w:p>
        </w:tc>
        <w:tc>
          <w:tcPr>
            <w:tcW w:w="975"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90,975</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94,191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Приходи от такси и комисионни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Разходи за такси и комисионни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Нетни приходи от такси и комисионни</w:t>
            </w:r>
          </w:p>
        </w:tc>
        <w:tc>
          <w:tcPr>
            <w:tcW w:w="975"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3,717</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Промяна на справедливата стойност на дериватни финансови инструменти </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12,611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Нетен резултат от акции и други ценни книжа с променлива доходност</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szCs w:val="16"/>
                <w:lang w:val="bg-BG"/>
              </w:rPr>
            </w:pPr>
            <w:r>
              <w:rPr>
                <w:rFonts w:ascii="Arial" w:hAnsi="Arial"/>
                <w:noProof/>
                <w:color w:val="000000"/>
                <w:sz w:val="16"/>
                <w:szCs w:val="16"/>
                <w:lang w:val="bg-BG"/>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-10,179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Нетен резултат от заеми и аванси, оценени по FVTPL</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szCs w:val="16"/>
                <w:lang w:val="bg-BG"/>
              </w:rPr>
            </w:pPr>
            <w:r>
              <w:rPr>
                <w:rFonts w:ascii="Arial" w:hAnsi="Arial"/>
                <w:noProof/>
                <w:color w:val="000000"/>
                <w:sz w:val="16"/>
                <w:szCs w:val="16"/>
                <w:lang w:val="bg-BG"/>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Нетен резултат от продажба на заеми</w:t>
            </w:r>
          </w:p>
        </w:tc>
        <w:tc>
          <w:tcPr>
            <w:tcW w:w="975" w:type="dxa"/>
            <w:tcBorders>
              <w:top w:val="nil"/>
              <w:left w:val="nil"/>
              <w:bottom w:val="nil"/>
              <w:right w:val="nil"/>
              <w:tl2br w:val="nil"/>
              <w:tr2bl w:val="nil"/>
            </w:tcBorders>
            <w:shd w:val="clear" w:color="auto" w:fill="auto"/>
            <w:tcMar>
              <w:left w:w="0" w:type="dxa"/>
              <w:right w:w="0" w:type="dxa"/>
            </w:tcMar>
            <w:vAlign w:val="center"/>
          </w:tcPr>
          <w:p>
            <w:pPr>
              <w:jc w:val="center"/>
              <w:rPr>
                <w:noProof/>
                <w:color w:val="000000"/>
                <w:sz w:val="16"/>
                <w:szCs w:val="16"/>
                <w:lang w:val="bg-BG"/>
              </w:rPr>
            </w:pPr>
            <w:r>
              <w:rPr>
                <w:rFonts w:ascii="Arial" w:hAnsi="Arial"/>
                <w:noProof/>
                <w:color w:val="000000"/>
                <w:sz w:val="16"/>
                <w:szCs w:val="16"/>
                <w:lang w:val="bg-BG"/>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Нетен валутен резултат</w:t>
            </w:r>
          </w:p>
        </w:tc>
        <w:tc>
          <w:tcPr>
            <w:tcW w:w="975"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-61,998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-32,436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Нетен резултат от финансови операции</w:t>
            </w:r>
          </w:p>
        </w:tc>
        <w:tc>
          <w:tcPr>
            <w:tcW w:w="975"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-45,750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-53,304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обезценката по заемите и авансите, без корекции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17,243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-22,771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Промени в провизиите за гаранции, без корекции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Промени в провизиите за кредитни ангажименти, без корекции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-13,244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-19,612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Общи административни разходи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-50,009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-47,799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Печалба/(Загуба) за годината</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3,039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-49,602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0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r>
              <w:rPr>
                <w:rFonts w:ascii="Arial" w:hAnsi="Arial"/>
                <w:b/>
                <w:noProof/>
                <w:color w:val="000000"/>
                <w:sz w:val="16"/>
                <w:lang w:val="bg-BG"/>
              </w:rPr>
              <w:t xml:space="preserve"> Друг всеобхватен доход</w:t>
            </w: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noProof/>
                <w:color w:val="000000"/>
                <w:sz w:val="20"/>
                <w:lang w:val="bg-BG"/>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ind w:right="48"/>
              <w:jc w:val="right"/>
              <w:rPr>
                <w:rFonts w:ascii="Arial" w:eastAsia="Arial" w:hAnsi="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ind w:right="57"/>
              <w:jc w:val="right"/>
              <w:rPr>
                <w:rFonts w:ascii="Arial" w:eastAsia="Arial" w:hAnsi="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ind w:right="57"/>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Обща всеобхватна печалба (загуба) на приходи за годината</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3,039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-49,602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75" w:type="dxa"/>
            <w:gridSpan w:val="4"/>
            <w:tcBorders>
              <w:top w:val="nil"/>
              <w:left w:val="nil"/>
              <w:bottom w:val="nil"/>
              <w:right w:val="nil"/>
              <w:tl2br w:val="nil"/>
              <w:tr2bl w:val="nil"/>
            </w:tcBorders>
            <w:shd w:val="clear" w:color="auto" w:fill="auto"/>
            <w:tcMar>
              <w:left w:w="40" w:type="dxa"/>
              <w:right w:w="40" w:type="dxa"/>
            </w:tcMar>
            <w:vAlign w:val="bottom"/>
          </w:tcPr>
          <w:p>
            <w:pPr>
              <w:jc w:val="both"/>
              <w:rPr>
                <w:rFonts w:ascii="Arial" w:eastAsia="Arial" w:hAnsi="Arial" w:cs="Arial"/>
                <w:noProof/>
                <w:color w:val="000000"/>
                <w:sz w:val="16"/>
                <w:lang w:val="bg-BG"/>
              </w:rPr>
            </w:pPr>
            <w:r>
              <w:rPr>
                <w:rFonts w:ascii="Arial" w:hAnsi="Arial"/>
                <w:noProof/>
                <w:color w:val="000000"/>
                <w:sz w:val="16"/>
                <w:lang w:val="bg-BG"/>
              </w:rPr>
              <w:t xml:space="preserve">* За годината, приключила на 31 декември 2019 г., приходите от лихви и други подобни 93,9 милиона евро (2018 г.: 96,7 милиона евро), изчислени за активите, държани по амортизирана стойност, въз основа на метода на ефективния лихвен процент. </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szCs w:val="20"/>
          <w:bdr w:val="nil"/>
          <w:lang w:val="bg-BG"/>
        </w:rPr>
        <w:t>ОТЧЕТ ЗА ПРОМЕНИТЕ В РЕСУРСИ НА ВНОСИТЕЛИТЕ</w:t>
      </w:r>
    </w:p>
    <w:p>
      <w:pPr>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szCs w:val="20"/>
          <w:bdr w:val="nil"/>
          <w:lang w:val="bg-BG"/>
        </w:rPr>
        <w:t>ЗА ГОДИНАТА, ПРИКЛЮЧИЛА НА 31 декември 2019 г.</w:t>
      </w:r>
    </w:p>
    <w:p>
      <w:pPr>
        <w:pBdr>
          <w:top w:val="nil"/>
          <w:left w:val="nil"/>
          <w:bottom w:val="nil"/>
          <w:right w:val="nil"/>
          <w:between w:val="nil"/>
          <w:bar w:val="nil"/>
        </w:pBdr>
        <w:tabs>
          <w:tab w:val="center" w:pos="4677"/>
          <w:tab w:val="right" w:pos="9355"/>
        </w:tabs>
        <w:spacing w:before="60" w:after="60"/>
        <w:jc w:val="center"/>
        <w:rPr>
          <w:rFonts w:ascii="Arial" w:hAnsi="Arial"/>
          <w:noProof/>
          <w:sz w:val="16"/>
          <w:szCs w:val="16"/>
          <w:bdr w:val="nil"/>
          <w:lang w:val="bg-BG"/>
        </w:rPr>
      </w:pPr>
      <w:r>
        <w:rPr>
          <w:rFonts w:ascii="Arial" w:hAnsi="Arial"/>
          <w:noProof/>
          <w:sz w:val="16"/>
          <w:szCs w:val="16"/>
          <w:bdr w:val="nil"/>
          <w:lang w:val="bg-BG"/>
        </w:rPr>
        <w:t>(в хиляди евро)</w:t>
      </w:r>
    </w:p>
    <w:p>
      <w:pPr>
        <w:pBdr>
          <w:top w:val="nil"/>
          <w:left w:val="nil"/>
          <w:bottom w:val="nil"/>
          <w:right w:val="nil"/>
          <w:between w:val="nil"/>
          <w:bar w:val="nil"/>
        </w:pBdr>
        <w:rPr>
          <w:rFonts w:ascii="Arial" w:hAnsi="Arial"/>
          <w:noProof/>
          <w:sz w:val="16"/>
          <w:szCs w:val="16"/>
          <w:bdr w:val="nil"/>
          <w:lang w:val="bg-BG"/>
        </w:rPr>
      </w:pPr>
      <w:r>
        <w:rPr>
          <w:noProof/>
          <w:lang w:val="bg-BG"/>
        </w:rPr>
        <w:t xml:space="preserve"> </w:t>
      </w:r>
    </w:p>
    <w:tbl>
      <w:tblPr>
        <w:tblStyle w:val="CDMRange10"/>
        <w:tblW w:w="5000" w:type="pct"/>
        <w:tblLayout w:type="fixed"/>
        <w:tblLook w:val="0600" w:firstRow="0" w:lastRow="0" w:firstColumn="0" w:lastColumn="0" w:noHBand="1" w:noVBand="1"/>
      </w:tblPr>
      <w:tblGrid>
        <w:gridCol w:w="4759"/>
        <w:gridCol w:w="1231"/>
        <w:gridCol w:w="1231"/>
        <w:gridCol w:w="1231"/>
        <w:gridCol w:w="1227"/>
      </w:tblGrid>
      <w:tr>
        <w:trPr>
          <w:trHeight w:val="420"/>
        </w:trPr>
        <w:tc>
          <w:tcPr>
            <w:tcW w:w="245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Поискани вноски</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Неразпределена печалба</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Общо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1 януари 2019 г.</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Забележки</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2,697,000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216,997</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2,913,997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bottom"/>
          </w:tcPr>
          <w:p>
            <w:pPr>
              <w:rPr>
                <w:rFonts w:ascii="Arial" w:eastAsia="Arial" w:hAnsi="Arial" w:cs="Arial"/>
                <w:noProof/>
                <w:color w:val="000000"/>
                <w:sz w:val="16"/>
                <w:lang w:val="bg-BG"/>
              </w:rPr>
            </w:pPr>
            <w:r>
              <w:rPr>
                <w:rFonts w:ascii="Arial" w:hAnsi="Arial"/>
                <w:noProof/>
                <w:color w:val="000000"/>
                <w:sz w:val="16"/>
                <w:lang w:val="bg-BG"/>
              </w:rPr>
              <w:t>Вноска на държавите членки, поискана през годината</w:t>
            </w:r>
          </w:p>
        </w:tc>
        <w:tc>
          <w:tcPr>
            <w:tcW w:w="636" w:type="pct"/>
            <w:tcBorders>
              <w:top w:val="nil"/>
              <w:left w:val="nil"/>
              <w:bottom w:val="nil"/>
              <w:right w:val="nil"/>
              <w:tl2br w:val="nil"/>
              <w:tr2bl w:val="nil"/>
            </w:tcBorders>
            <w:shd w:val="clear" w:color="auto" w:fill="auto"/>
            <w:tcMar>
              <w:left w:w="40" w:type="dxa"/>
              <w:right w:w="40" w:type="dxa"/>
            </w:tcMar>
            <w:vAlign w:val="bottom"/>
          </w:tcPr>
          <w:p>
            <w:pPr>
              <w:jc w:val="center"/>
              <w:rPr>
                <w:rFonts w:ascii="Arial" w:eastAsia="Arial" w:hAnsi="Arial" w:cs="Arial"/>
                <w:noProof/>
                <w:color w:val="000000"/>
                <w:sz w:val="16"/>
                <w:lang w:val="bg-BG"/>
              </w:rPr>
            </w:pPr>
            <w:r>
              <w:rPr>
                <w:rFonts w:ascii="Arial" w:hAnsi="Arial"/>
                <w:noProof/>
                <w:color w:val="000000"/>
                <w:sz w:val="16"/>
                <w:lang w:val="bg-BG"/>
              </w:rPr>
              <w:t>17</w:t>
            </w:r>
          </w:p>
        </w:tc>
        <w:tc>
          <w:tcPr>
            <w:tcW w:w="636" w:type="pct"/>
            <w:tcBorders>
              <w:top w:val="nil"/>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noProof/>
                <w:color w:val="000000"/>
                <w:sz w:val="16"/>
                <w:lang w:val="bg-BG"/>
              </w:rPr>
            </w:pPr>
            <w:r>
              <w:rPr>
                <w:rFonts w:ascii="Arial" w:hAnsi="Arial"/>
                <w:noProof/>
                <w:color w:val="000000"/>
                <w:sz w:val="16"/>
                <w:lang w:val="bg-BG"/>
              </w:rPr>
              <w:t>270,000</w:t>
            </w:r>
          </w:p>
        </w:tc>
        <w:tc>
          <w:tcPr>
            <w:tcW w:w="636" w:type="pct"/>
            <w:tcBorders>
              <w:top w:val="nil"/>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4" w:type="pct"/>
            <w:tcBorders>
              <w:top w:val="nil"/>
              <w:left w:val="nil"/>
              <w:bottom w:val="nil"/>
              <w:right w:val="nil"/>
              <w:tl2br w:val="nil"/>
              <w:tr2bl w:val="nil"/>
            </w:tcBorders>
            <w:shd w:val="clear" w:color="auto" w:fill="auto"/>
            <w:tcMar>
              <w:left w:w="40" w:type="dxa"/>
              <w:right w:w="40" w:type="dxa"/>
            </w:tcMar>
            <w:vAlign w:val="bottom"/>
          </w:tcPr>
          <w:p>
            <w:pPr>
              <w:jc w:val="right"/>
              <w:rPr>
                <w:rFonts w:ascii="Arial" w:eastAsia="Arial" w:hAnsi="Arial" w:cs="Arial"/>
                <w:noProof/>
                <w:color w:val="000000"/>
                <w:sz w:val="16"/>
                <w:lang w:val="bg-BG"/>
              </w:rPr>
            </w:pPr>
            <w:r>
              <w:rPr>
                <w:rFonts w:ascii="Arial" w:hAnsi="Arial"/>
                <w:noProof/>
                <w:color w:val="000000"/>
                <w:sz w:val="16"/>
                <w:lang w:val="bg-BG"/>
              </w:rPr>
              <w:t>270,000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4"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Печалба за 2019 г.</w:t>
            </w:r>
          </w:p>
        </w:tc>
        <w:tc>
          <w:tcPr>
            <w:tcW w:w="636"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3,039</w:t>
            </w:r>
          </w:p>
        </w:tc>
        <w:tc>
          <w:tcPr>
            <w:tcW w:w="63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Промени в ресурсите на вносителите</w:t>
            </w:r>
          </w:p>
        </w:tc>
        <w:tc>
          <w:tcPr>
            <w:tcW w:w="636"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270,000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3,039</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273,039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2019 г.</w:t>
            </w:r>
          </w:p>
        </w:tc>
        <w:tc>
          <w:tcPr>
            <w:tcW w:w="636" w:type="pct"/>
            <w:tcBorders>
              <w:top w:val="nil"/>
              <w:left w:val="nil"/>
              <w:bottom w:val="nil"/>
              <w:right w:val="nil"/>
              <w:tl2br w:val="nil"/>
              <w:tr2bl w:val="nil"/>
            </w:tcBorders>
            <w:shd w:val="clear" w:color="FFFFFF" w:fill="BFBFBF"/>
            <w:tcMar>
              <w:left w:w="0" w:type="dxa"/>
              <w:right w:w="0" w:type="dxa"/>
            </w:tcMar>
            <w:vAlign w:val="center"/>
          </w:tcPr>
          <w:p>
            <w:pPr>
              <w:jc w:val="center"/>
              <w:rPr>
                <w:rFonts w:ascii="Arial" w:eastAsia="Arial" w:hAnsi="Arial" w:cs="Arial"/>
                <w:b/>
                <w:noProof/>
                <w:color w:val="000000"/>
                <w:sz w:val="16"/>
                <w:lang w:val="bg-BG"/>
              </w:rPr>
            </w:pPr>
          </w:p>
        </w:tc>
        <w:tc>
          <w:tcPr>
            <w:tcW w:w="636"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2,967,000</w:t>
            </w:r>
          </w:p>
        </w:tc>
        <w:tc>
          <w:tcPr>
            <w:tcW w:w="636"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220,036</w:t>
            </w:r>
          </w:p>
        </w:tc>
        <w:tc>
          <w:tcPr>
            <w:tcW w:w="634"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3,187,036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45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Поискани вноски </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Неразпределена печалба </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Общо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01 януари 2018 г.</w:t>
            </w:r>
          </w:p>
        </w:tc>
        <w:tc>
          <w:tcPr>
            <w:tcW w:w="63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2,517,000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266,599</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2,783,599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Вноска на държавите членки, поискана през годината</w:t>
            </w:r>
          </w:p>
        </w:tc>
        <w:tc>
          <w:tcPr>
            <w:tcW w:w="636" w:type="pct"/>
            <w:tcBorders>
              <w:top w:val="nil"/>
              <w:left w:val="nil"/>
              <w:bottom w:val="nil"/>
              <w:right w:val="nil"/>
              <w:tl2br w:val="nil"/>
              <w:tr2bl w:val="nil"/>
            </w:tcBorders>
            <w:shd w:val="clear" w:color="auto" w:fill="auto"/>
            <w:tcMar>
              <w:left w:w="40" w:type="dxa"/>
              <w:right w:w="40" w:type="dxa"/>
            </w:tcMar>
            <w:vAlign w:val="bottom"/>
          </w:tcPr>
          <w:p>
            <w:pPr>
              <w:jc w:val="center"/>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180,000</w:t>
            </w:r>
          </w:p>
        </w:tc>
        <w:tc>
          <w:tcPr>
            <w:tcW w:w="63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4"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Загуба за 2018 г.</w:t>
            </w:r>
          </w:p>
        </w:tc>
        <w:tc>
          <w:tcPr>
            <w:tcW w:w="636"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-49,602</w:t>
            </w:r>
          </w:p>
        </w:tc>
        <w:tc>
          <w:tcPr>
            <w:tcW w:w="63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Промени в ресурсите на вносителите</w:t>
            </w:r>
          </w:p>
        </w:tc>
        <w:tc>
          <w:tcPr>
            <w:tcW w:w="636"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180,000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-49,602</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130,398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2018 г.</w:t>
            </w:r>
          </w:p>
        </w:tc>
        <w:tc>
          <w:tcPr>
            <w:tcW w:w="636" w:type="pct"/>
            <w:tcBorders>
              <w:top w:val="nil"/>
              <w:left w:val="nil"/>
              <w:bottom w:val="nil"/>
              <w:right w:val="nil"/>
              <w:tl2br w:val="nil"/>
              <w:tr2bl w:val="nil"/>
            </w:tcBorders>
            <w:shd w:val="clear" w:color="FFFFFF" w:fill="BFBFBF"/>
            <w:tcMar>
              <w:left w:w="0" w:type="dxa"/>
              <w:right w:w="0" w:type="dxa"/>
            </w:tcMar>
            <w:vAlign w:val="center"/>
          </w:tcPr>
          <w:p>
            <w:pPr>
              <w:jc w:val="center"/>
              <w:rPr>
                <w:rFonts w:ascii="Arial" w:eastAsia="Arial" w:hAnsi="Arial" w:cs="Arial"/>
                <w:b/>
                <w:noProof/>
                <w:color w:val="000000"/>
                <w:sz w:val="16"/>
                <w:lang w:val="bg-BG"/>
              </w:rPr>
            </w:pPr>
          </w:p>
        </w:tc>
        <w:tc>
          <w:tcPr>
            <w:tcW w:w="636"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2,697,000</w:t>
            </w:r>
          </w:p>
        </w:tc>
        <w:tc>
          <w:tcPr>
            <w:tcW w:w="636"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216,997</w:t>
            </w:r>
          </w:p>
        </w:tc>
        <w:tc>
          <w:tcPr>
            <w:tcW w:w="634"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2,913,997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458"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4"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bl>
    <w:p>
      <w:pPr>
        <w:pageBreakBefore/>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szCs w:val="20"/>
          <w:bdr w:val="nil"/>
          <w:lang w:val="bg-BG"/>
        </w:rPr>
        <w:t>ОТЧЕТИ ЗА ПАРИЧНИТЕ ПОТОЦИ</w:t>
      </w:r>
    </w:p>
    <w:p>
      <w:pPr>
        <w:pBdr>
          <w:top w:val="nil"/>
          <w:left w:val="nil"/>
          <w:bottom w:val="nil"/>
          <w:right w:val="nil"/>
          <w:between w:val="nil"/>
          <w:bar w:val="nil"/>
        </w:pBdr>
        <w:spacing w:before="60" w:after="60"/>
        <w:jc w:val="center"/>
        <w:rPr>
          <w:rFonts w:ascii="Arial" w:hAnsi="Arial"/>
          <w:b/>
          <w:caps/>
          <w:noProof/>
          <w:sz w:val="20"/>
          <w:szCs w:val="20"/>
          <w:bdr w:val="nil"/>
          <w:lang w:val="bg-BG"/>
        </w:rPr>
      </w:pPr>
      <w:r>
        <w:rPr>
          <w:rFonts w:ascii="Arial" w:hAnsi="Arial"/>
          <w:b/>
          <w:caps/>
          <w:noProof/>
          <w:sz w:val="20"/>
          <w:szCs w:val="20"/>
          <w:bdr w:val="nil"/>
          <w:lang w:val="bg-BG"/>
        </w:rPr>
        <w:t>ЗА ГОДИНАТА, ПРИКЛЮЧИЛА НА 31 декември 2019 г.</w:t>
      </w:r>
    </w:p>
    <w:p>
      <w:pPr>
        <w:pBdr>
          <w:top w:val="nil"/>
          <w:left w:val="nil"/>
          <w:bottom w:val="nil"/>
          <w:right w:val="nil"/>
          <w:between w:val="nil"/>
          <w:bar w:val="nil"/>
        </w:pBdr>
        <w:tabs>
          <w:tab w:val="center" w:pos="4677"/>
          <w:tab w:val="right" w:pos="9355"/>
        </w:tabs>
        <w:spacing w:before="60" w:after="60"/>
        <w:jc w:val="center"/>
        <w:rPr>
          <w:rFonts w:ascii="Arial" w:hAnsi="Arial"/>
          <w:noProof/>
          <w:sz w:val="16"/>
          <w:szCs w:val="16"/>
          <w:bdr w:val="nil"/>
          <w:lang w:val="bg-BG"/>
        </w:rPr>
      </w:pPr>
      <w:r>
        <w:rPr>
          <w:rFonts w:ascii="Arial" w:hAnsi="Arial"/>
          <w:noProof/>
          <w:sz w:val="16"/>
          <w:szCs w:val="16"/>
          <w:bdr w:val="nil"/>
          <w:lang w:val="bg-BG"/>
        </w:rPr>
        <w:t>(в хиляди евро)</w:t>
      </w:r>
    </w:p>
    <w:p>
      <w:pPr>
        <w:pBdr>
          <w:top w:val="nil"/>
          <w:left w:val="nil"/>
          <w:bottom w:val="nil"/>
          <w:right w:val="nil"/>
          <w:between w:val="nil"/>
          <w:bar w:val="nil"/>
        </w:pBdr>
        <w:jc w:val="center"/>
        <w:rPr>
          <w:rFonts w:ascii="Arial" w:hAnsi="Arial"/>
          <w:noProof/>
          <w:sz w:val="16"/>
          <w:szCs w:val="16"/>
          <w:bdr w:val="nil"/>
          <w:lang w:val="bg-BG"/>
        </w:rPr>
      </w:pPr>
      <w:r>
        <w:rPr>
          <w:noProof/>
          <w:lang w:val="bg-BG"/>
        </w:rPr>
        <w:t xml:space="preserve"> </w:t>
      </w:r>
    </w:p>
    <w:tbl>
      <w:tblPr>
        <w:tblStyle w:val="CDMRange20"/>
        <w:tblW w:w="4980" w:type="pct"/>
        <w:tblLook w:val="0600" w:firstRow="0" w:lastRow="0" w:firstColumn="0" w:lastColumn="0" w:noHBand="1" w:noVBand="1"/>
      </w:tblPr>
      <w:tblGrid>
        <w:gridCol w:w="5779"/>
        <w:gridCol w:w="947"/>
        <w:gridCol w:w="1458"/>
        <w:gridCol w:w="1456"/>
      </w:tblGrid>
      <w:tr>
        <w:trPr>
          <w:trHeight w:val="522"/>
        </w:trPr>
        <w:tc>
          <w:tcPr>
            <w:tcW w:w="299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49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Забележки</w:t>
            </w:r>
          </w:p>
        </w:tc>
        <w:tc>
          <w:tcPr>
            <w:tcW w:w="7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1.1.2019 г. до 31.12.2019 г.</w:t>
            </w:r>
          </w:p>
        </w:tc>
        <w:tc>
          <w:tcPr>
            <w:tcW w:w="7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1.1.2018 г. до 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99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rPr>
                <w:rFonts w:ascii="Arial" w:eastAsia="Arial" w:hAnsi="Arial" w:cs="Arial"/>
                <w:b/>
                <w:noProof/>
                <w:color w:val="000000"/>
                <w:sz w:val="16"/>
                <w:lang w:val="bg-BG"/>
              </w:rPr>
            </w:pPr>
            <w:r>
              <w:rPr>
                <w:rFonts w:ascii="Arial" w:hAnsi="Arial"/>
                <w:b/>
                <w:noProof/>
                <w:color w:val="000000"/>
                <w:sz w:val="16"/>
                <w:lang w:val="bg-BG"/>
              </w:rPr>
              <w:t>ОПЕРАТИВНИ ДЕЙНОСТИ</w:t>
            </w:r>
          </w:p>
        </w:tc>
        <w:tc>
          <w:tcPr>
            <w:tcW w:w="49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75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Печалба/(Загуба) за финансовата година</w:t>
            </w:r>
          </w:p>
        </w:tc>
        <w:tc>
          <w:tcPr>
            <w:tcW w:w="491" w:type="pct"/>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3,039</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Корекции, направени за: </w:t>
            </w:r>
          </w:p>
        </w:tc>
        <w:tc>
          <w:tcPr>
            <w:tcW w:w="491"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Нетен резултат по справедлива стойност от акции и други ценни книжа с променлива доходност</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-8,629</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обезценката по заемите и авансите, без корекции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-17,243</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22,771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Нетен резултат от заеми и аванси по FVTPL</w:t>
            </w:r>
          </w:p>
        </w:tc>
        <w:tc>
          <w:tcPr>
            <w:tcW w:w="491" w:type="pct"/>
            <w:tcBorders>
              <w:top w:val="nil"/>
              <w:left w:val="nil"/>
              <w:bottom w:val="nil"/>
              <w:right w:val="nil"/>
              <w:tl2br w:val="nil"/>
              <w:tr2bl w:val="nil"/>
            </w:tcBorders>
            <w:shd w:val="clear" w:color="auto" w:fill="auto"/>
            <w:noWrap/>
            <w:tcMar>
              <w:left w:w="0" w:type="dxa"/>
              <w:right w:w="0" w:type="dxa"/>
            </w:tcMar>
            <w:vAlign w:val="center"/>
          </w:tcPr>
          <w:p>
            <w:pPr>
              <w:jc w:val="cente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8,331</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начислената лихва и амортизираната стойност на заеми и аванси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-5,087</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Нетни промени в провизиите за издадени гаранции, без корекции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13</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-107</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Нетни промени в провизиите за кредитни ангажименти, без корекции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13,447</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19,666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Промени в справедливата стойност на деривати </w:t>
            </w:r>
          </w:p>
        </w:tc>
        <w:tc>
          <w:tcPr>
            <w:tcW w:w="491"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-12,611</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начислената лихва и амортизираната стойност на касовите финансови активи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331</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приходите за бъдещи периоди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-1,198</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Въздействие на промените във валутния курс върху заемите  </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-17,752</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-44,927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Влияние на промените във валутния курс върху акциите и другите ценни книжа с променлива доходност</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-6,812</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Въздействие на промените във валутния курс върху касовите наличности </w:t>
            </w:r>
          </w:p>
        </w:tc>
        <w:tc>
          <w:tcPr>
            <w:tcW w:w="491"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2,369</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Загуба от оперативни дейности преди промените в оперативните активи и пасиви</w:t>
            </w:r>
          </w:p>
        </w:tc>
        <w:tc>
          <w:tcPr>
            <w:tcW w:w="491"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single" w:sz="4"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-41,922</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-30,684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Отпускане на заеми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-311,185</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-259,214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Изплащане на заеми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355,078</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354,855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Продажба на заеми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2,194</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начислените лихви по пари и парични еквиваленти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(Увеличение) на касовите финансови активи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-2,948,021</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-2,219,062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Падежи на касовите финансови активи</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2,952,905</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2,026,659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(Увеличение) на акциите и другите ценни книжа с променлива доходност</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-106,943</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Нетни постъпления от акции и други ценни книжа с променлива доходност</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71,024</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32,802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(Намаление) на други активи</w:t>
            </w:r>
          </w:p>
        </w:tc>
        <w:tc>
          <w:tcPr>
            <w:tcW w:w="491"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-171</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Увеличение на други пасиви</w:t>
            </w:r>
          </w:p>
        </w:tc>
        <w:tc>
          <w:tcPr>
            <w:tcW w:w="491"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Увеличение на суми, платими на Европейската инвестиционна банка</w:t>
            </w:r>
          </w:p>
        </w:tc>
        <w:tc>
          <w:tcPr>
            <w:tcW w:w="491"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2,187</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Нетни парични потоци, използвани в оперативни дейности</w:t>
            </w:r>
          </w:p>
        </w:tc>
        <w:tc>
          <w:tcPr>
            <w:tcW w:w="491" w:type="pct"/>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-24,807</w:t>
            </w:r>
          </w:p>
        </w:tc>
        <w:tc>
          <w:tcPr>
            <w:tcW w:w="755"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-192,271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single" w:sz="4" w:space="0" w:color="000000"/>
              <w:right w:val="nil"/>
              <w:tl2br w:val="nil"/>
              <w:tr2bl w:val="nil"/>
            </w:tcBorders>
            <w:shd w:val="clear" w:color="auto" w:fill="auto"/>
            <w:tcMar>
              <w:left w:w="40" w:type="dxa"/>
              <w:right w:w="40" w:type="dxa"/>
            </w:tcMar>
            <w:vAlign w:val="bottom"/>
          </w:tcPr>
          <w:p>
            <w:pPr>
              <w:rPr>
                <w:rFonts w:ascii="Arial" w:eastAsia="Arial" w:hAnsi="Arial" w:cs="Arial"/>
                <w:b/>
                <w:noProof/>
                <w:color w:val="000000"/>
                <w:sz w:val="16"/>
                <w:lang w:val="bg-BG"/>
              </w:rPr>
            </w:pPr>
            <w:r>
              <w:rPr>
                <w:rFonts w:ascii="Arial" w:hAnsi="Arial"/>
                <w:b/>
                <w:noProof/>
                <w:color w:val="000000"/>
                <w:sz w:val="16"/>
                <w:lang w:val="bg-BG"/>
              </w:rPr>
              <w:t>ФИНАНСОВИ ДЕЙНОСТИ</w:t>
            </w:r>
          </w:p>
        </w:tc>
        <w:tc>
          <w:tcPr>
            <w:tcW w:w="49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7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75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Вноски, получени от държавите членки </w:t>
            </w:r>
          </w:p>
        </w:tc>
        <w:tc>
          <w:tcPr>
            <w:tcW w:w="491"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p>
        </w:tc>
        <w:tc>
          <w:tcPr>
            <w:tcW w:w="756"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284,820</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Суми, получени от държавите членки, за лихвени субсидии и техническа помощ</w:t>
            </w:r>
          </w:p>
        </w:tc>
        <w:tc>
          <w:tcPr>
            <w:tcW w:w="491"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30,000</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Суми, платени от името на държавите членки, за лихвени субсидии и техническа помощ</w:t>
            </w:r>
          </w:p>
        </w:tc>
        <w:tc>
          <w:tcPr>
            <w:tcW w:w="491"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-28,220</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-35,641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Нетни парични потоци от финансови дейности</w:t>
            </w:r>
          </w:p>
        </w:tc>
        <w:tc>
          <w:tcPr>
            <w:tcW w:w="491"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286,600</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214,359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Нетно увеличение на парите и паричните еквиваленти</w:t>
            </w:r>
          </w:p>
        </w:tc>
        <w:tc>
          <w:tcPr>
            <w:tcW w:w="491" w:type="pct"/>
            <w:tcBorders>
              <w:top w:val="nil"/>
              <w:left w:val="nil"/>
              <w:bottom w:val="nil"/>
              <w:right w:val="nil"/>
              <w:tl2br w:val="nil"/>
              <w:tr2bl w:val="nil"/>
            </w:tcBorders>
            <w:shd w:val="clear" w:color="FFFFFF" w:fill="C0C0C0"/>
            <w:tcMar>
              <w:left w:w="0" w:type="dxa"/>
              <w:right w:w="0" w:type="dxa"/>
            </w:tcMar>
            <w:vAlign w:val="center"/>
          </w:tcPr>
          <w:p>
            <w:pPr>
              <w:rPr>
                <w:rFonts w:ascii="Arial" w:eastAsia="Arial" w:hAnsi="Arial" w:cs="Arial"/>
                <w:b/>
                <w:noProof/>
                <w:color w:val="000000"/>
                <w:sz w:val="16"/>
                <w:lang w:val="bg-BG"/>
              </w:rPr>
            </w:pPr>
          </w:p>
        </w:tc>
        <w:tc>
          <w:tcPr>
            <w:tcW w:w="756"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261,793</w:t>
            </w:r>
          </w:p>
        </w:tc>
        <w:tc>
          <w:tcPr>
            <w:tcW w:w="755"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22,088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Обобщен отчет за паричните потоци:</w:t>
            </w:r>
          </w:p>
        </w:tc>
        <w:tc>
          <w:tcPr>
            <w:tcW w:w="491"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56"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55"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Пари и парични еквиваленти в началото на финансовата година</w:t>
            </w:r>
          </w:p>
        </w:tc>
        <w:tc>
          <w:tcPr>
            <w:tcW w:w="491"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573,818</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549,169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Нетни парични средства от:</w:t>
            </w:r>
          </w:p>
        </w:tc>
        <w:tc>
          <w:tcPr>
            <w:tcW w:w="491"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Оперативни дейности</w:t>
            </w:r>
          </w:p>
        </w:tc>
        <w:tc>
          <w:tcPr>
            <w:tcW w:w="491"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-24,937</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-192,271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Дейности по финансиране</w:t>
            </w:r>
          </w:p>
        </w:tc>
        <w:tc>
          <w:tcPr>
            <w:tcW w:w="491"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286,730</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214,359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Въздействия на промените във валутния курс върху парите и паричните еквиваленти</w:t>
            </w:r>
          </w:p>
        </w:tc>
        <w:tc>
          <w:tcPr>
            <w:tcW w:w="491" w:type="pc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2,369</w:t>
            </w:r>
          </w:p>
        </w:tc>
        <w:tc>
          <w:tcPr>
            <w:tcW w:w="75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Пари и парични еквиваленти в края на финансовата година</w:t>
            </w:r>
          </w:p>
        </w:tc>
        <w:tc>
          <w:tcPr>
            <w:tcW w:w="491" w:type="pct"/>
            <w:tcBorders>
              <w:top w:val="nil"/>
              <w:left w:val="nil"/>
              <w:bottom w:val="nil"/>
              <w:right w:val="nil"/>
              <w:tl2br w:val="nil"/>
              <w:tr2bl w:val="nil"/>
            </w:tcBorders>
            <w:shd w:val="clear" w:color="FFFFFF" w:fill="C0C0C0"/>
            <w:tcMar>
              <w:left w:w="0" w:type="dxa"/>
              <w:right w:w="0" w:type="dxa"/>
            </w:tcMar>
            <w:vAlign w:val="center"/>
          </w:tcPr>
          <w:p>
            <w:pPr>
              <w:rPr>
                <w:rFonts w:ascii="Arial" w:eastAsia="Arial" w:hAnsi="Arial" w:cs="Arial"/>
                <w:b/>
                <w:noProof/>
                <w:color w:val="000000"/>
                <w:sz w:val="16"/>
                <w:lang w:val="bg-BG"/>
              </w:rPr>
            </w:pPr>
          </w:p>
        </w:tc>
        <w:tc>
          <w:tcPr>
            <w:tcW w:w="756"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837,980</w:t>
            </w:r>
          </w:p>
        </w:tc>
        <w:tc>
          <w:tcPr>
            <w:tcW w:w="755"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573,818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b/>
                <w:noProof/>
                <w:color w:val="000000"/>
                <w:sz w:val="16"/>
                <w:lang w:val="bg-BG"/>
              </w:rPr>
            </w:pPr>
            <w:r>
              <w:rPr>
                <w:rFonts w:ascii="Arial" w:hAnsi="Arial"/>
                <w:b/>
                <w:noProof/>
                <w:color w:val="000000"/>
                <w:sz w:val="16"/>
                <w:lang w:val="bg-BG"/>
              </w:rPr>
              <w:t>Парите и паричните еквиваленти се състоят от:</w:t>
            </w:r>
          </w:p>
        </w:tc>
        <w:tc>
          <w:tcPr>
            <w:tcW w:w="491" w:type="pct"/>
            <w:tcBorders>
              <w:top w:val="nil"/>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75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lang w:val="bg-BG"/>
              </w:rPr>
            </w:pPr>
            <w:r>
              <w:rPr>
                <w:rFonts w:ascii="Arial" w:hAnsi="Arial"/>
                <w:noProof/>
                <w:color w:val="000000"/>
                <w:sz w:val="16"/>
                <w:lang w:val="bg-BG"/>
              </w:rPr>
              <w:t xml:space="preserve">Касова наличност </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w:t>
            </w:r>
          </w:p>
        </w:tc>
        <w:tc>
          <w:tcPr>
            <w:tcW w:w="756"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72,166</w:t>
            </w:r>
          </w:p>
        </w:tc>
        <w:tc>
          <w:tcPr>
            <w:tcW w:w="755"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51,936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Срочни депозити (без начислената лихва)</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w:t>
            </w:r>
          </w:p>
        </w:tc>
        <w:tc>
          <w:tcPr>
            <w:tcW w:w="756"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622,991</w:t>
            </w:r>
          </w:p>
        </w:tc>
        <w:tc>
          <w:tcPr>
            <w:tcW w:w="755"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521,882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Търговски ценни книжа</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w:t>
            </w:r>
          </w:p>
        </w:tc>
        <w:tc>
          <w:tcPr>
            <w:tcW w:w="756"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142,823</w:t>
            </w:r>
          </w:p>
        </w:tc>
        <w:tc>
          <w:tcPr>
            <w:tcW w:w="755"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491" w:type="pct"/>
            <w:tcBorders>
              <w:top w:val="nil"/>
              <w:left w:val="nil"/>
              <w:bottom w:val="nil"/>
              <w:right w:val="nil"/>
              <w:tl2br w:val="nil"/>
              <w:tr2bl w:val="nil"/>
            </w:tcBorders>
            <w:shd w:val="clear" w:color="auto" w:fill="auto"/>
            <w:noWrap/>
            <w:tcMar>
              <w:left w:w="0" w:type="dxa"/>
              <w:right w:w="0" w:type="dxa"/>
            </w:tcMar>
            <w:vAlign w:val="bottom"/>
          </w:tcPr>
          <w:p>
            <w:pPr>
              <w:rPr>
                <w:noProof/>
                <w:color w:val="000000"/>
                <w:sz w:val="20"/>
                <w:lang w:val="bg-BG"/>
              </w:rPr>
            </w:pPr>
          </w:p>
        </w:tc>
        <w:tc>
          <w:tcPr>
            <w:tcW w:w="7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837,980</w:t>
            </w:r>
          </w:p>
        </w:tc>
        <w:tc>
          <w:tcPr>
            <w:tcW w:w="7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573,818</w:t>
            </w:r>
          </w:p>
        </w:tc>
      </w:tr>
    </w:tbl>
    <w:p>
      <w:pPr>
        <w:pageBreakBefore/>
        <w:suppressAutoHyphens/>
        <w:spacing w:before="140" w:after="320"/>
        <w:jc w:val="both"/>
        <w:rPr>
          <w:rFonts w:ascii="Arial" w:hAnsi="Arial"/>
          <w:b/>
          <w:noProof/>
          <w:lang w:val="bg-BG" w:eastAsia="ar-SA"/>
        </w:rPr>
      </w:pPr>
      <w:r>
        <w:rPr>
          <w:rFonts w:ascii="Arial" w:hAnsi="Arial"/>
          <w:b/>
          <w:noProof/>
          <w:lang w:val="bg-BG" w:eastAsia="ar-SA"/>
        </w:rPr>
        <w:t>Бележки към финансовите отчети към 31 декември 2019 г.</w:t>
      </w:r>
    </w:p>
    <w:p>
      <w:pPr>
        <w:tabs>
          <w:tab w:val="center" w:pos="4320"/>
          <w:tab w:val="right" w:pos="8640"/>
        </w:tabs>
        <w:suppressAutoHyphens/>
        <w:ind w:left="432" w:hanging="432"/>
        <w:jc w:val="both"/>
        <w:rPr>
          <w:rFonts w:ascii="Arial" w:hAnsi="Arial"/>
          <w:b/>
          <w:noProof/>
          <w:sz w:val="20"/>
          <w:lang w:val="bg-BG" w:eastAsia="ar-SA"/>
        </w:rPr>
      </w:pPr>
      <w:r>
        <w:rPr>
          <w:rFonts w:ascii="Arial" w:hAnsi="Arial"/>
          <w:b/>
          <w:noProof/>
          <w:sz w:val="20"/>
          <w:lang w:val="bg-BG" w:eastAsia="ar-SA"/>
        </w:rPr>
        <w:t>1</w:t>
      </w:r>
      <w:r>
        <w:rPr>
          <w:rFonts w:ascii="Arial" w:hAnsi="Arial"/>
          <w:b/>
          <w:noProof/>
          <w:sz w:val="20"/>
          <w:lang w:val="bg-BG" w:eastAsia="ar-SA"/>
        </w:rPr>
        <w:tab/>
        <w:t>Обща информация</w:t>
      </w:r>
    </w:p>
    <w:p>
      <w:pPr>
        <w:spacing w:before="60" w:after="60"/>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Инвестиционният механизъм („механизмът“ или ИМ) е създаден в рамките на Споразумението от Котону („Споразумението“) за сътрудничество и помощ за развитие, сключено между групата от държави от Африка, Карибите и Тихоокеанския басейн („държавите от АКТБ“) и Европейския съюз и неговите държави членки на 23 юни 2000 г., преразгледано на 25 юни 2005 г. и 22 юни 2010 г.</w:t>
      </w:r>
    </w:p>
    <w:p>
      <w:pPr>
        <w:spacing w:before="60" w:after="60"/>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Механизмът не е отделно юридическо лице и Европейската инвестиционна банка („ЕИБ“ или „банката“) управлява вноските от името на държавите членки („дарители“) в съответствие с разпоредбите на Споразумението и действа като администратор на механизма.</w:t>
      </w:r>
    </w:p>
    <w:p>
      <w:pPr>
        <w:tabs>
          <w:tab w:val="left" w:pos="1800"/>
        </w:tabs>
        <w:spacing w:before="60" w:after="60"/>
        <w:jc w:val="both"/>
        <w:rPr>
          <w:rFonts w:ascii="Arial" w:hAnsi="Arial"/>
          <w:noProof/>
          <w:sz w:val="16"/>
          <w:szCs w:val="16"/>
          <w:lang w:val="bg-BG"/>
        </w:rPr>
      </w:pPr>
    </w:p>
    <w:p>
      <w:pPr>
        <w:tabs>
          <w:tab w:val="left" w:pos="1800"/>
        </w:tabs>
        <w:spacing w:before="60" w:after="60"/>
        <w:jc w:val="both"/>
        <w:rPr>
          <w:rFonts w:ascii="Arial" w:hAnsi="Arial"/>
          <w:noProof/>
          <w:sz w:val="16"/>
          <w:szCs w:val="16"/>
          <w:lang w:val="bg-BG"/>
        </w:rPr>
      </w:pPr>
      <w:r>
        <w:rPr>
          <w:rFonts w:ascii="Arial" w:hAnsi="Arial"/>
          <w:noProof/>
          <w:sz w:val="16"/>
          <w:szCs w:val="16"/>
          <w:lang w:val="bg-BG"/>
        </w:rPr>
        <w:t>Финансирането по Споразумението се осигурява от бюджетите на държавите — членки на ЕС. Държавите — членки на ЕС, допринасят със суми, разпределени за финансирането на ИМ и за безвъзмездните средства за финансиране на лихвените субсидии, както е предвидено в многогодишните финансови рамки (първи финансов протокол, обхващащ периода 2000—2007 г. и наричан 9-и Европейски фонд за развитие (ЕФР), втори финансов протокол, обхващащ периода 2008—2013 г. и наричан 10-и ЕФР и трети финансов протокол, обхващащ периода 2014—2020 г., наричан 11-и ЕФР). На ЕИБ е поверено управлението на:</w:t>
      </w:r>
    </w:p>
    <w:p>
      <w:pPr>
        <w:tabs>
          <w:tab w:val="left" w:pos="1800"/>
        </w:tabs>
        <w:spacing w:before="60" w:after="60"/>
        <w:jc w:val="both"/>
        <w:rPr>
          <w:rFonts w:ascii="Arial" w:hAnsi="Arial"/>
          <w:noProof/>
          <w:sz w:val="16"/>
          <w:szCs w:val="16"/>
          <w:lang w:val="bg-BG"/>
        </w:rPr>
      </w:pPr>
    </w:p>
    <w:p>
      <w:pPr>
        <w:numPr>
          <w:ilvl w:val="0"/>
          <w:numId w:val="26"/>
        </w:numPr>
        <w:tabs>
          <w:tab w:val="left" w:pos="1800"/>
        </w:tabs>
        <w:spacing w:before="60" w:after="60"/>
        <w:ind w:left="714" w:hanging="357"/>
        <w:jc w:val="both"/>
        <w:rPr>
          <w:rFonts w:ascii="Arial" w:hAnsi="Arial"/>
          <w:noProof/>
          <w:sz w:val="16"/>
          <w:szCs w:val="16"/>
          <w:lang w:val="bg-BG"/>
        </w:rPr>
      </w:pPr>
      <w:r>
        <w:rPr>
          <w:rFonts w:ascii="Arial" w:hAnsi="Arial"/>
          <w:noProof/>
          <w:sz w:val="16"/>
          <w:szCs w:val="16"/>
          <w:lang w:val="bg-BG"/>
        </w:rPr>
        <w:t>механизма, който представлява рисков револвиращ фонд от 3 685,5 милиона евро, насочен към насърчаване на инвестициите в частния сектор в държавите от АКТБ, от които 48,5 милиона евро са разпределени за отвъдморските страни и територии („страните от ОСТ“);</w:t>
      </w:r>
    </w:p>
    <w:p>
      <w:pPr>
        <w:numPr>
          <w:ilvl w:val="0"/>
          <w:numId w:val="27"/>
        </w:numPr>
        <w:tabs>
          <w:tab w:val="left" w:pos="1800"/>
        </w:tabs>
        <w:spacing w:before="60" w:after="60"/>
        <w:ind w:left="714" w:hanging="357"/>
        <w:jc w:val="both"/>
        <w:rPr>
          <w:rFonts w:ascii="Arial" w:hAnsi="Arial"/>
          <w:noProof/>
          <w:sz w:val="16"/>
          <w:szCs w:val="16"/>
          <w:lang w:val="bg-BG"/>
        </w:rPr>
      </w:pPr>
      <w:r>
        <w:rPr>
          <w:rFonts w:ascii="Arial" w:hAnsi="Arial"/>
          <w:noProof/>
          <w:sz w:val="16"/>
          <w:szCs w:val="16"/>
          <w:lang w:val="bg-BG"/>
        </w:rPr>
        <w:t>безвъзмездните средства за финансиране на лихвени субсидии на стойност до 1 220,85 милиона евро за държавите от АКТБ и до 8,5 милиона евро за страните от ОСТ. До 15 % от тези субсидии могат да се използват за финансиране на техническа помощ, свързана с проекти.</w:t>
      </w:r>
    </w:p>
    <w:p>
      <w:pPr>
        <w:tabs>
          <w:tab w:val="left" w:pos="1800"/>
        </w:tabs>
        <w:spacing w:before="60" w:after="60"/>
        <w:jc w:val="both"/>
        <w:rPr>
          <w:rFonts w:ascii="Arial" w:hAnsi="Arial"/>
          <w:noProof/>
          <w:sz w:val="16"/>
          <w:szCs w:val="16"/>
          <w:lang w:val="bg-BG"/>
        </w:rPr>
      </w:pPr>
    </w:p>
    <w:p>
      <w:pPr>
        <w:tabs>
          <w:tab w:val="left" w:pos="1800"/>
        </w:tabs>
        <w:spacing w:before="60" w:after="60"/>
        <w:jc w:val="both"/>
        <w:rPr>
          <w:rFonts w:ascii="Arial" w:hAnsi="Arial"/>
          <w:noProof/>
          <w:sz w:val="16"/>
          <w:szCs w:val="16"/>
          <w:lang w:val="bg-BG"/>
        </w:rPr>
      </w:pPr>
      <w:r>
        <w:rPr>
          <w:rFonts w:ascii="Arial" w:hAnsi="Arial"/>
          <w:noProof/>
          <w:sz w:val="16"/>
          <w:szCs w:val="16"/>
          <w:lang w:val="bg-BG"/>
        </w:rPr>
        <w:t>Бяха договорени преходни разпоредби от страна на ЕС и на АКТБ, които ще позволят чрез финансирането на ЕИБ да се осъществяват операции до края на 2020 г. (Решение № 3/2019 на Комитета на посланиците АКТБ—ЕС от 17 декември 2019 г. за приемане на преходни мерки съгласно член 95, параграф 4 от Споразумението за партньорство АКТБ—ЕС). Банката ще продължи да одобрява операциите в съответствие мандата си до края на 2020 г., което е краят на периода на задължения за използването на револвиращите фондове на Инвестиционния механизъм, посочени в 11-ия ЕФР.</w:t>
      </w:r>
    </w:p>
    <w:p>
      <w:pPr>
        <w:tabs>
          <w:tab w:val="left" w:pos="1800"/>
        </w:tabs>
        <w:spacing w:before="60" w:after="60"/>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През юни 2018 г. Комисията публикува и предложението за бюджет за външната дейност на ЕС за периода 2021—2027 г. — регламента за създаване на Инструмента за съседство, сътрудничество за развитие и международно сътрудничество (ИССРМС). Важен аспект на предложението е опростяването на структурата му на финансиране, като се обединяват девет отделни инструмента и фонда, както и интегрирането на сегашния извънбюджетен ЕФР в бюджета на ЕС. Регламентът за ИССРМС ще осигури правно основание на Комисията да възлага на ЕИБ бъдещи мандати на ЕС за дейността ѝ извън ЕС. Той ще предостави също така рамката за външни инвестиции, чрез която Съюзът да си сътрудничи с партньорските институции чрез безвъзмездни средства или гаранции от бюджета на ЕС. Преговорите за ИССРМС все още са в ход.</w:t>
      </w:r>
      <w:r>
        <w:rPr>
          <w:noProof/>
          <w:lang w:val="bg-BG"/>
        </w:rPr>
        <w:t xml:space="preserve"> </w:t>
      </w:r>
      <w:r>
        <w:rPr>
          <w:rFonts w:ascii="Arial" w:hAnsi="Arial"/>
          <w:noProof/>
          <w:sz w:val="16"/>
          <w:szCs w:val="16"/>
          <w:lang w:val="bg-BG"/>
        </w:rPr>
        <w:t>Без да се засяга решението на Съвета, ЕИБ и ЕК водят разговори по предложение за продължаване на използването на обратните постъпления от Инвестиционния механизъм за определен брой години.</w:t>
      </w:r>
    </w:p>
    <w:p>
      <w:pPr>
        <w:spacing w:before="60" w:after="60"/>
        <w:jc w:val="both"/>
        <w:rPr>
          <w:rFonts w:ascii="Arial" w:hAnsi="Arial"/>
          <w:noProof/>
          <w:sz w:val="16"/>
          <w:szCs w:val="16"/>
          <w:lang w:val="bg-BG"/>
        </w:rPr>
      </w:pPr>
      <w:r>
        <w:rPr>
          <w:rFonts w:ascii="Arial" w:hAnsi="Arial"/>
          <w:noProof/>
          <w:sz w:val="16"/>
          <w:szCs w:val="16"/>
          <w:lang w:val="bg-BG"/>
        </w:rPr>
        <w:t> </w:t>
      </w:r>
    </w:p>
    <w:p>
      <w:pPr>
        <w:tabs>
          <w:tab w:val="left" w:pos="1800"/>
        </w:tabs>
        <w:spacing w:before="60"/>
        <w:jc w:val="both"/>
        <w:rPr>
          <w:rFonts w:ascii="Arial" w:hAnsi="Arial"/>
          <w:noProof/>
          <w:sz w:val="16"/>
          <w:szCs w:val="16"/>
          <w:lang w:val="bg-BG"/>
        </w:rPr>
      </w:pPr>
      <w:r>
        <w:rPr>
          <w:rFonts w:ascii="Arial" w:hAnsi="Arial"/>
          <w:noProof/>
          <w:sz w:val="16"/>
          <w:szCs w:val="16"/>
          <w:lang w:val="bg-BG"/>
        </w:rPr>
        <w:t>Настоящите финансови отчети обхващат периода от 1 януари 2019 г. до 31 декември 2019 г.</w:t>
      </w:r>
    </w:p>
    <w:p>
      <w:pPr>
        <w:tabs>
          <w:tab w:val="left" w:pos="1800"/>
        </w:tabs>
        <w:spacing w:before="60"/>
        <w:jc w:val="both"/>
        <w:rPr>
          <w:rFonts w:ascii="Arial" w:hAnsi="Arial"/>
          <w:noProof/>
          <w:sz w:val="16"/>
          <w:szCs w:val="16"/>
          <w:lang w:val="bg-BG"/>
        </w:rPr>
      </w:pPr>
    </w:p>
    <w:p>
      <w:pPr>
        <w:spacing w:after="60"/>
        <w:jc w:val="both"/>
        <w:rPr>
          <w:rFonts w:ascii="Arial" w:hAnsi="Arial"/>
          <w:noProof/>
          <w:sz w:val="16"/>
          <w:szCs w:val="16"/>
          <w:lang w:val="bg-BG"/>
        </w:rPr>
      </w:pPr>
      <w:r>
        <w:rPr>
          <w:rFonts w:ascii="Arial" w:hAnsi="Arial"/>
          <w:noProof/>
          <w:sz w:val="16"/>
          <w:szCs w:val="16"/>
          <w:lang w:val="bg-BG"/>
        </w:rPr>
        <w:t>По предложение на Управителния комитет на ЕИБ Съветът на директорите на ЕИБ прие финансовите отчети на 12 март 2020 г. и разреши тяхното представяне за одобрение на Съвета на гуверньорите до 24 април 2020 г.</w:t>
      </w:r>
    </w:p>
    <w:p>
      <w:pPr>
        <w:spacing w:before="60" w:after="60"/>
        <w:jc w:val="both"/>
        <w:rPr>
          <w:rFonts w:ascii="Arial" w:hAnsi="Arial"/>
          <w:noProof/>
          <w:sz w:val="16"/>
          <w:szCs w:val="16"/>
          <w:lang w:val="bg-BG"/>
        </w:rPr>
      </w:pPr>
    </w:p>
    <w:p>
      <w:pPr>
        <w:tabs>
          <w:tab w:val="center" w:pos="4320"/>
          <w:tab w:val="right" w:pos="8640"/>
        </w:tabs>
        <w:suppressAutoHyphens/>
        <w:spacing w:before="120" w:after="120"/>
        <w:ind w:left="432" w:hanging="432"/>
        <w:jc w:val="both"/>
        <w:rPr>
          <w:rFonts w:ascii="Arial" w:hAnsi="Arial"/>
          <w:b/>
          <w:noProof/>
          <w:sz w:val="20"/>
          <w:lang w:val="bg-BG" w:eastAsia="ar-SA"/>
        </w:rPr>
      </w:pPr>
      <w:r>
        <w:rPr>
          <w:rFonts w:ascii="Arial" w:hAnsi="Arial"/>
          <w:b/>
          <w:noProof/>
          <w:sz w:val="20"/>
          <w:lang w:val="bg-BG" w:eastAsia="ar-SA"/>
        </w:rPr>
        <w:t>2</w:t>
      </w:r>
      <w:r>
        <w:rPr>
          <w:rFonts w:ascii="Arial" w:hAnsi="Arial"/>
          <w:b/>
          <w:noProof/>
          <w:sz w:val="20"/>
          <w:lang w:val="bg-BG" w:eastAsia="ar-SA"/>
        </w:rPr>
        <w:tab/>
        <w:t>Важни счетоводни политики</w:t>
      </w:r>
    </w:p>
    <w:p>
      <w:pPr>
        <w:tabs>
          <w:tab w:val="center" w:pos="4320"/>
          <w:tab w:val="right" w:pos="8640"/>
        </w:tabs>
        <w:suppressAutoHyphens/>
        <w:jc w:val="both"/>
        <w:rPr>
          <w:rFonts w:ascii="Arial" w:hAnsi="Arial"/>
          <w:b/>
          <w:noProof/>
          <w:sz w:val="16"/>
          <w:szCs w:val="16"/>
          <w:lang w:val="bg-BG" w:eastAsia="ar-SA"/>
        </w:rPr>
      </w:pPr>
    </w:p>
    <w:p>
      <w:pPr>
        <w:numPr>
          <w:ilvl w:val="1"/>
          <w:numId w:val="30"/>
        </w:numPr>
        <w:tabs>
          <w:tab w:val="right" w:pos="-2700"/>
          <w:tab w:val="right" w:pos="720"/>
        </w:tabs>
        <w:suppressAutoHyphens/>
        <w:jc w:val="both"/>
        <w:rPr>
          <w:rFonts w:ascii="Arial" w:hAnsi="Arial"/>
          <w:b/>
          <w:noProof/>
          <w:sz w:val="16"/>
          <w:szCs w:val="16"/>
          <w:lang w:val="bg-BG" w:eastAsia="ar-SA"/>
        </w:rPr>
      </w:pPr>
      <w:r>
        <w:rPr>
          <w:rFonts w:ascii="Arial" w:hAnsi="Arial"/>
          <w:b/>
          <w:noProof/>
          <w:sz w:val="16"/>
          <w:szCs w:val="16"/>
          <w:lang w:val="bg-BG" w:eastAsia="ar-SA"/>
        </w:rPr>
        <w:t>Основа за подготовка — декларация за съответствие</w:t>
      </w:r>
    </w:p>
    <w:p>
      <w:pPr>
        <w:tabs>
          <w:tab w:val="right" w:pos="-2700"/>
          <w:tab w:val="right" w:pos="720"/>
        </w:tabs>
        <w:suppressAutoHyphens/>
        <w:spacing w:after="60"/>
        <w:jc w:val="both"/>
        <w:rPr>
          <w:rFonts w:ascii="Arial" w:hAnsi="Arial"/>
          <w:noProof/>
          <w:sz w:val="16"/>
          <w:szCs w:val="16"/>
          <w:lang w:val="bg-BG" w:eastAsia="ar-SA"/>
        </w:rPr>
      </w:pPr>
    </w:p>
    <w:p>
      <w:pPr>
        <w:spacing w:before="60"/>
        <w:jc w:val="both"/>
        <w:rPr>
          <w:rFonts w:ascii="Arial" w:hAnsi="Arial"/>
          <w:noProof/>
          <w:sz w:val="16"/>
          <w:szCs w:val="16"/>
          <w:lang w:val="bg-BG"/>
        </w:rPr>
      </w:pPr>
      <w:r>
        <w:rPr>
          <w:rFonts w:ascii="Arial" w:hAnsi="Arial"/>
          <w:noProof/>
          <w:sz w:val="16"/>
          <w:szCs w:val="16"/>
          <w:lang w:val="bg-BG"/>
        </w:rPr>
        <w:t xml:space="preserve">Финансовите отчети на механизма се изготвят в съответствие с международните стандарти за финансова отчетност (МСФО), приети от Европейския съюз. </w:t>
      </w:r>
    </w:p>
    <w:p>
      <w:pPr>
        <w:tabs>
          <w:tab w:val="right" w:pos="-2700"/>
          <w:tab w:val="right" w:pos="720"/>
        </w:tabs>
        <w:suppressAutoHyphens/>
        <w:spacing w:before="60" w:after="60"/>
        <w:ind w:left="360" w:hanging="360"/>
        <w:jc w:val="both"/>
        <w:rPr>
          <w:rFonts w:ascii="Arial" w:hAnsi="Arial"/>
          <w:noProof/>
          <w:sz w:val="16"/>
          <w:szCs w:val="16"/>
          <w:lang w:val="bg-BG" w:eastAsia="ar-SA"/>
        </w:rPr>
      </w:pPr>
    </w:p>
    <w:p>
      <w:pPr>
        <w:numPr>
          <w:ilvl w:val="1"/>
          <w:numId w:val="31"/>
        </w:numPr>
        <w:tabs>
          <w:tab w:val="right" w:pos="-2700"/>
          <w:tab w:val="right" w:pos="720"/>
        </w:tabs>
        <w:suppressAutoHyphens/>
        <w:jc w:val="both"/>
        <w:rPr>
          <w:rFonts w:ascii="Arial" w:hAnsi="Arial"/>
          <w:b/>
          <w:noProof/>
          <w:sz w:val="16"/>
          <w:szCs w:val="16"/>
          <w:lang w:val="bg-BG" w:eastAsia="ar-SA"/>
        </w:rPr>
      </w:pPr>
      <w:r>
        <w:rPr>
          <w:rFonts w:ascii="Arial" w:hAnsi="Arial"/>
          <w:b/>
          <w:noProof/>
          <w:sz w:val="16"/>
          <w:szCs w:val="16"/>
          <w:lang w:val="bg-BG" w:eastAsia="ar-SA"/>
        </w:rPr>
        <w:t>Важни счетоводни оценки и прогнози</w:t>
      </w:r>
    </w:p>
    <w:p>
      <w:pPr>
        <w:tabs>
          <w:tab w:val="right" w:pos="-2700"/>
          <w:tab w:val="right" w:pos="720"/>
        </w:tabs>
        <w:suppressAutoHyphens/>
        <w:spacing w:after="60"/>
        <w:jc w:val="both"/>
        <w:rPr>
          <w:rFonts w:ascii="Arial" w:hAnsi="Arial"/>
          <w:noProof/>
          <w:sz w:val="16"/>
          <w:szCs w:val="16"/>
          <w:lang w:val="bg-BG" w:eastAsia="ar-SA"/>
        </w:rPr>
      </w:pPr>
    </w:p>
    <w:p>
      <w:pPr>
        <w:spacing w:before="60" w:after="60"/>
        <w:jc w:val="both"/>
        <w:rPr>
          <w:rFonts w:ascii="Arial" w:hAnsi="Arial"/>
          <w:noProof/>
          <w:sz w:val="16"/>
          <w:szCs w:val="16"/>
          <w:lang w:val="bg-BG"/>
        </w:rPr>
      </w:pPr>
      <w:r>
        <w:rPr>
          <w:rFonts w:ascii="Arial" w:hAnsi="Arial"/>
          <w:noProof/>
          <w:sz w:val="16"/>
          <w:szCs w:val="16"/>
          <w:lang w:val="bg-BG"/>
        </w:rPr>
        <w:t>Изготвянето на финансовите отчети налага използването на счетоводни прогнози. Необходимо е също ръководството на Банката да даде своята оценка в процеса на прилагане на счетоводните политики на Инвестиционния механизъм. По-долу се посочват областите, при които има по-висока степен на прогнозиране и сложност, или областите, при които допусканията и приблизителните оценки са важни за финансовите отчети.</w:t>
      </w:r>
    </w:p>
    <w:p>
      <w:pPr>
        <w:rPr>
          <w:rFonts w:ascii="Arial" w:hAnsi="Arial"/>
          <w:noProof/>
          <w:sz w:val="16"/>
          <w:szCs w:val="16"/>
          <w:lang w:val="bg-BG"/>
        </w:rPr>
      </w:pPr>
    </w:p>
    <w:p>
      <w:pPr>
        <w:suppressAutoHyphens/>
        <w:spacing w:before="60" w:after="60"/>
        <w:jc w:val="both"/>
        <w:rPr>
          <w:rFonts w:ascii="Arial" w:hAnsi="Arial"/>
          <w:noProof/>
          <w:sz w:val="16"/>
          <w:szCs w:val="16"/>
          <w:lang w:val="bg-BG" w:eastAsia="ar-SA"/>
        </w:rPr>
      </w:pPr>
      <w:r>
        <w:rPr>
          <w:rFonts w:ascii="Arial" w:hAnsi="Arial" w:cs="Arial"/>
          <w:noProof/>
          <w:sz w:val="16"/>
          <w:szCs w:val="16"/>
          <w:lang w:val="bg-BG" w:eastAsia="ar-SA"/>
        </w:rPr>
        <w:t>Прогнози и приблизителни оценки се използват най-много в следните случаи:</w:t>
      </w:r>
    </w:p>
    <w:p>
      <w:pPr>
        <w:rPr>
          <w:noProof/>
          <w:sz w:val="16"/>
          <w:lang w:val="bg-BG"/>
        </w:rPr>
      </w:pPr>
      <w:r>
        <w:rPr>
          <w:noProof/>
          <w:lang w:val="bg-BG"/>
        </w:rPr>
        <w:br w:type="page"/>
      </w:r>
    </w:p>
    <w:p>
      <w:pPr>
        <w:numPr>
          <w:ilvl w:val="0"/>
          <w:numId w:val="32"/>
        </w:numPr>
        <w:spacing w:before="60" w:after="60"/>
        <w:jc w:val="both"/>
        <w:rPr>
          <w:b/>
          <w:noProof/>
          <w:sz w:val="16"/>
          <w:szCs w:val="16"/>
          <w:lang w:val="bg-BG"/>
        </w:rPr>
      </w:pPr>
      <w:r>
        <w:rPr>
          <w:rFonts w:ascii="Arial" w:hAnsi="Arial"/>
          <w:b/>
          <w:noProof/>
          <w:sz w:val="16"/>
          <w:szCs w:val="16"/>
          <w:lang w:val="bg-BG"/>
        </w:rPr>
        <w:t>Измерване на справедливата стойност на финансовите инструменти</w:t>
      </w:r>
    </w:p>
    <w:p>
      <w:pPr>
        <w:widowControl w:val="0"/>
        <w:autoSpaceDE w:val="0"/>
        <w:spacing w:before="60" w:after="60"/>
        <w:jc w:val="both"/>
        <w:rPr>
          <w:rFonts w:ascii="Arial" w:hAnsi="Arial"/>
          <w:noProof/>
          <w:sz w:val="16"/>
          <w:szCs w:val="16"/>
          <w:lang w:val="bg-BG"/>
        </w:rPr>
      </w:pPr>
    </w:p>
    <w:p>
      <w:pPr>
        <w:widowControl w:val="0"/>
        <w:autoSpaceDE w:val="0"/>
        <w:spacing w:before="60" w:after="60"/>
        <w:jc w:val="both"/>
        <w:rPr>
          <w:rFonts w:ascii="Arial" w:hAnsi="Arial"/>
          <w:noProof/>
          <w:sz w:val="16"/>
          <w:szCs w:val="16"/>
          <w:lang w:val="bg-BG"/>
        </w:rPr>
      </w:pPr>
      <w:r>
        <w:rPr>
          <w:rFonts w:ascii="Arial" w:hAnsi="Arial"/>
          <w:noProof/>
          <w:sz w:val="16"/>
          <w:szCs w:val="16"/>
          <w:lang w:val="bg-BG"/>
        </w:rPr>
        <w:t>Справедливата стойност на финансовите активи (ФА) и финансовите пасиви (ФП), които се търгуват на действащите пазари, се основава на обявените пазарни цени или на брокерските ценови котировки. Когато справедливата стойност не може да бъде установена от действащите пазари, тя се определя с помощта на редица техники за оценка, в това число чрез използване на математически модели. При възможност данните за тези модели се вземат от наблюдаваните пазари, но ако това не е осъществимо, се налага определена степен на преценяване при установяване на справедливите стойности. Оценките се категоризират в различни нива в йерархията на справедливите стойности въз основа на данните, използвани при методите за остойностяване, описани в бележки 2.4.2 и 4.</w:t>
      </w:r>
    </w:p>
    <w:p>
      <w:pPr>
        <w:widowControl w:val="0"/>
        <w:autoSpaceDE w:val="0"/>
        <w:spacing w:before="60" w:after="60"/>
        <w:jc w:val="both"/>
        <w:rPr>
          <w:rFonts w:ascii="Arial" w:hAnsi="Arial"/>
          <w:noProof/>
          <w:sz w:val="16"/>
          <w:szCs w:val="16"/>
          <w:lang w:val="bg-BG"/>
        </w:rPr>
      </w:pPr>
    </w:p>
    <w:p>
      <w:pPr>
        <w:numPr>
          <w:ilvl w:val="0"/>
          <w:numId w:val="32"/>
        </w:numPr>
        <w:spacing w:before="60" w:after="60"/>
        <w:jc w:val="both"/>
        <w:rPr>
          <w:rFonts w:ascii="Arial" w:hAnsi="Arial"/>
          <w:b/>
          <w:noProof/>
          <w:sz w:val="16"/>
          <w:szCs w:val="16"/>
          <w:lang w:val="bg-BG"/>
        </w:rPr>
      </w:pPr>
      <w:r>
        <w:rPr>
          <w:rFonts w:ascii="Arial" w:hAnsi="Arial"/>
          <w:b/>
          <w:noProof/>
          <w:sz w:val="16"/>
          <w:szCs w:val="16"/>
          <w:lang w:val="bg-BG"/>
        </w:rPr>
        <w:t>Загуби от обезценка на заеми и аванси</w:t>
      </w:r>
    </w:p>
    <w:p>
      <w:pPr>
        <w:spacing w:before="60" w:after="60"/>
        <w:ind w:left="431"/>
        <w:jc w:val="both"/>
        <w:rPr>
          <w:rFonts w:ascii="Arial" w:hAnsi="Arial"/>
          <w:b/>
          <w:noProof/>
          <w:sz w:val="16"/>
          <w:szCs w:val="16"/>
          <w:lang w:val="bg-BG"/>
        </w:rPr>
      </w:pPr>
    </w:p>
    <w:p>
      <w:pPr>
        <w:widowControl w:val="0"/>
        <w:suppressAutoHyphens/>
        <w:autoSpaceDE w:val="0"/>
        <w:spacing w:before="60" w:after="60"/>
        <w:jc w:val="both"/>
        <w:rPr>
          <w:rFonts w:ascii="Arial" w:hAnsi="Arial"/>
          <w:noProof/>
          <w:sz w:val="16"/>
          <w:szCs w:val="16"/>
          <w:lang w:val="bg-BG" w:eastAsia="ar-SA"/>
        </w:rPr>
      </w:pPr>
      <w:r>
        <w:rPr>
          <w:rFonts w:ascii="Arial" w:hAnsi="Arial"/>
          <w:noProof/>
          <w:sz w:val="16"/>
          <w:szCs w:val="16"/>
          <w:lang w:val="bg-BG" w:eastAsia="ar-SA"/>
        </w:rPr>
        <w:t>Измерването на очакваните кредитни загуби („ОКЗ“) изисква от ръководството да прави доста преценки, по-специално оценка на значителното увеличение на кредитния риск след първоначалното вписване, включване на информация за бъдещето, а след това и прогноза за размера и графика на бъдещите парични потоци и стойността на обезпеченията при определяне на загубите от обезценка. Тези оценки зависят от редица фактори, промените в които могат да доведат до значителни промени в сроковете и коректива за загуби, който да бъде признат (бележка 2.4.2).</w:t>
      </w:r>
    </w:p>
    <w:p>
      <w:pPr>
        <w:rPr>
          <w:rFonts w:ascii="Arial" w:hAnsi="Arial"/>
          <w:b/>
          <w:noProof/>
          <w:sz w:val="16"/>
          <w:szCs w:val="16"/>
          <w:lang w:val="bg-BG"/>
        </w:rPr>
      </w:pPr>
    </w:p>
    <w:p>
      <w:pPr>
        <w:numPr>
          <w:ilvl w:val="0"/>
          <w:numId w:val="32"/>
        </w:numPr>
        <w:spacing w:before="60" w:after="60"/>
        <w:jc w:val="both"/>
        <w:rPr>
          <w:rFonts w:ascii="Arial" w:hAnsi="Arial"/>
          <w:b/>
          <w:noProof/>
          <w:sz w:val="16"/>
          <w:szCs w:val="16"/>
          <w:lang w:val="bg-BG"/>
        </w:rPr>
      </w:pPr>
      <w:r>
        <w:rPr>
          <w:rFonts w:ascii="Arial" w:hAnsi="Arial"/>
          <w:b/>
          <w:noProof/>
          <w:sz w:val="16"/>
          <w:szCs w:val="16"/>
          <w:lang w:val="bg-BG"/>
        </w:rPr>
        <w:t>Оценка на некотирани капиталови инвестиции</w:t>
      </w:r>
    </w:p>
    <w:p>
      <w:pPr>
        <w:widowControl w:val="0"/>
        <w:autoSpaceDE w:val="0"/>
        <w:spacing w:before="60" w:after="60"/>
        <w:jc w:val="both"/>
        <w:rPr>
          <w:rFonts w:ascii="Arial" w:hAnsi="Arial"/>
          <w:noProof/>
          <w:sz w:val="16"/>
          <w:szCs w:val="16"/>
          <w:lang w:val="bg-BG"/>
        </w:rPr>
      </w:pPr>
    </w:p>
    <w:p>
      <w:pPr>
        <w:widowControl w:val="0"/>
        <w:autoSpaceDE w:val="0"/>
        <w:spacing w:before="60" w:after="60"/>
        <w:jc w:val="both"/>
        <w:rPr>
          <w:rFonts w:ascii="Arial" w:hAnsi="Arial"/>
          <w:noProof/>
          <w:sz w:val="16"/>
          <w:szCs w:val="16"/>
          <w:lang w:val="bg-BG"/>
        </w:rPr>
      </w:pPr>
      <w:r>
        <w:rPr>
          <w:rFonts w:ascii="Arial" w:hAnsi="Arial"/>
          <w:noProof/>
          <w:sz w:val="16"/>
          <w:szCs w:val="16"/>
          <w:lang w:val="bg-BG"/>
        </w:rPr>
        <w:t xml:space="preserve">Оценката на некотираните капиталови инвестиции обикновено се основава на следното: </w:t>
      </w:r>
    </w:p>
    <w:p>
      <w:pPr>
        <w:widowControl w:val="0"/>
        <w:autoSpaceDE w:val="0"/>
        <w:spacing w:before="60" w:after="60"/>
        <w:jc w:val="both"/>
        <w:rPr>
          <w:rFonts w:ascii="Arial" w:hAnsi="Arial"/>
          <w:noProof/>
          <w:sz w:val="16"/>
          <w:szCs w:val="16"/>
          <w:lang w:val="bg-BG"/>
        </w:rPr>
      </w:pPr>
    </w:p>
    <w:p>
      <w:pPr>
        <w:widowControl w:val="0"/>
        <w:numPr>
          <w:ilvl w:val="0"/>
          <w:numId w:val="33"/>
        </w:numPr>
        <w:autoSpaceDE w:val="0"/>
        <w:spacing w:before="60" w:after="60"/>
        <w:jc w:val="both"/>
        <w:rPr>
          <w:rFonts w:ascii="Arial" w:hAnsi="Arial"/>
          <w:noProof/>
          <w:sz w:val="16"/>
          <w:szCs w:val="16"/>
          <w:lang w:val="bg-BG"/>
        </w:rPr>
      </w:pPr>
      <w:r>
        <w:rPr>
          <w:rFonts w:ascii="Arial" w:hAnsi="Arial"/>
          <w:noProof/>
          <w:sz w:val="16"/>
          <w:szCs w:val="16"/>
          <w:lang w:val="bg-BG"/>
        </w:rPr>
        <w:t xml:space="preserve">скорошни пазарни операции при справедливи условия между независими страни, </w:t>
      </w:r>
    </w:p>
    <w:p>
      <w:pPr>
        <w:widowControl w:val="0"/>
        <w:numPr>
          <w:ilvl w:val="0"/>
          <w:numId w:val="33"/>
        </w:numPr>
        <w:autoSpaceDE w:val="0"/>
        <w:spacing w:before="60" w:after="60"/>
        <w:jc w:val="both"/>
        <w:rPr>
          <w:rFonts w:ascii="Arial" w:hAnsi="Arial"/>
          <w:noProof/>
          <w:sz w:val="16"/>
          <w:szCs w:val="16"/>
          <w:lang w:val="bg-BG"/>
        </w:rPr>
      </w:pPr>
      <w:r>
        <w:rPr>
          <w:rFonts w:ascii="Arial" w:hAnsi="Arial"/>
          <w:noProof/>
          <w:sz w:val="16"/>
          <w:szCs w:val="16"/>
          <w:lang w:val="bg-BG"/>
        </w:rPr>
        <w:t xml:space="preserve">текуща справедлива стойност на друг инструмент, който в основата си е същият, </w:t>
      </w:r>
    </w:p>
    <w:p>
      <w:pPr>
        <w:widowControl w:val="0"/>
        <w:numPr>
          <w:ilvl w:val="0"/>
          <w:numId w:val="33"/>
        </w:numPr>
        <w:autoSpaceDE w:val="0"/>
        <w:spacing w:before="60" w:after="60"/>
        <w:jc w:val="both"/>
        <w:rPr>
          <w:rFonts w:ascii="Arial" w:hAnsi="Arial"/>
          <w:noProof/>
          <w:sz w:val="16"/>
          <w:szCs w:val="16"/>
          <w:lang w:val="bg-BG"/>
        </w:rPr>
      </w:pPr>
      <w:r>
        <w:rPr>
          <w:rFonts w:ascii="Arial" w:hAnsi="Arial"/>
          <w:noProof/>
          <w:sz w:val="16"/>
          <w:szCs w:val="16"/>
          <w:lang w:val="bg-BG"/>
        </w:rPr>
        <w:t xml:space="preserve">очаквани парични потоци, сконтирани при текущи ставки, приложими за инструменти със същите условия и рискове, </w:t>
      </w:r>
    </w:p>
    <w:p>
      <w:pPr>
        <w:widowControl w:val="0"/>
        <w:numPr>
          <w:ilvl w:val="0"/>
          <w:numId w:val="33"/>
        </w:numPr>
        <w:autoSpaceDE w:val="0"/>
        <w:spacing w:before="60" w:after="60"/>
        <w:jc w:val="both"/>
        <w:rPr>
          <w:rFonts w:ascii="Arial" w:hAnsi="Arial"/>
          <w:noProof/>
          <w:sz w:val="16"/>
          <w:szCs w:val="16"/>
          <w:lang w:val="bg-BG"/>
        </w:rPr>
      </w:pPr>
      <w:r>
        <w:rPr>
          <w:rFonts w:ascii="Arial" w:hAnsi="Arial"/>
          <w:noProof/>
          <w:sz w:val="16"/>
          <w:szCs w:val="16"/>
          <w:lang w:val="bg-BG"/>
        </w:rPr>
        <w:t xml:space="preserve">метод на коригираните нетни активи, или </w:t>
      </w:r>
    </w:p>
    <w:p>
      <w:pPr>
        <w:widowControl w:val="0"/>
        <w:numPr>
          <w:ilvl w:val="0"/>
          <w:numId w:val="33"/>
        </w:numPr>
        <w:autoSpaceDE w:val="0"/>
        <w:spacing w:before="60" w:after="60"/>
        <w:jc w:val="both"/>
        <w:rPr>
          <w:rFonts w:ascii="Arial" w:hAnsi="Arial"/>
          <w:noProof/>
          <w:sz w:val="16"/>
          <w:szCs w:val="16"/>
          <w:lang w:val="bg-BG"/>
        </w:rPr>
      </w:pPr>
      <w:r>
        <w:rPr>
          <w:rFonts w:ascii="Arial" w:hAnsi="Arial"/>
          <w:noProof/>
          <w:sz w:val="16"/>
          <w:szCs w:val="16"/>
          <w:lang w:val="bg-BG"/>
        </w:rPr>
        <w:t>други модели за оценка.</w:t>
      </w:r>
    </w:p>
    <w:p>
      <w:pPr>
        <w:widowControl w:val="0"/>
        <w:autoSpaceDE w:val="0"/>
        <w:spacing w:before="60" w:after="60"/>
        <w:jc w:val="both"/>
        <w:rPr>
          <w:rFonts w:ascii="Arial" w:hAnsi="Arial"/>
          <w:noProof/>
          <w:sz w:val="16"/>
          <w:szCs w:val="16"/>
          <w:lang w:val="bg-BG"/>
        </w:rPr>
      </w:pPr>
    </w:p>
    <w:p>
      <w:pPr>
        <w:widowControl w:val="0"/>
        <w:autoSpaceDE w:val="0"/>
        <w:spacing w:before="60" w:after="60"/>
        <w:jc w:val="both"/>
        <w:rPr>
          <w:rFonts w:ascii="Arial" w:hAnsi="Arial"/>
          <w:noProof/>
          <w:sz w:val="16"/>
          <w:szCs w:val="16"/>
          <w:lang w:val="bg-BG"/>
        </w:rPr>
      </w:pPr>
      <w:r>
        <w:rPr>
          <w:rFonts w:ascii="Arial" w:hAnsi="Arial"/>
          <w:noProof/>
          <w:sz w:val="16"/>
          <w:szCs w:val="16"/>
          <w:lang w:val="bg-BG"/>
        </w:rPr>
        <w:t>Определянето на паричните потоци и дисконтовите фактори за некотираните капиталови инвестиции налага значително използване на приблизителни оценки. Механизмът редовно коригира техниките за оценка и ги изпитва за валидност с цени от наблюдавани текущи пазарни операции на същия инструмент или с други съществуващи наблюдавани пазарни данни.</w:t>
      </w:r>
    </w:p>
    <w:p>
      <w:pPr>
        <w:widowControl w:val="0"/>
        <w:autoSpaceDE w:val="0"/>
        <w:spacing w:before="60" w:after="60"/>
        <w:jc w:val="both"/>
        <w:rPr>
          <w:rFonts w:ascii="Arial" w:hAnsi="Arial"/>
          <w:noProof/>
          <w:sz w:val="16"/>
          <w:szCs w:val="16"/>
          <w:lang w:val="bg-BG"/>
        </w:rPr>
      </w:pPr>
    </w:p>
    <w:p>
      <w:pPr>
        <w:numPr>
          <w:ilvl w:val="0"/>
          <w:numId w:val="32"/>
        </w:numPr>
        <w:spacing w:before="60" w:after="60"/>
        <w:jc w:val="both"/>
        <w:rPr>
          <w:rFonts w:ascii="Arial" w:hAnsi="Arial"/>
          <w:b/>
          <w:noProof/>
          <w:sz w:val="16"/>
          <w:szCs w:val="16"/>
          <w:lang w:val="bg-BG"/>
        </w:rPr>
      </w:pPr>
      <w:r>
        <w:rPr>
          <w:rFonts w:ascii="Arial" w:hAnsi="Arial"/>
          <w:b/>
          <w:noProof/>
          <w:sz w:val="16"/>
          <w:szCs w:val="16"/>
          <w:lang w:val="bg-BG"/>
        </w:rPr>
        <w:t xml:space="preserve">Консолидиране на субекти, в които механизмът има участия </w:t>
      </w:r>
    </w:p>
    <w:p>
      <w:pPr>
        <w:widowControl w:val="0"/>
        <w:autoSpaceDE w:val="0"/>
        <w:spacing w:before="60" w:after="60"/>
        <w:jc w:val="both"/>
        <w:rPr>
          <w:rFonts w:ascii="Arial" w:hAnsi="Arial"/>
          <w:noProof/>
          <w:sz w:val="16"/>
          <w:szCs w:val="16"/>
          <w:lang w:val="bg-BG"/>
        </w:rPr>
      </w:pPr>
    </w:p>
    <w:p>
      <w:pPr>
        <w:widowControl w:val="0"/>
        <w:autoSpaceDE w:val="0"/>
        <w:spacing w:before="60" w:after="60"/>
        <w:jc w:val="both"/>
        <w:rPr>
          <w:rFonts w:ascii="Arial" w:hAnsi="Arial"/>
          <w:noProof/>
          <w:sz w:val="16"/>
          <w:szCs w:val="16"/>
          <w:lang w:val="bg-BG"/>
        </w:rPr>
      </w:pPr>
      <w:r>
        <w:rPr>
          <w:rFonts w:ascii="Arial" w:hAnsi="Arial"/>
          <w:noProof/>
          <w:sz w:val="16"/>
          <w:szCs w:val="16"/>
          <w:lang w:val="bg-BG"/>
        </w:rPr>
        <w:t>Механизмът направи важни заключения, според които никой от субектите, в които има участия, не е контролирано от механизма. Това се дължи на факта, че във всички тези субекти главният партньор, управителят на фонда или управителният съвет носят цялата отговорност за управлението и контрола на дейностите и операциите на партньорството и са компетентни и оправомощени да направят всичко необходимо, за да изпълнят предназначението и целите на партньорството в съответствие с инвестиционните насоки и насоките на политиката.</w:t>
      </w:r>
    </w:p>
    <w:p>
      <w:pPr>
        <w:widowControl w:val="0"/>
        <w:autoSpaceDE w:val="0"/>
        <w:spacing w:before="60" w:after="60"/>
        <w:jc w:val="both"/>
        <w:rPr>
          <w:rFonts w:ascii="Arial" w:hAnsi="Arial"/>
          <w:noProof/>
          <w:sz w:val="16"/>
          <w:szCs w:val="16"/>
          <w:lang w:val="bg-BG"/>
        </w:rPr>
      </w:pPr>
    </w:p>
    <w:p>
      <w:pPr>
        <w:numPr>
          <w:ilvl w:val="1"/>
          <w:numId w:val="34"/>
        </w:numPr>
        <w:tabs>
          <w:tab w:val="right" w:pos="-2700"/>
          <w:tab w:val="right" w:pos="720"/>
        </w:tabs>
        <w:suppressAutoHyphens/>
        <w:jc w:val="both"/>
        <w:rPr>
          <w:rFonts w:ascii="Arial" w:hAnsi="Arial"/>
          <w:b/>
          <w:noProof/>
          <w:sz w:val="16"/>
          <w:szCs w:val="16"/>
          <w:lang w:val="bg-BG" w:eastAsia="ar-SA"/>
        </w:rPr>
      </w:pPr>
      <w:r>
        <w:rPr>
          <w:rFonts w:ascii="Arial" w:hAnsi="Arial"/>
          <w:b/>
          <w:noProof/>
          <w:sz w:val="16"/>
          <w:szCs w:val="16"/>
          <w:lang w:val="bg-BG" w:eastAsia="ar-SA"/>
        </w:rPr>
        <w:t>Промени в счетоводните политики</w:t>
      </w:r>
    </w:p>
    <w:p>
      <w:pPr>
        <w:tabs>
          <w:tab w:val="right" w:pos="-2700"/>
          <w:tab w:val="right" w:pos="720"/>
        </w:tabs>
        <w:suppressAutoHyphens/>
        <w:spacing w:after="60"/>
        <w:jc w:val="both"/>
        <w:rPr>
          <w:rFonts w:ascii="Arial" w:hAnsi="Arial"/>
          <w:noProof/>
          <w:sz w:val="16"/>
          <w:szCs w:val="16"/>
          <w:lang w:val="bg-BG" w:eastAsia="ar-SA"/>
        </w:rPr>
      </w:pPr>
    </w:p>
    <w:p>
      <w:pPr>
        <w:tabs>
          <w:tab w:val="right" w:pos="-2700"/>
          <w:tab w:val="right" w:pos="720"/>
        </w:tabs>
        <w:suppressAutoHyphens/>
        <w:spacing w:before="60" w:after="60"/>
        <w:jc w:val="both"/>
        <w:rPr>
          <w:rFonts w:ascii="Arial" w:hAnsi="Arial" w:cs="Arial"/>
          <w:noProof/>
          <w:sz w:val="16"/>
          <w:szCs w:val="16"/>
          <w:lang w:val="bg-BG" w:eastAsia="ar-SA"/>
        </w:rPr>
      </w:pPr>
      <w:r>
        <w:rPr>
          <w:rFonts w:ascii="Arial" w:hAnsi="Arial"/>
          <w:noProof/>
          <w:sz w:val="16"/>
          <w:szCs w:val="16"/>
          <w:lang w:val="bg-BG" w:eastAsia="ar-SA"/>
        </w:rPr>
        <w:t>С изключение на измененията по-долу, механизмът последователно е прилагал счетоводните политики, посочени в бележка 2.4, към всички периоди, представени в настоящите финансови отчети. Механизмът прие следните нови стандарти и изменения на стандартите.</w:t>
      </w:r>
    </w:p>
    <w:p>
      <w:pPr>
        <w:tabs>
          <w:tab w:val="right" w:pos="-2700"/>
          <w:tab w:val="right" w:pos="720"/>
        </w:tabs>
        <w:suppressAutoHyphens/>
        <w:spacing w:before="60" w:after="60"/>
        <w:jc w:val="both"/>
        <w:rPr>
          <w:rFonts w:ascii="Arial" w:hAnsi="Arial" w:cs="Arial"/>
          <w:noProof/>
          <w:sz w:val="16"/>
          <w:szCs w:val="16"/>
          <w:lang w:val="bg-BG" w:eastAsia="ar-SA"/>
        </w:rPr>
      </w:pPr>
    </w:p>
    <w:p>
      <w:pPr>
        <w:tabs>
          <w:tab w:val="right" w:pos="-2700"/>
          <w:tab w:val="right" w:pos="720"/>
        </w:tabs>
        <w:suppressAutoHyphens/>
        <w:spacing w:before="60" w:after="60"/>
        <w:jc w:val="both"/>
        <w:rPr>
          <w:rFonts w:ascii="Arial" w:hAnsi="Arial" w:cs="Arial"/>
          <w:b/>
          <w:noProof/>
          <w:sz w:val="16"/>
          <w:szCs w:val="16"/>
          <w:lang w:val="bg-BG" w:eastAsia="ar-SA"/>
        </w:rPr>
      </w:pPr>
      <w:r>
        <w:rPr>
          <w:rFonts w:ascii="Arial" w:hAnsi="Arial"/>
          <w:b/>
          <w:noProof/>
          <w:sz w:val="16"/>
          <w:szCs w:val="16"/>
          <w:lang w:val="bg-BG" w:eastAsia="ar-SA"/>
        </w:rPr>
        <w:t>Приети стандарти</w:t>
      </w:r>
    </w:p>
    <w:p>
      <w:pPr>
        <w:tabs>
          <w:tab w:val="right" w:pos="-2700"/>
          <w:tab w:val="right" w:pos="720"/>
        </w:tabs>
        <w:suppressAutoHyphens/>
        <w:spacing w:before="60" w:after="60"/>
        <w:jc w:val="both"/>
        <w:rPr>
          <w:rFonts w:ascii="Arial" w:hAnsi="Arial" w:cs="Arial"/>
          <w:b/>
          <w:noProof/>
          <w:sz w:val="16"/>
          <w:szCs w:val="16"/>
          <w:lang w:val="bg-BG" w:eastAsia="ar-SA"/>
        </w:rPr>
      </w:pPr>
    </w:p>
    <w:p>
      <w:pPr>
        <w:widowControl w:val="0"/>
        <w:suppressAutoHyphens/>
        <w:autoSpaceDE w:val="0"/>
        <w:spacing w:before="60" w:after="60"/>
        <w:jc w:val="both"/>
        <w:rPr>
          <w:rFonts w:ascii="Arial" w:hAnsi="Arial" w:cs="Arial"/>
          <w:noProof/>
          <w:sz w:val="16"/>
          <w:szCs w:val="16"/>
          <w:lang w:val="bg-BG" w:eastAsia="ar-SA"/>
        </w:rPr>
      </w:pPr>
      <w:r>
        <w:rPr>
          <w:rFonts w:ascii="Arial" w:hAnsi="Arial"/>
          <w:noProof/>
          <w:sz w:val="16"/>
          <w:szCs w:val="16"/>
          <w:lang w:val="bg-BG" w:eastAsia="ar-SA"/>
        </w:rPr>
        <w:t>Считано от 1 януари 2019 г., за финансовите отчети на механизма влязоха в сила следните тълкувания, както и измененията на съществуващи стандарти и тяхното преразглеждане:</w:t>
      </w:r>
    </w:p>
    <w:p>
      <w:pPr>
        <w:tabs>
          <w:tab w:val="right" w:pos="-2700"/>
          <w:tab w:val="right" w:pos="720"/>
        </w:tabs>
        <w:suppressAutoHyphens/>
        <w:spacing w:before="60" w:after="60"/>
        <w:jc w:val="both"/>
        <w:rPr>
          <w:rFonts w:ascii="Arial" w:hAnsi="Arial" w:cs="Arial"/>
          <w:b/>
          <w:noProof/>
          <w:sz w:val="16"/>
          <w:szCs w:val="16"/>
          <w:lang w:val="bg-BG" w:eastAsia="ar-SA"/>
        </w:rPr>
      </w:pPr>
    </w:p>
    <w:p>
      <w:pPr>
        <w:keepNext/>
        <w:autoSpaceDE w:val="0"/>
        <w:autoSpaceDN w:val="0"/>
        <w:spacing w:line="190" w:lineRule="atLeast"/>
        <w:jc w:val="both"/>
        <w:rPr>
          <w:rFonts w:ascii="Arial" w:hAnsi="Arial" w:cs="Arial"/>
          <w:i/>
          <w:noProof/>
          <w:sz w:val="16"/>
          <w:szCs w:val="16"/>
          <w:lang w:val="bg-BG"/>
        </w:rPr>
      </w:pPr>
      <w:r>
        <w:rPr>
          <w:rFonts w:ascii="Arial" w:hAnsi="Arial"/>
          <w:i/>
          <w:noProof/>
          <w:sz w:val="16"/>
          <w:szCs w:val="16"/>
          <w:lang w:val="bg-BG"/>
        </w:rPr>
        <w:t>МСФО 16 Лизинг</w:t>
      </w:r>
    </w:p>
    <w:p>
      <w:pPr>
        <w:keepNext/>
        <w:autoSpaceDE w:val="0"/>
        <w:autoSpaceDN w:val="0"/>
        <w:spacing w:line="190" w:lineRule="atLeast"/>
        <w:jc w:val="both"/>
        <w:rPr>
          <w:rFonts w:ascii="Arial" w:hAnsi="Arial" w:cs="Arial"/>
          <w:i/>
          <w:noProof/>
          <w:sz w:val="16"/>
          <w:szCs w:val="16"/>
          <w:lang w:val="bg-BG"/>
        </w:rPr>
      </w:pPr>
    </w:p>
    <w:p>
      <w:pPr>
        <w:spacing w:before="60" w:after="60"/>
        <w:jc w:val="both"/>
        <w:rPr>
          <w:rFonts w:ascii="Arial" w:hAnsi="Arial" w:cs="Arial"/>
          <w:noProof/>
          <w:sz w:val="16"/>
          <w:szCs w:val="16"/>
          <w:bdr w:val="none" w:sz="0" w:space="0" w:color="auto" w:frame="1"/>
          <w:lang w:val="bg-BG"/>
        </w:rPr>
      </w:pPr>
      <w:r>
        <w:rPr>
          <w:rFonts w:ascii="Arial" w:hAnsi="Arial"/>
          <w:noProof/>
          <w:sz w:val="16"/>
          <w:szCs w:val="16"/>
          <w:bdr w:val="none" w:sz="0" w:space="0" w:color="auto" w:frame="1"/>
          <w:lang w:val="bg-BG"/>
        </w:rPr>
        <w:t xml:space="preserve">МСФО 16 влезе в сила за годишните отчетни периоди, започващи на 1 януари 2019 г. или след тази дата, и заменя съществуващите насоки на МСС 17. В резултат на него почти всички лизинги се отбелязват в счетоводния баланс, тъй като се премахва разграничението между оперативен и финансов лизинг. Съгласно новия стандарт се признават актив (правото да се използва наета вещ) и финансов пасив за заплащане на наеми. Единствените изключения са краткосрочните лизинги и тези с ниска стойност. Счетоводството на лизингодателите не се промени съществено. </w:t>
      </w:r>
    </w:p>
    <w:p>
      <w:pPr>
        <w:spacing w:before="60" w:after="60"/>
        <w:jc w:val="both"/>
        <w:rPr>
          <w:rFonts w:ascii="Arial" w:hAnsi="Arial" w:cs="Arial"/>
          <w:noProof/>
          <w:sz w:val="16"/>
          <w:szCs w:val="16"/>
          <w:bdr w:val="none" w:sz="0" w:space="0" w:color="auto" w:frame="1"/>
          <w:lang w:val="bg-BG"/>
        </w:rPr>
      </w:pPr>
    </w:p>
    <w:p>
      <w:pPr>
        <w:spacing w:before="60" w:after="60"/>
        <w:jc w:val="both"/>
        <w:rPr>
          <w:rFonts w:ascii="Arial" w:hAnsi="Arial" w:cs="Arial"/>
          <w:noProof/>
          <w:sz w:val="16"/>
          <w:szCs w:val="16"/>
          <w:bdr w:val="none" w:sz="0" w:space="0" w:color="auto" w:frame="1"/>
          <w:lang w:val="bg-BG"/>
        </w:rPr>
      </w:pPr>
      <w:r>
        <w:rPr>
          <w:rFonts w:ascii="Arial" w:hAnsi="Arial"/>
          <w:noProof/>
          <w:sz w:val="16"/>
          <w:szCs w:val="16"/>
          <w:bdr w:val="none" w:sz="0" w:space="0" w:color="auto" w:frame="1"/>
          <w:lang w:val="bg-BG"/>
        </w:rPr>
        <w:t>Промяната нямаше съществено отражение върху финансовите отчети на механизма.</w:t>
      </w:r>
    </w:p>
    <w:p>
      <w:pPr>
        <w:rPr>
          <w:rFonts w:ascii="Arial" w:hAnsi="Arial" w:cs="Arial"/>
          <w:noProof/>
          <w:sz w:val="16"/>
          <w:szCs w:val="16"/>
          <w:highlight w:val="yellow"/>
          <w:lang w:val="bg-BG"/>
        </w:rPr>
      </w:pPr>
      <w:r>
        <w:rPr>
          <w:noProof/>
          <w:lang w:val="bg-BG"/>
        </w:rPr>
        <w:br w:type="page"/>
      </w:r>
    </w:p>
    <w:p>
      <w:pPr>
        <w:widowControl w:val="0"/>
        <w:suppressAutoHyphens/>
        <w:autoSpaceDE w:val="0"/>
        <w:spacing w:before="60"/>
        <w:jc w:val="both"/>
        <w:rPr>
          <w:rFonts w:ascii="Arial" w:hAnsi="Arial" w:cs="Arial"/>
          <w:i/>
          <w:noProof/>
          <w:sz w:val="16"/>
          <w:szCs w:val="16"/>
          <w:lang w:val="bg-BG" w:eastAsia="ar-SA"/>
        </w:rPr>
      </w:pPr>
      <w:r>
        <w:rPr>
          <w:rFonts w:ascii="Arial" w:hAnsi="Arial"/>
          <w:i/>
          <w:noProof/>
          <w:sz w:val="16"/>
          <w:szCs w:val="16"/>
          <w:lang w:val="bg-BG" w:eastAsia="ar-SA"/>
        </w:rPr>
        <w:t>Характеристики за предсрочно погасяване с отрицателна компенсация — изменения на МСФО 9</w:t>
      </w:r>
    </w:p>
    <w:p>
      <w:pPr>
        <w:widowControl w:val="0"/>
        <w:suppressAutoHyphens/>
        <w:autoSpaceDE w:val="0"/>
        <w:spacing w:after="60"/>
        <w:jc w:val="both"/>
        <w:rPr>
          <w:rFonts w:ascii="Arial" w:hAnsi="Arial"/>
          <w:i/>
          <w:noProof/>
          <w:sz w:val="16"/>
          <w:lang w:val="bg-BG" w:eastAsia="ar-SA"/>
        </w:rPr>
      </w:pPr>
    </w:p>
    <w:p>
      <w:pPr>
        <w:widowControl w:val="0"/>
        <w:suppressAutoHyphens/>
        <w:autoSpaceDE w:val="0"/>
        <w:spacing w:before="60" w:after="60"/>
        <w:jc w:val="both"/>
        <w:rPr>
          <w:rFonts w:ascii="Arial" w:hAnsi="Arial" w:cs="Arial"/>
          <w:noProof/>
          <w:sz w:val="16"/>
          <w:szCs w:val="16"/>
          <w:lang w:val="bg-BG" w:eastAsia="ar-SA"/>
        </w:rPr>
      </w:pPr>
      <w:r>
        <w:rPr>
          <w:rFonts w:ascii="Arial" w:hAnsi="Arial"/>
          <w:noProof/>
          <w:sz w:val="16"/>
          <w:szCs w:val="16"/>
          <w:lang w:val="bg-BG" w:eastAsia="ar-SA"/>
        </w:rPr>
        <w:t>В измененията се пояснява, че даден финансов актив е в съответствие с критерия за плащания единствено по главница и лихва („критерий SPPI“), независимо от събитието или от обстоятелствата, които са причина за предсрочното прекратяване на договора, и независимо коя страна заплаща или получава разумно обезщетение за предсрочното прекратяване на договора. В основата на заключенията в измененията се пояснява, че предсрочното прекратяване може да бъде резултат от договорно условие или от събитие извън контрола на страните по договора, като например промяна на законова или подзаконова разпоредба, водеща до предсрочно прекратяване на договора.</w:t>
      </w:r>
    </w:p>
    <w:p>
      <w:pPr>
        <w:widowControl w:val="0"/>
        <w:suppressAutoHyphens/>
        <w:autoSpaceDE w:val="0"/>
        <w:spacing w:before="60" w:after="60"/>
        <w:jc w:val="both"/>
        <w:rPr>
          <w:rFonts w:ascii="Arial" w:hAnsi="Arial" w:cs="Arial"/>
          <w:noProof/>
          <w:sz w:val="16"/>
          <w:szCs w:val="16"/>
          <w:lang w:val="bg-BG" w:eastAsia="ar-SA"/>
        </w:rPr>
      </w:pPr>
    </w:p>
    <w:p>
      <w:pPr>
        <w:widowControl w:val="0"/>
        <w:suppressAutoHyphens/>
        <w:autoSpaceDE w:val="0"/>
        <w:spacing w:before="60" w:after="60"/>
        <w:jc w:val="both"/>
        <w:rPr>
          <w:rFonts w:ascii="Arial" w:hAnsi="Arial" w:cs="Arial"/>
          <w:noProof/>
          <w:sz w:val="16"/>
          <w:szCs w:val="16"/>
          <w:lang w:val="bg-BG" w:eastAsia="ar-SA"/>
        </w:rPr>
      </w:pPr>
      <w:r>
        <w:rPr>
          <w:rFonts w:ascii="Arial" w:hAnsi="Arial"/>
          <w:noProof/>
          <w:sz w:val="16"/>
          <w:szCs w:val="16"/>
          <w:lang w:val="bg-BG" w:eastAsia="ar-SA"/>
        </w:rPr>
        <w:t>Приемането на изменението нямаше съществено отражение върху финансовите отчети на механизма.</w:t>
      </w:r>
    </w:p>
    <w:p>
      <w:pPr>
        <w:widowControl w:val="0"/>
        <w:suppressAutoHyphens/>
        <w:autoSpaceDE w:val="0"/>
        <w:spacing w:before="60" w:after="60"/>
        <w:jc w:val="both"/>
        <w:rPr>
          <w:rFonts w:ascii="Arial" w:hAnsi="Arial" w:cs="Arial"/>
          <w:noProof/>
          <w:sz w:val="16"/>
          <w:szCs w:val="16"/>
          <w:highlight w:val="yellow"/>
          <w:lang w:val="bg-BG" w:eastAsia="ar-SA"/>
        </w:rPr>
      </w:pPr>
    </w:p>
    <w:p>
      <w:pPr>
        <w:keepNext/>
        <w:jc w:val="both"/>
        <w:rPr>
          <w:rFonts w:ascii="Arial" w:hAnsi="Arial"/>
          <w:i/>
          <w:noProof/>
          <w:sz w:val="16"/>
          <w:lang w:val="bg-BG"/>
        </w:rPr>
      </w:pPr>
      <w:r>
        <w:rPr>
          <w:rFonts w:ascii="Arial" w:hAnsi="Arial"/>
          <w:i/>
          <w:noProof/>
          <w:sz w:val="16"/>
          <w:lang w:val="bg-BG"/>
        </w:rPr>
        <w:t xml:space="preserve">Дългосрочни участия в асоциирани предприятия и съвместни предприятия (изменения на МСС 28) </w:t>
      </w:r>
    </w:p>
    <w:p>
      <w:pPr>
        <w:keepNext/>
        <w:spacing w:after="60"/>
        <w:jc w:val="both"/>
        <w:rPr>
          <w:rFonts w:ascii="Arial" w:hAnsi="Arial"/>
          <w:i/>
          <w:noProof/>
          <w:sz w:val="16"/>
          <w:lang w:val="bg-BG"/>
        </w:rPr>
      </w:pPr>
    </w:p>
    <w:p>
      <w:pPr>
        <w:keepNext/>
        <w:jc w:val="both"/>
        <w:rPr>
          <w:rFonts w:ascii="Arial" w:hAnsi="Arial"/>
          <w:noProof/>
          <w:sz w:val="16"/>
          <w:lang w:val="bg-BG"/>
        </w:rPr>
      </w:pPr>
      <w:r>
        <w:rPr>
          <w:rFonts w:ascii="Arial" w:hAnsi="Arial"/>
          <w:noProof/>
          <w:sz w:val="16"/>
          <w:lang w:val="bg-BG"/>
        </w:rPr>
        <w:t>В измененията се пояснява, че предприятието прилага МСФО 9 спрямо дългосрочните участия в асоциирано или съвместно предприятие, към които не се прилага методът на собствения капитал, но които по същество представляват част от нетната инвестиция в асоциираното предприятие или съвместното предприятие (дългосрочни участия). Това пояснение е от значение, тъй като предполага, че моделът на очакваните кредитни загуби в МСФО 9 се прилага към такива дългосрочни участия.</w:t>
      </w:r>
    </w:p>
    <w:p>
      <w:pPr>
        <w:widowControl w:val="0"/>
        <w:suppressAutoHyphens/>
        <w:autoSpaceDE w:val="0"/>
        <w:spacing w:before="60" w:after="60"/>
        <w:jc w:val="both"/>
        <w:rPr>
          <w:rFonts w:ascii="Arial" w:hAnsi="Arial" w:cs="Arial"/>
          <w:noProof/>
          <w:sz w:val="16"/>
          <w:szCs w:val="16"/>
          <w:highlight w:val="yellow"/>
          <w:lang w:val="bg-BG" w:eastAsia="ar-SA"/>
        </w:rPr>
      </w:pPr>
    </w:p>
    <w:p>
      <w:pPr>
        <w:widowControl w:val="0"/>
        <w:suppressAutoHyphens/>
        <w:autoSpaceDE w:val="0"/>
        <w:spacing w:before="60" w:after="60"/>
        <w:jc w:val="both"/>
        <w:rPr>
          <w:rFonts w:ascii="Arial" w:hAnsi="Arial" w:cs="Arial"/>
          <w:noProof/>
          <w:sz w:val="16"/>
          <w:szCs w:val="16"/>
          <w:lang w:val="bg-BG" w:eastAsia="ar-SA"/>
        </w:rPr>
      </w:pPr>
      <w:r>
        <w:rPr>
          <w:rFonts w:ascii="Arial" w:hAnsi="Arial"/>
          <w:noProof/>
          <w:sz w:val="16"/>
          <w:szCs w:val="16"/>
          <w:lang w:val="bg-BG" w:eastAsia="ar-SA"/>
        </w:rPr>
        <w:t>В измененията също така се пояснява, че при прилагането на МСФО 9 предприятието не отчита загуби на асоциираното предприятие или съвместното предприятие, нито загуби от обезценка на нетната инвестиция, признати като корекции на нетната инвестиция в асоциираното предприятие или съвместното предприятие, произтичащи от прилагането на МСС 28 „Инвестиции в асоциирани предприятия и съвместни предприятия“.</w:t>
      </w:r>
    </w:p>
    <w:p>
      <w:pPr>
        <w:widowControl w:val="0"/>
        <w:suppressAutoHyphens/>
        <w:autoSpaceDE w:val="0"/>
        <w:spacing w:before="60" w:after="60"/>
        <w:jc w:val="both"/>
        <w:rPr>
          <w:rFonts w:ascii="Arial" w:hAnsi="Arial" w:cs="Arial"/>
          <w:noProof/>
          <w:sz w:val="16"/>
          <w:szCs w:val="16"/>
          <w:lang w:val="bg-BG" w:eastAsia="ar-SA"/>
        </w:rPr>
      </w:pPr>
    </w:p>
    <w:p>
      <w:pPr>
        <w:widowControl w:val="0"/>
        <w:suppressAutoHyphens/>
        <w:autoSpaceDE w:val="0"/>
        <w:spacing w:before="60" w:after="60"/>
        <w:jc w:val="both"/>
        <w:rPr>
          <w:rFonts w:ascii="Arial" w:hAnsi="Arial" w:cs="Arial"/>
          <w:noProof/>
          <w:sz w:val="16"/>
          <w:szCs w:val="16"/>
          <w:lang w:val="bg-BG" w:eastAsia="ar-SA"/>
        </w:rPr>
      </w:pPr>
      <w:r>
        <w:rPr>
          <w:rFonts w:ascii="Arial" w:hAnsi="Arial"/>
          <w:noProof/>
          <w:sz w:val="16"/>
          <w:szCs w:val="16"/>
          <w:lang w:val="bg-BG" w:eastAsia="ar-SA"/>
        </w:rPr>
        <w:t>Измененията нямаха съществено отражение върху финансовите отчети на механизма.</w:t>
      </w:r>
    </w:p>
    <w:p>
      <w:pPr>
        <w:rPr>
          <w:rFonts w:ascii="Arial" w:hAnsi="Arial" w:cs="Arial"/>
          <w:noProof/>
          <w:sz w:val="16"/>
          <w:szCs w:val="16"/>
          <w:highlight w:val="yellow"/>
          <w:lang w:val="bg-BG"/>
        </w:rPr>
      </w:pPr>
    </w:p>
    <w:p>
      <w:pPr>
        <w:keepNext/>
        <w:jc w:val="both"/>
        <w:rPr>
          <w:rFonts w:ascii="Arial" w:hAnsi="Arial" w:cs="Arial"/>
          <w:i/>
          <w:noProof/>
          <w:sz w:val="16"/>
          <w:szCs w:val="16"/>
          <w:lang w:val="bg-BG"/>
        </w:rPr>
      </w:pPr>
      <w:r>
        <w:rPr>
          <w:rFonts w:ascii="Arial" w:hAnsi="Arial"/>
          <w:i/>
          <w:noProof/>
          <w:sz w:val="16"/>
          <w:szCs w:val="16"/>
          <w:lang w:val="bg-BG"/>
        </w:rPr>
        <w:t xml:space="preserve">Изменение, съкращаване или уреждане на плана (изменения на МСС 19) </w:t>
      </w:r>
    </w:p>
    <w:p>
      <w:pPr>
        <w:keepNext/>
        <w:jc w:val="both"/>
        <w:rPr>
          <w:rFonts w:ascii="Arial" w:hAnsi="Arial"/>
          <w:i/>
          <w:noProof/>
          <w:sz w:val="16"/>
          <w:lang w:val="bg-BG"/>
        </w:rPr>
      </w:pPr>
    </w:p>
    <w:p>
      <w:pPr>
        <w:widowControl w:val="0"/>
        <w:suppressAutoHyphens/>
        <w:autoSpaceDE w:val="0"/>
        <w:spacing w:before="60" w:after="60"/>
        <w:jc w:val="both"/>
        <w:rPr>
          <w:rFonts w:ascii="Arial" w:hAnsi="Arial"/>
          <w:noProof/>
          <w:sz w:val="16"/>
          <w:lang w:val="bg-BG" w:eastAsia="ar-SA"/>
        </w:rPr>
      </w:pPr>
      <w:r>
        <w:rPr>
          <w:rFonts w:ascii="Arial" w:hAnsi="Arial"/>
          <w:noProof/>
          <w:sz w:val="16"/>
          <w:szCs w:val="16"/>
          <w:lang w:val="bg-BG" w:eastAsia="ar-SA"/>
        </w:rPr>
        <w:t>В измененията се уточнява, че когато по време на годишния отчетен период настъпи изменение, съкращаване или уреждане на плана, от предприятието се изисква:</w:t>
      </w:r>
    </w:p>
    <w:p>
      <w:pPr>
        <w:widowControl w:val="0"/>
        <w:suppressAutoHyphens/>
        <w:autoSpaceDE w:val="0"/>
        <w:spacing w:before="60" w:after="60"/>
        <w:jc w:val="both"/>
        <w:rPr>
          <w:rFonts w:cs="Arial"/>
          <w:noProof/>
          <w:sz w:val="16"/>
          <w:szCs w:val="16"/>
          <w:lang w:val="bg-BG" w:eastAsia="ar-SA"/>
        </w:rPr>
      </w:pPr>
    </w:p>
    <w:p>
      <w:pPr>
        <w:widowControl w:val="0"/>
        <w:numPr>
          <w:ilvl w:val="0"/>
          <w:numId w:val="35"/>
        </w:numPr>
        <w:suppressAutoHyphens/>
        <w:autoSpaceDE w:val="0"/>
        <w:spacing w:before="60" w:after="60"/>
        <w:jc w:val="both"/>
        <w:rPr>
          <w:rFonts w:cs="Arial"/>
          <w:noProof/>
          <w:sz w:val="16"/>
          <w:szCs w:val="16"/>
          <w:lang w:val="bg-BG" w:eastAsia="ar-SA"/>
        </w:rPr>
      </w:pPr>
      <w:r>
        <w:rPr>
          <w:rFonts w:ascii="Arial" w:hAnsi="Arial"/>
          <w:noProof/>
          <w:sz w:val="16"/>
          <w:szCs w:val="16"/>
          <w:lang w:val="bg-BG" w:eastAsia="ar-SA"/>
        </w:rPr>
        <w:t>Да определи разходите за текущ трудов стаж за остатъка от периода след изменението, съкращаването или уреждането на плана, като се използват актюерските предположения, използвани за преоценката на нетното задължение по изплащане на дефинирани доходи, отразяващо доходите, предложени съгласно плана, и активите на плана след събитието</w:t>
      </w:r>
    </w:p>
    <w:p>
      <w:pPr>
        <w:widowControl w:val="0"/>
        <w:numPr>
          <w:ilvl w:val="0"/>
          <w:numId w:val="35"/>
        </w:numPr>
        <w:suppressAutoHyphens/>
        <w:autoSpaceDE w:val="0"/>
        <w:spacing w:before="60" w:after="60"/>
        <w:jc w:val="both"/>
        <w:rPr>
          <w:rFonts w:cs="Arial"/>
          <w:noProof/>
          <w:sz w:val="16"/>
          <w:szCs w:val="16"/>
          <w:lang w:val="bg-BG" w:eastAsia="ar-SA"/>
        </w:rPr>
      </w:pPr>
      <w:r>
        <w:rPr>
          <w:rFonts w:ascii="Arial" w:hAnsi="Arial"/>
          <w:noProof/>
          <w:sz w:val="16"/>
          <w:szCs w:val="16"/>
          <w:lang w:val="bg-BG" w:eastAsia="ar-SA"/>
        </w:rPr>
        <w:t xml:space="preserve">Да определи нетната лихва за остатъка от периода след изменението, съкращаването или уреждането на плана, като използва: нетното задължение по изплащане на дефинирани доходи, отразяващо доходите, предложени съгласно плана, и активите на плана след събитието; и дисконтовия процент, използван за преоценката на нетното задължение по изплащане на дефинирани доходи </w:t>
      </w:r>
    </w:p>
    <w:p>
      <w:pPr>
        <w:keepNext/>
        <w:jc w:val="both"/>
        <w:rPr>
          <w:rFonts w:ascii="Arial" w:hAnsi="Arial" w:cs="Arial"/>
          <w:noProof/>
          <w:sz w:val="16"/>
          <w:szCs w:val="16"/>
          <w:lang w:val="bg-BG" w:eastAsia="ar-SA"/>
        </w:rPr>
      </w:pPr>
    </w:p>
    <w:p>
      <w:pPr>
        <w:spacing w:before="60" w:after="60"/>
        <w:rPr>
          <w:rFonts w:ascii="Arial" w:hAnsi="Arial" w:cs="Arial"/>
          <w:noProof/>
          <w:sz w:val="16"/>
          <w:szCs w:val="16"/>
          <w:lang w:val="bg-BG" w:eastAsia="en-US"/>
        </w:rPr>
      </w:pPr>
      <w:r>
        <w:rPr>
          <w:rFonts w:ascii="Arial" w:eastAsia="Calibri" w:hAnsi="Arial" w:cs="Arial"/>
          <w:noProof/>
          <w:sz w:val="16"/>
          <w:szCs w:val="16"/>
          <w:lang w:val="bg-BG" w:eastAsia="en-US"/>
        </w:rPr>
        <w:t>Тези изменения нямаха отражение върху финансовите отчети на механизма.</w:t>
      </w:r>
    </w:p>
    <w:p>
      <w:pPr>
        <w:spacing w:after="60"/>
        <w:jc w:val="both"/>
        <w:rPr>
          <w:rFonts w:ascii="Arial" w:hAnsi="Arial" w:cs="Arial"/>
          <w:noProof/>
          <w:sz w:val="16"/>
          <w:szCs w:val="16"/>
          <w:highlight w:val="yellow"/>
          <w:lang w:val="bg-BG"/>
        </w:rPr>
      </w:pPr>
    </w:p>
    <w:p>
      <w:pPr>
        <w:keepNext/>
        <w:jc w:val="both"/>
        <w:rPr>
          <w:rFonts w:ascii="Arial" w:hAnsi="Arial" w:cs="Arial"/>
          <w:noProof/>
          <w:sz w:val="16"/>
          <w:szCs w:val="16"/>
          <w:highlight w:val="yellow"/>
          <w:bdr w:val="none" w:sz="0" w:space="0" w:color="auto" w:frame="1"/>
          <w:lang w:val="bg-BG"/>
        </w:rPr>
      </w:pPr>
      <w:r>
        <w:rPr>
          <w:rFonts w:ascii="Arial" w:hAnsi="Arial"/>
          <w:i/>
          <w:noProof/>
          <w:sz w:val="16"/>
          <w:szCs w:val="16"/>
          <w:lang w:val="bg-BG"/>
        </w:rPr>
        <w:t>Годишни подобрения на МСФО, цикъл 2015—2017 г. (изменения на МСФО 3, МСФО 11)</w:t>
      </w:r>
    </w:p>
    <w:p>
      <w:pPr>
        <w:keepNext/>
        <w:jc w:val="both"/>
        <w:rPr>
          <w:rFonts w:ascii="Arial" w:hAnsi="Arial" w:cs="Arial"/>
          <w:noProof/>
          <w:sz w:val="16"/>
          <w:szCs w:val="16"/>
          <w:lang w:val="bg-BG"/>
        </w:rPr>
      </w:pPr>
    </w:p>
    <w:p>
      <w:pPr>
        <w:widowControl w:val="0"/>
        <w:suppressAutoHyphens/>
        <w:autoSpaceDE w:val="0"/>
        <w:spacing w:before="60" w:after="60"/>
        <w:jc w:val="both"/>
        <w:rPr>
          <w:rFonts w:cs="Arial"/>
          <w:noProof/>
          <w:sz w:val="16"/>
          <w:szCs w:val="16"/>
          <w:lang w:val="bg-BG" w:eastAsia="ar-SA"/>
        </w:rPr>
      </w:pPr>
      <w:r>
        <w:rPr>
          <w:rFonts w:ascii="Arial" w:hAnsi="Arial"/>
          <w:noProof/>
          <w:sz w:val="16"/>
          <w:szCs w:val="16"/>
          <w:lang w:val="bg-BG" w:eastAsia="ar-SA"/>
        </w:rPr>
        <w:t>Тези изменения нямаха отражение върху финансовите отчети на механизма, тъй като не е налице сделка, при която се получава съвместен контрол.</w:t>
      </w:r>
    </w:p>
    <w:p>
      <w:pPr>
        <w:keepNext/>
        <w:jc w:val="both"/>
        <w:rPr>
          <w:rFonts w:ascii="Arial" w:hAnsi="Arial" w:cs="Arial"/>
          <w:noProof/>
          <w:sz w:val="16"/>
          <w:szCs w:val="16"/>
          <w:lang w:val="bg-BG"/>
        </w:rPr>
      </w:pPr>
    </w:p>
    <w:p>
      <w:pPr>
        <w:widowControl w:val="0"/>
        <w:suppressAutoHyphens/>
        <w:autoSpaceDE w:val="0"/>
        <w:spacing w:before="60" w:after="60"/>
        <w:jc w:val="both"/>
        <w:rPr>
          <w:rFonts w:ascii="Arial" w:hAnsi="Arial" w:cs="Arial"/>
          <w:b/>
          <w:noProof/>
          <w:sz w:val="16"/>
          <w:szCs w:val="16"/>
          <w:lang w:val="bg-BG" w:eastAsia="ar-SA"/>
        </w:rPr>
      </w:pPr>
      <w:r>
        <w:rPr>
          <w:rFonts w:ascii="Arial" w:hAnsi="Arial"/>
          <w:b/>
          <w:noProof/>
          <w:sz w:val="16"/>
          <w:szCs w:val="16"/>
          <w:lang w:val="bg-BG" w:eastAsia="ar-SA"/>
        </w:rPr>
        <w:t>Издадени стандарти, които още не са приети</w:t>
      </w:r>
    </w:p>
    <w:p>
      <w:pPr>
        <w:widowControl w:val="0"/>
        <w:suppressAutoHyphens/>
        <w:autoSpaceDE w:val="0"/>
        <w:spacing w:before="60" w:after="60"/>
        <w:jc w:val="both"/>
        <w:rPr>
          <w:rFonts w:ascii="Arial" w:hAnsi="Arial" w:cs="Arial"/>
          <w:b/>
          <w:noProof/>
          <w:sz w:val="16"/>
          <w:szCs w:val="16"/>
          <w:lang w:val="bg-BG" w:eastAsia="ar-SA"/>
        </w:rPr>
      </w:pPr>
    </w:p>
    <w:p>
      <w:pPr>
        <w:keepNext/>
        <w:jc w:val="both"/>
        <w:rPr>
          <w:rFonts w:ascii="Arial" w:hAnsi="Arial" w:cs="Arial"/>
          <w:noProof/>
          <w:sz w:val="16"/>
          <w:szCs w:val="16"/>
          <w:lang w:val="bg-BG"/>
        </w:rPr>
      </w:pPr>
      <w:r>
        <w:rPr>
          <w:rFonts w:ascii="Arial" w:hAnsi="Arial"/>
          <w:i/>
          <w:noProof/>
          <w:sz w:val="16"/>
          <w:szCs w:val="16"/>
          <w:lang w:val="bg-BG"/>
        </w:rPr>
        <w:t>Дефиниция за същественост — изменения на МСС 1 „Представяне на финансови отчети“ и МСС 8 „Счетоводна политика, промени в счетоводните приблизителни оценки и грешки“, в сила за годишните периоди, започващи на 1 януари 2020 г. или след тази дата.</w:t>
      </w:r>
    </w:p>
    <w:p>
      <w:pPr>
        <w:keepNext/>
        <w:jc w:val="both"/>
        <w:rPr>
          <w:rFonts w:ascii="Arial" w:hAnsi="Arial" w:cs="Arial"/>
          <w:noProof/>
          <w:sz w:val="16"/>
          <w:szCs w:val="16"/>
          <w:lang w:val="bg-BG" w:eastAsia="ar-SA"/>
        </w:rPr>
      </w:pPr>
    </w:p>
    <w:p>
      <w:pPr>
        <w:spacing w:before="60" w:after="60"/>
        <w:jc w:val="both"/>
        <w:rPr>
          <w:rFonts w:ascii="Arial" w:hAnsi="Arial" w:cs="Arial"/>
          <w:noProof/>
          <w:sz w:val="16"/>
          <w:szCs w:val="16"/>
          <w:bdr w:val="none" w:sz="0" w:space="0" w:color="auto" w:frame="1"/>
          <w:lang w:val="bg-BG"/>
        </w:rPr>
      </w:pPr>
      <w:r>
        <w:rPr>
          <w:rFonts w:ascii="Arial" w:hAnsi="Arial"/>
          <w:noProof/>
          <w:sz w:val="16"/>
          <w:szCs w:val="16"/>
          <w:bdr w:val="none" w:sz="0" w:space="0" w:color="auto" w:frame="1"/>
          <w:lang w:val="bg-BG"/>
        </w:rPr>
        <w:t>С измененията се пояснява дефиницията за „същественост“ и се привежда в съответствие дефиницията, използвана в концептуалната рамка и самите стандарти.</w:t>
      </w:r>
    </w:p>
    <w:p>
      <w:pPr>
        <w:spacing w:before="60" w:after="60"/>
        <w:jc w:val="both"/>
        <w:rPr>
          <w:rFonts w:ascii="Arial" w:hAnsi="Arial" w:cs="Arial"/>
          <w:noProof/>
          <w:sz w:val="16"/>
          <w:szCs w:val="16"/>
          <w:bdr w:val="none" w:sz="0" w:space="0" w:color="auto" w:frame="1"/>
          <w:lang w:val="bg-BG"/>
        </w:rPr>
      </w:pPr>
    </w:p>
    <w:p>
      <w:pPr>
        <w:spacing w:before="60" w:after="60"/>
        <w:jc w:val="both"/>
        <w:rPr>
          <w:rFonts w:ascii="Arial" w:hAnsi="Arial" w:cs="Arial"/>
          <w:noProof/>
          <w:sz w:val="16"/>
          <w:szCs w:val="16"/>
          <w:bdr w:val="none" w:sz="0" w:space="0" w:color="auto" w:frame="1"/>
          <w:lang w:val="bg-BG"/>
        </w:rPr>
      </w:pPr>
      <w:r>
        <w:rPr>
          <w:rFonts w:ascii="Arial" w:hAnsi="Arial"/>
          <w:noProof/>
          <w:sz w:val="16"/>
          <w:szCs w:val="16"/>
          <w:bdr w:val="none" w:sz="0" w:space="0" w:color="auto" w:frame="1"/>
          <w:lang w:val="bg-BG"/>
        </w:rPr>
        <w:t>В изменената дефиниция се посочва, че „дадена информация е съществена, ако с основание би могло да се очаква пропускането ѝ, неточното ѝ представяне или прикриването ѝ да окаже влияние върху решенията, които основните ползватели на финансови отчети с общо предназначение вземат въз основа на тези отчети, съдържащи финансова информация за конкретно отчитащо се предприятие.“</w:t>
      </w:r>
    </w:p>
    <w:p>
      <w:pPr>
        <w:spacing w:before="60" w:after="60"/>
        <w:jc w:val="both"/>
        <w:rPr>
          <w:rFonts w:ascii="Arial" w:hAnsi="Arial" w:cs="Arial"/>
          <w:noProof/>
          <w:sz w:val="16"/>
          <w:szCs w:val="16"/>
          <w:bdr w:val="none" w:sz="0" w:space="0" w:color="auto" w:frame="1"/>
          <w:lang w:val="bg-BG"/>
        </w:rPr>
      </w:pPr>
      <w:r>
        <w:rPr>
          <w:rFonts w:ascii="Arial" w:hAnsi="Arial"/>
          <w:noProof/>
          <w:sz w:val="16"/>
          <w:szCs w:val="16"/>
          <w:bdr w:val="none" w:sz="0" w:space="0" w:color="auto" w:frame="1"/>
          <w:lang w:val="bg-BG"/>
        </w:rPr>
        <w:t xml:space="preserve"> </w:t>
      </w:r>
    </w:p>
    <w:p>
      <w:pPr>
        <w:spacing w:before="60" w:after="60"/>
        <w:jc w:val="both"/>
        <w:rPr>
          <w:rFonts w:ascii="Arial" w:hAnsi="Arial" w:cs="Arial"/>
          <w:noProof/>
          <w:sz w:val="16"/>
          <w:szCs w:val="16"/>
          <w:bdr w:val="none" w:sz="0" w:space="0" w:color="auto" w:frame="1"/>
          <w:lang w:val="bg-BG"/>
        </w:rPr>
      </w:pPr>
      <w:r>
        <w:rPr>
          <w:rFonts w:ascii="Arial" w:hAnsi="Arial"/>
          <w:noProof/>
          <w:sz w:val="16"/>
          <w:szCs w:val="16"/>
          <w:bdr w:val="none" w:sz="0" w:space="0" w:color="auto" w:frame="1"/>
          <w:lang w:val="bg-BG"/>
        </w:rPr>
        <w:t>В изменението също така се пояснява значението на „основните ползватели на финансови отчети с общо предназначение“, към които са насочени тези финансови отчети, като ги определя като „действащи и потенциални инвеститори, заемодатели и други кредитори“, които трябва да използват финансови отчети с общо предназначение за голяма част от финансовата информация, от която се нуждаят.</w:t>
      </w:r>
    </w:p>
    <w:p>
      <w:pPr>
        <w:spacing w:before="60" w:after="60"/>
        <w:jc w:val="both"/>
        <w:rPr>
          <w:rFonts w:ascii="Arial" w:hAnsi="Arial" w:cs="Arial"/>
          <w:noProof/>
          <w:sz w:val="16"/>
          <w:szCs w:val="16"/>
          <w:bdr w:val="none" w:sz="0" w:space="0" w:color="auto" w:frame="1"/>
          <w:lang w:val="bg-BG"/>
        </w:rPr>
      </w:pPr>
      <w:r>
        <w:rPr>
          <w:rFonts w:ascii="Arial" w:hAnsi="Arial"/>
          <w:noProof/>
          <w:sz w:val="16"/>
          <w:szCs w:val="16"/>
          <w:bdr w:val="none" w:sz="0" w:space="0" w:color="auto" w:frame="1"/>
          <w:lang w:val="bg-BG"/>
        </w:rPr>
        <w:t xml:space="preserve"> </w:t>
      </w:r>
    </w:p>
    <w:p>
      <w:pPr>
        <w:spacing w:before="60" w:after="60"/>
        <w:jc w:val="both"/>
        <w:rPr>
          <w:rFonts w:ascii="Arial" w:hAnsi="Arial" w:cs="Arial"/>
          <w:noProof/>
          <w:sz w:val="16"/>
          <w:szCs w:val="16"/>
          <w:bdr w:val="none" w:sz="0" w:space="0" w:color="auto" w:frame="1"/>
          <w:lang w:val="bg-BG"/>
        </w:rPr>
      </w:pPr>
      <w:r>
        <w:rPr>
          <w:rFonts w:ascii="Arial" w:hAnsi="Arial"/>
          <w:noProof/>
          <w:sz w:val="16"/>
          <w:szCs w:val="16"/>
          <w:bdr w:val="none" w:sz="0" w:space="0" w:color="auto" w:frame="1"/>
          <w:lang w:val="bg-BG"/>
        </w:rPr>
        <w:t>Измененията са в сила за годишните периоди, започващи на 1 януари 2020 г. или след тази дата. Механизмът не прие тези изменения на ранен етап и не очаква това да окаже значително въздействие върху финансовите отчети на механизма.</w:t>
      </w:r>
    </w:p>
    <w:p>
      <w:pPr>
        <w:rPr>
          <w:rFonts w:ascii="Arial" w:hAnsi="Arial" w:cs="Arial"/>
          <w:i/>
          <w:noProof/>
          <w:sz w:val="16"/>
          <w:szCs w:val="16"/>
          <w:bdr w:val="none" w:sz="0" w:space="0" w:color="auto" w:frame="1"/>
          <w:lang w:val="bg-BG"/>
        </w:rPr>
      </w:pPr>
      <w:r>
        <w:rPr>
          <w:noProof/>
          <w:lang w:val="bg-BG"/>
        </w:rPr>
        <w:br w:type="page"/>
      </w:r>
    </w:p>
    <w:p>
      <w:pPr>
        <w:keepNext/>
        <w:spacing w:line="250" w:lineRule="exact"/>
        <w:jc w:val="both"/>
        <w:rPr>
          <w:rFonts w:ascii="Arial" w:hAnsi="Arial" w:cs="Arial"/>
          <w:i/>
          <w:noProof/>
          <w:sz w:val="16"/>
          <w:szCs w:val="16"/>
          <w:bdr w:val="none" w:sz="0" w:space="0" w:color="auto" w:frame="1"/>
          <w:lang w:val="bg-BG"/>
        </w:rPr>
      </w:pPr>
      <w:r>
        <w:rPr>
          <w:rFonts w:ascii="Arial" w:hAnsi="Arial"/>
          <w:i/>
          <w:noProof/>
          <w:sz w:val="16"/>
          <w:szCs w:val="16"/>
          <w:bdr w:val="none" w:sz="0" w:space="0" w:color="auto" w:frame="1"/>
          <w:lang w:val="bg-BG"/>
        </w:rPr>
        <w:t>Реформа на базовите лихвени проценти — изменения на МСФО 9, МСС 39 и МСФО 7</w:t>
      </w:r>
    </w:p>
    <w:p>
      <w:pPr>
        <w:keepNext/>
        <w:spacing w:line="250" w:lineRule="exact"/>
        <w:jc w:val="both"/>
        <w:rPr>
          <w:rFonts w:ascii="Arial" w:hAnsi="Arial" w:cs="Arial"/>
          <w:i/>
          <w:noProof/>
          <w:sz w:val="16"/>
          <w:szCs w:val="16"/>
          <w:bdr w:val="none" w:sz="0" w:space="0" w:color="auto" w:frame="1"/>
          <w:lang w:val="bg-BG"/>
        </w:rPr>
      </w:pPr>
    </w:p>
    <w:p>
      <w:pPr>
        <w:spacing w:before="60" w:line="250" w:lineRule="exact"/>
        <w:jc w:val="both"/>
        <w:rPr>
          <w:rFonts w:ascii="Arial" w:hAnsi="Arial" w:cs="Arial"/>
          <w:noProof/>
          <w:sz w:val="16"/>
          <w:szCs w:val="16"/>
          <w:bdr w:val="none" w:sz="0" w:space="0" w:color="auto" w:frame="1"/>
          <w:lang w:val="bg-BG"/>
        </w:rPr>
      </w:pPr>
      <w:r>
        <w:rPr>
          <w:rFonts w:ascii="Arial" w:hAnsi="Arial"/>
          <w:noProof/>
          <w:sz w:val="16"/>
          <w:szCs w:val="16"/>
          <w:bdr w:val="none" w:sz="0" w:space="0" w:color="auto" w:frame="1"/>
          <w:lang w:val="bg-BG"/>
        </w:rPr>
        <w:t>През септември 2019 г. СМСС публикува изменения на МСФО 9, МСС 39 и МСФО 7, предоставящи временни облекчения, които биха позволили на хеджирането да продължи по време на периода на несигурност преди замяната на съществуващия базов лихвен процент с алтернативен почти безрисков лихвен процент (risk-free rate — RFR).</w:t>
      </w:r>
    </w:p>
    <w:p>
      <w:pPr>
        <w:spacing w:line="250" w:lineRule="exact"/>
        <w:rPr>
          <w:rFonts w:ascii="Arial" w:hAnsi="Arial" w:cs="Arial"/>
          <w:noProof/>
          <w:sz w:val="16"/>
          <w:szCs w:val="16"/>
          <w:lang w:val="bg-BG"/>
        </w:rPr>
      </w:pPr>
    </w:p>
    <w:p>
      <w:pPr>
        <w:tabs>
          <w:tab w:val="right" w:pos="-2700"/>
          <w:tab w:val="right" w:pos="720"/>
        </w:tabs>
        <w:suppressAutoHyphens/>
        <w:spacing w:before="60" w:line="250" w:lineRule="exact"/>
        <w:jc w:val="both"/>
        <w:rPr>
          <w:rFonts w:ascii="Arial" w:hAnsi="Arial" w:cs="Arial"/>
          <w:noProof/>
          <w:sz w:val="16"/>
          <w:szCs w:val="16"/>
          <w:lang w:val="bg-BG" w:eastAsia="ar-SA"/>
        </w:rPr>
      </w:pPr>
      <w:r>
        <w:rPr>
          <w:rFonts w:ascii="Arial" w:hAnsi="Arial"/>
          <w:noProof/>
          <w:sz w:val="16"/>
          <w:szCs w:val="16"/>
          <w:lang w:val="bg-BG" w:eastAsia="ar-SA"/>
        </w:rPr>
        <w:t xml:space="preserve">Измененията на МСФО 9 включват редица облекчения, които се прилагат за всички хеджиращи взаимоотношения, които са пряко засегнати от реформата на базовите лихвени проценти. Първите три облекчения предвиждат: </w:t>
      </w:r>
    </w:p>
    <w:p>
      <w:pPr>
        <w:tabs>
          <w:tab w:val="right" w:pos="-2700"/>
          <w:tab w:val="right" w:pos="720"/>
        </w:tabs>
        <w:suppressAutoHyphens/>
        <w:spacing w:before="60" w:line="250" w:lineRule="exact"/>
        <w:jc w:val="both"/>
        <w:rPr>
          <w:rFonts w:ascii="Arial" w:hAnsi="Arial" w:cs="Arial"/>
          <w:noProof/>
          <w:sz w:val="16"/>
          <w:szCs w:val="16"/>
          <w:lang w:val="bg-BG" w:eastAsia="ar-SA"/>
        </w:rPr>
      </w:pPr>
    </w:p>
    <w:p>
      <w:pPr>
        <w:numPr>
          <w:ilvl w:val="0"/>
          <w:numId w:val="36"/>
        </w:num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Оценка на това дали дадена прогнозна сделка (или част от нея) е много вероятна;</w:t>
      </w:r>
    </w:p>
    <w:p>
      <w:pPr>
        <w:numPr>
          <w:ilvl w:val="0"/>
          <w:numId w:val="36"/>
        </w:numPr>
        <w:tabs>
          <w:tab w:val="right" w:pos="-2700"/>
          <w:tab w:val="right" w:pos="720"/>
        </w:tabs>
        <w:suppressAutoHyphens/>
        <w:spacing w:before="60" w:after="60" w:line="250" w:lineRule="exact"/>
        <w:jc w:val="both"/>
        <w:rPr>
          <w:rFonts w:ascii="Arial" w:hAnsi="Arial" w:cs="Arial"/>
          <w:noProof/>
          <w:spacing w:val="-4"/>
          <w:sz w:val="16"/>
          <w:szCs w:val="16"/>
          <w:lang w:val="bg-BG" w:eastAsia="ar-SA"/>
        </w:rPr>
      </w:pPr>
      <w:r>
        <w:rPr>
          <w:rFonts w:ascii="Arial" w:hAnsi="Arial"/>
          <w:noProof/>
          <w:spacing w:val="-4"/>
          <w:sz w:val="16"/>
          <w:szCs w:val="16"/>
          <w:lang w:val="bg-BG" w:eastAsia="ar-SA"/>
        </w:rPr>
        <w:t>Оценка на това кога да се прекласифицира сумата в резерва от хеджиране на парични потоци към печалбата и загубата;</w:t>
      </w:r>
    </w:p>
    <w:p>
      <w:pPr>
        <w:numPr>
          <w:ilvl w:val="0"/>
          <w:numId w:val="36"/>
        </w:num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Оценяването на икономическата връзка между хеджираната позиция и хеджиращия инструмент.</w:t>
      </w:r>
    </w:p>
    <w:p>
      <w:pPr>
        <w:tabs>
          <w:tab w:val="right" w:pos="-2700"/>
          <w:tab w:val="right" w:pos="720"/>
        </w:tabs>
        <w:suppressAutoHyphens/>
        <w:spacing w:before="60" w:after="60" w:line="250" w:lineRule="exact"/>
        <w:jc w:val="both"/>
        <w:rPr>
          <w:rFonts w:ascii="Arial" w:hAnsi="Arial" w:cs="Arial"/>
          <w:noProof/>
          <w:sz w:val="16"/>
          <w:szCs w:val="16"/>
          <w:lang w:val="bg-BG" w:eastAsia="ar-SA"/>
        </w:rPr>
      </w:pPr>
    </w:p>
    <w:p>
      <w:p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За всяко от тези облекчения се приема, че показателят, на който се основават хеджираните парични потоци, не се променя в резултат на реформата на IBOR.</w:t>
      </w:r>
    </w:p>
    <w:p>
      <w:pPr>
        <w:tabs>
          <w:tab w:val="right" w:pos="-2700"/>
          <w:tab w:val="right" w:pos="720"/>
        </w:tabs>
        <w:suppressAutoHyphens/>
        <w:spacing w:before="60" w:after="60" w:line="250" w:lineRule="exact"/>
        <w:jc w:val="both"/>
        <w:rPr>
          <w:rFonts w:ascii="Arial" w:hAnsi="Arial" w:cs="Arial"/>
          <w:noProof/>
          <w:sz w:val="16"/>
          <w:szCs w:val="16"/>
          <w:lang w:val="bg-BG" w:eastAsia="ar-SA"/>
        </w:rPr>
      </w:pPr>
    </w:p>
    <w:p>
      <w:p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 xml:space="preserve">В четвъртото облекчение се предвижда определен извъндоговорно рисков компонент да се разграничава отделно при първоначално хеджиране, а не на текуща база. </w:t>
      </w:r>
    </w:p>
    <w:p>
      <w:pPr>
        <w:tabs>
          <w:tab w:val="right" w:pos="-2700"/>
          <w:tab w:val="right" w:pos="720"/>
        </w:tabs>
        <w:suppressAutoHyphens/>
        <w:spacing w:before="60" w:after="60" w:line="250" w:lineRule="exact"/>
        <w:jc w:val="both"/>
        <w:rPr>
          <w:rFonts w:ascii="Arial" w:hAnsi="Arial" w:cs="Arial"/>
          <w:noProof/>
          <w:sz w:val="16"/>
          <w:szCs w:val="16"/>
          <w:lang w:val="bg-BG" w:eastAsia="ar-SA"/>
        </w:rPr>
      </w:pPr>
    </w:p>
    <w:p>
      <w:p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 xml:space="preserve">Прилагането на облекченията е задължително и облекченията продължават за неопределено време при отсъствието на някое от събитията, описани в измененията. </w:t>
      </w:r>
    </w:p>
    <w:p>
      <w:pPr>
        <w:tabs>
          <w:tab w:val="right" w:pos="-2700"/>
          <w:tab w:val="right" w:pos="720"/>
        </w:tabs>
        <w:suppressAutoHyphens/>
        <w:spacing w:before="60" w:after="60" w:line="250" w:lineRule="exact"/>
        <w:jc w:val="both"/>
        <w:rPr>
          <w:rFonts w:ascii="Arial" w:hAnsi="Arial" w:cs="Arial"/>
          <w:noProof/>
          <w:sz w:val="16"/>
          <w:szCs w:val="16"/>
          <w:lang w:val="bg-BG" w:eastAsia="ar-SA"/>
        </w:rPr>
      </w:pPr>
    </w:p>
    <w:p>
      <w:p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С измененията също така се въвеждат специфични изисквания за оповестяване по отношение на хеджиращите взаимоотношения, към които се прилагат облекченията.</w:t>
      </w:r>
    </w:p>
    <w:p>
      <w:pPr>
        <w:tabs>
          <w:tab w:val="right" w:pos="-2700"/>
          <w:tab w:val="right" w:pos="720"/>
        </w:tabs>
        <w:suppressAutoHyphens/>
        <w:spacing w:before="60" w:after="60" w:line="250" w:lineRule="exact"/>
        <w:jc w:val="both"/>
        <w:rPr>
          <w:rFonts w:ascii="Arial" w:hAnsi="Arial" w:cs="Arial"/>
          <w:noProof/>
          <w:sz w:val="16"/>
          <w:szCs w:val="16"/>
          <w:lang w:val="bg-BG" w:eastAsia="ar-SA"/>
        </w:rPr>
      </w:pPr>
    </w:p>
    <w:p>
      <w:p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 xml:space="preserve">Измененията са в сила за годишните периоди, започващи на 1 януари 2020 г. или след тази дата. Механизмът не прие тези изменения на ранен етап и Банката създаде междуведомствена работна група IBOR, която да оцени въздействието и да управлява прехода. </w:t>
      </w:r>
    </w:p>
    <w:p>
      <w:pPr>
        <w:tabs>
          <w:tab w:val="right" w:pos="-2700"/>
          <w:tab w:val="right" w:pos="720"/>
        </w:tabs>
        <w:suppressAutoHyphens/>
        <w:spacing w:before="60" w:after="60" w:line="250" w:lineRule="exact"/>
        <w:jc w:val="both"/>
        <w:rPr>
          <w:rFonts w:ascii="Arial" w:hAnsi="Arial" w:cs="Arial"/>
          <w:noProof/>
          <w:sz w:val="16"/>
          <w:szCs w:val="16"/>
          <w:lang w:val="bg-BG" w:eastAsia="ar-SA"/>
        </w:rPr>
      </w:pPr>
    </w:p>
    <w:p>
      <w:p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Изменения на концептуалната рамка в стандартите МСФО — в сила от 1 януари 2020 г.</w:t>
      </w:r>
    </w:p>
    <w:p>
      <w:pPr>
        <w:tabs>
          <w:tab w:val="right" w:pos="-2700"/>
          <w:tab w:val="right" w:pos="720"/>
        </w:tabs>
        <w:suppressAutoHyphens/>
        <w:spacing w:before="60" w:after="60" w:line="250" w:lineRule="exact"/>
        <w:jc w:val="both"/>
        <w:rPr>
          <w:rFonts w:ascii="Arial" w:hAnsi="Arial" w:cs="Arial"/>
          <w:noProof/>
          <w:sz w:val="16"/>
          <w:szCs w:val="16"/>
          <w:lang w:val="bg-BG" w:eastAsia="ar-SA"/>
        </w:rPr>
      </w:pPr>
    </w:p>
    <w:p>
      <w:p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С преразгледаната концептуална рамка се определя цялостен набор от понятия за финансово отчитане, определяне на стандарти, насоки за съставителите при разработването на съгласувани счетоводни политики и подпомагане на други лица в усилията им за разбиране и тълкуване на стандартите.</w:t>
      </w:r>
    </w:p>
    <w:p>
      <w:p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 xml:space="preserve"> </w:t>
      </w:r>
    </w:p>
    <w:p>
      <w:p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Преразгледаната концептуална рамка за финансово отчитане не е стандарт и нито едно от понятията няма предимство пред който и да е стандарт или което и да е изискване в даден стандарт, а главно има за цел да подпомогне Съвета при разработването на стандарти, да помогне на съставителите да разработят последователни счетоводни политики, ако не е въведен приложим стандарт, и да помогне на всички страни да разбират и тълкуват стандартите.</w:t>
      </w:r>
    </w:p>
    <w:p>
      <w:pPr>
        <w:tabs>
          <w:tab w:val="right" w:pos="-2700"/>
          <w:tab w:val="right" w:pos="720"/>
        </w:tabs>
        <w:suppressAutoHyphens/>
        <w:spacing w:before="60" w:after="60" w:line="250" w:lineRule="exact"/>
        <w:jc w:val="both"/>
        <w:rPr>
          <w:rFonts w:ascii="Arial" w:hAnsi="Arial" w:cs="Arial"/>
          <w:noProof/>
          <w:sz w:val="16"/>
          <w:szCs w:val="16"/>
          <w:lang w:val="bg-BG" w:eastAsia="ar-SA"/>
        </w:rPr>
      </w:pPr>
    </w:p>
    <w:p>
      <w:p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Концептуалната рамка включва някои нови понятия, предоставя актуализирани определения и критерии за признаване на активи и пасиви и изяснява някои важни понятия. Концептуалната рамка е в сила за годишните периоди, започващи на 1 януари 2020 г. или след тази дата.</w:t>
      </w:r>
    </w:p>
    <w:p>
      <w:pPr>
        <w:tabs>
          <w:tab w:val="right" w:pos="-2700"/>
          <w:tab w:val="right" w:pos="720"/>
        </w:tabs>
        <w:suppressAutoHyphens/>
        <w:spacing w:before="60" w:after="60" w:line="250" w:lineRule="exact"/>
        <w:jc w:val="both"/>
        <w:rPr>
          <w:rFonts w:ascii="Arial" w:hAnsi="Arial" w:cs="Arial"/>
          <w:noProof/>
          <w:sz w:val="16"/>
          <w:szCs w:val="16"/>
          <w:lang w:val="bg-BG" w:eastAsia="ar-SA"/>
        </w:rPr>
      </w:pPr>
    </w:p>
    <w:p>
      <w:pPr>
        <w:tabs>
          <w:tab w:val="right" w:pos="-2700"/>
          <w:tab w:val="right" w:pos="720"/>
        </w:tabs>
        <w:suppressAutoHyphens/>
        <w:spacing w:before="60" w:after="60" w:line="250" w:lineRule="exact"/>
        <w:jc w:val="both"/>
        <w:rPr>
          <w:rFonts w:ascii="Arial" w:hAnsi="Arial" w:cs="Arial"/>
          <w:noProof/>
          <w:sz w:val="16"/>
          <w:szCs w:val="16"/>
          <w:lang w:val="bg-BG" w:eastAsia="ar-SA"/>
        </w:rPr>
      </w:pPr>
      <w:r>
        <w:rPr>
          <w:rFonts w:ascii="Arial" w:hAnsi="Arial"/>
          <w:noProof/>
          <w:sz w:val="16"/>
          <w:szCs w:val="16"/>
          <w:lang w:val="bg-BG" w:eastAsia="ar-SA"/>
        </w:rPr>
        <w:t>Механизмът не прие преразгледаната концептуална рамка на ранен етап и не очаква тя да окаже значително въздействие върху финансовите отчети на механизма.</w:t>
      </w:r>
    </w:p>
    <w:p>
      <w:pPr>
        <w:spacing w:after="60" w:line="250" w:lineRule="exact"/>
        <w:rPr>
          <w:rFonts w:ascii="Arial" w:hAnsi="Arial"/>
          <w:noProof/>
          <w:sz w:val="16"/>
          <w:szCs w:val="16"/>
          <w:lang w:val="bg-BG"/>
        </w:rPr>
      </w:pPr>
    </w:p>
    <w:p>
      <w:pPr>
        <w:numPr>
          <w:ilvl w:val="1"/>
          <w:numId w:val="37"/>
        </w:numPr>
        <w:tabs>
          <w:tab w:val="right" w:pos="-2700"/>
          <w:tab w:val="right" w:pos="720"/>
        </w:tabs>
        <w:suppressAutoHyphens/>
        <w:spacing w:line="250" w:lineRule="exact"/>
        <w:ind w:left="357" w:hanging="357"/>
        <w:jc w:val="both"/>
        <w:rPr>
          <w:rFonts w:ascii="Arial" w:hAnsi="Arial"/>
          <w:b/>
          <w:noProof/>
          <w:sz w:val="16"/>
          <w:szCs w:val="16"/>
          <w:lang w:val="bg-BG" w:eastAsia="ar-SA"/>
        </w:rPr>
      </w:pPr>
      <w:r>
        <w:rPr>
          <w:rFonts w:ascii="Arial" w:hAnsi="Arial"/>
          <w:b/>
          <w:noProof/>
          <w:sz w:val="16"/>
          <w:szCs w:val="16"/>
          <w:lang w:val="bg-BG" w:eastAsia="ar-SA"/>
        </w:rPr>
        <w:t>Обобщение на важните счетоводни политики</w:t>
      </w:r>
    </w:p>
    <w:p>
      <w:pPr>
        <w:tabs>
          <w:tab w:val="right" w:pos="-2700"/>
          <w:tab w:val="right" w:pos="720"/>
        </w:tabs>
        <w:suppressAutoHyphens/>
        <w:spacing w:after="60" w:line="250" w:lineRule="exact"/>
        <w:jc w:val="both"/>
        <w:rPr>
          <w:rFonts w:ascii="Arial" w:hAnsi="Arial"/>
          <w:noProof/>
          <w:sz w:val="16"/>
          <w:szCs w:val="16"/>
          <w:lang w:val="bg-BG" w:eastAsia="ar-SA"/>
        </w:rPr>
      </w:pPr>
    </w:p>
    <w:p>
      <w:pPr>
        <w:tabs>
          <w:tab w:val="right" w:pos="-2700"/>
          <w:tab w:val="right" w:pos="720"/>
        </w:tabs>
        <w:suppressAutoHyphens/>
        <w:spacing w:before="60" w:after="60" w:line="250" w:lineRule="exact"/>
        <w:jc w:val="both"/>
        <w:rPr>
          <w:rFonts w:ascii="Arial" w:hAnsi="Arial"/>
          <w:noProof/>
          <w:sz w:val="16"/>
          <w:szCs w:val="16"/>
          <w:lang w:val="bg-BG" w:eastAsia="ar-SA"/>
        </w:rPr>
      </w:pPr>
      <w:r>
        <w:rPr>
          <w:rFonts w:ascii="Arial" w:hAnsi="Arial"/>
          <w:noProof/>
          <w:sz w:val="16"/>
          <w:szCs w:val="16"/>
          <w:lang w:val="bg-BG" w:eastAsia="ar-SA"/>
        </w:rPr>
        <w:t>Отчетът за финансовото състояние представлява активи и пасиви по ред на намаляваща ликвидност и не прави разлика между текущи и нетекущи позиции.</w:t>
      </w:r>
    </w:p>
    <w:p>
      <w:pPr>
        <w:tabs>
          <w:tab w:val="right" w:pos="-2700"/>
          <w:tab w:val="right" w:pos="720"/>
        </w:tabs>
        <w:suppressAutoHyphens/>
        <w:spacing w:before="60" w:after="60" w:line="250" w:lineRule="exact"/>
        <w:jc w:val="both"/>
        <w:rPr>
          <w:rFonts w:ascii="Arial" w:hAnsi="Arial"/>
          <w:noProof/>
          <w:sz w:val="16"/>
          <w:szCs w:val="16"/>
          <w:lang w:val="bg-BG" w:eastAsia="ar-SA"/>
        </w:rPr>
      </w:pPr>
    </w:p>
    <w:p>
      <w:pPr>
        <w:numPr>
          <w:ilvl w:val="2"/>
          <w:numId w:val="34"/>
        </w:numPr>
        <w:tabs>
          <w:tab w:val="right" w:pos="-2700"/>
        </w:tabs>
        <w:suppressAutoHyphens/>
        <w:spacing w:before="60" w:line="250" w:lineRule="exact"/>
        <w:ind w:left="357" w:hanging="357"/>
        <w:jc w:val="both"/>
        <w:rPr>
          <w:rFonts w:ascii="Arial" w:hAnsi="Arial"/>
          <w:b/>
          <w:noProof/>
          <w:sz w:val="16"/>
          <w:szCs w:val="16"/>
          <w:lang w:val="bg-BG" w:eastAsia="ar-SA"/>
        </w:rPr>
      </w:pPr>
      <w:bookmarkStart w:id="159" w:name="_Ref110032770_0"/>
      <w:r>
        <w:rPr>
          <w:rFonts w:ascii="Arial" w:hAnsi="Arial"/>
          <w:b/>
          <w:noProof/>
          <w:sz w:val="16"/>
          <w:szCs w:val="16"/>
          <w:lang w:val="bg-BG" w:eastAsia="ar-SA"/>
        </w:rPr>
        <w:t xml:space="preserve"> </w:t>
      </w:r>
      <w:r>
        <w:rPr>
          <w:rFonts w:ascii="Arial" w:hAnsi="Arial"/>
          <w:b/>
          <w:noProof/>
          <w:sz w:val="16"/>
          <w:szCs w:val="16"/>
          <w:lang w:val="bg-BG" w:eastAsia="ar-SA"/>
        </w:rPr>
        <w:tab/>
        <w:t>Конвертиране на чужда валута</w:t>
      </w:r>
      <w:bookmarkEnd w:id="159"/>
    </w:p>
    <w:p>
      <w:pPr>
        <w:tabs>
          <w:tab w:val="right" w:pos="-2700"/>
        </w:tabs>
        <w:suppressAutoHyphens/>
        <w:spacing w:after="60" w:line="250" w:lineRule="exact"/>
        <w:jc w:val="both"/>
        <w:rPr>
          <w:rFonts w:ascii="Arial" w:hAnsi="Arial"/>
          <w:noProof/>
          <w:sz w:val="16"/>
          <w:szCs w:val="16"/>
          <w:lang w:val="bg-BG" w:eastAsia="ar-SA"/>
        </w:rPr>
      </w:pPr>
    </w:p>
    <w:p>
      <w:pPr>
        <w:spacing w:before="60" w:after="60" w:line="250" w:lineRule="exact"/>
        <w:jc w:val="both"/>
        <w:rPr>
          <w:rFonts w:ascii="Arial" w:hAnsi="Arial"/>
          <w:noProof/>
          <w:sz w:val="16"/>
          <w:szCs w:val="16"/>
          <w:lang w:val="bg-BG"/>
        </w:rPr>
      </w:pPr>
      <w:r>
        <w:rPr>
          <w:rFonts w:ascii="Arial" w:hAnsi="Arial"/>
          <w:noProof/>
          <w:sz w:val="16"/>
          <w:szCs w:val="16"/>
          <w:lang w:val="bg-BG"/>
        </w:rPr>
        <w:t xml:space="preserve">Механизмът използва еврото (EUR) за представяне на своите финансови отчети, което е също така функционалната валута. Освен ако не е посочено друго, финансовата информация, представена в евро, е закръглена до най-близкото хиляда. </w:t>
      </w:r>
    </w:p>
    <w:p>
      <w:pPr>
        <w:spacing w:before="60" w:after="60" w:line="250" w:lineRule="exact"/>
        <w:jc w:val="both"/>
        <w:rPr>
          <w:rFonts w:ascii="Arial" w:hAnsi="Arial"/>
          <w:noProof/>
          <w:sz w:val="16"/>
          <w:szCs w:val="16"/>
          <w:lang w:val="bg-BG"/>
        </w:rPr>
      </w:pPr>
    </w:p>
    <w:p>
      <w:pPr>
        <w:suppressAutoHyphens/>
        <w:spacing w:before="60" w:after="60" w:line="250" w:lineRule="exact"/>
        <w:jc w:val="both"/>
        <w:rPr>
          <w:rFonts w:ascii="Arial" w:hAnsi="Arial"/>
          <w:noProof/>
          <w:sz w:val="16"/>
          <w:szCs w:val="16"/>
          <w:lang w:val="bg-BG" w:eastAsia="ar-SA"/>
        </w:rPr>
      </w:pPr>
      <w:r>
        <w:rPr>
          <w:rFonts w:ascii="Arial" w:hAnsi="Arial" w:cs="Arial"/>
          <w:noProof/>
          <w:sz w:val="16"/>
          <w:szCs w:val="16"/>
          <w:lang w:val="bg-BG" w:eastAsia="ar-SA"/>
        </w:rPr>
        <w:t xml:space="preserve">Операциите в чужда валута се конвертират в евро по валутния курс, който е в сила към деня на операцията. </w:t>
      </w:r>
    </w:p>
    <w:p>
      <w:pPr>
        <w:suppressAutoHyphens/>
        <w:spacing w:before="60" w:after="60" w:line="250" w:lineRule="exact"/>
        <w:jc w:val="both"/>
        <w:rPr>
          <w:rFonts w:ascii="Arial" w:hAnsi="Arial"/>
          <w:noProof/>
          <w:sz w:val="16"/>
          <w:szCs w:val="16"/>
          <w:lang w:val="bg-BG" w:eastAsia="ar-SA"/>
        </w:rPr>
      </w:pPr>
    </w:p>
    <w:p>
      <w:pPr>
        <w:suppressAutoHyphens/>
        <w:spacing w:before="60" w:after="60" w:line="250" w:lineRule="exact"/>
        <w:jc w:val="both"/>
        <w:rPr>
          <w:rFonts w:ascii="Arial" w:hAnsi="Arial"/>
          <w:noProof/>
          <w:sz w:val="16"/>
          <w:szCs w:val="16"/>
          <w:lang w:val="bg-BG" w:eastAsia="ar-SA"/>
        </w:rPr>
      </w:pPr>
      <w:r>
        <w:rPr>
          <w:rFonts w:ascii="Arial" w:hAnsi="Arial" w:cs="Arial"/>
          <w:noProof/>
          <w:sz w:val="16"/>
          <w:szCs w:val="16"/>
          <w:lang w:val="bg-BG" w:eastAsia="ar-SA"/>
        </w:rPr>
        <w:t>Паричните активи и пасиви, изразени във валута, различна от евро, се конвертират в евро по валутния курс, който е в сила към датата на отчета за финансовото състояние. Печалбата или загубата от такова конвертиране се записват в отчета за печалбата или загубата и другия всеобхватен доход.</w:t>
      </w:r>
    </w:p>
    <w:p>
      <w:pPr>
        <w:suppressAutoHyphens/>
        <w:spacing w:before="60" w:after="60" w:line="250" w:lineRule="exact"/>
        <w:jc w:val="both"/>
        <w:rPr>
          <w:rFonts w:ascii="Arial" w:hAnsi="Arial"/>
          <w:noProof/>
          <w:sz w:val="16"/>
          <w:szCs w:val="16"/>
          <w:lang w:val="bg-BG" w:eastAsia="ar-SA"/>
        </w:rPr>
      </w:pPr>
    </w:p>
    <w:p>
      <w:pPr>
        <w:suppressAutoHyphens/>
        <w:spacing w:before="60" w:after="60" w:line="250" w:lineRule="exact"/>
        <w:jc w:val="both"/>
        <w:rPr>
          <w:rFonts w:ascii="Arial" w:hAnsi="Arial"/>
          <w:noProof/>
          <w:sz w:val="16"/>
          <w:szCs w:val="16"/>
          <w:lang w:val="bg-BG" w:eastAsia="ar-SA"/>
        </w:rPr>
      </w:pPr>
      <w:r>
        <w:rPr>
          <w:rFonts w:ascii="Arial" w:hAnsi="Arial" w:cs="Arial"/>
          <w:noProof/>
          <w:sz w:val="16"/>
          <w:szCs w:val="16"/>
          <w:lang w:val="bg-BG" w:eastAsia="ar-SA"/>
        </w:rPr>
        <w:t>Непаричните позиции, измерени по историческа стойност в чужда валута, се конвертират по валутния курс към датите на първоначалните операции. Непаричните позиции, измерени по справедлива стойност в чужда валута, се конвертират по валутния курс към датата на определяне на справедливата стойност.</w:t>
      </w:r>
    </w:p>
    <w:p>
      <w:pPr>
        <w:suppressAutoHyphens/>
        <w:spacing w:before="60" w:after="60" w:line="250" w:lineRule="exact"/>
        <w:jc w:val="both"/>
        <w:rPr>
          <w:rFonts w:ascii="Arial" w:hAnsi="Arial"/>
          <w:noProof/>
          <w:sz w:val="16"/>
          <w:szCs w:val="16"/>
          <w:lang w:val="bg-BG" w:eastAsia="ar-SA"/>
        </w:rPr>
      </w:pPr>
      <w:r>
        <w:rPr>
          <w:rFonts w:ascii="Arial" w:hAnsi="Arial" w:cs="Arial"/>
          <w:noProof/>
          <w:sz w:val="16"/>
          <w:szCs w:val="16"/>
          <w:lang w:val="bg-BG" w:eastAsia="ar-SA"/>
        </w:rPr>
        <w:t>Валутно-курсовите разлики, които се получават при извършване на операции по курсове, различни от курса в деня на операцията, и нереализираните валутно-курсови разлики за неизплатени парични активи и пасиви в чужда валута се признават в отчета за печалбата или загубата и другия всеобхватен доход.</w:t>
      </w:r>
    </w:p>
    <w:p>
      <w:pPr>
        <w:suppressAutoHyphens/>
        <w:spacing w:before="60" w:after="60" w:line="250" w:lineRule="exact"/>
        <w:jc w:val="both"/>
        <w:rPr>
          <w:rFonts w:ascii="Arial" w:hAnsi="Arial" w:cs="Arial"/>
          <w:noProof/>
          <w:sz w:val="16"/>
          <w:szCs w:val="15"/>
          <w:lang w:val="bg-BG" w:eastAsia="ar-SA"/>
        </w:rPr>
      </w:pPr>
    </w:p>
    <w:p>
      <w:pPr>
        <w:numPr>
          <w:ilvl w:val="2"/>
          <w:numId w:val="39"/>
        </w:numPr>
        <w:tabs>
          <w:tab w:val="right" w:pos="-2700"/>
        </w:tabs>
        <w:suppressAutoHyphens/>
        <w:spacing w:before="60" w:line="250" w:lineRule="exact"/>
        <w:ind w:left="357" w:hanging="357"/>
        <w:jc w:val="both"/>
        <w:rPr>
          <w:rFonts w:ascii="Arial" w:hAnsi="Arial"/>
          <w:b/>
          <w:noProof/>
          <w:sz w:val="16"/>
          <w:szCs w:val="16"/>
          <w:lang w:val="bg-BG" w:eastAsia="ar-SA"/>
        </w:rPr>
      </w:pPr>
      <w:r>
        <w:rPr>
          <w:rFonts w:ascii="Arial" w:hAnsi="Arial"/>
          <w:b/>
          <w:noProof/>
          <w:sz w:val="16"/>
          <w:szCs w:val="16"/>
          <w:lang w:val="bg-BG" w:eastAsia="ar-SA"/>
        </w:rPr>
        <w:tab/>
        <w:t>Финансови активи, различни от деривати</w:t>
      </w:r>
    </w:p>
    <w:p>
      <w:pPr>
        <w:tabs>
          <w:tab w:val="right" w:pos="-2700"/>
        </w:tabs>
        <w:suppressAutoHyphens/>
        <w:spacing w:after="60" w:line="250" w:lineRule="exact"/>
        <w:jc w:val="both"/>
        <w:rPr>
          <w:rFonts w:ascii="Arial" w:hAnsi="Arial"/>
          <w:b/>
          <w:noProof/>
          <w:sz w:val="16"/>
          <w:szCs w:val="16"/>
          <w:lang w:val="bg-BG" w:eastAsia="ar-SA"/>
        </w:rPr>
      </w:pPr>
    </w:p>
    <w:p>
      <w:pPr>
        <w:spacing w:line="250" w:lineRule="exact"/>
        <w:jc w:val="both"/>
        <w:rPr>
          <w:rFonts w:ascii="Arial" w:hAnsi="Arial"/>
          <w:noProof/>
          <w:sz w:val="15"/>
          <w:lang w:val="bg-BG"/>
        </w:rPr>
      </w:pPr>
      <w:r>
        <w:rPr>
          <w:rFonts w:ascii="Arial" w:hAnsi="Arial"/>
          <w:noProof/>
          <w:sz w:val="16"/>
          <w:szCs w:val="16"/>
          <w:lang w:val="bg-BG"/>
        </w:rPr>
        <w:t>Недериватните финансови инструменти първоначално се признават, като се използва датата на сетълмента.</w:t>
      </w:r>
    </w:p>
    <w:p>
      <w:pPr>
        <w:tabs>
          <w:tab w:val="right" w:pos="-2700"/>
        </w:tabs>
        <w:suppressAutoHyphens/>
        <w:spacing w:before="60" w:after="60" w:line="250" w:lineRule="exact"/>
        <w:ind w:left="680" w:hanging="680"/>
        <w:jc w:val="both"/>
        <w:rPr>
          <w:rFonts w:ascii="Arial" w:hAnsi="Arial" w:cs="Arial"/>
          <w:noProof/>
          <w:sz w:val="16"/>
          <w:szCs w:val="16"/>
          <w:lang w:val="bg-BG" w:eastAsia="ar-SA"/>
        </w:rPr>
      </w:pPr>
    </w:p>
    <w:p>
      <w:pPr>
        <w:tabs>
          <w:tab w:val="right" w:pos="-2700"/>
        </w:tabs>
        <w:suppressAutoHyphens/>
        <w:spacing w:before="60" w:after="60" w:line="250" w:lineRule="exact"/>
        <w:jc w:val="both"/>
        <w:rPr>
          <w:rFonts w:ascii="Arial" w:hAnsi="Arial" w:cs="Arial"/>
          <w:b/>
          <w:noProof/>
          <w:sz w:val="16"/>
          <w:szCs w:val="16"/>
          <w:lang w:val="bg-BG" w:eastAsia="ar-SA"/>
        </w:rPr>
      </w:pPr>
      <w:r>
        <w:rPr>
          <w:rFonts w:ascii="Arial" w:hAnsi="Arial"/>
          <w:b/>
          <w:noProof/>
          <w:sz w:val="16"/>
          <w:szCs w:val="16"/>
          <w:lang w:val="bg-BG" w:eastAsia="ar-SA"/>
        </w:rPr>
        <w:t>Класификация и оценяване</w:t>
      </w:r>
    </w:p>
    <w:p>
      <w:pPr>
        <w:tabs>
          <w:tab w:val="right" w:pos="-2700"/>
        </w:tabs>
        <w:suppressAutoHyphens/>
        <w:spacing w:before="60" w:after="60" w:line="250" w:lineRule="exact"/>
        <w:jc w:val="both"/>
        <w:rPr>
          <w:rFonts w:ascii="Arial" w:hAnsi="Arial" w:cs="Arial"/>
          <w:noProof/>
          <w:sz w:val="16"/>
          <w:szCs w:val="16"/>
          <w:lang w:val="bg-BG" w:eastAsia="ar-SA"/>
        </w:rPr>
      </w:pPr>
    </w:p>
    <w:p>
      <w:pPr>
        <w:suppressAutoHyphens/>
        <w:spacing w:line="250" w:lineRule="exact"/>
        <w:rPr>
          <w:rFonts w:ascii="Arial" w:hAnsi="Arial" w:cs="Arial"/>
          <w:i/>
          <w:noProof/>
          <w:sz w:val="16"/>
          <w:szCs w:val="16"/>
          <w:lang w:val="bg-BG" w:eastAsia="ar-SA"/>
        </w:rPr>
      </w:pPr>
      <w:r>
        <w:rPr>
          <w:rFonts w:ascii="Arial" w:hAnsi="Arial"/>
          <w:i/>
          <w:noProof/>
          <w:sz w:val="16"/>
          <w:szCs w:val="16"/>
          <w:lang w:val="bg-BG" w:eastAsia="ar-SA"/>
        </w:rPr>
        <w:t xml:space="preserve">Финансови активи </w:t>
      </w:r>
    </w:p>
    <w:p>
      <w:pPr>
        <w:suppressAutoHyphens/>
        <w:spacing w:line="250" w:lineRule="exact"/>
        <w:rPr>
          <w:rFonts w:ascii="Arial" w:hAnsi="Arial" w:cs="Arial"/>
          <w:i/>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При първоначалното признаване финансовите активи се класифицират като оценявани по амортизирана стойност („АС“), по справедлива стойност през друг всеобхватен доход (FVOCI) или по справедлива стойност през печалбата или загубата („FVTPL“), а финансовите пасиви се класифицират като оценявани по АС или FVTPL.</w:t>
      </w:r>
    </w:p>
    <w:p>
      <w:pPr>
        <w:suppressAutoHyphens/>
        <w:spacing w:before="60" w:after="60" w:line="250" w:lineRule="exact"/>
        <w:jc w:val="both"/>
        <w:rPr>
          <w:rFonts w:ascii="Arial" w:hAnsi="Arial" w:cs="Arial"/>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Съгласно МСФО 9 класифицирането започва с определяне дали финансовият актив се счита за дългов или капиталов инструмент. МСФО 9 се позовава на определенията в МСС 32 „Финансови инструменти: представяне“.</w:t>
      </w:r>
    </w:p>
    <w:p>
      <w:pPr>
        <w:suppressAutoHyphens/>
        <w:spacing w:before="60" w:after="60" w:line="250" w:lineRule="exact"/>
        <w:jc w:val="both"/>
        <w:rPr>
          <w:rFonts w:ascii="Arial" w:hAnsi="Arial" w:cs="Arial"/>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Дълговите инструменти са инструменти, които отговарят на определението за финансов пасив от гледна точка на контрагента, като например заеми и дългови ценни книжа, включително облигации, полици или сертификати, издадени от структурирани предприятия, правителства или корпорации.</w:t>
      </w:r>
    </w:p>
    <w:p>
      <w:pPr>
        <w:suppressAutoHyphens/>
        <w:spacing w:before="60" w:after="60" w:line="250" w:lineRule="exact"/>
        <w:jc w:val="both"/>
        <w:rPr>
          <w:rFonts w:ascii="Arial" w:hAnsi="Arial" w:cs="Arial"/>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Дългов инструмент се класифицира по AC, ако отговаря на следните две условия и не е посочен по FVTPL:</w:t>
      </w:r>
    </w:p>
    <w:p>
      <w:pPr>
        <w:suppressAutoHyphens/>
        <w:spacing w:before="60" w:after="60" w:line="250" w:lineRule="exact"/>
        <w:jc w:val="both"/>
        <w:rPr>
          <w:rFonts w:ascii="Arial" w:hAnsi="Arial" w:cs="Arial"/>
          <w:noProof/>
          <w:sz w:val="16"/>
          <w:szCs w:val="16"/>
          <w:lang w:val="bg-BG" w:eastAsia="ar-SA"/>
        </w:rPr>
      </w:pPr>
    </w:p>
    <w:p>
      <w:pPr>
        <w:numPr>
          <w:ilvl w:val="0"/>
          <w:numId w:val="40"/>
        </w:num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активът се държи в рамките на бизнес модел, чиято цел е активите да бъдат държани, за да се събират договорните парични потоци; и</w:t>
      </w:r>
    </w:p>
    <w:p>
      <w:pPr>
        <w:numPr>
          <w:ilvl w:val="0"/>
          <w:numId w:val="40"/>
        </w:num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съгласно договорните условия на финансовия актив на конкретни дати възникват парични потоци, които са единствено плащания по главница и лихва (критерий SPPI).</w:t>
      </w:r>
    </w:p>
    <w:p>
      <w:pPr>
        <w:suppressAutoHyphens/>
        <w:spacing w:before="60" w:after="60" w:line="250" w:lineRule="exact"/>
        <w:ind w:firstLine="720"/>
        <w:jc w:val="both"/>
        <w:rPr>
          <w:rFonts w:ascii="Arial" w:hAnsi="Arial" w:cs="Arial"/>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Дългов инструмент се класифицира по FVOCI само ако отговаря на следните две условия и не е посочен по FVTPL:</w:t>
      </w:r>
    </w:p>
    <w:p>
      <w:pPr>
        <w:suppressAutoHyphens/>
        <w:spacing w:before="60" w:after="60" w:line="250" w:lineRule="exact"/>
        <w:jc w:val="both"/>
        <w:rPr>
          <w:rFonts w:ascii="Arial" w:hAnsi="Arial" w:cs="Arial"/>
          <w:noProof/>
          <w:sz w:val="16"/>
          <w:szCs w:val="16"/>
          <w:lang w:val="bg-BG" w:eastAsia="ar-SA"/>
        </w:rPr>
      </w:pPr>
    </w:p>
    <w:p>
      <w:pPr>
        <w:numPr>
          <w:ilvl w:val="0"/>
          <w:numId w:val="41"/>
        </w:num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активът се държи в рамките на бизнес модел, чиято цел е както събиране на договорни парични потоци, така и продажби на финансови активи, и</w:t>
      </w:r>
    </w:p>
    <w:p>
      <w:pPr>
        <w:numPr>
          <w:ilvl w:val="0"/>
          <w:numId w:val="41"/>
        </w:num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съгласно договорните условия на финансовия актив на конкретни дати възникват парични потоци, които изпълняват критерия SPPI.</w:t>
      </w:r>
    </w:p>
    <w:p>
      <w:pPr>
        <w:suppressAutoHyphens/>
        <w:spacing w:before="60" w:after="60" w:line="250" w:lineRule="exact"/>
        <w:ind w:firstLine="720"/>
        <w:jc w:val="both"/>
        <w:rPr>
          <w:rFonts w:ascii="Arial" w:hAnsi="Arial" w:cs="Arial"/>
          <w:noProof/>
          <w:sz w:val="16"/>
          <w:szCs w:val="16"/>
          <w:lang w:val="bg-BG" w:eastAsia="ar-SA"/>
        </w:rPr>
      </w:pPr>
    </w:p>
    <w:p>
      <w:pPr>
        <w:suppressAutoHyphens/>
        <w:spacing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Горепосочените изисквания следва да се прилагат за цял финансов актив, дори ако съдържа внедрен дериват.</w:t>
      </w:r>
    </w:p>
    <w:p>
      <w:pPr>
        <w:suppressAutoHyphens/>
        <w:spacing w:before="60" w:after="60" w:line="250" w:lineRule="exact"/>
        <w:jc w:val="both"/>
        <w:rPr>
          <w:rFonts w:ascii="Arial" w:hAnsi="Arial" w:cs="Arial"/>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Капиталовите инструменти са инструменти, които отговарят на определението за собствен капитал от гледна точка на емитента, т.е. инструменти, които не съдържат договорно задължение за плащане и които доказват остатъчен дял в нетните активи на емитента. Капиталовите инструменти се оценяват по FVTPL.</w:t>
      </w:r>
    </w:p>
    <w:p>
      <w:pPr>
        <w:suppressAutoHyphens/>
        <w:spacing w:before="60" w:after="60" w:line="250" w:lineRule="exact"/>
        <w:jc w:val="both"/>
        <w:rPr>
          <w:rFonts w:ascii="Arial" w:hAnsi="Arial" w:cs="Arial"/>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 xml:space="preserve">При първоначалното признаване на капиталова инвестиция, която не е държана за търгуване, механизмът може неотменимо да избере да представи последващите промени в друг всеобхватен доход. Този избор се прави за всяка отделна инвестиция. </w:t>
      </w:r>
    </w:p>
    <w:p>
      <w:pPr>
        <w:suppressAutoHyphens/>
        <w:spacing w:before="60" w:after="60" w:line="250" w:lineRule="exact"/>
        <w:jc w:val="both"/>
        <w:rPr>
          <w:rFonts w:ascii="Arial" w:hAnsi="Arial" w:cs="Arial"/>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Всички други финансови активи се класифицират като оценявани по FVTPL.</w:t>
      </w:r>
    </w:p>
    <w:p>
      <w:pPr>
        <w:suppressAutoHyphens/>
        <w:spacing w:before="60" w:after="60" w:line="250" w:lineRule="exact"/>
        <w:jc w:val="both"/>
        <w:rPr>
          <w:rFonts w:ascii="Arial" w:hAnsi="Arial" w:cs="Arial"/>
          <w:noProof/>
          <w:sz w:val="16"/>
          <w:szCs w:val="16"/>
          <w:lang w:val="bg-BG" w:eastAsia="ar-SA"/>
        </w:rPr>
      </w:pPr>
    </w:p>
    <w:p>
      <w:pPr>
        <w:suppressAutoHyphens/>
        <w:spacing w:before="60" w:line="250" w:lineRule="exact"/>
        <w:jc w:val="both"/>
        <w:rPr>
          <w:rFonts w:ascii="Arial" w:hAnsi="Arial" w:cs="Arial"/>
          <w:i/>
          <w:noProof/>
          <w:sz w:val="16"/>
          <w:szCs w:val="16"/>
          <w:lang w:val="bg-BG" w:eastAsia="ar-SA"/>
        </w:rPr>
      </w:pPr>
      <w:r>
        <w:rPr>
          <w:rFonts w:ascii="Arial" w:hAnsi="Arial" w:cs="Arial"/>
          <w:i/>
          <w:noProof/>
          <w:sz w:val="16"/>
          <w:szCs w:val="16"/>
          <w:lang w:val="bg-BG" w:eastAsia="ar-SA"/>
        </w:rPr>
        <w:t>Оценка на бизнес модела</w:t>
      </w:r>
    </w:p>
    <w:p>
      <w:pPr>
        <w:suppressAutoHyphens/>
        <w:spacing w:after="60" w:line="250" w:lineRule="exact"/>
        <w:jc w:val="both"/>
        <w:rPr>
          <w:rFonts w:ascii="Arial" w:hAnsi="Arial" w:cs="Arial"/>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Като ръководител на механизма, ЕИБ извършва оценка на целта на бизнес модела, при който дългов инструмент се държи на равнище портфейл, тъй като това най-добре отразява начина, по който бизнесът се управлява, а на управлението се предоставя информация. Разглежданата информация включва:</w:t>
      </w:r>
    </w:p>
    <w:p>
      <w:pPr>
        <w:numPr>
          <w:ilvl w:val="0"/>
          <w:numId w:val="42"/>
        </w:num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обявените политики и цели за портфейла и функционирането на тези политики на практика. По-специално, дали стратегията на ръководството е насочена към получаване на приходи от договорни лихви, като поддържа специален профил на лихвените проценти, при който срокът на финансовите активи съвпада със срока на пасивите, които финансират тези активи, или реализира парични потоци чрез продажбата на активите;</w:t>
      </w:r>
    </w:p>
    <w:p>
      <w:pPr>
        <w:numPr>
          <w:ilvl w:val="0"/>
          <w:numId w:val="42"/>
        </w:num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как резултатите на портфейла се оценяват и отчитат пред ръководството на механизма;</w:t>
      </w:r>
    </w:p>
    <w:p>
      <w:pPr>
        <w:numPr>
          <w:ilvl w:val="0"/>
          <w:numId w:val="42"/>
        </w:num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рисковете, които засягат изпълнението на бизнес модела (и финансовите активи, държани в рамките на този бизнес модел), и как тези рискове се управляват; и</w:t>
      </w:r>
    </w:p>
    <w:p>
      <w:pPr>
        <w:numPr>
          <w:ilvl w:val="0"/>
          <w:numId w:val="42"/>
        </w:num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 xml:space="preserve">честотата, обема и времето на извършване на продажбите в предходни периоди, причините за тези продажби и очакванията за бъдещи продажби. </w:t>
      </w: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Информацията за продажбите обаче не се разглежда отделно, а като част от цялостна оценка на начина, по който се постига обявената от механизма цел за управление на финансовите активи, и на начина, по който се реализират паричните потоци.</w:t>
      </w:r>
    </w:p>
    <w:p>
      <w:pPr>
        <w:suppressAutoHyphens/>
        <w:spacing w:before="60" w:after="60" w:line="250" w:lineRule="exact"/>
        <w:jc w:val="both"/>
        <w:rPr>
          <w:rFonts w:ascii="Arial" w:hAnsi="Arial" w:cs="Arial"/>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Бизнес моделът за операциите по отпускане на преки заеми в рамките на пакета за социално и отговорно финансиране е променен съгласно описанието в бележка 7 и бележка 24.</w:t>
      </w:r>
    </w:p>
    <w:p>
      <w:pPr>
        <w:spacing w:line="250" w:lineRule="exact"/>
        <w:rPr>
          <w:rFonts w:ascii="Arial" w:hAnsi="Arial" w:cs="Arial"/>
          <w:i/>
          <w:noProof/>
          <w:sz w:val="16"/>
          <w:szCs w:val="16"/>
          <w:lang w:val="bg-BG"/>
        </w:rPr>
      </w:pPr>
      <w:r>
        <w:rPr>
          <w:rFonts w:ascii="Arial" w:hAnsi="Arial"/>
          <w:i/>
          <w:noProof/>
          <w:sz w:val="16"/>
          <w:szCs w:val="16"/>
          <w:lang w:val="bg-BG"/>
        </w:rPr>
        <w:t>Критерий единствено плащания по главница и лихва (SPPI)</w:t>
      </w:r>
    </w:p>
    <w:p>
      <w:pPr>
        <w:suppressAutoHyphens/>
        <w:spacing w:after="60" w:line="250" w:lineRule="exact"/>
        <w:jc w:val="both"/>
        <w:rPr>
          <w:rFonts w:ascii="Arial" w:hAnsi="Arial" w:cs="Arial"/>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За целите на тази оценка „главница“ се определя като справедливата стойност на дълговия инструмент при първоначалното признаване. Понятието „лихва“ се определя като възнаграждение за стойността на парите във времето и за кредитния риск, свързан с непогасената главница през определен период от време, както и за други основни рискове и разходи по кредитирането (напр. ликвиден риск и административни разходи), както и марж на печалбата.</w:t>
      </w:r>
    </w:p>
    <w:p>
      <w:pPr>
        <w:suppressAutoHyphens/>
        <w:spacing w:before="60" w:after="60" w:line="250" w:lineRule="exact"/>
        <w:jc w:val="both"/>
        <w:rPr>
          <w:rFonts w:ascii="Arial" w:hAnsi="Arial" w:cs="Arial"/>
          <w:noProof/>
          <w:sz w:val="16"/>
          <w:szCs w:val="16"/>
          <w:lang w:val="bg-BG" w:eastAsia="ar-SA"/>
        </w:rPr>
      </w:pPr>
    </w:p>
    <w:p>
      <w:pPr>
        <w:suppressAutoHyphens/>
        <w:spacing w:before="60" w:after="60" w:line="250" w:lineRule="exact"/>
        <w:jc w:val="both"/>
        <w:rPr>
          <w:rFonts w:ascii="Arial" w:hAnsi="Arial" w:cs="Arial"/>
          <w:noProof/>
          <w:sz w:val="16"/>
          <w:szCs w:val="16"/>
          <w:lang w:val="bg-BG" w:eastAsia="ar-SA"/>
        </w:rPr>
      </w:pPr>
      <w:r>
        <w:rPr>
          <w:rFonts w:ascii="Arial" w:hAnsi="Arial" w:cs="Arial"/>
          <w:noProof/>
          <w:sz w:val="16"/>
          <w:szCs w:val="16"/>
          <w:lang w:val="bg-BG" w:eastAsia="ar-SA"/>
        </w:rPr>
        <w:t>При оценката на това дали договорните парични потоци представляват единствено плащания по главница и лихва, се вземат предвид договорните условия на инструмента. Това включва оценка дали финансовият актив съдържа договорно условие, което би могло да промени сроковете или размера на договорните парични потоци по такъв начин, че активът вече да не отговаря на това условие.</w:t>
      </w:r>
    </w:p>
    <w:p>
      <w:pPr>
        <w:suppressAutoHyphens/>
        <w:spacing w:before="60" w:after="60" w:line="250" w:lineRule="exact"/>
        <w:jc w:val="both"/>
        <w:rPr>
          <w:rFonts w:ascii="Arial" w:hAnsi="Arial" w:cs="Arial"/>
          <w:i/>
          <w:noProof/>
          <w:sz w:val="16"/>
          <w:szCs w:val="16"/>
          <w:lang w:val="bg-BG" w:eastAsia="ar-SA"/>
        </w:rPr>
      </w:pPr>
    </w:p>
    <w:p>
      <w:pPr>
        <w:suppressAutoHyphens/>
        <w:spacing w:before="60" w:line="250" w:lineRule="exact"/>
        <w:jc w:val="both"/>
        <w:rPr>
          <w:rFonts w:ascii="Arial" w:hAnsi="Arial" w:cs="Arial"/>
          <w:i/>
          <w:noProof/>
          <w:sz w:val="16"/>
          <w:szCs w:val="16"/>
          <w:lang w:val="bg-BG" w:eastAsia="ar-SA"/>
        </w:rPr>
      </w:pPr>
      <w:r>
        <w:rPr>
          <w:rFonts w:ascii="Arial" w:hAnsi="Arial" w:cs="Arial"/>
          <w:i/>
          <w:noProof/>
          <w:sz w:val="16"/>
          <w:szCs w:val="16"/>
          <w:lang w:val="bg-BG" w:eastAsia="ar-SA"/>
        </w:rPr>
        <w:t>Отписване</w:t>
      </w:r>
    </w:p>
    <w:p>
      <w:pPr>
        <w:suppressAutoHyphens/>
        <w:spacing w:after="60" w:line="250" w:lineRule="exact"/>
        <w:jc w:val="both"/>
        <w:rPr>
          <w:rFonts w:ascii="Arial" w:hAnsi="Arial" w:cs="Arial"/>
          <w:i/>
          <w:noProof/>
          <w:sz w:val="16"/>
          <w:szCs w:val="16"/>
          <w:lang w:val="bg-BG" w:eastAsia="ar-SA"/>
        </w:rPr>
      </w:pPr>
    </w:p>
    <w:p>
      <w:pPr>
        <w:tabs>
          <w:tab w:val="left" w:pos="1560"/>
        </w:tabs>
        <w:spacing w:before="60" w:after="60" w:line="250" w:lineRule="exact"/>
        <w:jc w:val="both"/>
        <w:rPr>
          <w:noProof/>
          <w:sz w:val="16"/>
          <w:szCs w:val="16"/>
          <w:lang w:val="bg-BG" w:eastAsia="ar-SA"/>
        </w:rPr>
      </w:pPr>
      <w:r>
        <w:rPr>
          <w:rFonts w:ascii="Arial" w:hAnsi="Arial"/>
          <w:noProof/>
          <w:sz w:val="16"/>
          <w:szCs w:val="16"/>
          <w:lang w:val="bg-BG" w:eastAsia="ar-SA"/>
        </w:rPr>
        <w:t>Механизмът отписва финансов актив, когато изтекат договорните права върху паричните потоци от финансовия актив или правата за получаване на договорните парични потоци се прехвърлят чрез сделка, при която механизмът или прехвърля рисковете и ползите от собствеността върху финансовия актив, или запазва по същество всички рискове и ползи от собствеността, но не запазва контрола върху финансовия актив.</w:t>
      </w:r>
    </w:p>
    <w:p>
      <w:pPr>
        <w:tabs>
          <w:tab w:val="left" w:pos="1560"/>
        </w:tabs>
        <w:spacing w:before="60" w:after="60" w:line="250" w:lineRule="exact"/>
        <w:jc w:val="both"/>
        <w:rPr>
          <w:rFonts w:ascii="Arial" w:hAnsi="Arial"/>
          <w:noProof/>
          <w:sz w:val="16"/>
          <w:szCs w:val="16"/>
          <w:lang w:val="bg-BG" w:eastAsia="ar-SA"/>
        </w:rPr>
      </w:pPr>
    </w:p>
    <w:p>
      <w:pPr>
        <w:suppressAutoHyphens/>
        <w:spacing w:line="250" w:lineRule="exact"/>
        <w:jc w:val="both"/>
        <w:rPr>
          <w:rFonts w:ascii="Arial" w:hAnsi="Arial" w:cs="Arial"/>
          <w:noProof/>
          <w:sz w:val="16"/>
          <w:szCs w:val="16"/>
          <w:lang w:val="bg-BG" w:eastAsia="ar-SA"/>
        </w:rPr>
      </w:pPr>
      <w:r>
        <w:rPr>
          <w:rFonts w:ascii="Arial" w:hAnsi="Arial"/>
          <w:noProof/>
          <w:sz w:val="16"/>
          <w:szCs w:val="16"/>
          <w:lang w:val="bg-BG" w:eastAsia="ar-SA"/>
        </w:rPr>
        <w:t>При отписване на финансов актив или финансов пасив (бележка 2.4.4) разликата между балансовата стойност на актива или пасива (или балансовата стойност, разпределена за частта от отписания актив или пасив) и сумата от i) полученото или платено възнаграждение и ii) всяка кумулативна печалба или загуба, която е била призната в друг всеобхватен доход, се признава в печалбата или загубата, с изключение на кумулативните печалби или загуби, признати в друг всеобхватен доход за капиталови инвестиции, отчетени по справедлива стойност в друг всеобхватен доход, които са прехвърлени в резервния фонд, а не в печалбата или загубата при освобождаване.</w:t>
      </w:r>
    </w:p>
    <w:p>
      <w:pPr>
        <w:suppressAutoHyphens/>
        <w:spacing w:before="60" w:after="60" w:line="250" w:lineRule="exact"/>
        <w:jc w:val="both"/>
        <w:rPr>
          <w:rFonts w:ascii="Arial" w:hAnsi="Arial" w:cs="Arial"/>
          <w:noProof/>
          <w:sz w:val="16"/>
          <w:szCs w:val="16"/>
          <w:lang w:val="bg-BG" w:eastAsia="ar-SA"/>
        </w:rPr>
      </w:pPr>
    </w:p>
    <w:p>
      <w:pPr>
        <w:suppressAutoHyphens/>
        <w:spacing w:line="250" w:lineRule="exact"/>
        <w:rPr>
          <w:rFonts w:cs="Arial"/>
          <w:i/>
          <w:noProof/>
          <w:lang w:val="bg-BG" w:eastAsia="ar-SA"/>
        </w:rPr>
      </w:pPr>
      <w:r>
        <w:rPr>
          <w:rFonts w:ascii="Arial" w:hAnsi="Arial"/>
          <w:i/>
          <w:noProof/>
          <w:sz w:val="16"/>
          <w:szCs w:val="16"/>
          <w:lang w:val="bg-BG" w:eastAsia="ar-SA"/>
        </w:rPr>
        <w:t>Прекласификация</w:t>
      </w:r>
    </w:p>
    <w:p>
      <w:pPr>
        <w:tabs>
          <w:tab w:val="left" w:pos="1560"/>
        </w:tabs>
        <w:spacing w:after="60" w:line="250" w:lineRule="exact"/>
        <w:jc w:val="both"/>
        <w:rPr>
          <w:rFonts w:ascii="Arial" w:hAnsi="Arial"/>
          <w:noProof/>
          <w:sz w:val="16"/>
          <w:szCs w:val="16"/>
          <w:lang w:val="bg-BG" w:eastAsia="ar-SA"/>
        </w:rPr>
      </w:pPr>
    </w:p>
    <w:p>
      <w:pPr>
        <w:tabs>
          <w:tab w:val="left" w:pos="1560"/>
        </w:tabs>
        <w:spacing w:before="60" w:after="60" w:line="250" w:lineRule="exact"/>
        <w:jc w:val="both"/>
        <w:rPr>
          <w:rFonts w:ascii="Arial" w:hAnsi="Arial"/>
          <w:noProof/>
          <w:sz w:val="16"/>
          <w:szCs w:val="16"/>
          <w:lang w:val="bg-BG" w:eastAsia="ar-SA"/>
        </w:rPr>
      </w:pPr>
      <w:r>
        <w:rPr>
          <w:rFonts w:ascii="Arial" w:hAnsi="Arial"/>
          <w:noProof/>
          <w:sz w:val="16"/>
          <w:szCs w:val="16"/>
          <w:lang w:val="bg-BG" w:eastAsia="ar-SA"/>
        </w:rPr>
        <w:t>Финансовите активи не се прекласифицират след първоначалното им признаване, освен в периода след промяната от страна на механизмът на неговия бизнес модел за управление на финансовите активи.</w:t>
      </w:r>
    </w:p>
    <w:p>
      <w:pPr>
        <w:tabs>
          <w:tab w:val="left" w:pos="1560"/>
        </w:tabs>
        <w:spacing w:before="60" w:after="60" w:line="250" w:lineRule="exact"/>
        <w:jc w:val="both"/>
        <w:rPr>
          <w:rFonts w:ascii="Arial" w:hAnsi="Arial"/>
          <w:noProof/>
          <w:sz w:val="16"/>
          <w:szCs w:val="16"/>
          <w:lang w:val="bg-BG" w:eastAsia="ar-SA"/>
        </w:rPr>
      </w:pPr>
    </w:p>
    <w:p>
      <w:pPr>
        <w:suppressAutoHyphens/>
        <w:spacing w:line="250" w:lineRule="exact"/>
        <w:rPr>
          <w:rFonts w:ascii="Arial" w:hAnsi="Arial" w:cs="Arial"/>
          <w:i/>
          <w:noProof/>
          <w:sz w:val="16"/>
          <w:szCs w:val="16"/>
          <w:lang w:val="bg-BG" w:eastAsia="ar-SA"/>
        </w:rPr>
      </w:pPr>
      <w:r>
        <w:rPr>
          <w:rFonts w:ascii="Arial" w:hAnsi="Arial"/>
          <w:i/>
          <w:noProof/>
          <w:sz w:val="16"/>
          <w:szCs w:val="16"/>
          <w:lang w:val="bg-BG" w:eastAsia="ar-SA"/>
        </w:rPr>
        <w:t xml:space="preserve">Изменение </w:t>
      </w:r>
    </w:p>
    <w:p>
      <w:pPr>
        <w:suppressAutoHyphens/>
        <w:spacing w:line="250" w:lineRule="exact"/>
        <w:rPr>
          <w:rFonts w:ascii="Arial" w:hAnsi="Arial" w:cs="Arial"/>
          <w:i/>
          <w:noProof/>
          <w:sz w:val="16"/>
          <w:szCs w:val="16"/>
          <w:lang w:val="bg-BG" w:eastAsia="ar-SA"/>
        </w:rPr>
      </w:pPr>
    </w:p>
    <w:p>
      <w:pPr>
        <w:tabs>
          <w:tab w:val="left" w:pos="1560"/>
        </w:tabs>
        <w:spacing w:before="60" w:after="60" w:line="250" w:lineRule="exact"/>
        <w:jc w:val="both"/>
        <w:rPr>
          <w:rFonts w:ascii="Arial" w:hAnsi="Arial"/>
          <w:noProof/>
          <w:sz w:val="16"/>
          <w:szCs w:val="16"/>
          <w:lang w:val="bg-BG" w:eastAsia="ar-SA"/>
        </w:rPr>
      </w:pPr>
      <w:r>
        <w:rPr>
          <w:rFonts w:ascii="Arial" w:hAnsi="Arial"/>
          <w:noProof/>
          <w:sz w:val="16"/>
          <w:szCs w:val="16"/>
          <w:lang w:val="bg-BG" w:eastAsia="ar-SA"/>
        </w:rPr>
        <w:t>Финансов актив, оценяван по амортизирана стойност, се счита за изменен, когато неговите договорни парични потоци са предоговорени или изменени по друг начин. Предоговарянето или изменението може да доведе или да не доведе до отписване на стария и до признаване на новия финансов инструмент.</w:t>
      </w:r>
    </w:p>
    <w:p>
      <w:pPr>
        <w:tabs>
          <w:tab w:val="left" w:pos="1560"/>
        </w:tabs>
        <w:spacing w:before="60" w:after="60" w:line="250" w:lineRule="exact"/>
        <w:jc w:val="both"/>
        <w:rPr>
          <w:rFonts w:ascii="Arial" w:hAnsi="Arial"/>
          <w:noProof/>
          <w:sz w:val="16"/>
          <w:szCs w:val="16"/>
          <w:lang w:val="bg-BG" w:eastAsia="ar-SA"/>
        </w:rPr>
      </w:pPr>
    </w:p>
    <w:p>
      <w:pPr>
        <w:tabs>
          <w:tab w:val="left" w:pos="1560"/>
        </w:tabs>
        <w:spacing w:before="60" w:after="60" w:line="250" w:lineRule="exact"/>
        <w:jc w:val="both"/>
        <w:rPr>
          <w:rFonts w:ascii="Arial" w:hAnsi="Arial"/>
          <w:noProof/>
          <w:sz w:val="16"/>
          <w:szCs w:val="16"/>
          <w:lang w:val="bg-BG" w:eastAsia="ar-SA"/>
        </w:rPr>
      </w:pPr>
      <w:r>
        <w:rPr>
          <w:rFonts w:ascii="Arial" w:hAnsi="Arial"/>
          <w:noProof/>
          <w:sz w:val="16"/>
          <w:szCs w:val="16"/>
          <w:lang w:val="bg-BG" w:eastAsia="ar-SA"/>
        </w:rPr>
        <w:t>Съществено договорно изменение на паричните потоци на финансов актив, оценен по амортизирана стойност, което води до отписването на финансовия актив, води до признаването на новия финансов актив по неговата справедлива стойност и вписването на отражението на изменението върху печалбата или загубата в консолидирания отчет за приходите по „Резултат от финансовите операции“.</w:t>
      </w:r>
    </w:p>
    <w:p>
      <w:pPr>
        <w:tabs>
          <w:tab w:val="left" w:pos="1560"/>
        </w:tabs>
        <w:spacing w:before="60" w:after="60" w:line="250" w:lineRule="exact"/>
        <w:jc w:val="both"/>
        <w:rPr>
          <w:rFonts w:ascii="Arial" w:hAnsi="Arial"/>
          <w:noProof/>
          <w:sz w:val="16"/>
          <w:szCs w:val="16"/>
          <w:lang w:val="bg-BG" w:eastAsia="ar-SA"/>
        </w:rPr>
      </w:pPr>
    </w:p>
    <w:p>
      <w:pPr>
        <w:widowControl w:val="0"/>
        <w:suppressAutoHyphens/>
        <w:autoSpaceDE w:val="0"/>
        <w:spacing w:before="60" w:line="250" w:lineRule="exact"/>
        <w:jc w:val="both"/>
        <w:rPr>
          <w:rFonts w:ascii="Arial" w:hAnsi="Arial"/>
          <w:i/>
          <w:noProof/>
          <w:sz w:val="16"/>
          <w:szCs w:val="16"/>
          <w:lang w:val="bg-BG" w:eastAsia="ar-SA"/>
        </w:rPr>
      </w:pPr>
      <w:r>
        <w:rPr>
          <w:rFonts w:ascii="Arial" w:hAnsi="Arial"/>
          <w:i/>
          <w:noProof/>
          <w:sz w:val="16"/>
          <w:szCs w:val="16"/>
          <w:lang w:val="bg-BG" w:eastAsia="ar-SA"/>
        </w:rPr>
        <w:t>Измерване на справедливите стойности на финансовите инструменти</w:t>
      </w:r>
    </w:p>
    <w:p>
      <w:pPr>
        <w:widowControl w:val="0"/>
        <w:suppressAutoHyphens/>
        <w:autoSpaceDE w:val="0"/>
        <w:spacing w:after="60" w:line="250" w:lineRule="exact"/>
        <w:jc w:val="both"/>
        <w:rPr>
          <w:rFonts w:ascii="Arial" w:hAnsi="Arial"/>
          <w:i/>
          <w:noProof/>
          <w:sz w:val="16"/>
          <w:szCs w:val="16"/>
          <w:lang w:val="bg-BG" w:eastAsia="ar-SA"/>
        </w:rPr>
      </w:pPr>
    </w:p>
    <w:p>
      <w:pPr>
        <w:tabs>
          <w:tab w:val="left" w:pos="1560"/>
        </w:tabs>
        <w:spacing w:before="60" w:after="60" w:line="250" w:lineRule="exact"/>
        <w:jc w:val="both"/>
        <w:rPr>
          <w:rFonts w:ascii="Arial" w:hAnsi="Arial"/>
          <w:noProof/>
          <w:sz w:val="16"/>
          <w:szCs w:val="16"/>
          <w:lang w:val="bg-BG" w:eastAsia="ar-SA"/>
        </w:rPr>
      </w:pPr>
      <w:r>
        <w:rPr>
          <w:rFonts w:ascii="Arial" w:hAnsi="Arial"/>
          <w:noProof/>
          <w:sz w:val="16"/>
          <w:szCs w:val="16"/>
          <w:lang w:val="bg-BG" w:eastAsia="ar-SA"/>
        </w:rPr>
        <w:t xml:space="preserve">Справедливата стойност е цената, която ще бъде получена за продажбата на актив или платена за прехвърлянето на пасив в обичайна сделка между пазарни участници към датата на оценяване на главницата, или при липса на такава — на най-изгодния пазар, до който механизмът има достъп към тази дата. </w:t>
      </w:r>
    </w:p>
    <w:p>
      <w:pPr>
        <w:tabs>
          <w:tab w:val="left" w:pos="1560"/>
        </w:tabs>
        <w:spacing w:before="60" w:after="60" w:line="250" w:lineRule="exact"/>
        <w:jc w:val="both"/>
        <w:rPr>
          <w:rFonts w:ascii="Arial" w:hAnsi="Arial"/>
          <w:noProof/>
          <w:sz w:val="16"/>
          <w:szCs w:val="16"/>
          <w:lang w:val="bg-BG" w:eastAsia="ar-SA"/>
        </w:rPr>
      </w:pPr>
    </w:p>
    <w:p>
      <w:pPr>
        <w:tabs>
          <w:tab w:val="left" w:pos="1560"/>
        </w:tabs>
        <w:spacing w:before="60" w:after="60" w:line="250" w:lineRule="exact"/>
        <w:jc w:val="both"/>
        <w:rPr>
          <w:rFonts w:ascii="Arial" w:hAnsi="Arial"/>
          <w:noProof/>
          <w:sz w:val="16"/>
          <w:szCs w:val="16"/>
          <w:lang w:val="bg-BG" w:eastAsia="ar-SA"/>
        </w:rPr>
      </w:pPr>
      <w:r>
        <w:rPr>
          <w:rFonts w:ascii="Arial" w:hAnsi="Arial"/>
          <w:noProof/>
          <w:sz w:val="16"/>
          <w:szCs w:val="16"/>
          <w:lang w:val="bg-BG" w:eastAsia="ar-SA"/>
        </w:rPr>
        <w:t>Когато е приложимо, ЕИБ от името на механизма измерва справедливата стойност на даден инструмент, като използва обявената за този инструмент цена на действащ пазар. Даден пазар се смята за действащ, ако се извършват сделки за активи или пасиви с достатъчна честота и обем, така че да се осигурява непрекъсната ценова информация.</w:t>
      </w:r>
    </w:p>
    <w:p>
      <w:pPr>
        <w:tabs>
          <w:tab w:val="left" w:pos="1560"/>
        </w:tabs>
        <w:spacing w:before="60" w:after="60" w:line="250" w:lineRule="exact"/>
        <w:jc w:val="both"/>
        <w:rPr>
          <w:rFonts w:ascii="Arial" w:hAnsi="Arial"/>
          <w:noProof/>
          <w:sz w:val="16"/>
          <w:szCs w:val="16"/>
          <w:lang w:val="bg-BG" w:eastAsia="ar-SA"/>
        </w:rPr>
      </w:pPr>
    </w:p>
    <w:p>
      <w:pPr>
        <w:tabs>
          <w:tab w:val="left" w:pos="1560"/>
        </w:tabs>
        <w:spacing w:before="60" w:after="60" w:line="250" w:lineRule="exact"/>
        <w:jc w:val="both"/>
        <w:rPr>
          <w:rFonts w:ascii="Arial" w:hAnsi="Arial"/>
          <w:noProof/>
          <w:spacing w:val="-4"/>
          <w:sz w:val="16"/>
          <w:szCs w:val="16"/>
          <w:lang w:val="bg-BG" w:eastAsia="ar-SA"/>
        </w:rPr>
      </w:pPr>
      <w:r>
        <w:rPr>
          <w:rFonts w:ascii="Arial" w:hAnsi="Arial"/>
          <w:noProof/>
          <w:spacing w:val="-4"/>
          <w:sz w:val="16"/>
          <w:szCs w:val="16"/>
          <w:lang w:val="bg-BG" w:eastAsia="ar-SA"/>
        </w:rPr>
        <w:t>Когато справедливата стойност на финансовите активи и пасиви, вписани в отчета за финансовото състояние, не може да бъде установена от действащите пазари, тя се определя с помощта на редица техники за оценка, в това число чрез използване на математически модели. При възможност данните за тези модели се вземат от наблюдаваните пазари, но ако това не е осъществимо, се налага определена степен на преценяване при установяване на справедливите стойности. Избраният модел за остойностяване включва всички фактори, които участниците на пазара биха взели предвид при определянето на цената на сделката.</w:t>
      </w:r>
    </w:p>
    <w:p>
      <w:pPr>
        <w:widowControl w:val="0"/>
        <w:suppressAutoHyphens/>
        <w:autoSpaceDE w:val="0"/>
        <w:spacing w:before="60" w:after="60" w:line="250" w:lineRule="exact"/>
        <w:jc w:val="both"/>
        <w:rPr>
          <w:rFonts w:ascii="Arial" w:hAnsi="Arial"/>
          <w:noProof/>
          <w:sz w:val="16"/>
          <w:szCs w:val="16"/>
          <w:lang w:val="bg-BG" w:eastAsia="ar-SA"/>
        </w:rPr>
      </w:pPr>
    </w:p>
    <w:p>
      <w:pPr>
        <w:widowControl w:val="0"/>
        <w:suppressAutoHyphens/>
        <w:autoSpaceDE w:val="0"/>
        <w:spacing w:before="60" w:after="60" w:line="250" w:lineRule="exact"/>
        <w:jc w:val="both"/>
        <w:rPr>
          <w:rFonts w:ascii="Arial" w:hAnsi="Arial"/>
          <w:noProof/>
          <w:sz w:val="16"/>
          <w:szCs w:val="16"/>
          <w:lang w:val="bg-BG" w:eastAsia="ar-SA"/>
        </w:rPr>
      </w:pPr>
      <w:r>
        <w:rPr>
          <w:rFonts w:ascii="Arial" w:hAnsi="Arial"/>
          <w:noProof/>
          <w:sz w:val="16"/>
          <w:szCs w:val="16"/>
          <w:lang w:val="bg-BG" w:eastAsia="ar-SA"/>
        </w:rPr>
        <w:t>Тези методи за остойностяване могат да включват модели за нетната настояща стойност и дисконтирания паричен поток, сравнение със сходни инструменти, за които съществуват наблюдаеми пазарни цени, модела на ценообразуване Блек-Шоулс, модела за полиномните опции и други модели за оценка. Допусканията и данните, използвани в методите за остойностяване, включват безрискови и референтни лихвени проценти, кредитни спредове, използвани при оценяването на дисконтовите проценти, цените на облигациите и ценните книжа, валутните курсове, цените на собствения капитал и индекса на собствения капитал и очакваните ценови колебания и корелации.</w:t>
      </w:r>
    </w:p>
    <w:p>
      <w:pPr>
        <w:widowControl w:val="0"/>
        <w:suppressAutoHyphens/>
        <w:autoSpaceDE w:val="0"/>
        <w:spacing w:before="60" w:after="60" w:line="250" w:lineRule="exact"/>
        <w:jc w:val="both"/>
        <w:rPr>
          <w:rFonts w:ascii="Arial" w:hAnsi="Arial"/>
          <w:noProof/>
          <w:sz w:val="16"/>
          <w:szCs w:val="16"/>
          <w:lang w:val="bg-BG" w:eastAsia="ar-SA"/>
        </w:rPr>
      </w:pPr>
    </w:p>
    <w:p>
      <w:pPr>
        <w:widowControl w:val="0"/>
        <w:suppressAutoHyphens/>
        <w:autoSpaceDE w:val="0"/>
        <w:spacing w:before="60" w:after="60" w:line="250" w:lineRule="exact"/>
        <w:jc w:val="both"/>
        <w:rPr>
          <w:rFonts w:ascii="Arial" w:hAnsi="Arial"/>
          <w:noProof/>
          <w:sz w:val="16"/>
          <w:szCs w:val="16"/>
          <w:lang w:val="bg-BG" w:eastAsia="ar-SA"/>
        </w:rPr>
      </w:pPr>
      <w:r>
        <w:rPr>
          <w:rFonts w:ascii="Arial" w:hAnsi="Arial"/>
          <w:noProof/>
          <w:sz w:val="16"/>
          <w:szCs w:val="16"/>
          <w:lang w:val="bg-BG" w:eastAsia="ar-SA"/>
        </w:rPr>
        <w:t>Целта на методите за остойностяване е да се достигне до справедлива стойност, която отразява цената, която би била получена за продажбата на актив или платена при прехвърлянето на пасив в обичайна сделка между пазарни участници към датата на оценяване.</w:t>
      </w:r>
    </w:p>
    <w:p>
      <w:pPr>
        <w:rPr>
          <w:rFonts w:ascii="Arial" w:hAnsi="Arial"/>
          <w:noProof/>
          <w:sz w:val="16"/>
          <w:szCs w:val="16"/>
          <w:lang w:val="bg-BG" w:eastAsia="ar-SA"/>
        </w:rPr>
      </w:pPr>
      <w:r>
        <w:rPr>
          <w:rFonts w:ascii="Arial" w:hAnsi="Arial"/>
          <w:noProof/>
          <w:sz w:val="16"/>
          <w:szCs w:val="16"/>
          <w:lang w:val="bg-BG" w:eastAsia="ar-SA"/>
        </w:rPr>
        <w:br w:type="page"/>
      </w:r>
    </w:p>
    <w:p>
      <w:pPr>
        <w:widowControl w:val="0"/>
        <w:suppressAutoHyphens/>
        <w:autoSpaceDE w:val="0"/>
        <w:spacing w:before="60" w:after="60"/>
        <w:jc w:val="both"/>
        <w:rPr>
          <w:rFonts w:ascii="Arial" w:hAnsi="Arial"/>
          <w:noProof/>
          <w:sz w:val="16"/>
          <w:szCs w:val="16"/>
          <w:lang w:val="bg-BG" w:eastAsia="ar-SA"/>
        </w:rPr>
      </w:pPr>
      <w:r>
        <w:rPr>
          <w:rFonts w:ascii="Arial" w:hAnsi="Arial"/>
          <w:noProof/>
          <w:sz w:val="16"/>
          <w:szCs w:val="16"/>
          <w:lang w:val="bg-BG" w:eastAsia="ar-SA"/>
        </w:rPr>
        <w:t>Механизмът използва широко признати модели за остойностяване за определяне на справедливата стойност на общи и по-опростени финансови инструменти, като лихвени и валутни суапове, които използват само наблюдаеми пазарни данни и изискват ограничена управленска преценка и прогноза. Наблюдаемите цени и данните за модела обикновено са налични на пазара за котирани дългови и капиталови ценни книжа, търгувани на борсата деривати и прости извънборсови дериватни инструменти, като например лихвени суапове. Наличността на наблюдаемите пазарни цени и данни за модела намалява необходимостта от управленска преценка и прогноза и също намалява несигурността при определяне на справедливите стойности. Наличността на наблюдаемите пазарни цени и данни варира в зависимост от продуктите и пазарите и има тенденция да се променя под влияние на конкретни събития и общите условия на финансовите пазари.</w:t>
      </w:r>
    </w:p>
    <w:p>
      <w:pPr>
        <w:widowControl w:val="0"/>
        <w:suppressAutoHyphens/>
        <w:autoSpaceDE w:val="0"/>
        <w:spacing w:before="60" w:after="60"/>
        <w:jc w:val="both"/>
        <w:rPr>
          <w:rFonts w:ascii="Arial" w:hAnsi="Arial"/>
          <w:noProof/>
          <w:sz w:val="16"/>
          <w:szCs w:val="16"/>
          <w:lang w:val="bg-BG" w:eastAsia="ar-SA"/>
        </w:rPr>
      </w:pPr>
    </w:p>
    <w:p>
      <w:pPr>
        <w:widowControl w:val="0"/>
        <w:suppressAutoHyphens/>
        <w:autoSpaceDE w:val="0"/>
        <w:spacing w:before="60" w:after="60"/>
        <w:jc w:val="both"/>
        <w:rPr>
          <w:rFonts w:ascii="Arial" w:hAnsi="Arial"/>
          <w:noProof/>
          <w:sz w:val="16"/>
          <w:szCs w:val="16"/>
          <w:lang w:val="bg-BG" w:eastAsia="ar-SA"/>
        </w:rPr>
      </w:pPr>
      <w:r>
        <w:rPr>
          <w:rFonts w:ascii="Arial" w:hAnsi="Arial"/>
          <w:noProof/>
          <w:sz w:val="16"/>
          <w:szCs w:val="16"/>
          <w:lang w:val="bg-BG" w:eastAsia="ar-SA"/>
        </w:rPr>
        <w:t>При по-сложните инструменти механизмът използва собствени модели за остойностяване, които са разработени от признати модели за оценка. Възможно е някои или всички значими данни в тези модели да не са наблюдаеми на пазара, а да са получени от пазарни цени или проценти или да са определени приблизително въз основа на предположения. Примери за инструменти, включващи значими ненаблюдаеми данни, са някои заеми и гаранции, за които няма действащ пазар. Моделите за остойностяване, които използват значими ненаблюдаеми данни, изискват по-висока степен на управленска преценка и прогноза при определянето на справедливата стойност. Управленска преценка и оценка обикновено се изискват при избора на подходящ модел за остойностяване, при определяне на очакваните бъдещи парични потоци на оценявания финансов инструмент, определяне на вероятността от неизпълнение от страна на контрагента и определяне на предварителните плащания и подбора на подходящи дисконтови проценти.</w:t>
      </w:r>
    </w:p>
    <w:p>
      <w:pPr>
        <w:widowControl w:val="0"/>
        <w:suppressAutoHyphens/>
        <w:autoSpaceDE w:val="0"/>
        <w:spacing w:before="60" w:after="60"/>
        <w:jc w:val="both"/>
        <w:rPr>
          <w:rFonts w:ascii="Arial" w:hAnsi="Arial"/>
          <w:noProof/>
          <w:sz w:val="16"/>
          <w:szCs w:val="16"/>
          <w:lang w:val="bg-BG" w:eastAsia="ar-SA"/>
        </w:rPr>
      </w:pPr>
    </w:p>
    <w:p>
      <w:pPr>
        <w:tabs>
          <w:tab w:val="left" w:pos="1560"/>
        </w:tabs>
        <w:spacing w:before="60" w:after="60"/>
        <w:jc w:val="both"/>
        <w:rPr>
          <w:rFonts w:ascii="Arial" w:hAnsi="Arial"/>
          <w:noProof/>
          <w:sz w:val="16"/>
          <w:szCs w:val="16"/>
          <w:lang w:val="bg-BG" w:eastAsia="ar-SA"/>
        </w:rPr>
      </w:pPr>
      <w:r>
        <w:rPr>
          <w:rFonts w:ascii="Arial" w:hAnsi="Arial"/>
          <w:noProof/>
          <w:sz w:val="16"/>
          <w:szCs w:val="16"/>
          <w:lang w:val="bg-BG" w:eastAsia="ar-SA"/>
        </w:rPr>
        <w:t>Механизмът измерва справедливата стойност, използвайки следната йерархия на справедливата стойност, която отразява значението на входящите данни, използвани при извършване на измерването:</w:t>
      </w:r>
    </w:p>
    <w:p>
      <w:pPr>
        <w:tabs>
          <w:tab w:val="left" w:pos="1560"/>
        </w:tabs>
        <w:spacing w:before="60" w:after="60"/>
        <w:jc w:val="both"/>
        <w:rPr>
          <w:rFonts w:ascii="Arial" w:hAnsi="Arial"/>
          <w:noProof/>
          <w:sz w:val="16"/>
          <w:szCs w:val="16"/>
          <w:lang w:val="bg-BG" w:eastAsia="ar-SA"/>
        </w:rPr>
      </w:pPr>
    </w:p>
    <w:p>
      <w:pPr>
        <w:numPr>
          <w:ilvl w:val="0"/>
          <w:numId w:val="43"/>
        </w:numPr>
        <w:tabs>
          <w:tab w:val="left" w:pos="1560"/>
        </w:tabs>
        <w:spacing w:before="60" w:after="60"/>
        <w:jc w:val="both"/>
        <w:rPr>
          <w:rFonts w:ascii="Arial" w:hAnsi="Arial"/>
          <w:noProof/>
          <w:sz w:val="16"/>
          <w:szCs w:val="16"/>
          <w:lang w:val="bg-BG" w:eastAsia="ar-SA"/>
        </w:rPr>
      </w:pPr>
      <w:r>
        <w:rPr>
          <w:rFonts w:ascii="Arial" w:hAnsi="Arial"/>
          <w:noProof/>
          <w:sz w:val="16"/>
          <w:szCs w:val="16"/>
          <w:lang w:val="bg-BG" w:eastAsia="ar-SA"/>
        </w:rPr>
        <w:t>Ниво 1: данни, които са некоригирани обявени цени на действащите пазари за идентични инструменти, до които механизмът има достъп.</w:t>
      </w:r>
    </w:p>
    <w:p>
      <w:pPr>
        <w:numPr>
          <w:ilvl w:val="0"/>
          <w:numId w:val="43"/>
        </w:numPr>
        <w:tabs>
          <w:tab w:val="left" w:pos="1560"/>
        </w:tabs>
        <w:spacing w:before="60" w:after="60"/>
        <w:jc w:val="both"/>
        <w:rPr>
          <w:rFonts w:ascii="Arial" w:hAnsi="Arial"/>
          <w:noProof/>
          <w:sz w:val="16"/>
          <w:szCs w:val="16"/>
          <w:lang w:val="bg-BG" w:eastAsia="ar-SA"/>
        </w:rPr>
      </w:pPr>
      <w:r>
        <w:rPr>
          <w:rFonts w:ascii="Arial" w:hAnsi="Arial"/>
          <w:noProof/>
          <w:sz w:val="16"/>
          <w:szCs w:val="16"/>
          <w:lang w:val="bg-BG" w:eastAsia="ar-SA"/>
        </w:rPr>
        <w:t>Ниво 2: данни, различни от включените в ниво 1 обявени цени, които могат да се наблюдават пряко (т.е. цени) или косвено (т.е. въз основа на цените). Тази категория включва инструменти, оценявани чрез обявени пазарни цени на действащи пазари за сходни инструменти, обявени цени на идентични или сходни инструменти на пазари, които се считат за по-малко действащи, или други методи за остойностяване, когато всички значими данни са пряко или косвено наблюдаеми чрез пазарни данни.</w:t>
      </w:r>
    </w:p>
    <w:p>
      <w:pPr>
        <w:numPr>
          <w:ilvl w:val="0"/>
          <w:numId w:val="43"/>
        </w:numPr>
        <w:tabs>
          <w:tab w:val="left" w:pos="1560"/>
        </w:tabs>
        <w:spacing w:before="60" w:after="60"/>
        <w:jc w:val="both"/>
        <w:rPr>
          <w:rFonts w:ascii="Arial" w:hAnsi="Arial"/>
          <w:noProof/>
          <w:sz w:val="16"/>
          <w:szCs w:val="16"/>
          <w:lang w:val="bg-BG" w:eastAsia="ar-SA"/>
        </w:rPr>
      </w:pPr>
      <w:r>
        <w:rPr>
          <w:rFonts w:ascii="Arial" w:hAnsi="Arial"/>
          <w:noProof/>
          <w:sz w:val="16"/>
          <w:szCs w:val="16"/>
          <w:lang w:val="bg-BG" w:eastAsia="ar-SA"/>
        </w:rPr>
        <w:t>Ниво 3: данни, които не са наблюдаеми. Тази категория включва всички инструменти, при които методът на остойностяване включва данни, които не се основават на наблюдаеми данни, и ненаблюдаемите данни имат значително въздействие върху остойностяването на инструмента. Тази категория включва инструменти, които се оценяват въз основа на обявените цени на сходни инструменти, при които са необходими значими ненаблюдаеми корекции или допускания, за да се отразят разликите между инструментите.</w:t>
      </w:r>
    </w:p>
    <w:p>
      <w:pPr>
        <w:tabs>
          <w:tab w:val="left" w:pos="1560"/>
        </w:tabs>
        <w:spacing w:before="60" w:after="60"/>
        <w:jc w:val="both"/>
        <w:rPr>
          <w:rFonts w:ascii="Arial" w:hAnsi="Arial"/>
          <w:noProof/>
          <w:sz w:val="16"/>
          <w:szCs w:val="16"/>
          <w:lang w:val="bg-BG" w:eastAsia="ar-SA"/>
        </w:rPr>
      </w:pPr>
    </w:p>
    <w:p>
      <w:pPr>
        <w:tabs>
          <w:tab w:val="left" w:pos="1560"/>
        </w:tabs>
        <w:spacing w:before="60" w:after="60"/>
        <w:jc w:val="both"/>
        <w:rPr>
          <w:rFonts w:ascii="Arial" w:hAnsi="Arial" w:cs="Arial"/>
          <w:noProof/>
          <w:sz w:val="16"/>
          <w:szCs w:val="16"/>
          <w:lang w:val="bg-BG" w:eastAsia="ar-SA"/>
        </w:rPr>
      </w:pPr>
      <w:r>
        <w:rPr>
          <w:rFonts w:ascii="Arial" w:hAnsi="Arial"/>
          <w:noProof/>
          <w:sz w:val="16"/>
          <w:szCs w:val="16"/>
          <w:lang w:val="bg-BG" w:eastAsia="ar-SA"/>
        </w:rPr>
        <w:t>Механизмът позволява трансфери между отделни нива на йерархията на справедливата стойност в края на отчетния период, през който е настъпила промяната.</w:t>
      </w:r>
    </w:p>
    <w:p>
      <w:pPr>
        <w:tabs>
          <w:tab w:val="left" w:pos="1560"/>
        </w:tabs>
        <w:spacing w:before="60" w:after="60"/>
        <w:jc w:val="both"/>
        <w:rPr>
          <w:rFonts w:ascii="Arial" w:hAnsi="Arial" w:cs="Arial"/>
          <w:bCs/>
          <w:i/>
          <w:noProof/>
          <w:sz w:val="16"/>
          <w:szCs w:val="16"/>
          <w:lang w:val="bg-BG"/>
        </w:rPr>
      </w:pPr>
    </w:p>
    <w:p>
      <w:pPr>
        <w:tabs>
          <w:tab w:val="left" w:pos="1560"/>
        </w:tabs>
        <w:spacing w:before="60"/>
        <w:jc w:val="both"/>
        <w:rPr>
          <w:rFonts w:ascii="Arial" w:hAnsi="Arial" w:cs="Arial"/>
          <w:bCs/>
          <w:i/>
          <w:noProof/>
          <w:sz w:val="16"/>
          <w:szCs w:val="16"/>
          <w:lang w:val="bg-BG" w:eastAsia="ar-SA"/>
        </w:rPr>
      </w:pPr>
      <w:r>
        <w:rPr>
          <w:rFonts w:ascii="Arial" w:hAnsi="Arial"/>
          <w:bCs/>
          <w:i/>
          <w:noProof/>
          <w:sz w:val="16"/>
          <w:szCs w:val="16"/>
          <w:lang w:val="bg-BG" w:eastAsia="ar-SA"/>
        </w:rPr>
        <w:t>Обезценка на финансови активи</w:t>
      </w:r>
    </w:p>
    <w:p>
      <w:pPr>
        <w:suppressAutoHyphens/>
        <w:spacing w:after="60"/>
        <w:jc w:val="both"/>
        <w:rPr>
          <w:rFonts w:ascii="Arial" w:hAnsi="Arial" w:cs="Arial"/>
          <w:bCs/>
          <w:i/>
          <w:noProof/>
          <w:sz w:val="16"/>
          <w:szCs w:val="16"/>
          <w:lang w:val="bg-BG"/>
        </w:rPr>
      </w:pPr>
    </w:p>
    <w:p>
      <w:pPr>
        <w:tabs>
          <w:tab w:val="right" w:pos="-2700"/>
          <w:tab w:val="center" w:pos="4320"/>
          <w:tab w:val="right" w:pos="8640"/>
        </w:tabs>
        <w:spacing w:before="60" w:after="60"/>
        <w:jc w:val="both"/>
        <w:rPr>
          <w:rFonts w:ascii="Arial" w:hAnsi="Arial" w:cs="Arial"/>
          <w:iCs/>
          <w:noProof/>
          <w:sz w:val="16"/>
          <w:szCs w:val="16"/>
          <w:lang w:val="bg-BG"/>
        </w:rPr>
      </w:pPr>
      <w:r>
        <w:rPr>
          <w:rFonts w:ascii="Arial" w:hAnsi="Arial"/>
          <w:iCs/>
          <w:noProof/>
          <w:sz w:val="16"/>
          <w:szCs w:val="16"/>
          <w:lang w:val="bg-BG"/>
        </w:rPr>
        <w:t>Ориентираният към бъдещето модел на обезценка на „очакваните кредитни загуби“ („ОКЗ“) съгласно МСФО 9 ще се прилага за финансови активи, оценени по АС, за договори за финансова гаранция, както и за задбалансови задължения. Това изисква преценка за определяне на базовата променлива (PD, LGD, EAD), използвана за оценка на това как промените в икономическите и други фактори влияят на ОКЗ, което ще се определи въз основа на вероятностното претегляне.</w:t>
      </w:r>
    </w:p>
    <w:p>
      <w:pPr>
        <w:tabs>
          <w:tab w:val="right" w:pos="-2700"/>
          <w:tab w:val="center" w:pos="4320"/>
          <w:tab w:val="right" w:pos="8640"/>
        </w:tabs>
        <w:spacing w:before="60" w:after="60"/>
        <w:jc w:val="both"/>
        <w:rPr>
          <w:rFonts w:ascii="Arial" w:hAnsi="Arial" w:cs="Arial"/>
          <w:iCs/>
          <w:noProof/>
          <w:sz w:val="16"/>
          <w:szCs w:val="16"/>
          <w:lang w:val="bg-BG"/>
        </w:rPr>
      </w:pPr>
    </w:p>
    <w:p>
      <w:pPr>
        <w:tabs>
          <w:tab w:val="right" w:pos="-2700"/>
          <w:tab w:val="center" w:pos="4320"/>
          <w:tab w:val="right" w:pos="8640"/>
        </w:tabs>
        <w:spacing w:before="60" w:after="60"/>
        <w:jc w:val="both"/>
        <w:rPr>
          <w:rFonts w:ascii="Arial" w:hAnsi="Arial"/>
          <w:noProof/>
          <w:sz w:val="16"/>
          <w:lang w:val="bg-BG"/>
        </w:rPr>
      </w:pPr>
      <w:r>
        <w:rPr>
          <w:rFonts w:ascii="Arial" w:hAnsi="Arial"/>
          <w:iCs/>
          <w:noProof/>
          <w:sz w:val="16"/>
          <w:szCs w:val="16"/>
          <w:lang w:val="bg-BG"/>
        </w:rPr>
        <w:t>Съгласно МСФО 9 корективите за загуби се измерват въз основа на някое от следните основания:</w:t>
      </w:r>
    </w:p>
    <w:p>
      <w:pPr>
        <w:tabs>
          <w:tab w:val="right" w:pos="-2700"/>
          <w:tab w:val="center" w:pos="4320"/>
          <w:tab w:val="right" w:pos="8640"/>
        </w:tabs>
        <w:spacing w:before="60" w:after="60"/>
        <w:jc w:val="both"/>
        <w:rPr>
          <w:rFonts w:ascii="Arial" w:hAnsi="Arial" w:cs="Arial"/>
          <w:b/>
          <w:iCs/>
          <w:noProof/>
          <w:sz w:val="16"/>
          <w:szCs w:val="16"/>
          <w:lang w:val="bg-BG"/>
        </w:rPr>
      </w:pPr>
    </w:p>
    <w:p>
      <w:pPr>
        <w:numPr>
          <w:ilvl w:val="0"/>
          <w:numId w:val="43"/>
        </w:numPr>
        <w:tabs>
          <w:tab w:val="right" w:pos="-2700"/>
          <w:tab w:val="center" w:pos="4320"/>
          <w:tab w:val="right" w:pos="8640"/>
        </w:tabs>
        <w:spacing w:before="60" w:after="60"/>
        <w:jc w:val="both"/>
        <w:rPr>
          <w:rFonts w:ascii="Arial" w:hAnsi="Arial" w:cs="Arial"/>
          <w:b/>
          <w:iCs/>
          <w:noProof/>
          <w:sz w:val="16"/>
          <w:szCs w:val="16"/>
          <w:lang w:val="bg-BG"/>
        </w:rPr>
      </w:pPr>
      <w:r>
        <w:rPr>
          <w:rFonts w:ascii="Arial" w:hAnsi="Arial"/>
          <w:iCs/>
          <w:noProof/>
          <w:sz w:val="16"/>
          <w:szCs w:val="16"/>
          <w:lang w:val="bg-BG"/>
        </w:rPr>
        <w:t>12-месечни ОКЗ: това са ОКЗ, които произтичат от евентуални случаи на неизпълнение в рамките на 12-те месеца след датата на отчитане; и</w:t>
      </w:r>
    </w:p>
    <w:p>
      <w:pPr>
        <w:numPr>
          <w:ilvl w:val="0"/>
          <w:numId w:val="43"/>
        </w:numPr>
        <w:tabs>
          <w:tab w:val="right" w:pos="-2700"/>
          <w:tab w:val="center" w:pos="4320"/>
          <w:tab w:val="right" w:pos="8640"/>
        </w:tabs>
        <w:spacing w:before="60" w:after="60"/>
        <w:jc w:val="both"/>
        <w:rPr>
          <w:rFonts w:ascii="Arial" w:hAnsi="Arial" w:cs="Arial"/>
          <w:iCs/>
          <w:noProof/>
          <w:sz w:val="16"/>
          <w:szCs w:val="16"/>
          <w:lang w:val="bg-BG"/>
        </w:rPr>
      </w:pPr>
      <w:r>
        <w:rPr>
          <w:rFonts w:ascii="Arial" w:hAnsi="Arial"/>
          <w:iCs/>
          <w:noProof/>
          <w:sz w:val="16"/>
          <w:szCs w:val="16"/>
          <w:lang w:val="bg-BG"/>
        </w:rPr>
        <w:t>ОКЗ през целия жизнен цикъл: това са ОКЗ, които произтичат от всички възможни случаи на неизпълнение през очаквания живот на даден финансов инструмент.</w:t>
      </w:r>
    </w:p>
    <w:p>
      <w:pPr>
        <w:tabs>
          <w:tab w:val="right" w:pos="-2700"/>
          <w:tab w:val="center" w:pos="4320"/>
          <w:tab w:val="right" w:pos="8640"/>
        </w:tabs>
        <w:spacing w:before="60" w:after="60"/>
        <w:jc w:val="both"/>
        <w:rPr>
          <w:rFonts w:ascii="Arial" w:hAnsi="Arial" w:cs="Arial"/>
          <w:b/>
          <w:iCs/>
          <w:noProof/>
          <w:sz w:val="16"/>
          <w:szCs w:val="16"/>
          <w:lang w:val="bg-BG"/>
        </w:rPr>
      </w:pPr>
    </w:p>
    <w:p>
      <w:pPr>
        <w:suppressAutoHyphens/>
        <w:jc w:val="both"/>
        <w:rPr>
          <w:rFonts w:ascii="Arial" w:hAnsi="Arial" w:cs="Arial"/>
          <w:noProof/>
          <w:sz w:val="16"/>
          <w:szCs w:val="16"/>
          <w:lang w:val="bg-BG" w:eastAsia="ar-SA"/>
        </w:rPr>
      </w:pPr>
      <w:r>
        <w:rPr>
          <w:rFonts w:ascii="Arial" w:hAnsi="Arial"/>
          <w:noProof/>
          <w:sz w:val="16"/>
          <w:szCs w:val="16"/>
          <w:lang w:val="bg-BG" w:eastAsia="ar-SA"/>
        </w:rPr>
        <w:t xml:space="preserve">Стандартът МСФО 9 определя „триетапен“ модел за обезценка, основан на промените в кредитното качество след първоначалното признаване. Финансовите инструменти се класифицират на етап 1 с изключение на онези инструменти, за които е установено значително увеличение на кредитния риск („SICR“) след първоначалното признаване. Това включва както количествена, така и качествена информация и анализ, основани на експертния опит на банката, включително и ориентирана към бъдещето информация. </w:t>
      </w:r>
    </w:p>
    <w:p>
      <w:pPr>
        <w:suppressAutoHyphens/>
        <w:spacing w:before="60" w:after="60"/>
        <w:jc w:val="both"/>
        <w:rPr>
          <w:rFonts w:ascii="Arial" w:hAnsi="Arial" w:cs="Arial"/>
          <w:noProof/>
          <w:sz w:val="16"/>
          <w:szCs w:val="16"/>
          <w:lang w:val="bg-BG" w:eastAsia="ar-SA"/>
        </w:rPr>
      </w:pPr>
    </w:p>
    <w:p>
      <w:pPr>
        <w:suppressAutoHyphens/>
        <w:jc w:val="both"/>
        <w:rPr>
          <w:rFonts w:cs="Arial"/>
          <w:b/>
          <w:noProof/>
          <w:sz w:val="16"/>
          <w:szCs w:val="16"/>
          <w:lang w:val="bg-BG" w:eastAsia="ar-SA"/>
        </w:rPr>
      </w:pPr>
      <w:r>
        <w:rPr>
          <w:rFonts w:ascii="Arial" w:hAnsi="Arial"/>
          <w:noProof/>
          <w:sz w:val="16"/>
          <w:szCs w:val="16"/>
          <w:lang w:val="bg-BG" w:eastAsia="ar-SA"/>
        </w:rPr>
        <w:t>Закупени или създадени активи с кредитна обезценка („POCI“) са финансовите активи, които се считат за класирани на етап 3 от момента на първоначалното признаване. За финансовите активи POCI кумулативните промени в ОКЗ през целия жизнен цикъл след първоначалното признаване се признават в отчета за печалбата или загубата.</w:t>
      </w:r>
    </w:p>
    <w:p>
      <w:pPr>
        <w:suppressAutoHyphens/>
        <w:spacing w:before="60" w:after="60"/>
        <w:jc w:val="both"/>
        <w:rPr>
          <w:rFonts w:ascii="Arial" w:hAnsi="Arial" w:cs="Arial"/>
          <w:noProof/>
          <w:sz w:val="16"/>
          <w:szCs w:val="16"/>
          <w:lang w:val="bg-BG" w:eastAsia="ar-SA"/>
        </w:rPr>
      </w:pPr>
    </w:p>
    <w:p>
      <w:pPr>
        <w:suppressAutoHyphens/>
        <w:jc w:val="both"/>
        <w:rPr>
          <w:rFonts w:ascii="Arial" w:hAnsi="Arial" w:cs="Arial"/>
          <w:noProof/>
          <w:sz w:val="16"/>
          <w:szCs w:val="16"/>
          <w:lang w:val="bg-BG" w:eastAsia="ar-SA"/>
        </w:rPr>
      </w:pPr>
      <w:r>
        <w:rPr>
          <w:rFonts w:ascii="Arial" w:hAnsi="Arial"/>
          <w:noProof/>
          <w:sz w:val="16"/>
          <w:szCs w:val="16"/>
          <w:lang w:val="bg-BG" w:eastAsia="ar-SA"/>
        </w:rPr>
        <w:t xml:space="preserve">Оценката на механизма за съответния етап се основава на последователен подход, който е в съответствие с насоките за кредитния риск и с насоките и процедурите за финансов мониторинг, като по-специално включва списък за наблюдение, вътрешен рейтинг и просрочени задължения. </w:t>
      </w:r>
    </w:p>
    <w:p>
      <w:pPr>
        <w:tabs>
          <w:tab w:val="right" w:pos="-2700"/>
          <w:tab w:val="center" w:pos="4320"/>
          <w:tab w:val="right" w:pos="8640"/>
        </w:tabs>
        <w:spacing w:before="60" w:after="60"/>
        <w:jc w:val="both"/>
        <w:rPr>
          <w:rFonts w:ascii="Arial" w:hAnsi="Arial" w:cs="Arial"/>
          <w:b/>
          <w:iCs/>
          <w:noProof/>
          <w:sz w:val="16"/>
          <w:szCs w:val="16"/>
          <w:lang w:val="bg-BG"/>
        </w:rPr>
      </w:pPr>
    </w:p>
    <w:p>
      <w:pPr>
        <w:tabs>
          <w:tab w:val="right" w:pos="-2700"/>
          <w:tab w:val="center" w:pos="4320"/>
          <w:tab w:val="right" w:pos="8640"/>
        </w:tabs>
        <w:spacing w:before="60" w:after="60"/>
        <w:jc w:val="both"/>
        <w:rPr>
          <w:rFonts w:ascii="Arial" w:hAnsi="Arial" w:cs="Arial"/>
          <w:iCs/>
          <w:noProof/>
          <w:sz w:val="16"/>
          <w:szCs w:val="16"/>
          <w:lang w:val="bg-BG"/>
        </w:rPr>
      </w:pPr>
      <w:r>
        <w:rPr>
          <w:rFonts w:ascii="Arial" w:hAnsi="Arial"/>
          <w:iCs/>
          <w:noProof/>
          <w:sz w:val="16"/>
          <w:szCs w:val="16"/>
          <w:lang w:val="bg-BG"/>
        </w:rPr>
        <w:t>Ако е настъпило значително увеличение на кредитния риск, финансовият инструмент се прехвърля към етап 2, но все още не се счита, че е с кредитна обезценка. Ако финансовият инструмент е с кредитна обезценка, той се прехвърля към етап 3.</w:t>
      </w:r>
    </w:p>
    <w:p>
      <w:pPr>
        <w:tabs>
          <w:tab w:val="right" w:pos="-2700"/>
          <w:tab w:val="center" w:pos="4320"/>
          <w:tab w:val="right" w:pos="8640"/>
        </w:tabs>
        <w:spacing w:before="60" w:after="60"/>
        <w:jc w:val="both"/>
        <w:rPr>
          <w:rFonts w:ascii="Arial" w:hAnsi="Arial" w:cs="Arial"/>
          <w:b/>
          <w:iCs/>
          <w:noProof/>
          <w:sz w:val="16"/>
          <w:szCs w:val="16"/>
          <w:lang w:val="bg-BG"/>
        </w:rPr>
      </w:pPr>
    </w:p>
    <w:p>
      <w:pPr>
        <w:tabs>
          <w:tab w:val="right" w:pos="-2700"/>
          <w:tab w:val="center" w:pos="4320"/>
          <w:tab w:val="right" w:pos="8640"/>
        </w:tabs>
        <w:spacing w:before="60" w:after="60"/>
        <w:jc w:val="both"/>
        <w:rPr>
          <w:rFonts w:ascii="Arial" w:hAnsi="Arial" w:cs="Arial"/>
          <w:b/>
          <w:iCs/>
          <w:noProof/>
          <w:sz w:val="16"/>
          <w:szCs w:val="16"/>
          <w:lang w:val="bg-BG"/>
        </w:rPr>
      </w:pPr>
      <w:r>
        <w:rPr>
          <w:rFonts w:ascii="Arial" w:hAnsi="Arial"/>
          <w:iCs/>
          <w:noProof/>
          <w:sz w:val="16"/>
          <w:szCs w:val="16"/>
          <w:lang w:val="bg-BG"/>
        </w:rPr>
        <w:t>За да установи експозициите на етап 3, механизмът определя дали е налице обективно доказателство за събитие, свързано с неизпълнение. Счита се, че даден финансов актив е в неизпълнение, когато е малко вероятно заемополучателят да изплати изцяло своите кредитни задължения към механизма, без да прибягва до средствата на механизма, или когато просрочието на заемополучателя е с повече от 90 дни по което и да е съществено кредитно задължение към механизма.</w:t>
      </w:r>
    </w:p>
    <w:p>
      <w:pPr>
        <w:tabs>
          <w:tab w:val="right" w:pos="-2700"/>
          <w:tab w:val="center" w:pos="4320"/>
          <w:tab w:val="right" w:pos="8640"/>
        </w:tabs>
        <w:spacing w:before="60" w:after="60"/>
        <w:jc w:val="both"/>
        <w:rPr>
          <w:rFonts w:ascii="Arial" w:hAnsi="Arial" w:cs="Arial"/>
          <w:b/>
          <w:iCs/>
          <w:noProof/>
          <w:sz w:val="16"/>
          <w:szCs w:val="16"/>
          <w:lang w:val="bg-BG"/>
        </w:rPr>
      </w:pPr>
    </w:p>
    <w:p>
      <w:pPr>
        <w:tabs>
          <w:tab w:val="right" w:pos="-2700"/>
          <w:tab w:val="center" w:pos="4320"/>
          <w:tab w:val="right" w:pos="8640"/>
        </w:tabs>
        <w:spacing w:before="60" w:after="60"/>
        <w:jc w:val="both"/>
        <w:rPr>
          <w:rFonts w:ascii="Arial" w:hAnsi="Arial" w:cs="Arial"/>
          <w:b/>
          <w:iCs/>
          <w:noProof/>
          <w:sz w:val="16"/>
          <w:szCs w:val="16"/>
          <w:lang w:val="bg-BG"/>
        </w:rPr>
      </w:pPr>
      <w:r>
        <w:rPr>
          <w:rFonts w:ascii="Arial" w:hAnsi="Arial"/>
          <w:iCs/>
          <w:noProof/>
          <w:sz w:val="16"/>
          <w:szCs w:val="16"/>
          <w:lang w:val="bg-BG"/>
        </w:rPr>
        <w:t>В това отношение даден финансов актив се счита за обезценен, когато се установи, че е вероятно механизмът да не може да събере всички дължими суми в съответствие с първоначалните договорни условия или еквивалентна стойност. Индивидуалните кредитни експозиции се оценяват въз основа на характеристиките на заемополучателя, общото финансово състояние, ресурсите и историческите данни за плащанията, перспективите за подкрепа от финансово отговорни гаранти и, когато е приложимо, реализуемата стойност на всяко обезпечение.</w:t>
      </w:r>
    </w:p>
    <w:p>
      <w:pPr>
        <w:tabs>
          <w:tab w:val="right" w:pos="-2700"/>
          <w:tab w:val="center" w:pos="4320"/>
          <w:tab w:val="right" w:pos="8640"/>
        </w:tabs>
        <w:spacing w:before="60" w:after="60"/>
        <w:jc w:val="both"/>
        <w:rPr>
          <w:rFonts w:ascii="Arial" w:hAnsi="Arial" w:cs="Arial"/>
          <w:b/>
          <w:iCs/>
          <w:noProof/>
          <w:sz w:val="16"/>
          <w:szCs w:val="16"/>
          <w:lang w:val="bg-BG"/>
        </w:rPr>
      </w:pPr>
    </w:p>
    <w:p>
      <w:pPr>
        <w:tabs>
          <w:tab w:val="right" w:pos="-2700"/>
          <w:tab w:val="center" w:pos="4320"/>
          <w:tab w:val="right" w:pos="8640"/>
        </w:tabs>
        <w:spacing w:before="60" w:after="60"/>
        <w:jc w:val="both"/>
        <w:rPr>
          <w:rFonts w:ascii="Arial" w:hAnsi="Arial" w:cs="Arial"/>
          <w:b/>
          <w:iCs/>
          <w:noProof/>
          <w:sz w:val="16"/>
          <w:szCs w:val="16"/>
          <w:lang w:val="bg-BG"/>
        </w:rPr>
      </w:pPr>
      <w:r>
        <w:rPr>
          <w:rFonts w:ascii="Arial" w:hAnsi="Arial"/>
          <w:iCs/>
          <w:noProof/>
          <w:sz w:val="16"/>
          <w:szCs w:val="16"/>
          <w:lang w:val="bg-BG"/>
        </w:rPr>
        <w:t>Всички обезценени вземания се преглеждат и анализират най-малко два пъти годишно. Всички последващи промени в размера и времевия график на очакваните бъдещи парични потоци спрямо предварителните прогнози ще доведат до промяна на провизиите срещу загуби по кредити и ще бъдат начислени или кредитирани в отчета за доходите. Средствата за обезценка се възстановяват само когато кредитното качество се е подобрило, така че да е налице разумна гаранция за своевременно събиране на главницата и лихвата в съответствие с първоначалните договорни условия на споразумението за вземане по кредит. Отписване се прави, когато цялото вземане или част от него се счита за несъбираемо или за опростено. Отписванията се начисляват спрямо вече установени обезценки или директно към отчета за доходите и намаляват размера на главницата на дадено вземане. Частично или изцяло събраните суми, които вече са отписани, се кредитират в отчета за доходите.</w:t>
      </w:r>
    </w:p>
    <w:p>
      <w:pPr>
        <w:suppressAutoHyphens/>
        <w:rPr>
          <w:rFonts w:ascii="Arial" w:hAnsi="Arial" w:cs="Arial"/>
          <w:i/>
          <w:noProof/>
          <w:sz w:val="16"/>
          <w:szCs w:val="16"/>
          <w:lang w:val="bg-BG" w:eastAsia="ar-SA"/>
        </w:rPr>
      </w:pPr>
    </w:p>
    <w:p>
      <w:pPr>
        <w:suppressAutoHyphens/>
        <w:rPr>
          <w:rFonts w:ascii="Arial" w:hAnsi="Arial" w:cs="Arial"/>
          <w:i/>
          <w:noProof/>
          <w:sz w:val="16"/>
          <w:szCs w:val="16"/>
          <w:lang w:val="bg-BG" w:eastAsia="ar-SA"/>
        </w:rPr>
      </w:pPr>
      <w:r>
        <w:rPr>
          <w:rFonts w:ascii="Arial" w:hAnsi="Arial"/>
          <w:i/>
          <w:noProof/>
          <w:sz w:val="16"/>
          <w:szCs w:val="16"/>
          <w:lang w:val="bg-BG" w:eastAsia="ar-SA"/>
        </w:rPr>
        <w:t>Оценяване на очакваните кредитни загуби (ОКЗ) — входящи данни, предположения и техники</w:t>
      </w:r>
    </w:p>
    <w:p>
      <w:pPr>
        <w:suppressAutoHyphens/>
        <w:rPr>
          <w:rFonts w:ascii="Arial" w:hAnsi="Arial"/>
          <w:noProof/>
          <w:sz w:val="16"/>
          <w:lang w:val="bg-BG" w:eastAsia="ar-SA"/>
        </w:rPr>
      </w:pPr>
    </w:p>
    <w:p>
      <w:pPr>
        <w:tabs>
          <w:tab w:val="right" w:pos="-2700"/>
          <w:tab w:val="center" w:pos="4320"/>
          <w:tab w:val="right" w:pos="8640"/>
        </w:tabs>
        <w:spacing w:before="60" w:after="60"/>
        <w:jc w:val="both"/>
        <w:rPr>
          <w:rFonts w:ascii="Arial" w:hAnsi="Arial" w:cs="Arial"/>
          <w:b/>
          <w:iCs/>
          <w:noProof/>
          <w:sz w:val="16"/>
          <w:szCs w:val="16"/>
          <w:lang w:val="bg-BG"/>
        </w:rPr>
      </w:pPr>
      <w:r>
        <w:rPr>
          <w:rFonts w:ascii="Arial" w:hAnsi="Arial"/>
          <w:iCs/>
          <w:noProof/>
          <w:sz w:val="16"/>
          <w:szCs w:val="16"/>
          <w:lang w:val="bg-BG"/>
        </w:rPr>
        <w:t xml:space="preserve">Оценяването на ОКЗ през целия жизнен цикъл се прилага за активите от етап 2 и етап 3, докато оценяването на 12-месечните ОКЗ се прилага за активите от етап 1. </w:t>
      </w:r>
    </w:p>
    <w:p>
      <w:pPr>
        <w:tabs>
          <w:tab w:val="right" w:pos="-2700"/>
          <w:tab w:val="center" w:pos="4320"/>
          <w:tab w:val="right" w:pos="8640"/>
        </w:tabs>
        <w:spacing w:before="60" w:after="60"/>
        <w:jc w:val="both"/>
        <w:rPr>
          <w:rFonts w:ascii="Arial" w:hAnsi="Arial"/>
          <w:noProof/>
          <w:sz w:val="16"/>
          <w:lang w:val="bg-BG"/>
        </w:rPr>
      </w:pPr>
    </w:p>
    <w:p>
      <w:pPr>
        <w:tabs>
          <w:tab w:val="right" w:pos="-2700"/>
          <w:tab w:val="center" w:pos="4320"/>
          <w:tab w:val="right" w:pos="8640"/>
        </w:tabs>
        <w:spacing w:before="60" w:after="60"/>
        <w:jc w:val="both"/>
        <w:rPr>
          <w:rFonts w:ascii="Arial" w:hAnsi="Arial" w:cs="Arial"/>
          <w:iCs/>
          <w:noProof/>
          <w:sz w:val="16"/>
          <w:szCs w:val="16"/>
          <w:lang w:val="bg-BG"/>
        </w:rPr>
      </w:pPr>
      <w:r>
        <w:rPr>
          <w:rFonts w:ascii="Arial" w:hAnsi="Arial"/>
          <w:iCs/>
          <w:noProof/>
          <w:sz w:val="16"/>
          <w:szCs w:val="16"/>
          <w:lang w:val="bg-BG"/>
        </w:rPr>
        <w:t>Очакваните кредитни загуби са изчислени въз основа на следните променливи:</w:t>
      </w:r>
    </w:p>
    <w:p>
      <w:pPr>
        <w:tabs>
          <w:tab w:val="right" w:pos="-2700"/>
          <w:tab w:val="center" w:pos="4320"/>
          <w:tab w:val="right" w:pos="8640"/>
        </w:tabs>
        <w:spacing w:before="60" w:after="60"/>
        <w:jc w:val="both"/>
        <w:rPr>
          <w:rFonts w:ascii="Arial" w:hAnsi="Arial" w:cs="Arial"/>
          <w:b/>
          <w:iCs/>
          <w:noProof/>
          <w:sz w:val="16"/>
          <w:szCs w:val="16"/>
          <w:lang w:val="bg-BG"/>
        </w:rPr>
      </w:pPr>
    </w:p>
    <w:p>
      <w:pPr>
        <w:numPr>
          <w:ilvl w:val="0"/>
          <w:numId w:val="45"/>
        </w:numPr>
        <w:tabs>
          <w:tab w:val="right" w:pos="-2700"/>
          <w:tab w:val="center" w:pos="4320"/>
          <w:tab w:val="right" w:pos="8640"/>
        </w:tabs>
        <w:spacing w:before="60" w:after="60"/>
        <w:jc w:val="both"/>
        <w:rPr>
          <w:rFonts w:ascii="Arial" w:hAnsi="Arial" w:cs="Arial"/>
          <w:b/>
          <w:iCs/>
          <w:noProof/>
          <w:sz w:val="16"/>
          <w:szCs w:val="16"/>
          <w:lang w:val="bg-BG"/>
        </w:rPr>
      </w:pPr>
      <w:r>
        <w:rPr>
          <w:rFonts w:ascii="Arial" w:hAnsi="Arial"/>
          <w:iCs/>
          <w:noProof/>
          <w:sz w:val="16"/>
          <w:szCs w:val="16"/>
          <w:lang w:val="bg-BG"/>
        </w:rPr>
        <w:t>Вероятност от неизпълнение (PD),</w:t>
      </w:r>
    </w:p>
    <w:p>
      <w:pPr>
        <w:numPr>
          <w:ilvl w:val="0"/>
          <w:numId w:val="45"/>
        </w:numPr>
        <w:tabs>
          <w:tab w:val="right" w:pos="-2700"/>
          <w:tab w:val="center" w:pos="4320"/>
          <w:tab w:val="right" w:pos="8640"/>
        </w:tabs>
        <w:spacing w:before="60" w:after="60"/>
        <w:jc w:val="both"/>
        <w:rPr>
          <w:rFonts w:ascii="Arial" w:hAnsi="Arial" w:cs="Arial"/>
          <w:b/>
          <w:iCs/>
          <w:noProof/>
          <w:sz w:val="16"/>
          <w:szCs w:val="16"/>
          <w:lang w:val="bg-BG"/>
        </w:rPr>
      </w:pPr>
      <w:r>
        <w:rPr>
          <w:rFonts w:ascii="Arial" w:hAnsi="Arial"/>
          <w:iCs/>
          <w:noProof/>
          <w:sz w:val="16"/>
          <w:szCs w:val="16"/>
          <w:lang w:val="bg-BG"/>
        </w:rPr>
        <w:t>Загуба при неизпълнение (LGD),</w:t>
      </w:r>
    </w:p>
    <w:p>
      <w:pPr>
        <w:numPr>
          <w:ilvl w:val="0"/>
          <w:numId w:val="45"/>
        </w:numPr>
        <w:tabs>
          <w:tab w:val="right" w:pos="-2700"/>
          <w:tab w:val="center" w:pos="4320"/>
          <w:tab w:val="right" w:pos="8640"/>
        </w:tabs>
        <w:spacing w:before="60" w:after="60"/>
        <w:jc w:val="both"/>
        <w:rPr>
          <w:rFonts w:ascii="Arial" w:hAnsi="Arial" w:cs="Arial"/>
          <w:b/>
          <w:iCs/>
          <w:noProof/>
          <w:sz w:val="16"/>
          <w:szCs w:val="16"/>
          <w:lang w:val="bg-BG"/>
        </w:rPr>
      </w:pPr>
      <w:r>
        <w:rPr>
          <w:rFonts w:ascii="Arial" w:hAnsi="Arial"/>
          <w:iCs/>
          <w:noProof/>
          <w:sz w:val="16"/>
          <w:szCs w:val="16"/>
          <w:lang w:val="bg-BG"/>
        </w:rPr>
        <w:t>Експозиция при неизпълнение (EAD).</w:t>
      </w:r>
    </w:p>
    <w:p>
      <w:pPr>
        <w:tabs>
          <w:tab w:val="right" w:pos="-2700"/>
          <w:tab w:val="center" w:pos="4320"/>
          <w:tab w:val="right" w:pos="8640"/>
        </w:tabs>
        <w:spacing w:before="60" w:after="60"/>
        <w:jc w:val="both"/>
        <w:rPr>
          <w:rFonts w:ascii="Arial" w:hAnsi="Arial"/>
          <w:noProof/>
          <w:sz w:val="16"/>
          <w:lang w:val="bg-BG"/>
        </w:rPr>
      </w:pPr>
    </w:p>
    <w:p>
      <w:pPr>
        <w:tabs>
          <w:tab w:val="right" w:pos="-2700"/>
          <w:tab w:val="center" w:pos="4320"/>
          <w:tab w:val="right" w:pos="8640"/>
        </w:tabs>
        <w:spacing w:before="60" w:after="60"/>
        <w:jc w:val="both"/>
        <w:rPr>
          <w:rFonts w:ascii="Arial" w:hAnsi="Arial" w:cs="Arial"/>
          <w:iCs/>
          <w:noProof/>
          <w:sz w:val="16"/>
          <w:szCs w:val="16"/>
          <w:lang w:val="bg-BG"/>
        </w:rPr>
      </w:pPr>
      <w:r>
        <w:rPr>
          <w:rFonts w:ascii="Arial" w:hAnsi="Arial"/>
          <w:iCs/>
          <w:noProof/>
          <w:sz w:val="16"/>
          <w:szCs w:val="16"/>
          <w:lang w:val="bg-BG"/>
        </w:rPr>
        <w:t xml:space="preserve">Вероятността от неизпълнение (PD) представлява вероятността контрагент да не изпълни своето финансово задължение или през следващите 12 месеца, или през оставащия срок на задължението. Вероятността от неизпълнение (PD) се определя към определена дата, която се изчислява въз основа на статистически рейтингови модели, и се оценява с помощта на рейтингови инструменти, адаптирани към различните категории контрагенти и експозиции. </w:t>
      </w:r>
    </w:p>
    <w:p>
      <w:pPr>
        <w:tabs>
          <w:tab w:val="right" w:pos="-2700"/>
          <w:tab w:val="center" w:pos="4320"/>
          <w:tab w:val="right" w:pos="8640"/>
        </w:tabs>
        <w:spacing w:before="60" w:after="60"/>
        <w:jc w:val="both"/>
        <w:rPr>
          <w:rFonts w:ascii="Arial" w:hAnsi="Arial" w:cs="Arial"/>
          <w:b/>
          <w:iCs/>
          <w:noProof/>
          <w:sz w:val="16"/>
          <w:szCs w:val="16"/>
          <w:lang w:val="bg-BG"/>
        </w:rPr>
      </w:pPr>
    </w:p>
    <w:p>
      <w:pPr>
        <w:tabs>
          <w:tab w:val="right" w:pos="-2700"/>
          <w:tab w:val="center" w:pos="4320"/>
          <w:tab w:val="right" w:pos="8640"/>
        </w:tabs>
        <w:spacing w:before="60" w:after="60"/>
        <w:jc w:val="both"/>
        <w:rPr>
          <w:rFonts w:ascii="Arial" w:hAnsi="Arial" w:cs="Arial"/>
          <w:iCs/>
          <w:noProof/>
          <w:sz w:val="16"/>
          <w:szCs w:val="16"/>
          <w:lang w:val="bg-BG"/>
        </w:rPr>
      </w:pPr>
      <w:r>
        <w:rPr>
          <w:rFonts w:ascii="Arial" w:hAnsi="Arial"/>
          <w:iCs/>
          <w:noProof/>
          <w:sz w:val="16"/>
          <w:szCs w:val="16"/>
          <w:lang w:val="bg-BG"/>
        </w:rPr>
        <w:t>Рейтингите са първичните данни за определянето на понятието структура на вероятността от неизпълнение (PD) за експозициите. ЕИБ събира информация за резултатите и за неизпълнението относно експозициите към кредитен риск на механизма. Събраните данни се сегментират по видове сектори и по видове региони. Различни сектори и региони, реагиращи по хомогенен начин на кредитните цикли, се анализират заедно.</w:t>
      </w:r>
    </w:p>
    <w:p>
      <w:pPr>
        <w:tabs>
          <w:tab w:val="right" w:pos="-2700"/>
          <w:tab w:val="center" w:pos="4320"/>
          <w:tab w:val="right" w:pos="8640"/>
        </w:tabs>
        <w:spacing w:before="60" w:after="60"/>
        <w:jc w:val="both"/>
        <w:rPr>
          <w:rFonts w:ascii="Arial" w:hAnsi="Arial" w:cs="Arial"/>
          <w:b/>
          <w:iCs/>
          <w:noProof/>
          <w:sz w:val="16"/>
          <w:szCs w:val="16"/>
          <w:lang w:val="bg-BG"/>
        </w:rPr>
      </w:pPr>
    </w:p>
    <w:p>
      <w:pPr>
        <w:tabs>
          <w:tab w:val="right" w:pos="-2700"/>
          <w:tab w:val="center" w:pos="4320"/>
          <w:tab w:val="right" w:pos="8640"/>
        </w:tabs>
        <w:spacing w:before="60" w:after="60"/>
        <w:jc w:val="both"/>
        <w:rPr>
          <w:rFonts w:ascii="Arial" w:hAnsi="Arial" w:cs="Arial"/>
          <w:b/>
          <w:iCs/>
          <w:noProof/>
          <w:sz w:val="16"/>
          <w:szCs w:val="16"/>
          <w:lang w:val="bg-BG"/>
        </w:rPr>
      </w:pPr>
      <w:r>
        <w:rPr>
          <w:rFonts w:ascii="Arial" w:hAnsi="Arial"/>
          <w:iCs/>
          <w:noProof/>
          <w:sz w:val="16"/>
          <w:szCs w:val="16"/>
          <w:lang w:val="bg-BG"/>
        </w:rPr>
        <w:t xml:space="preserve">ЕИБ използва статистически модели, за да анализира събраните данни и да генерира прогнози за оставащия период на вероятността от неизпълнение (PD) за експозициите и как се очаква те да се променят в резултат на изминаващото време. </w:t>
      </w:r>
    </w:p>
    <w:p>
      <w:pPr>
        <w:tabs>
          <w:tab w:val="right" w:pos="-2700"/>
          <w:tab w:val="center" w:pos="4320"/>
          <w:tab w:val="right" w:pos="8640"/>
        </w:tabs>
        <w:spacing w:before="60" w:after="60"/>
        <w:jc w:val="both"/>
        <w:rPr>
          <w:rFonts w:ascii="Arial" w:hAnsi="Arial" w:cs="Arial"/>
          <w:b/>
          <w:iCs/>
          <w:noProof/>
          <w:sz w:val="16"/>
          <w:szCs w:val="16"/>
          <w:lang w:val="bg-BG"/>
        </w:rPr>
      </w:pPr>
    </w:p>
    <w:p>
      <w:pPr>
        <w:tabs>
          <w:tab w:val="right" w:pos="-2700"/>
          <w:tab w:val="center" w:pos="4320"/>
          <w:tab w:val="right" w:pos="8640"/>
        </w:tabs>
        <w:spacing w:before="60" w:after="60"/>
        <w:jc w:val="both"/>
        <w:rPr>
          <w:rFonts w:ascii="Arial" w:hAnsi="Arial" w:cs="Arial"/>
          <w:iCs/>
          <w:noProof/>
          <w:sz w:val="16"/>
          <w:szCs w:val="16"/>
          <w:lang w:val="bg-BG"/>
        </w:rPr>
      </w:pPr>
      <w:r>
        <w:rPr>
          <w:rFonts w:ascii="Arial" w:hAnsi="Arial"/>
          <w:iCs/>
          <w:noProof/>
          <w:sz w:val="16"/>
          <w:szCs w:val="16"/>
          <w:lang w:val="bg-BG"/>
        </w:rPr>
        <w:t>Загубата при неизпълнение представлява очакването на ЕИБ за съотношението на загубата по експозиция, дължаща се на неизпълнение от страна на контрагент, към размера на неизплатената сума в случай на неизпълнение. Загубата при неизпълнение може да бъде определена също като „1 - процент на събиране“. Прогнозите за загубата при неизпълнение се определят главно по географски признак и по вид контрагент, с пет основни класа експозиции: държавни институции, публични институции, финансови институции, предприятия и финансиране на проекти. Стойностите на загубата при неизпълнение могат да бъдат допълнително коригирани въз основа на продукта и специфичните за договора характеристики на експозицията.</w:t>
      </w:r>
    </w:p>
    <w:p>
      <w:pPr>
        <w:tabs>
          <w:tab w:val="right" w:pos="-2700"/>
          <w:tab w:val="center" w:pos="4320"/>
          <w:tab w:val="right" w:pos="8640"/>
        </w:tabs>
        <w:spacing w:before="60" w:after="60"/>
        <w:jc w:val="both"/>
        <w:rPr>
          <w:rFonts w:ascii="Arial" w:hAnsi="Arial" w:cs="Arial"/>
          <w:iCs/>
          <w:noProof/>
          <w:sz w:val="16"/>
          <w:szCs w:val="16"/>
          <w:lang w:val="bg-BG"/>
        </w:rPr>
      </w:pPr>
    </w:p>
    <w:p>
      <w:pPr>
        <w:tabs>
          <w:tab w:val="right" w:pos="-2700"/>
          <w:tab w:val="center" w:pos="4320"/>
          <w:tab w:val="right" w:pos="8640"/>
        </w:tabs>
        <w:spacing w:before="60" w:after="60"/>
        <w:jc w:val="both"/>
        <w:rPr>
          <w:rFonts w:ascii="Arial" w:hAnsi="Arial" w:cs="Arial"/>
          <w:iCs/>
          <w:noProof/>
          <w:sz w:val="16"/>
          <w:szCs w:val="16"/>
          <w:lang w:val="bg-BG"/>
        </w:rPr>
      </w:pPr>
      <w:r>
        <w:rPr>
          <w:rFonts w:ascii="Arial" w:hAnsi="Arial"/>
          <w:iCs/>
          <w:noProof/>
          <w:sz w:val="16"/>
          <w:szCs w:val="16"/>
          <w:lang w:val="bg-BG"/>
        </w:rPr>
        <w:t>Експозицията при неизпълнение (EAD) представлява очакваната експозиция в случай на неизпълнение и се основава на текущата експозиция към контрагента и потенциалните промени на текущата сума, разрешена съгласно договора, включително амортизацията. EAD на финансов актив е брутната му балансова стойност. За задълженията за кредитиране и финансовите гаранции експозицията при неизпълнение (EAD) включва изтеглената сума, както и потенциалните бъдещи суми, които могат да бъдат изтеглени съгласно договора.</w:t>
      </w:r>
    </w:p>
    <w:p>
      <w:pPr>
        <w:tabs>
          <w:tab w:val="right" w:pos="-2700"/>
          <w:tab w:val="center" w:pos="4320"/>
          <w:tab w:val="right" w:pos="8640"/>
        </w:tabs>
        <w:spacing w:before="60" w:after="60"/>
        <w:jc w:val="both"/>
        <w:rPr>
          <w:rFonts w:ascii="Arial" w:hAnsi="Arial" w:cs="Arial"/>
          <w:b/>
          <w:iCs/>
          <w:noProof/>
          <w:sz w:val="16"/>
          <w:szCs w:val="16"/>
          <w:lang w:val="bg-BG"/>
        </w:rPr>
      </w:pPr>
    </w:p>
    <w:p>
      <w:pPr>
        <w:tabs>
          <w:tab w:val="right" w:pos="-2700"/>
          <w:tab w:val="center" w:pos="4320"/>
          <w:tab w:val="right" w:pos="8640"/>
        </w:tabs>
        <w:spacing w:before="60" w:after="60"/>
        <w:jc w:val="both"/>
        <w:rPr>
          <w:rFonts w:ascii="Arial" w:hAnsi="Arial" w:cs="Arial"/>
          <w:iCs/>
          <w:noProof/>
          <w:sz w:val="16"/>
          <w:szCs w:val="16"/>
          <w:lang w:val="bg-BG"/>
        </w:rPr>
      </w:pPr>
      <w:r>
        <w:rPr>
          <w:rFonts w:ascii="Arial" w:hAnsi="Arial"/>
          <w:iCs/>
          <w:noProof/>
          <w:sz w:val="16"/>
          <w:szCs w:val="16"/>
          <w:lang w:val="bg-BG"/>
        </w:rPr>
        <w:t>ЕИБ включва ориентирана към бъдещето информация както в своята оценка за това дали кредитният риск на даден инструмент се е увеличил значително след първоначалното му признаване, така и в своята оценка на очакваните кредитни загуби.</w:t>
      </w:r>
    </w:p>
    <w:p>
      <w:pPr>
        <w:spacing w:after="60"/>
        <w:rPr>
          <w:noProof/>
          <w:sz w:val="16"/>
          <w:lang w:val="bg-BG"/>
        </w:rPr>
      </w:pPr>
    </w:p>
    <w:p>
      <w:pPr>
        <w:numPr>
          <w:ilvl w:val="3"/>
          <w:numId w:val="46"/>
        </w:numPr>
        <w:tabs>
          <w:tab w:val="right" w:pos="-2700"/>
        </w:tabs>
        <w:suppressAutoHyphens/>
        <w:jc w:val="both"/>
        <w:rPr>
          <w:rFonts w:ascii="Arial" w:hAnsi="Arial"/>
          <w:b/>
          <w:noProof/>
          <w:sz w:val="16"/>
          <w:szCs w:val="16"/>
          <w:lang w:val="bg-BG" w:eastAsia="ar-SA"/>
        </w:rPr>
      </w:pPr>
      <w:r>
        <w:rPr>
          <w:rFonts w:ascii="Arial" w:hAnsi="Arial"/>
          <w:b/>
          <w:noProof/>
          <w:sz w:val="16"/>
          <w:szCs w:val="16"/>
          <w:lang w:val="bg-BG" w:eastAsia="ar-SA"/>
        </w:rPr>
        <w:t xml:space="preserve"> Пари и парични еквиваленти</w:t>
      </w:r>
    </w:p>
    <w:p>
      <w:pPr>
        <w:tabs>
          <w:tab w:val="right" w:pos="-2700"/>
        </w:tabs>
        <w:suppressAutoHyphens/>
        <w:spacing w:after="60"/>
        <w:ind w:left="720"/>
        <w:jc w:val="both"/>
        <w:rPr>
          <w:rFonts w:ascii="Arial" w:hAnsi="Arial"/>
          <w:noProof/>
          <w:sz w:val="16"/>
          <w:szCs w:val="16"/>
          <w:lang w:val="bg-BG" w:eastAsia="ar-SA"/>
        </w:rPr>
      </w:pPr>
    </w:p>
    <w:p>
      <w:pPr>
        <w:suppressAutoHyphens/>
        <w:jc w:val="both"/>
        <w:rPr>
          <w:rFonts w:ascii="Arial" w:hAnsi="Arial" w:cs="Arial"/>
          <w:noProof/>
          <w:sz w:val="16"/>
          <w:szCs w:val="16"/>
          <w:lang w:val="bg-BG" w:eastAsia="ar-SA"/>
        </w:rPr>
      </w:pPr>
      <w:r>
        <w:rPr>
          <w:rFonts w:ascii="Arial" w:hAnsi="Arial" w:cs="Arial"/>
          <w:noProof/>
          <w:sz w:val="16"/>
          <w:szCs w:val="16"/>
          <w:lang w:val="bg-BG" w:eastAsia="ar-SA"/>
        </w:rPr>
        <w:t>Механизмът определя парите и паричните еквиваленти като текущи сметки, краткосрочни депозити или търговски ценни книжа с първоначален падеж от три месеца или по-малко. Парите и паричните еквиваленти се отчитат по амортизирана стойност в отчета за финансовото състояние.</w:t>
      </w:r>
    </w:p>
    <w:p>
      <w:pPr>
        <w:tabs>
          <w:tab w:val="right" w:pos="-2700"/>
        </w:tabs>
        <w:suppressAutoHyphens/>
        <w:spacing w:before="60" w:after="60"/>
        <w:ind w:left="680" w:hanging="680"/>
        <w:jc w:val="both"/>
        <w:rPr>
          <w:rFonts w:ascii="Arial" w:hAnsi="Arial"/>
          <w:b/>
          <w:noProof/>
          <w:sz w:val="16"/>
          <w:szCs w:val="16"/>
          <w:lang w:val="bg-BG" w:eastAsia="ar-SA"/>
        </w:rPr>
      </w:pPr>
    </w:p>
    <w:p>
      <w:pPr>
        <w:numPr>
          <w:ilvl w:val="3"/>
          <w:numId w:val="47"/>
        </w:numPr>
        <w:tabs>
          <w:tab w:val="right" w:pos="-2700"/>
        </w:tabs>
        <w:suppressAutoHyphens/>
        <w:jc w:val="both"/>
        <w:rPr>
          <w:rFonts w:ascii="Arial" w:hAnsi="Arial"/>
          <w:b/>
          <w:noProof/>
          <w:sz w:val="16"/>
          <w:szCs w:val="16"/>
          <w:lang w:val="bg-BG" w:eastAsia="ar-SA"/>
        </w:rPr>
      </w:pPr>
      <w:r>
        <w:rPr>
          <w:rFonts w:ascii="Arial" w:hAnsi="Arial"/>
          <w:b/>
          <w:noProof/>
          <w:sz w:val="16"/>
          <w:szCs w:val="16"/>
          <w:lang w:val="bg-BG" w:eastAsia="ar-SA"/>
        </w:rPr>
        <w:t>Касови финансови активи</w:t>
      </w:r>
    </w:p>
    <w:p>
      <w:pPr>
        <w:suppressAutoHyphens/>
        <w:spacing w:after="60"/>
        <w:jc w:val="both"/>
        <w:rPr>
          <w:rFonts w:ascii="Arial" w:hAnsi="Arial" w:cs="Arial"/>
          <w:noProof/>
          <w:sz w:val="16"/>
          <w:szCs w:val="16"/>
          <w:lang w:val="bg-BG" w:eastAsia="ar-SA"/>
        </w:rPr>
      </w:pPr>
    </w:p>
    <w:p>
      <w:pPr>
        <w:suppressAutoHyphens/>
        <w:spacing w:after="60"/>
        <w:jc w:val="both"/>
        <w:rPr>
          <w:rFonts w:ascii="Arial" w:hAnsi="Arial" w:cs="Arial"/>
          <w:noProof/>
          <w:sz w:val="16"/>
          <w:szCs w:val="16"/>
          <w:lang w:val="bg-BG" w:eastAsia="ar-SA"/>
        </w:rPr>
      </w:pPr>
      <w:r>
        <w:rPr>
          <w:rFonts w:ascii="Arial" w:hAnsi="Arial" w:cs="Arial"/>
          <w:noProof/>
          <w:sz w:val="16"/>
          <w:szCs w:val="16"/>
          <w:lang w:val="bg-BG" w:eastAsia="ar-SA"/>
        </w:rPr>
        <w:t>Касовите финансови активи включват котирани и некотирани облигации с намерението да се задържат до падежа и търговски ценни книжа с първоначален срок до падежа над три месеца и следователно се класират по амортизирана стойност.</w:t>
      </w:r>
    </w:p>
    <w:p>
      <w:pPr>
        <w:suppressAutoHyphens/>
        <w:spacing w:before="60" w:after="60"/>
        <w:jc w:val="both"/>
        <w:rPr>
          <w:rFonts w:ascii="Arial" w:hAnsi="Arial" w:cs="Arial"/>
          <w:noProof/>
          <w:sz w:val="16"/>
          <w:szCs w:val="16"/>
          <w:lang w:val="bg-BG" w:eastAsia="ar-SA"/>
        </w:rPr>
      </w:pPr>
    </w:p>
    <w:p>
      <w:pPr>
        <w:suppressAutoHyphens/>
        <w:spacing w:before="60" w:after="60"/>
        <w:jc w:val="both"/>
        <w:rPr>
          <w:rFonts w:ascii="Arial" w:hAnsi="Arial" w:cs="Arial"/>
          <w:noProof/>
          <w:sz w:val="16"/>
          <w:szCs w:val="16"/>
          <w:lang w:val="bg-BG" w:eastAsia="ar-SA"/>
        </w:rPr>
      </w:pPr>
      <w:r>
        <w:rPr>
          <w:rFonts w:ascii="Arial" w:hAnsi="Arial" w:cs="Arial"/>
          <w:noProof/>
          <w:sz w:val="16"/>
          <w:szCs w:val="16"/>
          <w:lang w:val="bg-BG" w:eastAsia="ar-SA"/>
        </w:rPr>
        <w:t>Тези облигации и търговски ценни книжа първоначално се оценяват по себестойност, която е справедливата стойност плюс всички преки разходи по сделката. Разликата между входната цена и стойността при погасяване се амортизира в съответствие с метода на ефективната лихва за оставащия живот на инструмента.</w:t>
      </w:r>
    </w:p>
    <w:p>
      <w:pPr>
        <w:tabs>
          <w:tab w:val="right" w:pos="-2700"/>
        </w:tabs>
        <w:suppressAutoHyphens/>
        <w:spacing w:before="60" w:after="60"/>
        <w:jc w:val="both"/>
        <w:rPr>
          <w:rFonts w:ascii="Arial" w:hAnsi="Arial"/>
          <w:noProof/>
          <w:sz w:val="16"/>
          <w:szCs w:val="16"/>
          <w:lang w:val="bg-BG" w:eastAsia="ar-SA"/>
        </w:rPr>
      </w:pPr>
    </w:p>
    <w:p>
      <w:pPr>
        <w:rPr>
          <w:rFonts w:ascii="Arial" w:hAnsi="Arial"/>
          <w:b/>
          <w:noProof/>
          <w:sz w:val="16"/>
          <w:szCs w:val="16"/>
          <w:lang w:val="bg-BG"/>
        </w:rPr>
      </w:pPr>
      <w:r>
        <w:rPr>
          <w:noProof/>
          <w:lang w:val="bg-BG"/>
        </w:rPr>
        <w:br w:type="page"/>
      </w:r>
    </w:p>
    <w:p>
      <w:pPr>
        <w:numPr>
          <w:ilvl w:val="3"/>
          <w:numId w:val="48"/>
        </w:numPr>
        <w:tabs>
          <w:tab w:val="right" w:pos="-2700"/>
        </w:tabs>
        <w:suppressAutoHyphens/>
        <w:jc w:val="both"/>
        <w:rPr>
          <w:rFonts w:ascii="Arial" w:hAnsi="Arial"/>
          <w:b/>
          <w:noProof/>
          <w:sz w:val="16"/>
          <w:szCs w:val="16"/>
          <w:lang w:val="bg-BG" w:eastAsia="ar-SA"/>
        </w:rPr>
      </w:pPr>
      <w:r>
        <w:rPr>
          <w:rFonts w:ascii="Arial" w:hAnsi="Arial"/>
          <w:b/>
          <w:noProof/>
          <w:sz w:val="16"/>
          <w:szCs w:val="16"/>
          <w:lang w:val="bg-BG" w:eastAsia="ar-SA"/>
        </w:rPr>
        <w:t>Заеми и аванси</w:t>
      </w:r>
    </w:p>
    <w:p>
      <w:pPr>
        <w:suppressAutoHyphens/>
        <w:spacing w:after="60"/>
        <w:jc w:val="both"/>
        <w:rPr>
          <w:rFonts w:ascii="Arial" w:hAnsi="Arial" w:cs="Arial"/>
          <w:noProof/>
          <w:sz w:val="16"/>
          <w:szCs w:val="16"/>
          <w:lang w:val="bg-BG" w:eastAsia="ar-SA"/>
        </w:rPr>
      </w:pPr>
    </w:p>
    <w:p>
      <w:pPr>
        <w:jc w:val="both"/>
        <w:rPr>
          <w:rFonts w:ascii="Arial" w:hAnsi="Arial" w:cs="Arial"/>
          <w:noProof/>
          <w:sz w:val="16"/>
          <w:szCs w:val="16"/>
          <w:lang w:val="bg-BG"/>
        </w:rPr>
      </w:pPr>
      <w:r>
        <w:rPr>
          <w:rFonts w:ascii="Arial" w:hAnsi="Arial"/>
          <w:noProof/>
          <w:sz w:val="16"/>
          <w:szCs w:val="16"/>
          <w:lang w:val="bg-BG"/>
        </w:rPr>
        <w:t xml:space="preserve">Портфейлът от заеми и аванси може да се състои от дългови инструменти като заеми и дългови ценни книжа, включително облигации, полици или сертификати, издадени от структурирани предприятия с намерение да ги държат до падеж и да събират договорните парични потоци. </w:t>
      </w:r>
    </w:p>
    <w:p>
      <w:pPr>
        <w:suppressAutoHyphens/>
        <w:spacing w:before="60" w:after="60"/>
        <w:jc w:val="both"/>
        <w:rPr>
          <w:rFonts w:ascii="Arial" w:hAnsi="Arial" w:cs="Arial"/>
          <w:noProof/>
          <w:sz w:val="16"/>
          <w:szCs w:val="16"/>
          <w:lang w:val="bg-BG" w:eastAsia="ar-SA"/>
        </w:rPr>
      </w:pPr>
    </w:p>
    <w:p>
      <w:pPr>
        <w:suppressAutoHyphens/>
        <w:jc w:val="both"/>
        <w:rPr>
          <w:rFonts w:ascii="Arial" w:hAnsi="Arial" w:cs="Arial"/>
          <w:noProof/>
          <w:sz w:val="16"/>
          <w:szCs w:val="16"/>
          <w:lang w:val="bg-BG" w:eastAsia="ar-SA"/>
        </w:rPr>
      </w:pPr>
      <w:r>
        <w:rPr>
          <w:rFonts w:ascii="Arial" w:hAnsi="Arial" w:cs="Arial"/>
          <w:noProof/>
          <w:sz w:val="16"/>
          <w:szCs w:val="16"/>
          <w:lang w:val="bg-BG" w:eastAsia="ar-SA"/>
        </w:rPr>
        <w:t>Заемите и авансите включват:</w:t>
      </w:r>
    </w:p>
    <w:p>
      <w:pPr>
        <w:suppressAutoHyphens/>
        <w:jc w:val="both"/>
        <w:rPr>
          <w:rFonts w:ascii="Arial" w:hAnsi="Arial" w:cs="Arial"/>
          <w:noProof/>
          <w:sz w:val="16"/>
          <w:szCs w:val="16"/>
          <w:lang w:val="bg-BG" w:eastAsia="ar-SA"/>
        </w:rPr>
      </w:pPr>
    </w:p>
    <w:p>
      <w:pPr>
        <w:numPr>
          <w:ilvl w:val="0"/>
          <w:numId w:val="49"/>
        </w:numPr>
        <w:autoSpaceDE w:val="0"/>
        <w:autoSpaceDN w:val="0"/>
        <w:adjustRightInd w:val="0"/>
        <w:contextualSpacing/>
        <w:jc w:val="both"/>
        <w:rPr>
          <w:rFonts w:ascii="Arial" w:hAnsi="Arial" w:cs="Arial"/>
          <w:noProof/>
          <w:sz w:val="16"/>
          <w:szCs w:val="16"/>
          <w:lang w:val="bg-BG" w:eastAsia="ar-SA"/>
        </w:rPr>
      </w:pPr>
      <w:r>
        <w:rPr>
          <w:rFonts w:ascii="Arial" w:hAnsi="Arial"/>
          <w:noProof/>
          <w:sz w:val="16"/>
          <w:szCs w:val="16"/>
          <w:lang w:val="bg-BG" w:eastAsia="ar-SA"/>
        </w:rPr>
        <w:t>заеми и аванси, оценени по амортизирана стойност;</w:t>
      </w:r>
    </w:p>
    <w:p>
      <w:pPr>
        <w:numPr>
          <w:ilvl w:val="0"/>
          <w:numId w:val="49"/>
        </w:numPr>
        <w:autoSpaceDE w:val="0"/>
        <w:autoSpaceDN w:val="0"/>
        <w:adjustRightInd w:val="0"/>
        <w:contextualSpacing/>
        <w:jc w:val="both"/>
        <w:rPr>
          <w:rFonts w:ascii="Arial" w:hAnsi="Arial"/>
          <w:noProof/>
          <w:sz w:val="16"/>
          <w:szCs w:val="16"/>
          <w:lang w:val="bg-BG" w:eastAsia="ar-SA"/>
        </w:rPr>
      </w:pPr>
      <w:r>
        <w:rPr>
          <w:rFonts w:ascii="Arial" w:hAnsi="Arial"/>
          <w:noProof/>
          <w:sz w:val="16"/>
          <w:szCs w:val="16"/>
          <w:lang w:val="bg-BG" w:eastAsia="ar-SA"/>
        </w:rPr>
        <w:t>заеми и аванси, оценени задължително по FVTPL.</w:t>
      </w:r>
    </w:p>
    <w:p>
      <w:pPr>
        <w:autoSpaceDE w:val="0"/>
        <w:autoSpaceDN w:val="0"/>
        <w:adjustRightInd w:val="0"/>
        <w:spacing w:before="60" w:after="60"/>
        <w:ind w:left="720"/>
        <w:contextualSpacing/>
        <w:jc w:val="both"/>
        <w:rPr>
          <w:rFonts w:ascii="Arial" w:hAnsi="Arial"/>
          <w:noProof/>
          <w:sz w:val="16"/>
          <w:lang w:val="bg-BG" w:eastAsia="ar-SA"/>
        </w:rPr>
      </w:pPr>
    </w:p>
    <w:p>
      <w:pPr>
        <w:suppressAutoHyphens/>
        <w:jc w:val="both"/>
        <w:rPr>
          <w:rFonts w:ascii="Arial" w:hAnsi="Arial" w:cs="Arial"/>
          <w:noProof/>
          <w:sz w:val="16"/>
          <w:szCs w:val="16"/>
          <w:lang w:val="bg-BG" w:eastAsia="ar-SA"/>
        </w:rPr>
      </w:pPr>
      <w:r>
        <w:rPr>
          <w:rFonts w:ascii="Arial" w:hAnsi="Arial" w:cs="Arial"/>
          <w:noProof/>
          <w:sz w:val="16"/>
          <w:szCs w:val="16"/>
          <w:lang w:val="bg-BG" w:eastAsia="ar-SA"/>
        </w:rPr>
        <w:t>Заемите от механизма се отчитат като активи на механизма, когато се предоставят парични средства на заемополучателите. Неизплатените части от заеми се записват като задбалансови позиции по номинална стойност. Заемите, които преминат теста за SPPI, първоначално се записват по себестойност (техните нетни платени суми), което е справедливата стойност на парите, предоставени в заем, включително всички разходи по сделката, и впоследствие се оценяват по амортизирана стойност с помощта на метода на ефективния лихвен процент.</w:t>
      </w:r>
    </w:p>
    <w:p>
      <w:pPr>
        <w:suppressAutoHyphens/>
        <w:spacing w:before="60" w:after="60"/>
        <w:jc w:val="both"/>
        <w:rPr>
          <w:rFonts w:ascii="Arial" w:hAnsi="Arial" w:cs="Arial"/>
          <w:noProof/>
          <w:sz w:val="16"/>
          <w:szCs w:val="16"/>
          <w:lang w:val="bg-BG" w:eastAsia="ar-SA"/>
        </w:rPr>
      </w:pPr>
    </w:p>
    <w:p>
      <w:pPr>
        <w:spacing w:before="60" w:after="60"/>
        <w:jc w:val="both"/>
        <w:rPr>
          <w:rFonts w:ascii="Arial" w:hAnsi="Arial" w:cs="Arial"/>
          <w:noProof/>
          <w:sz w:val="16"/>
          <w:szCs w:val="16"/>
          <w:lang w:val="bg-BG"/>
        </w:rPr>
      </w:pPr>
      <w:r>
        <w:rPr>
          <w:rFonts w:ascii="Arial" w:hAnsi="Arial"/>
          <w:noProof/>
          <w:sz w:val="16"/>
          <w:szCs w:val="16"/>
          <w:lang w:val="bg-BG"/>
        </w:rPr>
        <w:t>Дълговите ценни книжа се признават в активите на механизма, когато паричните средства се предоставят на емитента и могат да бъдат под формата на договорно обвързан дългов инструмент или дългов инструмент, състоящ се от един транш. Неизплатените части от дълговите ценни книжа се записват като задбалансови позиции по номинална стойност. Дълговите ценни книжа първоначално се измерват по себестойност — справедливата стойност плюс всички преки разходи по сделката, и впоследствие се измерват по АС, като се използва методът на ефективния лихвен процент. Разликата между входната цена и стойността при погасяване се амортизира в съответствие с метода на ефективната лихва за оставащия живот на инструмента.</w:t>
      </w:r>
    </w:p>
    <w:p>
      <w:pPr>
        <w:suppressAutoHyphens/>
        <w:spacing w:before="60" w:after="60"/>
        <w:jc w:val="both"/>
        <w:rPr>
          <w:rFonts w:ascii="Arial" w:hAnsi="Arial" w:cs="Arial"/>
          <w:noProof/>
          <w:sz w:val="16"/>
          <w:szCs w:val="16"/>
          <w:lang w:val="bg-BG" w:eastAsia="ar-SA"/>
        </w:rPr>
      </w:pPr>
    </w:p>
    <w:p>
      <w:pPr>
        <w:suppressAutoHyphens/>
        <w:jc w:val="both"/>
        <w:rPr>
          <w:rFonts w:ascii="Arial" w:hAnsi="Arial" w:cs="Arial"/>
          <w:noProof/>
          <w:sz w:val="16"/>
          <w:szCs w:val="16"/>
          <w:lang w:val="bg-BG" w:eastAsia="ar-SA"/>
        </w:rPr>
      </w:pPr>
      <w:r>
        <w:rPr>
          <w:rFonts w:ascii="Arial" w:hAnsi="Arial" w:cs="Arial"/>
          <w:noProof/>
          <w:sz w:val="16"/>
          <w:szCs w:val="16"/>
          <w:lang w:val="bg-BG" w:eastAsia="ar-SA"/>
        </w:rPr>
        <w:t>Политиката на обезценка на заемите и авансите е описана в бележка 2.4.2.</w:t>
      </w:r>
    </w:p>
    <w:p>
      <w:pPr>
        <w:suppressAutoHyphens/>
        <w:spacing w:before="60" w:after="60"/>
        <w:jc w:val="both"/>
        <w:rPr>
          <w:rFonts w:ascii="Arial" w:hAnsi="Arial" w:cs="Arial"/>
          <w:noProof/>
          <w:sz w:val="16"/>
          <w:szCs w:val="16"/>
          <w:lang w:val="bg-BG" w:eastAsia="ar-SA"/>
        </w:rPr>
      </w:pPr>
    </w:p>
    <w:p>
      <w:pPr>
        <w:suppressAutoHyphens/>
        <w:jc w:val="both"/>
        <w:rPr>
          <w:rFonts w:ascii="Arial" w:hAnsi="Arial" w:cs="Arial"/>
          <w:noProof/>
          <w:sz w:val="16"/>
          <w:szCs w:val="16"/>
          <w:lang w:val="bg-BG" w:eastAsia="ar-SA"/>
        </w:rPr>
      </w:pPr>
      <w:r>
        <w:rPr>
          <w:rFonts w:ascii="Arial" w:hAnsi="Arial" w:cs="Arial"/>
          <w:noProof/>
          <w:sz w:val="16"/>
          <w:szCs w:val="16"/>
          <w:lang w:val="bg-BG" w:eastAsia="ar-SA"/>
        </w:rPr>
        <w:t>Заемите и авансите, които не отговарят на критерия SPPI, се оценяват задължително по FVTPL. Използваната техника за оценяване по справедлива стойност се основава на техника за дисконтиран паричен поток.</w:t>
      </w:r>
    </w:p>
    <w:p>
      <w:pPr>
        <w:tabs>
          <w:tab w:val="right" w:pos="-2700"/>
        </w:tabs>
        <w:suppressAutoHyphens/>
        <w:spacing w:before="60" w:after="60"/>
        <w:jc w:val="both"/>
        <w:rPr>
          <w:rFonts w:ascii="Arial" w:hAnsi="Arial"/>
          <w:noProof/>
          <w:sz w:val="16"/>
          <w:szCs w:val="16"/>
          <w:lang w:val="bg-BG" w:eastAsia="ar-SA"/>
        </w:rPr>
      </w:pPr>
    </w:p>
    <w:p>
      <w:pPr>
        <w:numPr>
          <w:ilvl w:val="3"/>
          <w:numId w:val="50"/>
        </w:numPr>
        <w:tabs>
          <w:tab w:val="right" w:pos="-2700"/>
        </w:tabs>
        <w:suppressAutoHyphens/>
        <w:jc w:val="both"/>
        <w:rPr>
          <w:rFonts w:ascii="Arial" w:hAnsi="Arial"/>
          <w:b/>
          <w:noProof/>
          <w:sz w:val="16"/>
          <w:szCs w:val="16"/>
          <w:lang w:val="bg-BG" w:eastAsia="ar-SA"/>
        </w:rPr>
      </w:pPr>
      <w:r>
        <w:rPr>
          <w:rFonts w:ascii="Arial" w:hAnsi="Arial"/>
          <w:b/>
          <w:noProof/>
          <w:sz w:val="16"/>
          <w:szCs w:val="16"/>
          <w:lang w:val="bg-BG" w:eastAsia="ar-SA"/>
        </w:rPr>
        <w:t>Акции и други ценни книжа с променлива доходност</w:t>
      </w:r>
    </w:p>
    <w:p>
      <w:pPr>
        <w:autoSpaceDE w:val="0"/>
        <w:autoSpaceDN w:val="0"/>
        <w:adjustRightInd w:val="0"/>
        <w:spacing w:after="60"/>
        <w:jc w:val="both"/>
        <w:rPr>
          <w:rFonts w:ascii="Arial" w:hAnsi="Arial" w:cs="Arial"/>
          <w:noProof/>
          <w:sz w:val="16"/>
          <w:szCs w:val="16"/>
          <w:lang w:val="bg-BG"/>
        </w:rPr>
      </w:pPr>
    </w:p>
    <w:p>
      <w:pPr>
        <w:autoSpaceDE w:val="0"/>
        <w:autoSpaceDN w:val="0"/>
        <w:adjustRightInd w:val="0"/>
        <w:jc w:val="both"/>
        <w:rPr>
          <w:rFonts w:ascii="Arial" w:hAnsi="Arial" w:cs="Arial"/>
          <w:noProof/>
          <w:sz w:val="16"/>
          <w:szCs w:val="16"/>
          <w:lang w:val="bg-BG"/>
        </w:rPr>
      </w:pPr>
      <w:r>
        <w:rPr>
          <w:rFonts w:ascii="Arial" w:hAnsi="Arial"/>
          <w:noProof/>
          <w:sz w:val="16"/>
          <w:szCs w:val="16"/>
          <w:lang w:val="bg-BG"/>
        </w:rPr>
        <w:t>Съществуват два вида капиталови инвестиции на механизма: i) преки капиталови инвестиции и ii) фондове за рисков капитал. Акциите и другите ценни книжа с променлива доходност първоначално се признават по справедлива стойност плюс разходите по сделката. Впоследствие промените в справедливата стойност, включително печалбите и загубите от преизчисляване в чуждестранна валута, се признават в отчета за печалбата или загубата и другия всеобхватен доход в раздел „Нетен резултат от акции и други ценни книжа с променлива доходност“.</w:t>
      </w:r>
    </w:p>
    <w:p>
      <w:pPr>
        <w:autoSpaceDE w:val="0"/>
        <w:autoSpaceDN w:val="0"/>
        <w:adjustRightInd w:val="0"/>
        <w:spacing w:before="60" w:after="60"/>
        <w:jc w:val="both"/>
        <w:rPr>
          <w:rFonts w:ascii="Arial" w:hAnsi="Arial" w:cs="Arial"/>
          <w:noProof/>
          <w:sz w:val="16"/>
          <w:szCs w:val="16"/>
          <w:lang w:val="bg-BG"/>
        </w:rPr>
      </w:pPr>
    </w:p>
    <w:p>
      <w:pPr>
        <w:autoSpaceDE w:val="0"/>
        <w:autoSpaceDN w:val="0"/>
        <w:adjustRightInd w:val="0"/>
        <w:jc w:val="both"/>
        <w:rPr>
          <w:rFonts w:ascii="Arial" w:hAnsi="Arial" w:cs="Arial"/>
          <w:noProof/>
          <w:sz w:val="16"/>
          <w:szCs w:val="16"/>
          <w:lang w:val="bg-BG"/>
        </w:rPr>
      </w:pPr>
      <w:r>
        <w:rPr>
          <w:rFonts w:ascii="Arial" w:hAnsi="Arial"/>
          <w:noProof/>
          <w:sz w:val="16"/>
          <w:szCs w:val="16"/>
          <w:lang w:val="bg-BG"/>
        </w:rPr>
        <w:t>За некотирани инвестиции, когато справедливата стойност не може да бъде получена от активни пазари, справедливата стойност се определя чрез прилагане на признати техники за оценка (бележка 4.2.1).</w:t>
      </w:r>
    </w:p>
    <w:p>
      <w:pPr>
        <w:autoSpaceDE w:val="0"/>
        <w:autoSpaceDN w:val="0"/>
        <w:adjustRightInd w:val="0"/>
        <w:spacing w:before="60" w:after="60"/>
        <w:jc w:val="both"/>
        <w:rPr>
          <w:rFonts w:cs="Arial"/>
          <w:noProof/>
          <w:sz w:val="16"/>
          <w:szCs w:val="16"/>
          <w:lang w:val="bg-BG"/>
        </w:rPr>
      </w:pPr>
    </w:p>
    <w:p>
      <w:pPr>
        <w:autoSpaceDE w:val="0"/>
        <w:autoSpaceDN w:val="0"/>
        <w:adjustRightInd w:val="0"/>
        <w:jc w:val="both"/>
        <w:rPr>
          <w:rFonts w:ascii="Arial" w:hAnsi="Arial" w:cs="Arial"/>
          <w:noProof/>
          <w:sz w:val="16"/>
          <w:szCs w:val="16"/>
          <w:lang w:val="bg-BG"/>
        </w:rPr>
      </w:pPr>
      <w:r>
        <w:rPr>
          <w:rFonts w:ascii="Arial" w:hAnsi="Arial"/>
          <w:noProof/>
          <w:sz w:val="16"/>
          <w:szCs w:val="16"/>
          <w:lang w:val="bg-BG"/>
        </w:rPr>
        <w:t>Участията, придобити от механизма, обикновено представляват инвестиции в частен или рисков капитал. В съответствие с практиката в сектора такива инвестиции обикновено са инвестиции, извършени съвместно от множество инвеститори, като никой от тях не е в състояние самостоятелно да повлияе на ежедневните операции и инвестиционната дейност на фонда. Като следствие членството на инвеститор в управителен орган на такъв фонд по принцип не дава право на инвеститора да влияе на ежедневните операции на фонда. В допълнение, отделните инвеститори в частен капиталов фонд или фонд за рисков капитал не определят политиките на фонда, като например политиката на разпределение на дивиденти или други разпределения. Обикновено такива решения се вземат от управителите на фонда въз основа на споразумението между акционерите, регулиращо правата и задълженията на управлението, и всички акционери на фонда. Споразумението между акционерите по принцип предпазва и индивидуалните инвеститори от двустранно извършване на съществени трансакции с фонда, взаимен обмен на управленски персонал или получаване на привилегирован достъп до съществена техническа информация. Инвестициите на механизма са изпълнени съгласно горепосочените практики в сектора, като се гарантира, че механизмът нито контролира, нито упражнява каквато и да е форма на значително влияние по смисъла на МСФО 10 и МСФО 28 над никоя от тези инвестиции, включително инвестициите, за които механизмът притежава повече от 20 % от правата на глас.</w:t>
      </w:r>
    </w:p>
    <w:p>
      <w:pPr>
        <w:spacing w:before="60"/>
        <w:rPr>
          <w:rFonts w:ascii="Arial" w:hAnsi="Arial"/>
          <w:noProof/>
          <w:sz w:val="16"/>
          <w:szCs w:val="16"/>
          <w:lang w:val="bg-BG"/>
        </w:rPr>
      </w:pPr>
    </w:p>
    <w:p>
      <w:pPr>
        <w:numPr>
          <w:ilvl w:val="2"/>
          <w:numId w:val="51"/>
        </w:numPr>
        <w:tabs>
          <w:tab w:val="right" w:pos="-2700"/>
        </w:tabs>
        <w:suppressAutoHyphens/>
        <w:spacing w:before="60"/>
        <w:jc w:val="both"/>
        <w:rPr>
          <w:rFonts w:ascii="Arial" w:hAnsi="Arial"/>
          <w:b/>
          <w:noProof/>
          <w:sz w:val="16"/>
          <w:szCs w:val="16"/>
          <w:lang w:val="bg-BG" w:eastAsia="ar-SA"/>
        </w:rPr>
      </w:pPr>
      <w:r>
        <w:rPr>
          <w:rFonts w:ascii="Arial" w:hAnsi="Arial"/>
          <w:b/>
          <w:noProof/>
          <w:sz w:val="16"/>
          <w:szCs w:val="16"/>
          <w:lang w:val="bg-BG" w:eastAsia="ar-SA"/>
        </w:rPr>
        <w:t>Финансови гаранции</w:t>
      </w:r>
    </w:p>
    <w:p>
      <w:pPr>
        <w:tabs>
          <w:tab w:val="right" w:pos="-2700"/>
        </w:tabs>
        <w:suppressAutoHyphens/>
        <w:spacing w:after="60"/>
        <w:jc w:val="both"/>
        <w:rPr>
          <w:rFonts w:ascii="Arial" w:hAnsi="Arial"/>
          <w:noProof/>
          <w:sz w:val="16"/>
          <w:szCs w:val="16"/>
          <w:lang w:val="bg-BG" w:eastAsia="ar-SA"/>
        </w:rPr>
      </w:pPr>
    </w:p>
    <w:p>
      <w:pPr>
        <w:spacing w:after="60"/>
        <w:jc w:val="both"/>
        <w:rPr>
          <w:rFonts w:ascii="Arial" w:hAnsi="Arial"/>
          <w:noProof/>
          <w:sz w:val="16"/>
          <w:szCs w:val="16"/>
          <w:lang w:val="bg-BG"/>
        </w:rPr>
      </w:pPr>
      <w:r>
        <w:rPr>
          <w:rFonts w:ascii="Arial" w:hAnsi="Arial"/>
          <w:noProof/>
          <w:sz w:val="16"/>
          <w:szCs w:val="16"/>
          <w:lang w:val="bg-BG"/>
        </w:rPr>
        <w:t>Договорите за финансови гаранции са договори, съгласно които механизмът извършва определени плащания, за да възстанови на титуляря загуба, която последният е понесъл поради това, че определен длъжник не е извършил плащания, когато те са станали изискуеми съгласно условията на дългов инструмент.</w:t>
      </w:r>
    </w:p>
    <w:p>
      <w:pPr>
        <w:spacing w:before="60" w:after="60"/>
        <w:jc w:val="both"/>
        <w:rPr>
          <w:rFonts w:ascii="Arial" w:hAnsi="Arial"/>
          <w:noProof/>
          <w:sz w:val="16"/>
          <w:szCs w:val="16"/>
          <w:lang w:val="bg-BG"/>
        </w:rPr>
      </w:pPr>
    </w:p>
    <w:p>
      <w:pPr>
        <w:tabs>
          <w:tab w:val="right" w:pos="-2700"/>
        </w:tabs>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В съответствие със съществуващите правила тези гаранции не отговарят на определението за застрахователен договор (МСФО 4 Застрахователни договори).</w:t>
      </w:r>
    </w:p>
    <w:p>
      <w:pPr>
        <w:autoSpaceDE w:val="0"/>
        <w:autoSpaceDN w:val="0"/>
        <w:adjustRightInd w:val="0"/>
        <w:spacing w:after="60"/>
        <w:jc w:val="both"/>
        <w:rPr>
          <w:rFonts w:ascii="Arial" w:hAnsi="Arial" w:cs="Arial"/>
          <w:noProof/>
          <w:sz w:val="16"/>
          <w:szCs w:val="16"/>
          <w:lang w:val="bg-BG"/>
        </w:rPr>
      </w:pPr>
    </w:p>
    <w:p>
      <w:pPr>
        <w:autoSpaceDE w:val="0"/>
        <w:autoSpaceDN w:val="0"/>
        <w:adjustRightInd w:val="0"/>
        <w:jc w:val="both"/>
        <w:rPr>
          <w:rFonts w:ascii="Arial" w:hAnsi="Arial" w:cs="Arial"/>
          <w:noProof/>
          <w:sz w:val="16"/>
          <w:szCs w:val="16"/>
          <w:lang w:val="bg-BG"/>
        </w:rPr>
      </w:pPr>
      <w:r>
        <w:rPr>
          <w:rFonts w:ascii="Arial" w:hAnsi="Arial"/>
          <w:noProof/>
          <w:sz w:val="16"/>
          <w:szCs w:val="16"/>
          <w:lang w:val="bg-BG"/>
        </w:rPr>
        <w:t>Финансовите гаранции се отчитат съгласно МСФО 9 „Финансови инструменти“, или като „деривати“, или като „финансови гаранции“, в зависимост от техните свойства и характеристики, както са определени в МСФО 9.</w:t>
      </w:r>
    </w:p>
    <w:p>
      <w:pPr>
        <w:autoSpaceDE w:val="0"/>
        <w:autoSpaceDN w:val="0"/>
        <w:adjustRightInd w:val="0"/>
        <w:spacing w:before="60"/>
        <w:jc w:val="both"/>
        <w:rPr>
          <w:rFonts w:ascii="Arial" w:hAnsi="Arial" w:cs="Arial"/>
          <w:noProof/>
          <w:sz w:val="16"/>
          <w:szCs w:val="16"/>
          <w:lang w:val="bg-BG"/>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Счетоводната политика по отношение на дериватите е оповестена в бележка 2.4.5.</w:t>
      </w:r>
    </w:p>
    <w:p>
      <w:pPr>
        <w:autoSpaceDE w:val="0"/>
        <w:autoSpaceDN w:val="0"/>
        <w:adjustRightInd w:val="0"/>
        <w:spacing w:after="60"/>
        <w:jc w:val="both"/>
        <w:rPr>
          <w:rFonts w:ascii="Arial" w:hAnsi="Arial" w:cs="Arial"/>
          <w:noProof/>
          <w:sz w:val="16"/>
          <w:szCs w:val="16"/>
          <w:lang w:val="bg-BG"/>
        </w:rPr>
      </w:pPr>
    </w:p>
    <w:p>
      <w:pPr>
        <w:autoSpaceDE w:val="0"/>
        <w:autoSpaceDN w:val="0"/>
        <w:adjustRightInd w:val="0"/>
        <w:jc w:val="both"/>
        <w:rPr>
          <w:rFonts w:cs="Arial"/>
          <w:i/>
          <w:noProof/>
          <w:sz w:val="16"/>
          <w:szCs w:val="16"/>
          <w:lang w:val="bg-BG"/>
        </w:rPr>
      </w:pPr>
      <w:r>
        <w:rPr>
          <w:rFonts w:ascii="Arial" w:hAnsi="Arial"/>
          <w:noProof/>
          <w:sz w:val="16"/>
          <w:szCs w:val="16"/>
          <w:lang w:val="bg-BG"/>
        </w:rPr>
        <w:t>Финансовите гаранции се признават първоначално в отчета за финансовото състояние в раздел „Провизии за издадени гаранции“ по справедлива стойност плюс разходи по сделката, които могат пряко да се отнесат към емитирането на финансовите гаранции. При първоначалното признаване задължението за плащане съответства на нетната сегашна стойност (НСС) на очакваните премии или първоначалната очаквана загуба.</w:t>
      </w:r>
    </w:p>
    <w:p>
      <w:pPr>
        <w:autoSpaceDE w:val="0"/>
        <w:autoSpaceDN w:val="0"/>
        <w:adjustRightInd w:val="0"/>
        <w:jc w:val="both"/>
        <w:rPr>
          <w:rFonts w:ascii="Arial" w:hAnsi="Arial"/>
          <w:noProof/>
          <w:sz w:val="16"/>
          <w:lang w:val="bg-BG"/>
        </w:rPr>
      </w:pPr>
    </w:p>
    <w:p>
      <w:pPr>
        <w:autoSpaceDE w:val="0"/>
        <w:autoSpaceDN w:val="0"/>
        <w:adjustRightInd w:val="0"/>
        <w:jc w:val="both"/>
        <w:rPr>
          <w:rFonts w:ascii="Arial" w:hAnsi="Arial" w:cs="Arial"/>
          <w:noProof/>
          <w:sz w:val="16"/>
          <w:szCs w:val="16"/>
          <w:lang w:val="bg-BG"/>
        </w:rPr>
      </w:pPr>
      <w:r>
        <w:rPr>
          <w:rFonts w:ascii="Arial" w:hAnsi="Arial"/>
          <w:noProof/>
          <w:sz w:val="16"/>
          <w:szCs w:val="16"/>
          <w:lang w:val="bg-BG"/>
        </w:rPr>
        <w:t>След първоначалното отчитане финансовите гаранции се измерват чрез по-високата от двете стойности по-долу:</w:t>
      </w:r>
    </w:p>
    <w:p>
      <w:pPr>
        <w:autoSpaceDE w:val="0"/>
        <w:autoSpaceDN w:val="0"/>
        <w:adjustRightInd w:val="0"/>
        <w:jc w:val="both"/>
        <w:rPr>
          <w:rFonts w:ascii="Arial" w:hAnsi="Arial" w:cs="Arial"/>
          <w:noProof/>
          <w:sz w:val="16"/>
          <w:szCs w:val="16"/>
          <w:lang w:val="bg-BG"/>
        </w:rPr>
      </w:pPr>
    </w:p>
    <w:p>
      <w:pPr>
        <w:autoSpaceDE w:val="0"/>
        <w:autoSpaceDN w:val="0"/>
        <w:adjustRightInd w:val="0"/>
        <w:ind w:firstLine="720"/>
        <w:jc w:val="both"/>
        <w:rPr>
          <w:rFonts w:ascii="Arial" w:hAnsi="Arial" w:cs="Arial"/>
          <w:noProof/>
          <w:sz w:val="16"/>
          <w:szCs w:val="16"/>
          <w:lang w:val="bg-BG"/>
        </w:rPr>
      </w:pPr>
      <w:r>
        <w:rPr>
          <w:rFonts w:ascii="Arial" w:hAnsi="Arial"/>
          <w:noProof/>
          <w:sz w:val="16"/>
          <w:szCs w:val="16"/>
          <w:lang w:val="bg-BG"/>
        </w:rPr>
        <w:t>- размера на коректива за загуби, определен в съответствие с МСФО 9; и</w:t>
      </w:r>
    </w:p>
    <w:p>
      <w:pPr>
        <w:autoSpaceDE w:val="0"/>
        <w:autoSpaceDN w:val="0"/>
        <w:adjustRightInd w:val="0"/>
        <w:ind w:firstLine="720"/>
        <w:jc w:val="both"/>
        <w:rPr>
          <w:rFonts w:ascii="Arial" w:hAnsi="Arial" w:cs="Arial"/>
          <w:noProof/>
          <w:sz w:val="16"/>
          <w:szCs w:val="16"/>
          <w:lang w:val="bg-BG"/>
        </w:rPr>
      </w:pPr>
      <w:r>
        <w:rPr>
          <w:rFonts w:ascii="Arial" w:hAnsi="Arial"/>
          <w:noProof/>
          <w:sz w:val="16"/>
          <w:szCs w:val="16"/>
          <w:lang w:val="bg-BG"/>
        </w:rPr>
        <w:t>- първоначално признатата премия минус дохода, признат в съответствие с принципите на МСФО 15.</w:t>
      </w:r>
    </w:p>
    <w:p>
      <w:pPr>
        <w:autoSpaceDE w:val="0"/>
        <w:autoSpaceDN w:val="0"/>
        <w:adjustRightInd w:val="0"/>
        <w:spacing w:before="60" w:after="60"/>
        <w:ind w:firstLine="720"/>
        <w:jc w:val="both"/>
        <w:rPr>
          <w:rFonts w:ascii="Arial" w:hAnsi="Arial" w:cs="Arial"/>
          <w:noProof/>
          <w:sz w:val="16"/>
          <w:szCs w:val="16"/>
          <w:lang w:val="bg-BG"/>
        </w:rPr>
      </w:pPr>
    </w:p>
    <w:p>
      <w:pPr>
        <w:autoSpaceDE w:val="0"/>
        <w:autoSpaceDN w:val="0"/>
        <w:adjustRightInd w:val="0"/>
        <w:jc w:val="both"/>
        <w:rPr>
          <w:rFonts w:ascii="Arial" w:hAnsi="Arial" w:cs="Arial"/>
          <w:noProof/>
          <w:sz w:val="16"/>
          <w:szCs w:val="16"/>
          <w:lang w:val="bg-BG"/>
        </w:rPr>
      </w:pPr>
      <w:r>
        <w:rPr>
          <w:rFonts w:ascii="Arial" w:hAnsi="Arial"/>
          <w:noProof/>
          <w:sz w:val="16"/>
          <w:szCs w:val="16"/>
          <w:lang w:val="bg-BG"/>
        </w:rPr>
        <w:t>Всяко увеличение или намаление на нетното задължение (измерено съгласно МСФО 9), свързано с финансови гаранции, различни от плащането по искания за гаранции, се признава в отчета за печалбата или загубата и другия всеобхватен доход в раздел „Промяна в провизиите за гаранции“.</w:t>
      </w:r>
    </w:p>
    <w:p>
      <w:pPr>
        <w:autoSpaceDE w:val="0"/>
        <w:autoSpaceDN w:val="0"/>
        <w:adjustRightInd w:val="0"/>
        <w:spacing w:before="60" w:after="60"/>
        <w:ind w:firstLine="720"/>
        <w:jc w:val="both"/>
        <w:rPr>
          <w:rFonts w:ascii="Arial" w:hAnsi="Arial" w:cs="Arial"/>
          <w:noProof/>
          <w:sz w:val="16"/>
          <w:szCs w:val="16"/>
          <w:lang w:val="bg-BG"/>
        </w:rPr>
      </w:pPr>
    </w:p>
    <w:p>
      <w:pPr>
        <w:autoSpaceDE w:val="0"/>
        <w:autoSpaceDN w:val="0"/>
        <w:adjustRightInd w:val="0"/>
        <w:jc w:val="both"/>
        <w:rPr>
          <w:rFonts w:cs="Arial"/>
          <w:noProof/>
          <w:sz w:val="16"/>
          <w:szCs w:val="16"/>
          <w:lang w:val="bg-BG"/>
        </w:rPr>
      </w:pPr>
      <w:r>
        <w:rPr>
          <w:rFonts w:ascii="Arial" w:hAnsi="Arial"/>
          <w:noProof/>
          <w:sz w:val="16"/>
          <w:szCs w:val="16"/>
          <w:lang w:val="bg-BG"/>
        </w:rPr>
        <w:t>Получената премия се признава в отчета за печалбата или загубата и другия всеобхватен доход в „Такси и комисионни“ въз основа на амортизационен план в съответствие с МСФО 15 през срока на договора за финансова гаранция.</w:t>
      </w:r>
    </w:p>
    <w:p>
      <w:pPr>
        <w:autoSpaceDE w:val="0"/>
        <w:autoSpaceDN w:val="0"/>
        <w:adjustRightInd w:val="0"/>
        <w:spacing w:before="60" w:after="60"/>
        <w:jc w:val="both"/>
        <w:rPr>
          <w:rFonts w:cs="Arial"/>
          <w:noProof/>
          <w:sz w:val="16"/>
          <w:szCs w:val="16"/>
          <w:lang w:val="bg-BG"/>
        </w:rPr>
      </w:pPr>
    </w:p>
    <w:p>
      <w:pPr>
        <w:autoSpaceDE w:val="0"/>
        <w:autoSpaceDN w:val="0"/>
        <w:adjustRightInd w:val="0"/>
        <w:jc w:val="both"/>
        <w:rPr>
          <w:rFonts w:ascii="Arial" w:hAnsi="Arial" w:cs="Arial"/>
          <w:noProof/>
          <w:sz w:val="16"/>
          <w:szCs w:val="16"/>
          <w:lang w:val="bg-BG"/>
        </w:rPr>
      </w:pPr>
      <w:r>
        <w:rPr>
          <w:rFonts w:ascii="Arial" w:hAnsi="Arial"/>
          <w:noProof/>
          <w:sz w:val="16"/>
          <w:szCs w:val="16"/>
          <w:lang w:val="bg-BG"/>
        </w:rPr>
        <w:t>В допълнение, когато се подпише споразумение за гаранция, то се представя като условен пасив за механизма, а когато гаранцията се поеме — като задължение за механизма.</w:t>
      </w:r>
    </w:p>
    <w:p>
      <w:pPr>
        <w:autoSpaceDE w:val="0"/>
        <w:autoSpaceDN w:val="0"/>
        <w:adjustRightInd w:val="0"/>
        <w:spacing w:before="60"/>
        <w:jc w:val="both"/>
        <w:rPr>
          <w:rFonts w:ascii="Arial" w:hAnsi="Arial" w:cs="Arial"/>
          <w:noProof/>
          <w:sz w:val="16"/>
          <w:szCs w:val="16"/>
          <w:lang w:val="bg-BG"/>
        </w:rPr>
      </w:pPr>
    </w:p>
    <w:p>
      <w:pPr>
        <w:numPr>
          <w:ilvl w:val="2"/>
          <w:numId w:val="51"/>
        </w:numPr>
        <w:tabs>
          <w:tab w:val="right" w:pos="-2700"/>
        </w:tabs>
        <w:suppressAutoHyphens/>
        <w:spacing w:before="60"/>
        <w:jc w:val="both"/>
        <w:rPr>
          <w:rFonts w:ascii="Arial" w:hAnsi="Arial"/>
          <w:b/>
          <w:noProof/>
          <w:sz w:val="16"/>
          <w:szCs w:val="20"/>
          <w:lang w:val="bg-BG" w:eastAsia="ar-SA"/>
        </w:rPr>
      </w:pPr>
      <w:r>
        <w:rPr>
          <w:rFonts w:ascii="Arial" w:hAnsi="Arial"/>
          <w:b/>
          <w:noProof/>
          <w:sz w:val="16"/>
          <w:szCs w:val="20"/>
          <w:lang w:val="bg-BG" w:eastAsia="ar-SA"/>
        </w:rPr>
        <w:tab/>
        <w:t>Финансови пасиви, различни от деривати</w:t>
      </w:r>
    </w:p>
    <w:p>
      <w:pPr>
        <w:spacing w:after="60"/>
        <w:jc w:val="both"/>
        <w:rPr>
          <w:rFonts w:ascii="Arial" w:hAnsi="Arial"/>
          <w:noProof/>
          <w:sz w:val="16"/>
          <w:szCs w:val="16"/>
          <w:lang w:val="bg-BG"/>
        </w:rPr>
      </w:pPr>
    </w:p>
    <w:p>
      <w:pPr>
        <w:tabs>
          <w:tab w:val="right" w:pos="-2700"/>
        </w:tabs>
        <w:suppressAutoHyphens/>
        <w:spacing w:after="60"/>
        <w:ind w:left="680" w:hanging="680"/>
        <w:jc w:val="both"/>
        <w:rPr>
          <w:rFonts w:ascii="Arial" w:hAnsi="Arial" w:cs="Arial"/>
          <w:b/>
          <w:i/>
          <w:noProof/>
          <w:sz w:val="16"/>
          <w:szCs w:val="16"/>
          <w:lang w:val="bg-BG" w:eastAsia="ar-SA"/>
        </w:rPr>
      </w:pPr>
      <w:r>
        <w:rPr>
          <w:rFonts w:ascii="Arial" w:hAnsi="Arial"/>
          <w:b/>
          <w:i/>
          <w:noProof/>
          <w:sz w:val="16"/>
          <w:szCs w:val="16"/>
          <w:lang w:val="bg-BG" w:eastAsia="ar-SA"/>
        </w:rPr>
        <w:t>Класификация и оценяване</w:t>
      </w:r>
    </w:p>
    <w:p>
      <w:pPr>
        <w:tabs>
          <w:tab w:val="right" w:pos="-2700"/>
        </w:tabs>
        <w:suppressAutoHyphens/>
        <w:spacing w:before="60" w:after="60"/>
        <w:jc w:val="both"/>
        <w:rPr>
          <w:rFonts w:ascii="Arial" w:hAnsi="Arial" w:cs="Arial"/>
          <w:noProof/>
          <w:sz w:val="16"/>
          <w:szCs w:val="16"/>
          <w:lang w:val="bg-BG" w:eastAsia="ar-SA"/>
        </w:rPr>
      </w:pPr>
    </w:p>
    <w:p>
      <w:pPr>
        <w:jc w:val="both"/>
        <w:rPr>
          <w:rFonts w:ascii="Arial" w:hAnsi="Arial" w:cs="Arial"/>
          <w:i/>
          <w:noProof/>
          <w:sz w:val="16"/>
          <w:szCs w:val="16"/>
          <w:lang w:val="bg-BG"/>
        </w:rPr>
      </w:pPr>
      <w:r>
        <w:rPr>
          <w:rFonts w:ascii="Arial" w:hAnsi="Arial"/>
          <w:i/>
          <w:noProof/>
          <w:sz w:val="16"/>
          <w:szCs w:val="16"/>
          <w:lang w:val="bg-BG"/>
        </w:rPr>
        <w:t xml:space="preserve">Финансови пасиви </w:t>
      </w:r>
    </w:p>
    <w:p>
      <w:pPr>
        <w:tabs>
          <w:tab w:val="right" w:pos="-2700"/>
        </w:tabs>
        <w:suppressAutoHyphens/>
        <w:spacing w:after="60"/>
        <w:ind w:left="680" w:hanging="680"/>
        <w:jc w:val="both"/>
        <w:rPr>
          <w:rFonts w:ascii="Arial" w:hAnsi="Arial" w:cs="Arial"/>
          <w:i/>
          <w:noProof/>
          <w:sz w:val="16"/>
          <w:szCs w:val="16"/>
          <w:lang w:val="bg-BG" w:eastAsia="ar-SA"/>
        </w:rPr>
      </w:pPr>
    </w:p>
    <w:p>
      <w:pPr>
        <w:autoSpaceDE w:val="0"/>
        <w:autoSpaceDN w:val="0"/>
        <w:adjustRightInd w:val="0"/>
        <w:jc w:val="both"/>
        <w:rPr>
          <w:rFonts w:ascii="Arial" w:hAnsi="Arial" w:cs="Arial"/>
          <w:noProof/>
          <w:sz w:val="16"/>
          <w:szCs w:val="16"/>
          <w:lang w:val="bg-BG"/>
        </w:rPr>
      </w:pPr>
      <w:r>
        <w:rPr>
          <w:rFonts w:ascii="Arial" w:hAnsi="Arial"/>
          <w:noProof/>
          <w:sz w:val="16"/>
          <w:szCs w:val="16"/>
          <w:lang w:val="bg-BG"/>
        </w:rPr>
        <w:t>Финансовите пасиви се оценяват по амортизирана стойност, с изключение на финансовите пасиви, които отговарят на определението за пасиви, държани за търгуване (напр. дериватни пасиви).</w:t>
      </w:r>
    </w:p>
    <w:p>
      <w:pPr>
        <w:tabs>
          <w:tab w:val="right" w:pos="-2700"/>
        </w:tabs>
        <w:suppressAutoHyphens/>
        <w:spacing w:before="60" w:after="60"/>
        <w:jc w:val="both"/>
        <w:rPr>
          <w:rFonts w:ascii="Arial" w:hAnsi="Arial" w:cs="Arial"/>
          <w:noProof/>
          <w:sz w:val="16"/>
          <w:szCs w:val="16"/>
          <w:lang w:val="bg-BG"/>
        </w:rPr>
      </w:pPr>
    </w:p>
    <w:p>
      <w:pPr>
        <w:autoSpaceDE w:val="0"/>
        <w:autoSpaceDN w:val="0"/>
        <w:adjustRightInd w:val="0"/>
        <w:jc w:val="both"/>
        <w:rPr>
          <w:rFonts w:ascii="Arial" w:eastAsia="Calibri" w:hAnsi="Arial" w:cs="Arial"/>
          <w:noProof/>
          <w:color w:val="000000"/>
          <w:sz w:val="16"/>
          <w:szCs w:val="16"/>
          <w:lang w:val="bg-BG" w:eastAsia="en-US"/>
        </w:rPr>
      </w:pPr>
      <w:r>
        <w:rPr>
          <w:rFonts w:ascii="Arial" w:eastAsia="Calibri" w:hAnsi="Arial" w:cs="Arial"/>
          <w:noProof/>
          <w:color w:val="000000"/>
          <w:sz w:val="16"/>
          <w:szCs w:val="16"/>
          <w:lang w:val="bg-BG" w:eastAsia="en-US"/>
        </w:rPr>
        <w:t xml:space="preserve">Механизмът отписва финансов пасив, когато договорните му задължения са погасени, анулирани или изтекли. </w:t>
      </w:r>
    </w:p>
    <w:p>
      <w:pPr>
        <w:spacing w:before="60"/>
        <w:rPr>
          <w:rFonts w:ascii="Arial" w:hAnsi="Arial"/>
          <w:noProof/>
          <w:sz w:val="16"/>
          <w:szCs w:val="16"/>
          <w:lang w:val="bg-BG"/>
        </w:rPr>
      </w:pPr>
    </w:p>
    <w:p>
      <w:pPr>
        <w:numPr>
          <w:ilvl w:val="2"/>
          <w:numId w:val="51"/>
        </w:numPr>
        <w:tabs>
          <w:tab w:val="right" w:pos="-2700"/>
        </w:tabs>
        <w:suppressAutoHyphens/>
        <w:spacing w:before="60"/>
        <w:jc w:val="both"/>
        <w:rPr>
          <w:rFonts w:ascii="Arial" w:hAnsi="Arial"/>
          <w:b/>
          <w:noProof/>
          <w:sz w:val="16"/>
          <w:szCs w:val="20"/>
          <w:lang w:val="bg-BG" w:eastAsia="ar-SA"/>
        </w:rPr>
      </w:pPr>
      <w:r>
        <w:rPr>
          <w:rFonts w:ascii="Arial" w:hAnsi="Arial"/>
          <w:b/>
          <w:noProof/>
          <w:sz w:val="16"/>
          <w:szCs w:val="20"/>
          <w:lang w:val="bg-BG" w:eastAsia="ar-SA"/>
        </w:rPr>
        <w:t>Дериватни финансови инструменти</w:t>
      </w:r>
    </w:p>
    <w:p>
      <w:pPr>
        <w:spacing w:after="60"/>
        <w:jc w:val="both"/>
        <w:rPr>
          <w:rFonts w:ascii="Arial" w:hAnsi="Arial"/>
          <w:noProof/>
          <w:sz w:val="16"/>
          <w:szCs w:val="16"/>
          <w:lang w:val="bg-BG"/>
        </w:rPr>
      </w:pPr>
    </w:p>
    <w:p>
      <w:pPr>
        <w:autoSpaceDE w:val="0"/>
        <w:autoSpaceDN w:val="0"/>
        <w:adjustRightInd w:val="0"/>
        <w:jc w:val="both"/>
        <w:rPr>
          <w:rFonts w:ascii="Arial" w:hAnsi="Arial" w:cs="Arial"/>
          <w:noProof/>
          <w:sz w:val="16"/>
          <w:szCs w:val="16"/>
          <w:lang w:val="bg-BG"/>
        </w:rPr>
      </w:pPr>
      <w:r>
        <w:rPr>
          <w:rFonts w:ascii="Arial" w:hAnsi="Arial"/>
          <w:noProof/>
          <w:sz w:val="16"/>
          <w:szCs w:val="16"/>
          <w:lang w:val="bg-BG"/>
        </w:rPr>
        <w:t>Дериватните финансови инструменти включват кръстосани валутни суапове, кръстосани валутно-лихвени суапове, краткосрочни валутни суапове (FX суапове) и лихвени суапове.</w:t>
      </w:r>
    </w:p>
    <w:p>
      <w:pPr>
        <w:autoSpaceDE w:val="0"/>
        <w:autoSpaceDN w:val="0"/>
        <w:adjustRightInd w:val="0"/>
        <w:rPr>
          <w:rFonts w:ascii="Arial" w:hAnsi="Arial" w:cs="Arial"/>
          <w:noProof/>
          <w:sz w:val="16"/>
          <w:szCs w:val="16"/>
          <w:lang w:val="bg-BG"/>
        </w:rPr>
      </w:pPr>
    </w:p>
    <w:p>
      <w:pPr>
        <w:autoSpaceDE w:val="0"/>
        <w:autoSpaceDN w:val="0"/>
        <w:adjustRightInd w:val="0"/>
        <w:rPr>
          <w:rFonts w:cs="Arial"/>
          <w:noProof/>
          <w:sz w:val="16"/>
          <w:szCs w:val="16"/>
          <w:lang w:val="bg-BG"/>
        </w:rPr>
      </w:pPr>
      <w:r>
        <w:rPr>
          <w:rFonts w:ascii="Arial" w:hAnsi="Arial"/>
          <w:noProof/>
          <w:sz w:val="16"/>
          <w:szCs w:val="16"/>
          <w:lang w:val="bg-BG"/>
        </w:rPr>
        <w:t>Дериватните финансови инструменти първоначално се признават, като се използва датата на търгуване.</w:t>
      </w:r>
    </w:p>
    <w:p>
      <w:pPr>
        <w:autoSpaceDE w:val="0"/>
        <w:autoSpaceDN w:val="0"/>
        <w:adjustRightInd w:val="0"/>
        <w:rPr>
          <w:rFonts w:ascii="Arial" w:hAnsi="Arial" w:cs="Arial"/>
          <w:noProof/>
          <w:sz w:val="16"/>
          <w:szCs w:val="16"/>
          <w:lang w:val="bg-BG"/>
        </w:rPr>
      </w:pPr>
    </w:p>
    <w:p>
      <w:pPr>
        <w:autoSpaceDE w:val="0"/>
        <w:autoSpaceDN w:val="0"/>
        <w:adjustRightInd w:val="0"/>
        <w:jc w:val="both"/>
        <w:rPr>
          <w:rFonts w:ascii="Arial" w:hAnsi="Arial" w:cs="Arial"/>
          <w:noProof/>
          <w:sz w:val="16"/>
          <w:szCs w:val="16"/>
          <w:lang w:val="bg-BG"/>
        </w:rPr>
      </w:pPr>
      <w:r>
        <w:rPr>
          <w:rFonts w:ascii="Arial" w:hAnsi="Arial"/>
          <w:noProof/>
          <w:sz w:val="16"/>
          <w:szCs w:val="16"/>
          <w:lang w:val="bg-BG"/>
        </w:rPr>
        <w:t>В обичайния ход на своята дейност механизмът може да сключи договори за суап с цел да хеджира определени заемни операции или договор за валутни форуърди с цел да хеджира своите валутни позиции, изразени в активно търгувани валути, различни от евро, за компенсиране на печалби или загуби, причинени от колебанията на валутния курс.</w:t>
      </w:r>
    </w:p>
    <w:p>
      <w:pPr>
        <w:autoSpaceDE w:val="0"/>
        <w:autoSpaceDN w:val="0"/>
        <w:adjustRightInd w:val="0"/>
        <w:rPr>
          <w:rFonts w:ascii="Arial" w:hAnsi="Arial" w:cs="Arial"/>
          <w:noProof/>
          <w:sz w:val="16"/>
          <w:szCs w:val="16"/>
          <w:lang w:val="bg-BG"/>
        </w:rPr>
      </w:pPr>
    </w:p>
    <w:p>
      <w:pPr>
        <w:autoSpaceDE w:val="0"/>
        <w:autoSpaceDN w:val="0"/>
        <w:adjustRightInd w:val="0"/>
        <w:rPr>
          <w:rFonts w:ascii="Arial" w:hAnsi="Arial" w:cs="Arial"/>
          <w:noProof/>
          <w:sz w:val="16"/>
          <w:szCs w:val="16"/>
          <w:lang w:val="bg-BG"/>
        </w:rPr>
      </w:pPr>
      <w:r>
        <w:rPr>
          <w:rFonts w:ascii="Arial" w:hAnsi="Arial"/>
          <w:noProof/>
          <w:sz w:val="16"/>
          <w:szCs w:val="16"/>
          <w:lang w:val="bg-BG"/>
        </w:rPr>
        <w:t>Всички деривати се измерват по FVTPL и се отчитат като дериватни финансови инструменти. Справедливите стойности се изчисляват главно въз основа на сконтираните модели за паричния поток, моделите за ценообразуване на опциите и от котировките на трети страни.</w:t>
      </w:r>
    </w:p>
    <w:p>
      <w:pPr>
        <w:autoSpaceDE w:val="0"/>
        <w:autoSpaceDN w:val="0"/>
        <w:adjustRightInd w:val="0"/>
        <w:rPr>
          <w:rFonts w:ascii="Arial" w:hAnsi="Arial" w:cs="Arial"/>
          <w:noProof/>
          <w:sz w:val="16"/>
          <w:szCs w:val="16"/>
          <w:lang w:val="bg-BG"/>
        </w:rPr>
      </w:pPr>
    </w:p>
    <w:p>
      <w:pPr>
        <w:autoSpaceDE w:val="0"/>
        <w:autoSpaceDN w:val="0"/>
        <w:adjustRightInd w:val="0"/>
        <w:jc w:val="both"/>
        <w:rPr>
          <w:rFonts w:cs="Arial"/>
          <w:noProof/>
          <w:sz w:val="16"/>
          <w:szCs w:val="16"/>
          <w:lang w:val="bg-BG"/>
        </w:rPr>
      </w:pPr>
      <w:r>
        <w:rPr>
          <w:rFonts w:ascii="Arial" w:hAnsi="Arial"/>
          <w:noProof/>
          <w:sz w:val="16"/>
          <w:szCs w:val="16"/>
          <w:lang w:val="bg-BG"/>
        </w:rPr>
        <w:t>Дериватите се записват по справедлива стойност и се отчитат като активи, ако тяхната справедлива стойност е положителна, и като пасиви, ако е отрицателна. Промените в справедливата стойност на дериватните финансови инструменти са показани в отчета за печалбата или загубата и другия всеобхватен доход в раздел „Промяна на справедливата стойност на дериватни финансови инструменти“.</w:t>
      </w:r>
    </w:p>
    <w:p>
      <w:pPr>
        <w:autoSpaceDE w:val="0"/>
        <w:autoSpaceDN w:val="0"/>
        <w:adjustRightInd w:val="0"/>
        <w:rPr>
          <w:rFonts w:cs="Arial"/>
          <w:noProof/>
          <w:sz w:val="16"/>
          <w:szCs w:val="16"/>
          <w:lang w:val="bg-BG"/>
        </w:rPr>
      </w:pPr>
    </w:p>
    <w:p>
      <w:pPr>
        <w:autoSpaceDE w:val="0"/>
        <w:autoSpaceDN w:val="0"/>
        <w:adjustRightInd w:val="0"/>
        <w:jc w:val="both"/>
        <w:rPr>
          <w:rFonts w:ascii="Arial" w:hAnsi="Arial" w:cs="Arial"/>
          <w:noProof/>
          <w:sz w:val="16"/>
          <w:szCs w:val="16"/>
          <w:lang w:val="bg-BG"/>
        </w:rPr>
      </w:pPr>
      <w:r>
        <w:rPr>
          <w:rFonts w:ascii="Arial" w:hAnsi="Arial"/>
          <w:noProof/>
          <w:sz w:val="16"/>
          <w:szCs w:val="16"/>
          <w:lang w:val="bg-BG"/>
        </w:rPr>
        <w:t>Съгласно МСФО 9 изискванията за разделяне относно внедрените деривати са премахнати за финансовите активи или финансовите пасиви и следователно хибридният договор се третира като цяло за класификацията съответно на финансови активи или финансови пасиви.</w:t>
      </w:r>
    </w:p>
    <w:p>
      <w:pPr>
        <w:spacing w:before="60"/>
        <w:rPr>
          <w:rFonts w:ascii="Arial" w:hAnsi="Arial"/>
          <w:noProof/>
          <w:sz w:val="16"/>
          <w:szCs w:val="16"/>
          <w:lang w:val="bg-BG"/>
        </w:rPr>
      </w:pPr>
    </w:p>
    <w:p>
      <w:pPr>
        <w:numPr>
          <w:ilvl w:val="2"/>
          <w:numId w:val="51"/>
        </w:numPr>
        <w:tabs>
          <w:tab w:val="right" w:pos="-2700"/>
        </w:tabs>
        <w:suppressAutoHyphens/>
        <w:spacing w:before="60"/>
        <w:jc w:val="both"/>
        <w:rPr>
          <w:rFonts w:ascii="Arial" w:hAnsi="Arial"/>
          <w:b/>
          <w:noProof/>
          <w:sz w:val="16"/>
          <w:szCs w:val="20"/>
          <w:lang w:val="bg-BG" w:eastAsia="ar-SA"/>
        </w:rPr>
      </w:pPr>
      <w:r>
        <w:rPr>
          <w:rFonts w:ascii="Arial" w:hAnsi="Arial"/>
          <w:b/>
          <w:noProof/>
          <w:sz w:val="16"/>
          <w:szCs w:val="20"/>
          <w:lang w:val="bg-BG" w:eastAsia="ar-SA"/>
        </w:rPr>
        <w:t xml:space="preserve"> Вноски</w:t>
      </w:r>
    </w:p>
    <w:p>
      <w:pPr>
        <w:spacing w:after="60"/>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Вноските от държавите членки се отчитат в отчета за финансовото състояние като вземания на датата на решението на Съвета, определящо финансовата вноска, която държавата членка трябва да плати на механизма.</w:t>
      </w:r>
    </w:p>
    <w:p>
      <w:pPr>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Вноските на държавите членки изпълняват следните условия и следователно се класифицират като собствен капитал:</w:t>
      </w:r>
    </w:p>
    <w:p>
      <w:pPr>
        <w:numPr>
          <w:ilvl w:val="0"/>
          <w:numId w:val="52"/>
        </w:numPr>
        <w:tabs>
          <w:tab w:val="left" w:pos="340"/>
        </w:tabs>
        <w:spacing w:before="60" w:after="60"/>
        <w:jc w:val="both"/>
        <w:rPr>
          <w:rFonts w:ascii="Arial" w:hAnsi="Arial"/>
          <w:noProof/>
          <w:sz w:val="16"/>
          <w:szCs w:val="16"/>
          <w:lang w:val="bg-BG"/>
        </w:rPr>
      </w:pPr>
      <w:r>
        <w:rPr>
          <w:rFonts w:ascii="Arial" w:hAnsi="Arial"/>
          <w:noProof/>
          <w:sz w:val="16"/>
          <w:szCs w:val="16"/>
          <w:lang w:val="bg-BG"/>
        </w:rPr>
        <w:t>както е определено в споразумението за вноските, държавите членки имат право да решават относно използването на нетните активи на механизма, в случай на ликвидация на механизма,</w:t>
      </w:r>
    </w:p>
    <w:p>
      <w:pPr>
        <w:numPr>
          <w:ilvl w:val="0"/>
          <w:numId w:val="52"/>
        </w:numPr>
        <w:tabs>
          <w:tab w:val="left" w:pos="340"/>
        </w:tabs>
        <w:spacing w:before="60" w:after="60"/>
        <w:jc w:val="both"/>
        <w:rPr>
          <w:rFonts w:ascii="Arial" w:hAnsi="Arial"/>
          <w:noProof/>
          <w:sz w:val="16"/>
          <w:szCs w:val="16"/>
          <w:lang w:val="bg-BG"/>
        </w:rPr>
      </w:pPr>
      <w:r>
        <w:rPr>
          <w:rFonts w:ascii="Arial" w:hAnsi="Arial"/>
          <w:noProof/>
          <w:sz w:val="16"/>
          <w:szCs w:val="16"/>
          <w:lang w:val="bg-BG"/>
        </w:rPr>
        <w:t>те са в класа инструменти, който е подчинен на всички други класове инструменти,</w:t>
      </w:r>
    </w:p>
    <w:p>
      <w:pPr>
        <w:numPr>
          <w:ilvl w:val="0"/>
          <w:numId w:val="52"/>
        </w:numPr>
        <w:tabs>
          <w:tab w:val="left" w:pos="340"/>
        </w:tabs>
        <w:spacing w:before="60" w:after="60"/>
        <w:jc w:val="both"/>
        <w:rPr>
          <w:rFonts w:ascii="Arial" w:hAnsi="Arial"/>
          <w:noProof/>
          <w:sz w:val="16"/>
          <w:szCs w:val="16"/>
          <w:lang w:val="bg-BG"/>
        </w:rPr>
      </w:pPr>
      <w:r>
        <w:rPr>
          <w:rFonts w:ascii="Arial" w:hAnsi="Arial"/>
          <w:noProof/>
          <w:sz w:val="16"/>
          <w:szCs w:val="16"/>
          <w:lang w:val="bg-BG"/>
        </w:rPr>
        <w:t>всички финансови инструменти в класа инструменти, които са подчинени на всички други класове инструменти, притежават идентични характеристики,</w:t>
      </w:r>
    </w:p>
    <w:p>
      <w:pPr>
        <w:numPr>
          <w:ilvl w:val="0"/>
          <w:numId w:val="52"/>
        </w:numPr>
        <w:tabs>
          <w:tab w:val="left" w:pos="340"/>
        </w:tabs>
        <w:spacing w:before="60" w:after="60"/>
        <w:jc w:val="both"/>
        <w:rPr>
          <w:rFonts w:ascii="Arial" w:hAnsi="Arial"/>
          <w:noProof/>
          <w:sz w:val="16"/>
          <w:szCs w:val="16"/>
          <w:lang w:val="bg-BG"/>
        </w:rPr>
      </w:pPr>
      <w:r>
        <w:rPr>
          <w:rFonts w:ascii="Arial" w:hAnsi="Arial"/>
          <w:noProof/>
          <w:sz w:val="16"/>
          <w:szCs w:val="16"/>
          <w:lang w:val="bg-BG"/>
        </w:rPr>
        <w:t>инструментът не включва характеристики, които налагат класифициране като пасив; и</w:t>
      </w:r>
    </w:p>
    <w:p>
      <w:pPr>
        <w:numPr>
          <w:ilvl w:val="0"/>
          <w:numId w:val="52"/>
        </w:numPr>
        <w:tabs>
          <w:tab w:val="left" w:pos="340"/>
        </w:tabs>
        <w:spacing w:before="60"/>
        <w:jc w:val="both"/>
        <w:rPr>
          <w:rFonts w:ascii="Arial" w:hAnsi="Arial"/>
          <w:noProof/>
          <w:sz w:val="16"/>
          <w:szCs w:val="16"/>
          <w:lang w:val="bg-BG"/>
        </w:rPr>
      </w:pPr>
      <w:r>
        <w:rPr>
          <w:rFonts w:ascii="Arial" w:hAnsi="Arial"/>
          <w:noProof/>
          <w:sz w:val="16"/>
          <w:szCs w:val="16"/>
          <w:lang w:val="bg-BG"/>
        </w:rPr>
        <w:t>общият размер на очакваните парични потоци, отнасяни към този инструмент, през цялото времетраене на инструмента се основават в съществена степен на печалбата или загубата, промяната в признатите нетни активи или промяната в справедливата стойност на признатите и отписани нетни активи на механизма през цялото времетраене на инструмента.</w:t>
      </w:r>
    </w:p>
    <w:p>
      <w:pPr>
        <w:tabs>
          <w:tab w:val="left" w:pos="340"/>
        </w:tabs>
        <w:jc w:val="both"/>
        <w:rPr>
          <w:rFonts w:ascii="Arial" w:hAnsi="Arial"/>
          <w:noProof/>
          <w:sz w:val="16"/>
          <w:szCs w:val="16"/>
          <w:lang w:val="bg-BG"/>
        </w:rPr>
      </w:pPr>
      <w:r>
        <w:rPr>
          <w:rFonts w:ascii="Arial" w:hAnsi="Arial"/>
          <w:noProof/>
          <w:sz w:val="16"/>
          <w:szCs w:val="16"/>
          <w:lang w:val="bg-BG"/>
        </w:rPr>
        <w:t xml:space="preserve">                      </w:t>
      </w:r>
    </w:p>
    <w:p>
      <w:pPr>
        <w:autoSpaceDE w:val="0"/>
        <w:autoSpaceDN w:val="0"/>
        <w:adjustRightInd w:val="0"/>
        <w:rPr>
          <w:rFonts w:cs="Arial"/>
          <w:noProof/>
          <w:sz w:val="16"/>
          <w:szCs w:val="16"/>
          <w:lang w:val="bg-BG"/>
        </w:rPr>
      </w:pPr>
      <w:r>
        <w:rPr>
          <w:rFonts w:ascii="Arial" w:hAnsi="Arial"/>
          <w:noProof/>
          <w:sz w:val="16"/>
          <w:szCs w:val="16"/>
          <w:lang w:val="bg-BG"/>
        </w:rPr>
        <w:t>Вноските се класифицират и оценяват по амортизирана стойност във финансовите отчети.</w:t>
      </w:r>
    </w:p>
    <w:p>
      <w:pPr>
        <w:tabs>
          <w:tab w:val="left" w:pos="340"/>
        </w:tabs>
        <w:spacing w:before="60" w:after="60"/>
        <w:jc w:val="both"/>
        <w:rPr>
          <w:rFonts w:ascii="Arial" w:hAnsi="Arial"/>
          <w:noProof/>
          <w:sz w:val="16"/>
          <w:szCs w:val="16"/>
          <w:lang w:val="bg-BG"/>
        </w:rPr>
      </w:pPr>
    </w:p>
    <w:p>
      <w:pPr>
        <w:rPr>
          <w:rFonts w:ascii="Arial" w:hAnsi="Arial"/>
          <w:b/>
          <w:noProof/>
          <w:sz w:val="16"/>
          <w:szCs w:val="20"/>
          <w:lang w:val="bg-BG"/>
        </w:rPr>
      </w:pPr>
      <w:r>
        <w:rPr>
          <w:noProof/>
          <w:lang w:val="bg-BG"/>
        </w:rPr>
        <w:br w:type="page"/>
      </w:r>
    </w:p>
    <w:p>
      <w:pPr>
        <w:numPr>
          <w:ilvl w:val="2"/>
          <w:numId w:val="51"/>
        </w:numPr>
        <w:tabs>
          <w:tab w:val="right" w:pos="-2700"/>
        </w:tabs>
        <w:suppressAutoHyphens/>
        <w:spacing w:before="60"/>
        <w:jc w:val="both"/>
        <w:rPr>
          <w:rFonts w:ascii="Arial" w:hAnsi="Arial"/>
          <w:b/>
          <w:noProof/>
          <w:sz w:val="16"/>
          <w:szCs w:val="20"/>
          <w:lang w:val="bg-BG" w:eastAsia="ar-SA"/>
        </w:rPr>
      </w:pPr>
      <w:r>
        <w:rPr>
          <w:rFonts w:ascii="Arial" w:hAnsi="Arial"/>
          <w:b/>
          <w:noProof/>
          <w:sz w:val="16"/>
          <w:szCs w:val="20"/>
          <w:lang w:val="bg-BG" w:eastAsia="ar-SA"/>
        </w:rPr>
        <w:t xml:space="preserve"> Приходи от лихви и други подобни приходи </w:t>
      </w:r>
    </w:p>
    <w:p>
      <w:pPr>
        <w:spacing w:after="60"/>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Лихвата върху заеми, предоставени от механизма, се вписва в отчета за печалбата или загубата и другия всеобхватен доход („Приходи от лихви и други подобни приходи“) и в отчета за финансовото състояние („Заеми и аванси“) на базата на текущо начисляване чрез ефективния лихвен процент, който е процентът, който точно сконтира прогнозираните бъдещи парични плащания или постъпления за очаквания срок на заема до неговата чиста отчетна стойност. След като записаната стойност на заема бъде намалена поради обезценка, приходите от лихви продължават да се отчитат чрез първоначалния ефективен лихвен процент, приложим към новата отчетна стойност.</w:t>
      </w:r>
    </w:p>
    <w:p>
      <w:pPr>
        <w:jc w:val="both"/>
        <w:rPr>
          <w:rFonts w:ascii="Arial" w:hAnsi="Arial"/>
          <w:noProof/>
          <w:sz w:val="16"/>
          <w:szCs w:val="16"/>
          <w:lang w:val="bg-BG"/>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Лихвата върху заеми POCI се вписва в отчета за печалбата или загубата и другия всеобхватен доход („Приходи от лихви и други подобни приходи“) и в отчета за финансовото състояние („Заеми и аванси“) на базата на текущо начисляване чрез ефективния лихвен процент, коригиран спрямо кредита за целия срок на заема, който е процентът, който точно сконтира прогнозираните бъдещи парични плащания или постъпления за очаквания срок на заема до амортизираната стойност на заема.</w:t>
      </w:r>
    </w:p>
    <w:p>
      <w:pPr>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Таксите за поети задължения се отлагат и признават като приход по метода на ефективната лихва за срока от отпускането на съответния заем до неговото изплащане, и са представени в отчета за печалбата или загубата и другия всеобхватен доход като лихви и други подобни приходи.</w:t>
      </w:r>
    </w:p>
    <w:p>
      <w:pPr>
        <w:spacing w:before="60" w:after="60"/>
        <w:jc w:val="both"/>
        <w:rPr>
          <w:rFonts w:ascii="Arial" w:hAnsi="Arial"/>
          <w:noProof/>
          <w:sz w:val="16"/>
          <w:szCs w:val="16"/>
          <w:lang w:val="bg-BG"/>
        </w:rPr>
      </w:pPr>
    </w:p>
    <w:p>
      <w:pPr>
        <w:numPr>
          <w:ilvl w:val="2"/>
          <w:numId w:val="51"/>
        </w:numPr>
        <w:tabs>
          <w:tab w:val="right" w:pos="-2700"/>
        </w:tabs>
        <w:suppressAutoHyphens/>
        <w:spacing w:before="60"/>
        <w:jc w:val="both"/>
        <w:rPr>
          <w:rFonts w:ascii="Arial" w:hAnsi="Arial"/>
          <w:b/>
          <w:noProof/>
          <w:sz w:val="16"/>
          <w:szCs w:val="20"/>
          <w:lang w:val="bg-BG" w:eastAsia="ar-SA"/>
        </w:rPr>
      </w:pPr>
      <w:r>
        <w:rPr>
          <w:rFonts w:ascii="Arial" w:hAnsi="Arial"/>
          <w:b/>
          <w:noProof/>
          <w:sz w:val="16"/>
          <w:szCs w:val="20"/>
          <w:lang w:val="bg-BG" w:eastAsia="ar-SA"/>
        </w:rPr>
        <w:t>Лихвени субсидии и техническа помощ</w:t>
      </w:r>
    </w:p>
    <w:p>
      <w:pPr>
        <w:spacing w:after="60"/>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Като част от своите дейности механизмът управлява лихвените субсидии и техническата помощ от името на държавите членки.</w:t>
      </w:r>
    </w:p>
    <w:p>
      <w:pPr>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Частта от вноските на държавите членки, предоставена за изплащане на лихвени субсидии и ТП, не се отчита в ресурсите на вносителите на механизма, а се класифицира като сума, дължима на трети страни. Механизмът отпуска плащанията за крайните бенефициери и тогава намалява сумите, дължими на трети страни.</w:t>
      </w:r>
    </w:p>
    <w:p>
      <w:pPr>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Когато сумите, внесени във връзка с лихвени субсидии и ТП, не са напълно предоставени, те се прекласифицират като вноска за механизма.</w:t>
      </w:r>
    </w:p>
    <w:p>
      <w:pPr>
        <w:rPr>
          <w:rFonts w:ascii="Arial" w:hAnsi="Arial"/>
          <w:noProof/>
          <w:sz w:val="16"/>
          <w:szCs w:val="16"/>
          <w:lang w:val="bg-BG"/>
        </w:rPr>
      </w:pPr>
    </w:p>
    <w:p>
      <w:pPr>
        <w:numPr>
          <w:ilvl w:val="2"/>
          <w:numId w:val="51"/>
        </w:numPr>
        <w:tabs>
          <w:tab w:val="right" w:pos="-2700"/>
        </w:tabs>
        <w:suppressAutoHyphens/>
        <w:spacing w:before="60"/>
        <w:jc w:val="both"/>
        <w:rPr>
          <w:rFonts w:ascii="Arial" w:hAnsi="Arial"/>
          <w:b/>
          <w:noProof/>
          <w:sz w:val="16"/>
          <w:szCs w:val="20"/>
          <w:lang w:val="bg-BG" w:eastAsia="ar-SA"/>
        </w:rPr>
      </w:pPr>
      <w:r>
        <w:rPr>
          <w:rFonts w:ascii="Arial" w:hAnsi="Arial"/>
          <w:b/>
          <w:noProof/>
          <w:sz w:val="16"/>
          <w:szCs w:val="20"/>
          <w:lang w:val="bg-BG" w:eastAsia="ar-SA"/>
        </w:rPr>
        <w:t>Приходи от лихви по пари и парични еквиваленти</w:t>
      </w:r>
    </w:p>
    <w:p>
      <w:pPr>
        <w:spacing w:after="60"/>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Приходите от лихви от пари и парични еквиваленти се признават в отчета за печалбата или загубата и другия всеобхватен доход на механизма на базата на текущо начисляване.</w:t>
      </w:r>
    </w:p>
    <w:p>
      <w:pPr>
        <w:rPr>
          <w:rFonts w:ascii="Arial" w:hAnsi="Arial"/>
          <w:noProof/>
          <w:sz w:val="16"/>
          <w:szCs w:val="16"/>
          <w:lang w:val="bg-BG"/>
        </w:rPr>
      </w:pPr>
    </w:p>
    <w:p>
      <w:pPr>
        <w:numPr>
          <w:ilvl w:val="2"/>
          <w:numId w:val="51"/>
        </w:numPr>
        <w:tabs>
          <w:tab w:val="right" w:pos="-2700"/>
        </w:tabs>
        <w:suppressAutoHyphens/>
        <w:spacing w:before="60"/>
        <w:jc w:val="both"/>
        <w:rPr>
          <w:rFonts w:ascii="Arial" w:hAnsi="Arial"/>
          <w:b/>
          <w:noProof/>
          <w:sz w:val="16"/>
          <w:szCs w:val="20"/>
          <w:lang w:val="bg-BG" w:eastAsia="ar-SA"/>
        </w:rPr>
      </w:pPr>
      <w:r>
        <w:rPr>
          <w:rFonts w:ascii="Arial" w:hAnsi="Arial"/>
          <w:b/>
          <w:noProof/>
          <w:sz w:val="16"/>
          <w:szCs w:val="20"/>
          <w:lang w:val="bg-BG" w:eastAsia="ar-SA"/>
        </w:rPr>
        <w:t>Такси, комисионни и дивиденти</w:t>
      </w:r>
    </w:p>
    <w:p>
      <w:pPr>
        <w:spacing w:after="60"/>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 xml:space="preserve">Получените такси за услуги, предоставени за определен период от време, се признават като приход в момента на предоставяне на услугите, докато таксите, които са резултат от изпълнението на значимо действие, се признават като приход при завършването на значимото действие. Тези такси се представят в отчета за печалбата или загубата и другия всеобхватен доход като приходи от такси и комисионни. </w:t>
      </w:r>
    </w:p>
    <w:p>
      <w:pPr>
        <w:spacing w:before="60" w:after="60"/>
        <w:jc w:val="both"/>
        <w:rPr>
          <w:rFonts w:ascii="Arial" w:hAnsi="Arial"/>
          <w:noProof/>
          <w:sz w:val="16"/>
          <w:szCs w:val="16"/>
          <w:lang w:val="bg-BG"/>
        </w:rPr>
      </w:pPr>
    </w:p>
    <w:p>
      <w:pPr>
        <w:spacing w:before="60" w:after="60"/>
        <w:jc w:val="both"/>
        <w:rPr>
          <w:rFonts w:ascii="Arial" w:hAnsi="Arial"/>
          <w:noProof/>
          <w:sz w:val="16"/>
          <w:szCs w:val="16"/>
          <w:lang w:val="bg-BG"/>
        </w:rPr>
      </w:pPr>
      <w:r>
        <w:rPr>
          <w:rFonts w:ascii="Arial" w:hAnsi="Arial"/>
          <w:noProof/>
          <w:sz w:val="16"/>
          <w:szCs w:val="16"/>
          <w:lang w:val="bg-BG"/>
        </w:rPr>
        <w:t>Дивидентите, свързани с акции и други ценни книжа с променлива доходност, се признават при тяхното получаване и се вписват в отчета за печалбата или загубата и другия всеобхватен доход като нетни реализирани печалби от акции и други ценни книжа с променлива доходност.</w:t>
      </w:r>
    </w:p>
    <w:p>
      <w:pPr>
        <w:rPr>
          <w:rFonts w:ascii="Arial" w:hAnsi="Arial"/>
          <w:noProof/>
          <w:sz w:val="16"/>
          <w:szCs w:val="16"/>
          <w:lang w:val="bg-BG"/>
        </w:rPr>
      </w:pPr>
    </w:p>
    <w:p>
      <w:pPr>
        <w:numPr>
          <w:ilvl w:val="2"/>
          <w:numId w:val="51"/>
        </w:numPr>
        <w:tabs>
          <w:tab w:val="right" w:pos="-2700"/>
        </w:tabs>
        <w:suppressAutoHyphens/>
        <w:spacing w:before="60"/>
        <w:jc w:val="both"/>
        <w:rPr>
          <w:rFonts w:ascii="Arial" w:hAnsi="Arial"/>
          <w:b/>
          <w:noProof/>
          <w:sz w:val="16"/>
          <w:szCs w:val="20"/>
          <w:lang w:val="bg-BG" w:eastAsia="ar-SA"/>
        </w:rPr>
      </w:pPr>
      <w:r>
        <w:rPr>
          <w:rFonts w:ascii="Arial" w:hAnsi="Arial"/>
          <w:b/>
          <w:noProof/>
          <w:sz w:val="16"/>
          <w:szCs w:val="20"/>
          <w:lang w:val="bg-BG" w:eastAsia="ar-SA"/>
        </w:rPr>
        <w:t>Данъчно облагане</w:t>
      </w:r>
    </w:p>
    <w:p>
      <w:pPr>
        <w:tabs>
          <w:tab w:val="right" w:pos="-2700"/>
        </w:tabs>
        <w:suppressAutoHyphens/>
        <w:spacing w:after="60"/>
        <w:ind w:left="680"/>
        <w:jc w:val="both"/>
        <w:rPr>
          <w:rFonts w:ascii="Arial" w:hAnsi="Arial"/>
          <w:b/>
          <w:noProof/>
          <w:sz w:val="16"/>
          <w:szCs w:val="20"/>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В Протокола за привилегиите и имунитетите на Европейския съюз, добавен към Договора за Европейския съюз и Договора за функционирането на Европейския съюз, се посочва, че имуществото, приходите и друга собственост на институциите на Съюза са освободени от всички преки данъци.</w:t>
      </w:r>
    </w:p>
    <w:p>
      <w:pPr>
        <w:pStyle w:val="ListParagraph"/>
        <w:pageBreakBefore/>
        <w:numPr>
          <w:ilvl w:val="0"/>
          <w:numId w:val="112"/>
        </w:numPr>
        <w:tabs>
          <w:tab w:val="center" w:pos="4320"/>
          <w:tab w:val="right" w:pos="8640"/>
        </w:tabs>
        <w:spacing w:before="120" w:after="120"/>
        <w:ind w:left="426" w:hanging="426"/>
        <w:jc w:val="both"/>
        <w:rPr>
          <w:rFonts w:ascii="Arial" w:hAnsi="Arial"/>
          <w:b/>
          <w:noProof/>
          <w:sz w:val="20"/>
          <w:lang w:val="bg-BG"/>
        </w:rPr>
      </w:pPr>
      <w:r>
        <w:rPr>
          <w:rFonts w:ascii="Arial" w:hAnsi="Arial"/>
          <w:b/>
          <w:noProof/>
          <w:sz w:val="20"/>
          <w:lang w:val="en-US"/>
        </w:rPr>
        <w:t>3</w:t>
      </w:r>
      <w:r>
        <w:rPr>
          <w:rFonts w:ascii="Arial" w:hAnsi="Arial"/>
          <w:b/>
          <w:noProof/>
          <w:sz w:val="20"/>
          <w:lang w:val="bg-BG"/>
        </w:rPr>
        <w:tab/>
        <w:t>Управление на риска</w:t>
      </w:r>
    </w:p>
    <w:p>
      <w:pPr>
        <w:tabs>
          <w:tab w:val="center" w:pos="426"/>
          <w:tab w:val="right" w:pos="8640"/>
        </w:tabs>
        <w:suppressAutoHyphens/>
        <w:spacing w:before="60"/>
        <w:jc w:val="both"/>
        <w:rPr>
          <w:rFonts w:ascii="Arial" w:hAnsi="Arial"/>
          <w:b/>
          <w:noProof/>
          <w:sz w:val="16"/>
          <w:szCs w:val="16"/>
          <w:lang w:val="en-US" w:eastAsia="ar-SA"/>
        </w:rPr>
      </w:pPr>
      <w:r>
        <w:rPr>
          <w:rFonts w:ascii="Arial" w:hAnsi="Arial"/>
          <w:b/>
          <w:noProof/>
          <w:sz w:val="16"/>
          <w:szCs w:val="16"/>
          <w:lang w:val="en-US" w:eastAsia="ar-SA"/>
        </w:rPr>
        <w:t>3</w:t>
      </w:r>
      <w:r>
        <w:rPr>
          <w:rFonts w:ascii="Arial" w:hAnsi="Arial"/>
          <w:b/>
          <w:noProof/>
          <w:sz w:val="16"/>
          <w:szCs w:val="16"/>
          <w:lang w:val="en-US" w:eastAsia="ar-SA"/>
        </w:rPr>
        <w:tab/>
      </w:r>
    </w:p>
    <w:p>
      <w:pPr>
        <w:pStyle w:val="ListParagraph"/>
        <w:numPr>
          <w:ilvl w:val="0"/>
          <w:numId w:val="112"/>
        </w:numPr>
        <w:tabs>
          <w:tab w:val="right" w:pos="-2700"/>
          <w:tab w:val="left" w:pos="426"/>
        </w:tabs>
        <w:spacing w:after="60"/>
        <w:ind w:left="0" w:firstLine="0"/>
        <w:jc w:val="both"/>
        <w:rPr>
          <w:rFonts w:ascii="Arial" w:hAnsi="Arial"/>
          <w:iCs/>
          <w:noProof/>
          <w:sz w:val="16"/>
          <w:szCs w:val="16"/>
          <w:lang w:val="bg-BG"/>
        </w:rPr>
      </w:pPr>
      <w:r>
        <w:rPr>
          <w:rFonts w:ascii="Arial" w:hAnsi="Arial"/>
          <w:iCs/>
          <w:noProof/>
          <w:sz w:val="16"/>
          <w:szCs w:val="16"/>
          <w:lang w:val="bg-BG"/>
        </w:rPr>
        <w:t>Настоящата бележка съдържа информация за експозицията на механизма и неговото управление и контрол на финансовите и кредитните рискове, и по-специално на основните рискове, свързани с използването на финансови инструменти. Те са:</w:t>
      </w:r>
    </w:p>
    <w:p>
      <w:pPr>
        <w:numPr>
          <w:ilvl w:val="0"/>
          <w:numId w:val="112"/>
        </w:numPr>
        <w:tabs>
          <w:tab w:val="right" w:pos="-2700"/>
          <w:tab w:val="left" w:pos="426"/>
        </w:tabs>
        <w:suppressAutoHyphens/>
        <w:spacing w:after="60"/>
        <w:ind w:left="0" w:firstLine="0"/>
        <w:jc w:val="both"/>
        <w:rPr>
          <w:rFonts w:ascii="Arial" w:hAnsi="Arial"/>
          <w:iCs/>
          <w:noProof/>
          <w:sz w:val="16"/>
          <w:szCs w:val="16"/>
          <w:lang w:val="bg-BG" w:eastAsia="ar-SA"/>
        </w:rPr>
      </w:pPr>
    </w:p>
    <w:p>
      <w:pPr>
        <w:numPr>
          <w:ilvl w:val="0"/>
          <w:numId w:val="54"/>
        </w:numPr>
        <w:tabs>
          <w:tab w:val="center" w:pos="4320"/>
          <w:tab w:val="right" w:pos="8640"/>
        </w:tabs>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кредитен риск — рискът от загуба, която е резултат от неизпълнение на клиент или контрагент, и произтичащ от кредитна експозиция във всякаква форма, включително риска от неизпълнение на плащане;</w:t>
      </w:r>
    </w:p>
    <w:p>
      <w:pPr>
        <w:numPr>
          <w:ilvl w:val="0"/>
          <w:numId w:val="54"/>
        </w:numPr>
        <w:tabs>
          <w:tab w:val="center" w:pos="4320"/>
          <w:tab w:val="right" w:pos="8640"/>
        </w:tabs>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ликвиден риск — рискът даден субект да не бъде в състояние да финансира увеличения на активите и да изпълнява задължения, когато те станат изискуеми, без да търпи неприемливи загуби;</w:t>
      </w:r>
    </w:p>
    <w:p>
      <w:pPr>
        <w:numPr>
          <w:ilvl w:val="0"/>
          <w:numId w:val="54"/>
        </w:numPr>
        <w:tabs>
          <w:tab w:val="center" w:pos="4320"/>
          <w:tab w:val="right" w:pos="8640"/>
        </w:tabs>
        <w:suppressAutoHyphens/>
        <w:spacing w:before="60" w:after="60"/>
        <w:jc w:val="both"/>
        <w:rPr>
          <w:rFonts w:ascii="Arial" w:hAnsi="Arial"/>
          <w:b/>
          <w:noProof/>
          <w:sz w:val="16"/>
          <w:szCs w:val="16"/>
          <w:lang w:val="bg-BG" w:eastAsia="ar-SA"/>
        </w:rPr>
      </w:pPr>
      <w:r>
        <w:rPr>
          <w:rFonts w:ascii="Arial" w:hAnsi="Arial"/>
          <w:noProof/>
          <w:sz w:val="16"/>
          <w:szCs w:val="16"/>
          <w:lang w:val="bg-BG" w:eastAsia="ar-SA"/>
        </w:rPr>
        <w:t>пазарен риск — рискът, че промените в пазарните цени и проценти, например лихвени проценти, цени на капиталови инструменти, валутни курсове, ще засегнат приходите на субекта или стойността на неговото участие във финансови инструменти.</w:t>
      </w:r>
    </w:p>
    <w:p>
      <w:pPr>
        <w:numPr>
          <w:ilvl w:val="0"/>
          <w:numId w:val="112"/>
        </w:numPr>
        <w:tabs>
          <w:tab w:val="center" w:pos="426"/>
          <w:tab w:val="right" w:pos="8640"/>
        </w:tabs>
        <w:suppressAutoHyphens/>
        <w:spacing w:before="60" w:after="60"/>
        <w:ind w:left="0" w:firstLine="0"/>
        <w:jc w:val="both"/>
        <w:rPr>
          <w:rFonts w:ascii="Arial" w:hAnsi="Arial"/>
          <w:noProof/>
          <w:sz w:val="16"/>
          <w:szCs w:val="16"/>
          <w:lang w:val="bg-BG" w:eastAsia="ar-SA"/>
        </w:rPr>
      </w:pPr>
    </w:p>
    <w:p>
      <w:pPr>
        <w:tabs>
          <w:tab w:val="right" w:pos="-2700"/>
          <w:tab w:val="left" w:pos="426"/>
          <w:tab w:val="right" w:pos="720"/>
        </w:tabs>
        <w:suppressAutoHyphens/>
        <w:spacing w:before="60"/>
        <w:ind w:left="1151" w:hanging="1151"/>
        <w:jc w:val="both"/>
        <w:rPr>
          <w:rFonts w:ascii="Arial" w:hAnsi="Arial"/>
          <w:b/>
          <w:noProof/>
          <w:sz w:val="16"/>
          <w:szCs w:val="16"/>
          <w:lang w:val="bg-BG" w:eastAsia="ar-SA"/>
        </w:rPr>
      </w:pPr>
      <w:r>
        <w:rPr>
          <w:rFonts w:ascii="Arial" w:hAnsi="Arial"/>
          <w:b/>
          <w:noProof/>
          <w:sz w:val="16"/>
          <w:szCs w:val="16"/>
          <w:lang w:val="bg-BG" w:eastAsia="ar-SA"/>
        </w:rPr>
        <w:t>3.1</w:t>
      </w:r>
      <w:r>
        <w:rPr>
          <w:rFonts w:ascii="Arial" w:hAnsi="Arial"/>
          <w:b/>
          <w:noProof/>
          <w:sz w:val="16"/>
          <w:szCs w:val="16"/>
          <w:lang w:val="bg-BG" w:eastAsia="ar-SA"/>
        </w:rPr>
        <w:tab/>
        <w:t>Организация на управлението на риска</w:t>
      </w:r>
    </w:p>
    <w:p>
      <w:pPr>
        <w:tabs>
          <w:tab w:val="right" w:pos="-2700"/>
          <w:tab w:val="right" w:pos="720"/>
          <w:tab w:val="left" w:pos="758"/>
        </w:tabs>
        <w:suppressAutoHyphens/>
        <w:rPr>
          <w:rFonts w:ascii="Arial" w:hAnsi="Arial"/>
          <w:noProof/>
          <w:sz w:val="16"/>
          <w:szCs w:val="16"/>
          <w:lang w:val="bg-BG" w:eastAsia="ar-SA"/>
        </w:rPr>
      </w:pPr>
      <w:r>
        <w:rPr>
          <w:rFonts w:ascii="Arial" w:hAnsi="Arial"/>
          <w:noProof/>
          <w:sz w:val="16"/>
          <w:szCs w:val="16"/>
          <w:lang w:val="bg-BG" w:eastAsia="ar-SA"/>
        </w:rPr>
        <w:tab/>
      </w:r>
      <w:r>
        <w:rPr>
          <w:rFonts w:ascii="Arial" w:hAnsi="Arial"/>
          <w:noProof/>
          <w:sz w:val="16"/>
          <w:szCs w:val="16"/>
          <w:lang w:val="bg-BG" w:eastAsia="ar-SA"/>
        </w:rPr>
        <w:tab/>
      </w:r>
    </w:p>
    <w:p>
      <w:pPr>
        <w:numPr>
          <w:ilvl w:val="0"/>
          <w:numId w:val="112"/>
        </w:numPr>
        <w:tabs>
          <w:tab w:val="right" w:pos="-2700"/>
          <w:tab w:val="left" w:pos="567"/>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ЕИБ редовно актуализира рамката за управление на риска на Инвестиционния фонд.</w:t>
      </w:r>
    </w:p>
    <w:p>
      <w:pPr>
        <w:tabs>
          <w:tab w:val="center" w:pos="426"/>
          <w:tab w:val="right" w:pos="8640"/>
        </w:tabs>
        <w:suppressAutoHyphens/>
        <w:spacing w:before="60" w:after="120"/>
        <w:jc w:val="both"/>
        <w:rPr>
          <w:rFonts w:ascii="Arial" w:hAnsi="Arial"/>
          <w:b/>
          <w:noProof/>
          <w:sz w:val="16"/>
          <w:szCs w:val="16"/>
          <w:lang w:val="bg-BG"/>
        </w:rPr>
      </w:pPr>
      <w:r>
        <w:rPr>
          <w:rFonts w:ascii="Arial" w:hAnsi="Arial"/>
          <w:b/>
          <w:noProof/>
          <w:sz w:val="16"/>
          <w:szCs w:val="16"/>
          <w:lang w:val="bg-BG"/>
        </w:rPr>
        <w:t>4</w:t>
      </w:r>
      <w:r>
        <w:rPr>
          <w:rFonts w:ascii="Arial" w:hAnsi="Arial"/>
          <w:b/>
          <w:noProof/>
          <w:sz w:val="16"/>
          <w:szCs w:val="16"/>
          <w:lang w:val="bg-BG"/>
        </w:rPr>
        <w:tab/>
      </w:r>
    </w:p>
    <w:p>
      <w:pPr>
        <w:tabs>
          <w:tab w:val="center" w:pos="567"/>
          <w:tab w:val="right" w:pos="8640"/>
        </w:tabs>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5</w:t>
      </w:r>
      <w:r>
        <w:rPr>
          <w:rFonts w:ascii="Arial" w:hAnsi="Arial"/>
          <w:noProof/>
          <w:sz w:val="16"/>
          <w:szCs w:val="16"/>
          <w:lang w:val="bg-BG" w:eastAsia="ar-SA"/>
        </w:rPr>
        <w:tab/>
      </w:r>
      <w:r>
        <w:rPr>
          <w:rFonts w:ascii="Arial" w:hAnsi="Arial"/>
          <w:noProof/>
          <w:sz w:val="16"/>
          <w:szCs w:val="16"/>
          <w:lang w:val="bg-BG" w:eastAsia="ar-SA"/>
        </w:rPr>
        <w:tab/>
        <w:t>Дирекцията по управление на риска на ЕИБ независимо идентифицира, оценява, наблюдава и докладва за рисковете, на които е изложен механизмът. В определени рамки, позволяващи запазване на разделението на задълженията, Дирекцията по управление на риска е независима от фронт офиса. На равнище ЕИБ генералният директор по управлението на риска докладва по въпросите на риска пред определения за целта заместник-председателя по въпросите на управлението на риска. Определеният заместник-председател е отговорен за надзора на докладването на рисковете пред Управителния комитет и Съвета на директорите на ЕИБ.</w:t>
      </w:r>
    </w:p>
    <w:p>
      <w:pPr>
        <w:tabs>
          <w:tab w:val="left" w:pos="1065"/>
        </w:tabs>
        <w:spacing w:before="60" w:after="60"/>
        <w:jc w:val="both"/>
        <w:rPr>
          <w:rFonts w:ascii="Arial" w:hAnsi="Arial" w:cs="Arial"/>
          <w:iCs/>
          <w:noProof/>
          <w:sz w:val="16"/>
          <w:szCs w:val="16"/>
          <w:lang w:val="bg-BG"/>
        </w:rPr>
      </w:pPr>
      <w:r>
        <w:rPr>
          <w:noProof/>
          <w:lang w:val="bg-BG"/>
        </w:rPr>
        <w:t xml:space="preserve"> </w:t>
      </w:r>
    </w:p>
    <w:p>
      <w:pPr>
        <w:pStyle w:val="Title111"/>
        <w:numPr>
          <w:ilvl w:val="0"/>
          <w:numId w:val="0"/>
        </w:numPr>
        <w:tabs>
          <w:tab w:val="clear" w:pos="720"/>
          <w:tab w:val="left" w:pos="426"/>
          <w:tab w:val="right" w:pos="993"/>
        </w:tabs>
        <w:spacing w:before="60"/>
        <w:rPr>
          <w:b/>
          <w:noProof/>
          <w:sz w:val="16"/>
          <w:szCs w:val="16"/>
          <w:lang w:val="bg-BG"/>
        </w:rPr>
      </w:pPr>
      <w:r>
        <w:rPr>
          <w:b/>
          <w:noProof/>
          <w:sz w:val="16"/>
          <w:szCs w:val="16"/>
          <w:lang w:val="bg-BG"/>
        </w:rPr>
        <w:t>3.2</w:t>
      </w:r>
      <w:r>
        <w:rPr>
          <w:b/>
          <w:noProof/>
          <w:sz w:val="16"/>
          <w:szCs w:val="16"/>
          <w:lang w:val="bg-BG"/>
        </w:rPr>
        <w:tab/>
        <w:t>Кредитен риск</w:t>
      </w:r>
    </w:p>
    <w:p>
      <w:pPr>
        <w:tabs>
          <w:tab w:val="right" w:pos="-2700"/>
          <w:tab w:val="right" w:pos="567"/>
        </w:tabs>
        <w:suppressAutoHyphens/>
        <w:spacing w:after="60"/>
        <w:jc w:val="both"/>
        <w:rPr>
          <w:rFonts w:ascii="Arial" w:hAnsi="Arial"/>
          <w:noProof/>
          <w:sz w:val="16"/>
          <w:szCs w:val="16"/>
          <w:lang w:val="en-US" w:eastAsia="ar-SA"/>
        </w:rPr>
      </w:pPr>
      <w:r>
        <w:rPr>
          <w:rFonts w:ascii="Arial" w:hAnsi="Arial"/>
          <w:noProof/>
          <w:sz w:val="16"/>
          <w:szCs w:val="16"/>
          <w:lang w:val="en-US" w:eastAsia="ar-SA"/>
        </w:rPr>
        <w:t>5.1</w:t>
      </w:r>
      <w:r>
        <w:rPr>
          <w:rFonts w:ascii="Arial" w:hAnsi="Arial"/>
          <w:noProof/>
          <w:sz w:val="16"/>
          <w:szCs w:val="16"/>
          <w:lang w:val="en-US" w:eastAsia="ar-SA"/>
        </w:rPr>
        <w:tab/>
      </w:r>
    </w:p>
    <w:p>
      <w:pPr>
        <w:spacing w:before="60" w:after="60"/>
        <w:jc w:val="both"/>
        <w:rPr>
          <w:rFonts w:ascii="Arial" w:hAnsi="Arial"/>
          <w:noProof/>
          <w:sz w:val="16"/>
          <w:szCs w:val="16"/>
          <w:lang w:val="bg-BG"/>
        </w:rPr>
      </w:pPr>
      <w:r>
        <w:rPr>
          <w:rFonts w:ascii="Arial" w:hAnsi="Arial"/>
          <w:noProof/>
          <w:sz w:val="16"/>
          <w:szCs w:val="16"/>
          <w:lang w:val="bg-BG"/>
        </w:rPr>
        <w:t>Кредитният риск представлява потенциалната загуба, която може да бъде в резултат на неизпълнение на клиент или контрагент и която произтича от кредитна експозиция във всякаква форма, включително неизпълнение на плащане.</w:t>
      </w:r>
    </w:p>
    <w:p>
      <w:pPr>
        <w:spacing w:before="60" w:after="60"/>
        <w:jc w:val="both"/>
        <w:rPr>
          <w:rFonts w:ascii="Arial" w:hAnsi="Arial"/>
          <w:noProof/>
          <w:sz w:val="16"/>
          <w:szCs w:val="16"/>
          <w:lang w:val="bg-BG"/>
        </w:rPr>
      </w:pPr>
    </w:p>
    <w:p>
      <w:pPr>
        <w:tabs>
          <w:tab w:val="right" w:pos="-2700"/>
        </w:tabs>
        <w:suppressAutoHyphens/>
        <w:spacing w:before="60"/>
        <w:jc w:val="both"/>
        <w:rPr>
          <w:rFonts w:ascii="Arial" w:hAnsi="Arial"/>
          <w:b/>
          <w:noProof/>
          <w:sz w:val="16"/>
          <w:szCs w:val="20"/>
          <w:lang w:val="bg-BG" w:eastAsia="ar-SA"/>
        </w:rPr>
      </w:pPr>
      <w:r>
        <w:rPr>
          <w:rFonts w:ascii="Arial" w:hAnsi="Arial"/>
          <w:b/>
          <w:noProof/>
          <w:sz w:val="16"/>
          <w:szCs w:val="20"/>
          <w:lang w:val="bg-BG" w:eastAsia="ar-SA"/>
        </w:rPr>
        <w:t>3.2.1</w:t>
      </w:r>
      <w:r>
        <w:rPr>
          <w:rFonts w:ascii="Arial" w:hAnsi="Arial"/>
          <w:b/>
          <w:noProof/>
          <w:sz w:val="16"/>
          <w:szCs w:val="20"/>
          <w:lang w:val="bg-BG" w:eastAsia="ar-SA"/>
        </w:rPr>
        <w:tab/>
        <w:t>Политика за кредитния риск</w:t>
      </w:r>
    </w:p>
    <w:p>
      <w:pPr>
        <w:spacing w:after="60"/>
        <w:jc w:val="both"/>
        <w:rPr>
          <w:rFonts w:ascii="Arial" w:hAnsi="Arial"/>
          <w:noProof/>
          <w:sz w:val="16"/>
          <w:szCs w:val="16"/>
          <w:lang w:val="bg-BG"/>
        </w:rPr>
      </w:pPr>
    </w:p>
    <w:p>
      <w:pPr>
        <w:autoSpaceDE w:val="0"/>
        <w:autoSpaceDN w:val="0"/>
        <w:adjustRightInd w:val="0"/>
        <w:spacing w:before="60" w:after="60"/>
        <w:jc w:val="both"/>
        <w:rPr>
          <w:rFonts w:ascii="Arial" w:hAnsi="Arial"/>
          <w:noProof/>
          <w:sz w:val="16"/>
          <w:szCs w:val="16"/>
          <w:lang w:val="bg-BG"/>
        </w:rPr>
      </w:pPr>
      <w:r>
        <w:rPr>
          <w:rFonts w:ascii="Arial" w:hAnsi="Arial"/>
          <w:noProof/>
          <w:sz w:val="16"/>
          <w:szCs w:val="16"/>
          <w:lang w:val="bg-BG"/>
        </w:rPr>
        <w:t>При извършването на кредитния анализ на контрагентите по даден заем ЕИБ оценява кредитния риск и очакваната загуба, с оглед да го измери количествено и да определи цената на риска. ЕИБ е разработила методика на вътрешния рейтинг (МВР) за определяне на вътрешните рейтинги на своите заемополучатели/гаранти. Методиката се основава на система от точкови списъци, създадени за всеки от основните видове кредитни партньори (например търговски предприятия, банки, предприятия от публичния сектор и т.н.). Като се вземат предвид „Най-добрите банкови практики“ и принципите, определени по Международното споразумението от Базел за капиталовите изисквания (Базел II), всички партньори, които са от значение за кредитния профил на специфична трансакция, се класифицират в категории за вътрешен рейтинг, като се използва МВР за отделните видове партньори. За всеки партньор се определя вътрешен рейтинг, отразяващ вероятността от неизпълнение на валутен рейтинг след задълбочен анализ на рисковия профил на бизнеса и финансите на партньора и рисковия контекст на неговата страна.</w:t>
      </w:r>
    </w:p>
    <w:p>
      <w:pPr>
        <w:spacing w:before="60" w:after="60"/>
        <w:jc w:val="both"/>
        <w:rPr>
          <w:rFonts w:ascii="Arial" w:hAnsi="Arial"/>
          <w:noProof/>
          <w:sz w:val="16"/>
          <w:szCs w:val="16"/>
          <w:lang w:val="bg-BG"/>
        </w:rPr>
      </w:pPr>
    </w:p>
    <w:p>
      <w:pPr>
        <w:autoSpaceDE w:val="0"/>
        <w:autoSpaceDN w:val="0"/>
        <w:adjustRightInd w:val="0"/>
        <w:spacing w:before="60" w:after="60"/>
        <w:jc w:val="both"/>
        <w:rPr>
          <w:rFonts w:ascii="Arial" w:hAnsi="Arial"/>
          <w:noProof/>
          <w:sz w:val="16"/>
          <w:szCs w:val="16"/>
          <w:lang w:val="bg-BG"/>
        </w:rPr>
      </w:pPr>
      <w:r>
        <w:rPr>
          <w:rFonts w:ascii="Arial" w:hAnsi="Arial"/>
          <w:noProof/>
          <w:sz w:val="16"/>
          <w:szCs w:val="16"/>
          <w:lang w:val="bg-BG"/>
        </w:rPr>
        <w:t>Кредитната оценка на финансирането на проекти и други структурирани дейности с ограничен обхват използва инструменти за кредитен риск, подходящи за този сектор, които са основно съсредоточени върху наличността на паричния поток и капацитета за обслужване на дълга. Тези инструменти включват анализ на договорната рамка на проектите, анализ на партньора и симулации на паричния поток. Както за търговските предприятия и финансовите институции, за всеки проект се определя вътрешен рисков рейтинг.</w:t>
      </w:r>
    </w:p>
    <w:p>
      <w:pPr>
        <w:autoSpaceDE w:val="0"/>
        <w:autoSpaceDN w:val="0"/>
        <w:adjustRightInd w:val="0"/>
        <w:spacing w:before="60" w:after="60"/>
        <w:jc w:val="both"/>
        <w:rPr>
          <w:rFonts w:ascii="Arial" w:hAnsi="Arial"/>
          <w:noProof/>
          <w:sz w:val="16"/>
          <w:szCs w:val="16"/>
          <w:lang w:val="bg-BG"/>
        </w:rPr>
      </w:pPr>
    </w:p>
    <w:p>
      <w:pPr>
        <w:autoSpaceDE w:val="0"/>
        <w:autoSpaceDN w:val="0"/>
        <w:adjustRightInd w:val="0"/>
        <w:spacing w:before="60" w:after="60"/>
        <w:jc w:val="both"/>
        <w:rPr>
          <w:rFonts w:ascii="Arial" w:hAnsi="Arial"/>
          <w:noProof/>
          <w:sz w:val="16"/>
          <w:szCs w:val="16"/>
          <w:lang w:val="bg-BG"/>
        </w:rPr>
      </w:pPr>
      <w:r>
        <w:rPr>
          <w:rFonts w:ascii="Arial" w:hAnsi="Arial"/>
          <w:noProof/>
          <w:sz w:val="16"/>
          <w:szCs w:val="16"/>
          <w:lang w:val="bg-BG"/>
        </w:rPr>
        <w:t xml:space="preserve">Всички вътрешни рейтинги се следят в хода на заема и периодично се актуализират. </w:t>
      </w:r>
    </w:p>
    <w:p>
      <w:pPr>
        <w:autoSpaceDE w:val="0"/>
        <w:autoSpaceDN w:val="0"/>
        <w:adjustRightInd w:val="0"/>
        <w:spacing w:before="60" w:after="60"/>
        <w:jc w:val="both"/>
        <w:rPr>
          <w:rFonts w:ascii="Arial" w:hAnsi="Arial"/>
          <w:noProof/>
          <w:sz w:val="16"/>
          <w:szCs w:val="16"/>
          <w:lang w:val="bg-BG"/>
        </w:rPr>
      </w:pPr>
    </w:p>
    <w:p>
      <w:pPr>
        <w:autoSpaceDE w:val="0"/>
        <w:autoSpaceDN w:val="0"/>
        <w:adjustRightInd w:val="0"/>
        <w:spacing w:before="60" w:after="60"/>
        <w:jc w:val="both"/>
        <w:rPr>
          <w:rFonts w:ascii="Arial" w:hAnsi="Arial"/>
          <w:noProof/>
          <w:sz w:val="16"/>
          <w:szCs w:val="16"/>
          <w:lang w:val="bg-BG"/>
        </w:rPr>
      </w:pPr>
      <w:r>
        <w:rPr>
          <w:rFonts w:ascii="Arial" w:hAnsi="Arial"/>
          <w:noProof/>
          <w:sz w:val="16"/>
          <w:szCs w:val="16"/>
          <w:lang w:val="bg-BG"/>
        </w:rPr>
        <w:t>Всички недържавни операции (или гарантирани/приравнени към недържавни) операции са обект на специални ограничения за размера на трансакциите и на партньорите. Ограниченията за партньорите се определят на консолидирано групово ниво на експозиция, когато е приложимо. Тези ограничения обикновено отразяват размера на собствените средства на партньора.</w:t>
      </w:r>
    </w:p>
    <w:p>
      <w:pPr>
        <w:autoSpaceDE w:val="0"/>
        <w:autoSpaceDN w:val="0"/>
        <w:adjustRightInd w:val="0"/>
        <w:spacing w:before="60" w:after="60"/>
        <w:jc w:val="both"/>
        <w:rPr>
          <w:rFonts w:ascii="Arial" w:hAnsi="Arial" w:cs="Arial"/>
          <w:iCs/>
          <w:noProof/>
          <w:sz w:val="16"/>
          <w:szCs w:val="16"/>
          <w:lang w:val="bg-BG"/>
        </w:rPr>
      </w:pPr>
    </w:p>
    <w:p>
      <w:pPr>
        <w:autoSpaceDE w:val="0"/>
        <w:autoSpaceDN w:val="0"/>
        <w:adjustRightInd w:val="0"/>
        <w:spacing w:before="60" w:after="60"/>
        <w:jc w:val="both"/>
        <w:rPr>
          <w:rFonts w:ascii="Arial" w:hAnsi="Arial" w:cs="Arial"/>
          <w:iCs/>
          <w:noProof/>
          <w:sz w:val="16"/>
          <w:szCs w:val="16"/>
          <w:lang w:val="bg-BG"/>
        </w:rPr>
      </w:pPr>
      <w:r>
        <w:rPr>
          <w:rFonts w:ascii="Arial" w:hAnsi="Arial"/>
          <w:iCs/>
          <w:noProof/>
          <w:sz w:val="16"/>
          <w:szCs w:val="16"/>
          <w:lang w:val="bg-BG"/>
        </w:rPr>
        <w:t>За да смекчи кредитния риск, ЕИБ използва, когато е уместно и с оглед на всеки отделен случай, различни кредитни подобрения, които са:</w:t>
      </w:r>
    </w:p>
    <w:p>
      <w:pPr>
        <w:autoSpaceDE w:val="0"/>
        <w:autoSpaceDN w:val="0"/>
        <w:adjustRightInd w:val="0"/>
        <w:spacing w:before="60" w:after="60"/>
        <w:jc w:val="both"/>
        <w:rPr>
          <w:rFonts w:ascii="Arial" w:hAnsi="Arial" w:cs="Arial"/>
          <w:iCs/>
          <w:noProof/>
          <w:sz w:val="16"/>
          <w:szCs w:val="16"/>
          <w:lang w:val="bg-BG"/>
        </w:rPr>
      </w:pPr>
    </w:p>
    <w:p>
      <w:pPr>
        <w:numPr>
          <w:ilvl w:val="0"/>
          <w:numId w:val="55"/>
        </w:numPr>
        <w:tabs>
          <w:tab w:val="left" w:pos="1065"/>
        </w:tabs>
        <w:autoSpaceDE w:val="0"/>
        <w:autoSpaceDN w:val="0"/>
        <w:adjustRightInd w:val="0"/>
        <w:spacing w:before="60" w:after="60"/>
        <w:rPr>
          <w:rFonts w:ascii="Arial" w:hAnsi="Arial" w:cs="Arial"/>
          <w:iCs/>
          <w:noProof/>
          <w:sz w:val="16"/>
          <w:szCs w:val="16"/>
          <w:lang w:val="bg-BG"/>
        </w:rPr>
      </w:pPr>
      <w:r>
        <w:rPr>
          <w:rFonts w:ascii="Arial" w:hAnsi="Arial"/>
          <w:iCs/>
          <w:noProof/>
          <w:sz w:val="16"/>
          <w:szCs w:val="16"/>
          <w:lang w:val="bg-BG"/>
        </w:rPr>
        <w:t>гаранции, свързани с контрагента или проекта (напр. залог върху акциите; залог върху активите; предоставяне на права; залог върху сметките); и/или</w:t>
      </w:r>
    </w:p>
    <w:p>
      <w:pPr>
        <w:numPr>
          <w:ilvl w:val="0"/>
          <w:numId w:val="55"/>
        </w:numPr>
        <w:tabs>
          <w:tab w:val="left" w:pos="1065"/>
        </w:tabs>
        <w:autoSpaceDE w:val="0"/>
        <w:autoSpaceDN w:val="0"/>
        <w:adjustRightInd w:val="0"/>
        <w:spacing w:before="60" w:after="60"/>
        <w:rPr>
          <w:rFonts w:ascii="Arial" w:hAnsi="Arial" w:cs="Arial"/>
          <w:iCs/>
          <w:noProof/>
          <w:sz w:val="16"/>
          <w:szCs w:val="16"/>
          <w:lang w:val="bg-BG"/>
        </w:rPr>
      </w:pPr>
      <w:r>
        <w:rPr>
          <w:rFonts w:ascii="Arial" w:hAnsi="Arial"/>
          <w:iCs/>
          <w:noProof/>
          <w:sz w:val="16"/>
          <w:szCs w:val="16"/>
          <w:lang w:val="bg-BG"/>
        </w:rPr>
        <w:t>гаранции, обикновено предоставени от спонсора на финансирания проект (например гаранции за приключване, гаранции при първо поискване) или банкови гаранции.</w:t>
      </w:r>
    </w:p>
    <w:p>
      <w:pPr>
        <w:tabs>
          <w:tab w:val="left" w:pos="1065"/>
        </w:tabs>
        <w:spacing w:before="60" w:after="60"/>
        <w:jc w:val="both"/>
        <w:rPr>
          <w:rFonts w:ascii="Arial" w:hAnsi="Arial" w:cs="Arial"/>
          <w:iCs/>
          <w:noProof/>
          <w:sz w:val="16"/>
          <w:szCs w:val="16"/>
          <w:lang w:val="bg-BG"/>
        </w:rPr>
      </w:pPr>
    </w:p>
    <w:p>
      <w:pPr>
        <w:tabs>
          <w:tab w:val="left" w:pos="1065"/>
        </w:tabs>
        <w:spacing w:before="60" w:after="60"/>
        <w:jc w:val="both"/>
        <w:rPr>
          <w:rFonts w:ascii="Arial" w:hAnsi="Arial" w:cs="Arial"/>
          <w:iCs/>
          <w:noProof/>
          <w:sz w:val="16"/>
          <w:szCs w:val="16"/>
          <w:lang w:val="bg-BG"/>
        </w:rPr>
      </w:pPr>
      <w:r>
        <w:rPr>
          <w:rFonts w:ascii="Arial" w:hAnsi="Arial"/>
          <w:iCs/>
          <w:noProof/>
          <w:sz w:val="16"/>
          <w:szCs w:val="16"/>
          <w:lang w:val="bg-BG"/>
        </w:rPr>
        <w:t>Механизмът не използва кредитни деривати за намаляване на кредитния риск.</w:t>
      </w:r>
    </w:p>
    <w:p>
      <w:pPr>
        <w:pageBreakBefore/>
        <w:tabs>
          <w:tab w:val="right" w:pos="-2700"/>
        </w:tabs>
        <w:suppressAutoHyphens/>
        <w:ind w:left="-102"/>
        <w:jc w:val="both"/>
        <w:rPr>
          <w:rFonts w:ascii="Arial" w:hAnsi="Arial"/>
          <w:b/>
          <w:noProof/>
          <w:spacing w:val="-4"/>
          <w:sz w:val="16"/>
          <w:szCs w:val="16"/>
          <w:lang w:val="bg-BG" w:eastAsia="ar-SA"/>
        </w:rPr>
      </w:pPr>
      <w:r>
        <w:rPr>
          <w:rFonts w:ascii="Arial" w:hAnsi="Arial"/>
          <w:b/>
          <w:noProof/>
          <w:spacing w:val="-4"/>
          <w:sz w:val="16"/>
          <w:szCs w:val="16"/>
          <w:lang w:val="bg-BG" w:eastAsia="ar-SA"/>
        </w:rPr>
        <w:t>3.2.2</w:t>
      </w:r>
      <w:r>
        <w:rPr>
          <w:rFonts w:ascii="Arial" w:hAnsi="Arial"/>
          <w:b/>
          <w:noProof/>
          <w:spacing w:val="-4"/>
          <w:sz w:val="16"/>
          <w:szCs w:val="16"/>
          <w:lang w:val="bg-BG" w:eastAsia="ar-SA"/>
        </w:rPr>
        <w:tab/>
        <w:t>Максимална експозиция на кредитен риск, без да се вземат предвид обезпечения и други кредитни подобрения</w:t>
      </w:r>
    </w:p>
    <w:p>
      <w:pPr>
        <w:tabs>
          <w:tab w:val="right" w:pos="-2700"/>
          <w:tab w:val="left" w:pos="426"/>
        </w:tabs>
        <w:suppressAutoHyphens/>
        <w:spacing w:after="60"/>
        <w:jc w:val="both"/>
        <w:rPr>
          <w:rFonts w:ascii="Arial" w:hAnsi="Arial"/>
          <w:b/>
          <w:noProof/>
          <w:sz w:val="16"/>
          <w:szCs w:val="16"/>
          <w:lang w:val="en-US" w:eastAsia="ar-SA"/>
        </w:rPr>
      </w:pPr>
      <w:r>
        <w:rPr>
          <w:rFonts w:ascii="Arial" w:hAnsi="Arial"/>
          <w:b/>
          <w:noProof/>
          <w:sz w:val="16"/>
          <w:szCs w:val="16"/>
          <w:lang w:val="en-US" w:eastAsia="ar-SA"/>
        </w:rPr>
        <w:t>1</w:t>
      </w:r>
      <w:r>
        <w:rPr>
          <w:rFonts w:ascii="Arial" w:hAnsi="Arial"/>
          <w:b/>
          <w:noProof/>
          <w:sz w:val="16"/>
          <w:szCs w:val="16"/>
          <w:lang w:val="en-US" w:eastAsia="ar-SA"/>
        </w:rPr>
        <w:tab/>
      </w:r>
    </w:p>
    <w:p>
      <w:pPr>
        <w:tabs>
          <w:tab w:val="right" w:pos="-2700"/>
          <w:tab w:val="left" w:pos="426"/>
          <w:tab w:val="right" w:pos="720"/>
        </w:tabs>
        <w:suppressAutoHyphens/>
        <w:spacing w:before="60" w:after="60"/>
        <w:jc w:val="both"/>
        <w:rPr>
          <w:rFonts w:ascii="Arial" w:hAnsi="Arial"/>
          <w:iCs/>
          <w:noProof/>
          <w:sz w:val="16"/>
          <w:szCs w:val="16"/>
          <w:lang w:val="bg-BG" w:eastAsia="ar-SA"/>
        </w:rPr>
      </w:pPr>
      <w:r>
        <w:rPr>
          <w:rFonts w:ascii="Arial" w:hAnsi="Arial"/>
          <w:noProof/>
          <w:sz w:val="16"/>
          <w:szCs w:val="16"/>
          <w:lang w:val="en-US" w:eastAsia="ar-SA"/>
        </w:rPr>
        <w:t>2.</w:t>
      </w:r>
      <w:r>
        <w:rPr>
          <w:rFonts w:ascii="Arial" w:hAnsi="Arial"/>
          <w:noProof/>
          <w:sz w:val="16"/>
          <w:szCs w:val="16"/>
          <w:lang w:val="en-US" w:eastAsia="ar-SA"/>
        </w:rPr>
        <w:tab/>
      </w:r>
      <w:r>
        <w:rPr>
          <w:rFonts w:ascii="Arial" w:hAnsi="Arial"/>
          <w:noProof/>
          <w:sz w:val="16"/>
          <w:szCs w:val="16"/>
          <w:lang w:val="bg-BG" w:eastAsia="ar-SA"/>
        </w:rPr>
        <w:t>Следната таблица показва максималната експозиция на кредитен риск за компонентите на отчета за финансовото състояние, включително и на дериватите. Максималната експозиция е показана в брутна стойност преди ефекта от смекчаването посредством използване на обезпечение.</w:t>
      </w:r>
    </w:p>
    <w:p>
      <w:pPr>
        <w:spacing w:before="60" w:after="60"/>
        <w:jc w:val="both"/>
        <w:rPr>
          <w:rFonts w:ascii="Arial" w:hAnsi="Arial"/>
          <w:noProof/>
          <w:sz w:val="16"/>
          <w:szCs w:val="16"/>
          <w:lang w:val="bg-BG"/>
        </w:rPr>
      </w:pPr>
      <w:r>
        <w:rPr>
          <w:noProof/>
          <w:lang w:val="bg-BG"/>
        </w:rPr>
        <w:t xml:space="preserve"> </w:t>
      </w:r>
    </w:p>
    <w:tbl>
      <w:tblPr>
        <w:tblStyle w:val="CDMRange11"/>
        <w:tblW w:w="9975" w:type="dxa"/>
        <w:tblLayout w:type="fixed"/>
        <w:tblLook w:val="0600" w:firstRow="0" w:lastRow="0" w:firstColumn="0" w:lastColumn="0" w:noHBand="1" w:noVBand="1"/>
      </w:tblPr>
      <w:tblGrid>
        <w:gridCol w:w="6975"/>
        <w:gridCol w:w="1500"/>
        <w:gridCol w:w="1500"/>
      </w:tblGrid>
      <w:tr>
        <w:trPr>
          <w:trHeight w:hRule="exact" w:val="250"/>
        </w:trPr>
        <w:tc>
          <w:tcPr>
            <w:tcW w:w="6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Максимална експозиция (в хиляди евро)</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АКТИВИ</w:t>
            </w: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Пари и парични еквиваленти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837,777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573,708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Вземания от вносителите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Касови финансови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330,587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335,140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Дериватни финансови инструменти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14,184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аванси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1,518,675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 xml:space="preserve">-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2,787,553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2,559,883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Провизии за кредитни ангажименти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-37,269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ЗАДБАЛАНСОВА ЧАСТ</w:t>
            </w: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ЗАДБАЛАНСОВА ЧАСТ</w:t>
            </w: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Условни пасиви</w:t>
            </w: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200,013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Поети задължения</w:t>
            </w: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Неизплатени заеми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1,357,320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1,283,932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Неиздадени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1,359,818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1,553,668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задбалансова част</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2,917,151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2,840,400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кредитна експозиция</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5,667,435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5,376,461</w:t>
            </w:r>
          </w:p>
        </w:tc>
      </w:tr>
    </w:tbl>
    <w:p>
      <w:pPr>
        <w:tabs>
          <w:tab w:val="right" w:pos="-2700"/>
          <w:tab w:val="left" w:pos="851"/>
        </w:tabs>
        <w:suppressAutoHyphens/>
        <w:spacing w:before="360"/>
        <w:ind w:left="-102"/>
        <w:jc w:val="both"/>
        <w:rPr>
          <w:rFonts w:ascii="Arial" w:hAnsi="Arial"/>
          <w:b/>
          <w:noProof/>
          <w:sz w:val="16"/>
          <w:szCs w:val="16"/>
          <w:lang w:val="bg-BG" w:eastAsia="ar-SA"/>
        </w:rPr>
      </w:pPr>
      <w:r>
        <w:rPr>
          <w:rFonts w:ascii="Arial" w:hAnsi="Arial"/>
          <w:b/>
          <w:noProof/>
          <w:sz w:val="16"/>
          <w:szCs w:val="16"/>
          <w:lang w:val="en-US" w:eastAsia="ar-SA"/>
        </w:rPr>
        <w:t>3.2.3</w:t>
      </w:r>
      <w:r>
        <w:rPr>
          <w:rFonts w:ascii="Arial" w:hAnsi="Arial"/>
          <w:b/>
          <w:noProof/>
          <w:sz w:val="16"/>
          <w:szCs w:val="16"/>
          <w:lang w:val="en-US" w:eastAsia="ar-SA"/>
        </w:rPr>
        <w:tab/>
      </w:r>
      <w:r>
        <w:rPr>
          <w:rFonts w:ascii="Arial" w:hAnsi="Arial"/>
          <w:b/>
          <w:noProof/>
          <w:sz w:val="16"/>
          <w:szCs w:val="16"/>
          <w:lang w:val="bg-BG" w:eastAsia="ar-SA"/>
        </w:rPr>
        <w:t>Кредитен риск на заеми и аванси</w:t>
      </w:r>
    </w:p>
    <w:p>
      <w:pPr>
        <w:numPr>
          <w:ilvl w:val="0"/>
          <w:numId w:val="60"/>
        </w:numPr>
        <w:tabs>
          <w:tab w:val="right" w:pos="-2700"/>
          <w:tab w:val="right" w:pos="720"/>
        </w:tabs>
        <w:suppressAutoHyphens/>
        <w:spacing w:after="60"/>
        <w:ind w:left="0" w:firstLine="0"/>
        <w:jc w:val="both"/>
        <w:rPr>
          <w:rFonts w:ascii="Arial" w:hAnsi="Arial"/>
          <w:b/>
          <w:bCs/>
          <w:noProof/>
          <w:sz w:val="16"/>
          <w:szCs w:val="16"/>
          <w:lang w:val="bg-BG" w:eastAsia="ar-SA"/>
        </w:rPr>
      </w:pPr>
    </w:p>
    <w:p>
      <w:pPr>
        <w:numPr>
          <w:ilvl w:val="3"/>
          <w:numId w:val="59"/>
        </w:numPr>
        <w:tabs>
          <w:tab w:val="right" w:pos="-2700"/>
          <w:tab w:val="right" w:pos="720"/>
        </w:tabs>
        <w:suppressAutoHyphens/>
        <w:spacing w:before="60"/>
        <w:ind w:left="794" w:hanging="794"/>
        <w:jc w:val="both"/>
        <w:rPr>
          <w:rFonts w:ascii="Arial" w:hAnsi="Arial"/>
          <w:b/>
          <w:bCs/>
          <w:noProof/>
          <w:sz w:val="16"/>
          <w:szCs w:val="16"/>
          <w:lang w:val="bg-BG" w:eastAsia="ar-SA"/>
        </w:rPr>
      </w:pPr>
      <w:r>
        <w:rPr>
          <w:rFonts w:ascii="Arial" w:hAnsi="Arial"/>
          <w:b/>
          <w:bCs/>
          <w:noProof/>
          <w:sz w:val="16"/>
          <w:szCs w:val="16"/>
          <w:lang w:val="bg-BG" w:eastAsia="ar-SA"/>
        </w:rPr>
        <w:t>Измерване на кредитния риск на заеми и аванси</w:t>
      </w:r>
    </w:p>
    <w:p>
      <w:pPr>
        <w:tabs>
          <w:tab w:val="right" w:pos="-2700"/>
          <w:tab w:val="left" w:pos="709"/>
        </w:tabs>
        <w:suppressAutoHyphens/>
        <w:spacing w:after="60"/>
        <w:jc w:val="both"/>
        <w:rPr>
          <w:rFonts w:ascii="Arial" w:hAnsi="Arial"/>
          <w:noProof/>
          <w:sz w:val="16"/>
          <w:szCs w:val="16"/>
          <w:lang w:val="en-US" w:eastAsia="ar-SA"/>
        </w:rPr>
      </w:pPr>
      <w:r>
        <w:rPr>
          <w:rFonts w:ascii="Arial" w:hAnsi="Arial"/>
          <w:noProof/>
          <w:sz w:val="16"/>
          <w:szCs w:val="16"/>
          <w:lang w:val="en-US" w:eastAsia="ar-SA"/>
        </w:rPr>
        <w:t>2</w:t>
      </w:r>
      <w:r>
        <w:rPr>
          <w:rFonts w:ascii="Arial" w:hAnsi="Arial"/>
          <w:noProof/>
          <w:sz w:val="16"/>
          <w:szCs w:val="16"/>
          <w:lang w:val="en-US" w:eastAsia="ar-SA"/>
        </w:rPr>
        <w:tab/>
      </w:r>
    </w:p>
    <w:p>
      <w:pPr>
        <w:jc w:val="both"/>
        <w:rPr>
          <w:rFonts w:ascii="Arial" w:hAnsi="Arial"/>
          <w:noProof/>
          <w:sz w:val="16"/>
          <w:szCs w:val="16"/>
          <w:lang w:val="bg-BG"/>
        </w:rPr>
      </w:pPr>
      <w:r>
        <w:rPr>
          <w:rFonts w:ascii="Arial" w:hAnsi="Arial"/>
          <w:noProof/>
          <w:sz w:val="16"/>
          <w:szCs w:val="16"/>
          <w:lang w:val="bg-BG"/>
        </w:rPr>
        <w:t>Заемите и авансите или гаранцията, предприета от механизма, подлежи на цялостна оценка на риска и количествено определяне на очакваните загуби, което се обобщава в категоризация на заема („КЗ“). Операциите в рамките на ПСОФ (описани в бележка 24), с изключение на заемите чрез посредник, не са предмет на насоките за политика спрямо кредитния риск и са обект на различна процедура. Категоризациите на заемите са установени съгласно общоприети критерии, базирани на качеството на заемополучателя, падежа на заема, гаранцията, и, ако е подходящо, гаранта.</w:t>
      </w:r>
    </w:p>
    <w:p>
      <w:pPr>
        <w:autoSpaceDE w:val="0"/>
        <w:autoSpaceDN w:val="0"/>
        <w:adjustRightInd w:val="0"/>
        <w:spacing w:before="60" w:after="60"/>
        <w:jc w:val="both"/>
        <w:rPr>
          <w:rFonts w:ascii="Arial" w:hAnsi="Arial"/>
          <w:noProof/>
          <w:sz w:val="16"/>
          <w:szCs w:val="16"/>
          <w:lang w:val="bg-BG"/>
        </w:rPr>
      </w:pPr>
    </w:p>
    <w:p>
      <w:pPr>
        <w:autoSpaceDE w:val="0"/>
        <w:autoSpaceDN w:val="0"/>
        <w:adjustRightInd w:val="0"/>
        <w:spacing w:before="60" w:after="60"/>
        <w:jc w:val="both"/>
        <w:rPr>
          <w:rFonts w:ascii="Arial" w:hAnsi="Arial"/>
          <w:noProof/>
          <w:sz w:val="16"/>
          <w:szCs w:val="16"/>
          <w:lang w:val="bg-BG"/>
        </w:rPr>
      </w:pPr>
      <w:r>
        <w:rPr>
          <w:rFonts w:ascii="Arial" w:hAnsi="Arial"/>
          <w:noProof/>
          <w:sz w:val="16"/>
          <w:szCs w:val="16"/>
          <w:lang w:val="bg-BG"/>
        </w:rPr>
        <w:t>Системата на категоризация на заемите се състои от методики, процеси, бази данни и информационни системи, подкрепящи оценката на кредитния риск при кредитните операции и количественото определяне на очакваните загуби. Тя обобщава голям обем информация, с цел да предложи относително класиране на кредитните рискове на заемите. Категоризациите на заемите отразяват настоящата стойност на изчисленото ниво на „очаквана загуба“, което е продукт на вероятността от неизпълнение на основните длъжници, експозицията на риск и сериозността на загубата в случай на неплащане. КЗ се използват за следните цели:</w:t>
      </w:r>
    </w:p>
    <w:p>
      <w:pPr>
        <w:autoSpaceDE w:val="0"/>
        <w:autoSpaceDN w:val="0"/>
        <w:adjustRightInd w:val="0"/>
        <w:spacing w:before="60" w:after="60"/>
        <w:jc w:val="both"/>
        <w:rPr>
          <w:rFonts w:ascii="Arial" w:hAnsi="Arial"/>
          <w:noProof/>
          <w:sz w:val="16"/>
          <w:szCs w:val="16"/>
          <w:lang w:val="bg-BG"/>
        </w:rPr>
      </w:pPr>
    </w:p>
    <w:p>
      <w:pPr>
        <w:numPr>
          <w:ilvl w:val="0"/>
          <w:numId w:val="60"/>
        </w:numPr>
        <w:autoSpaceDE w:val="0"/>
        <w:autoSpaceDN w:val="0"/>
        <w:adjustRightInd w:val="0"/>
        <w:spacing w:before="60" w:after="60"/>
        <w:jc w:val="both"/>
        <w:rPr>
          <w:rFonts w:ascii="Arial" w:hAnsi="Arial"/>
          <w:noProof/>
          <w:sz w:val="16"/>
          <w:szCs w:val="16"/>
          <w:lang w:val="bg-BG"/>
        </w:rPr>
      </w:pPr>
      <w:r>
        <w:rPr>
          <w:rFonts w:ascii="Arial" w:hAnsi="Arial"/>
          <w:noProof/>
          <w:sz w:val="16"/>
          <w:szCs w:val="16"/>
          <w:lang w:val="bg-BG"/>
        </w:rPr>
        <w:t>като помощ за по-прецизна и по-количествена оценка на кредитните рискове,</w:t>
      </w:r>
    </w:p>
    <w:p>
      <w:pPr>
        <w:numPr>
          <w:ilvl w:val="0"/>
          <w:numId w:val="60"/>
        </w:numPr>
        <w:autoSpaceDE w:val="0"/>
        <w:autoSpaceDN w:val="0"/>
        <w:adjustRightInd w:val="0"/>
        <w:spacing w:before="60" w:after="60"/>
        <w:jc w:val="both"/>
        <w:rPr>
          <w:rFonts w:ascii="Arial" w:hAnsi="Arial"/>
          <w:noProof/>
          <w:sz w:val="16"/>
          <w:szCs w:val="16"/>
          <w:lang w:val="bg-BG"/>
        </w:rPr>
      </w:pPr>
      <w:r>
        <w:rPr>
          <w:rFonts w:ascii="Arial" w:hAnsi="Arial"/>
          <w:noProof/>
          <w:sz w:val="16"/>
          <w:szCs w:val="16"/>
          <w:lang w:val="bg-BG"/>
        </w:rPr>
        <w:t>като помощ при разпределяне на задачите по мониторинга,</w:t>
      </w:r>
    </w:p>
    <w:p>
      <w:pPr>
        <w:numPr>
          <w:ilvl w:val="0"/>
          <w:numId w:val="60"/>
        </w:numPr>
        <w:autoSpaceDE w:val="0"/>
        <w:autoSpaceDN w:val="0"/>
        <w:adjustRightInd w:val="0"/>
        <w:spacing w:before="60" w:after="60"/>
        <w:jc w:val="both"/>
        <w:rPr>
          <w:rFonts w:ascii="Arial" w:hAnsi="Arial"/>
          <w:noProof/>
          <w:sz w:val="16"/>
          <w:szCs w:val="16"/>
          <w:lang w:val="bg-BG"/>
        </w:rPr>
      </w:pPr>
      <w:r>
        <w:rPr>
          <w:rFonts w:ascii="Arial" w:hAnsi="Arial"/>
          <w:noProof/>
          <w:sz w:val="16"/>
          <w:szCs w:val="16"/>
          <w:lang w:val="bg-BG"/>
        </w:rPr>
        <w:t>като описание на качеството на портфейла на заема към определена дата,</w:t>
      </w:r>
    </w:p>
    <w:p>
      <w:pPr>
        <w:numPr>
          <w:ilvl w:val="0"/>
          <w:numId w:val="60"/>
        </w:numPr>
        <w:autoSpaceDE w:val="0"/>
        <w:autoSpaceDN w:val="0"/>
        <w:adjustRightInd w:val="0"/>
        <w:spacing w:before="60" w:after="60"/>
        <w:jc w:val="both"/>
        <w:rPr>
          <w:rFonts w:ascii="Arial" w:hAnsi="Arial"/>
          <w:noProof/>
          <w:sz w:val="16"/>
          <w:szCs w:val="16"/>
          <w:lang w:val="bg-BG"/>
        </w:rPr>
      </w:pPr>
      <w:r>
        <w:rPr>
          <w:rFonts w:ascii="Arial" w:hAnsi="Arial"/>
          <w:noProof/>
          <w:sz w:val="16"/>
          <w:szCs w:val="16"/>
          <w:lang w:val="bg-BG"/>
        </w:rPr>
        <w:t>като принос в решенията за ценообразуване на рисковете на основата на очакваните загуби.</w:t>
      </w:r>
    </w:p>
    <w:p>
      <w:pPr>
        <w:rPr>
          <w:rFonts w:ascii="Arial" w:hAnsi="Arial"/>
          <w:noProof/>
          <w:sz w:val="16"/>
          <w:szCs w:val="16"/>
          <w:lang w:val="bg-BG"/>
        </w:rPr>
      </w:pPr>
      <w:r>
        <w:rPr>
          <w:noProof/>
          <w:lang w:val="bg-BG"/>
        </w:rPr>
        <w:br w:type="page"/>
      </w:r>
    </w:p>
    <w:p>
      <w:pPr>
        <w:autoSpaceDE w:val="0"/>
        <w:autoSpaceDN w:val="0"/>
        <w:adjustRightInd w:val="0"/>
        <w:spacing w:before="60" w:after="60" w:line="180" w:lineRule="exact"/>
        <w:jc w:val="both"/>
        <w:rPr>
          <w:rFonts w:ascii="Arial" w:hAnsi="Arial"/>
          <w:noProof/>
          <w:sz w:val="16"/>
          <w:szCs w:val="16"/>
          <w:lang w:val="bg-BG"/>
        </w:rPr>
      </w:pPr>
      <w:r>
        <w:rPr>
          <w:rFonts w:ascii="Arial" w:hAnsi="Arial"/>
          <w:noProof/>
          <w:sz w:val="16"/>
          <w:szCs w:val="16"/>
          <w:lang w:val="bg-BG"/>
        </w:rPr>
        <w:t>Следните фактори се включват в определянето на КЗ:</w:t>
      </w:r>
    </w:p>
    <w:p>
      <w:pPr>
        <w:autoSpaceDE w:val="0"/>
        <w:autoSpaceDN w:val="0"/>
        <w:adjustRightInd w:val="0"/>
        <w:spacing w:before="60" w:after="60" w:line="180" w:lineRule="exact"/>
        <w:ind w:left="360"/>
        <w:jc w:val="both"/>
        <w:rPr>
          <w:rFonts w:ascii="Arial" w:hAnsi="Arial"/>
          <w:noProof/>
          <w:sz w:val="16"/>
          <w:szCs w:val="16"/>
          <w:lang w:val="bg-BG"/>
        </w:rPr>
      </w:pPr>
    </w:p>
    <w:p>
      <w:pPr>
        <w:keepNext/>
        <w:numPr>
          <w:ilvl w:val="0"/>
          <w:numId w:val="62"/>
        </w:numPr>
        <w:autoSpaceDE w:val="0"/>
        <w:autoSpaceDN w:val="0"/>
        <w:adjustRightInd w:val="0"/>
        <w:spacing w:before="60" w:after="60" w:line="180" w:lineRule="exact"/>
        <w:jc w:val="both"/>
        <w:rPr>
          <w:rFonts w:ascii="Arial" w:hAnsi="Arial"/>
          <w:noProof/>
          <w:sz w:val="16"/>
          <w:szCs w:val="16"/>
          <w:lang w:val="bg-BG"/>
        </w:rPr>
      </w:pPr>
      <w:r>
        <w:rPr>
          <w:rFonts w:ascii="Arial" w:hAnsi="Arial"/>
          <w:noProof/>
          <w:sz w:val="16"/>
          <w:szCs w:val="16"/>
          <w:lang w:val="bg-BG"/>
        </w:rPr>
        <w:t>Кредитоспособността на заемополучателя: дирекцията по управление на риска прави независим преглед на заемополучателите и оценява тяхната кредитоспособност въз основа на вътрешни методики и външни данни. В съответствие с избрания усъвършенстван подход от Базел II банката е разработила методология на вътрешния рейтинг (МВР), за да определи вътрешните рейтинги на заемополучателите и гарантите. Това се основава на набор от фишове за оценка, специфични за определени видове контрагенти.</w:t>
      </w:r>
    </w:p>
    <w:p>
      <w:pPr>
        <w:spacing w:before="60" w:after="60" w:line="180" w:lineRule="exact"/>
        <w:ind w:left="360"/>
        <w:rPr>
          <w:rFonts w:ascii="Arial" w:hAnsi="Arial"/>
          <w:noProof/>
          <w:sz w:val="16"/>
          <w:szCs w:val="16"/>
          <w:lang w:val="bg-BG"/>
        </w:rPr>
      </w:pPr>
    </w:p>
    <w:p>
      <w:pPr>
        <w:keepNext/>
        <w:numPr>
          <w:ilvl w:val="0"/>
          <w:numId w:val="62"/>
        </w:numPr>
        <w:autoSpaceDE w:val="0"/>
        <w:autoSpaceDN w:val="0"/>
        <w:adjustRightInd w:val="0"/>
        <w:spacing w:before="60" w:after="60" w:line="180" w:lineRule="exact"/>
        <w:jc w:val="both"/>
        <w:rPr>
          <w:rFonts w:ascii="Arial" w:hAnsi="Arial"/>
          <w:noProof/>
          <w:sz w:val="16"/>
          <w:szCs w:val="16"/>
          <w:lang w:val="bg-BG"/>
        </w:rPr>
      </w:pPr>
      <w:r>
        <w:rPr>
          <w:rFonts w:ascii="Arial" w:hAnsi="Arial"/>
          <w:noProof/>
          <w:sz w:val="16"/>
          <w:szCs w:val="16"/>
          <w:lang w:val="bg-BG"/>
        </w:rPr>
        <w:t>Съответствието по подразбиране: то определя количествено вероятността от едновременно възникване на финансови затруднения за кредитополучателя и за гаранта. Колкото по-голяма е корелацията между вероятностите за неизпълнение на кредитополучателя и на гаранта, толкова по-ниска е стойността на гаранцията и следователно по-ниска (по-лоша) е категорията на заема.</w:t>
      </w:r>
    </w:p>
    <w:p>
      <w:pPr>
        <w:spacing w:before="60" w:after="60" w:line="180" w:lineRule="exact"/>
        <w:ind w:left="360"/>
        <w:rPr>
          <w:noProof/>
          <w:sz w:val="16"/>
          <w:szCs w:val="16"/>
          <w:lang w:val="bg-BG"/>
        </w:rPr>
      </w:pPr>
    </w:p>
    <w:p>
      <w:pPr>
        <w:keepNext/>
        <w:numPr>
          <w:ilvl w:val="0"/>
          <w:numId w:val="62"/>
        </w:numPr>
        <w:autoSpaceDE w:val="0"/>
        <w:autoSpaceDN w:val="0"/>
        <w:adjustRightInd w:val="0"/>
        <w:spacing w:before="60" w:after="60" w:line="180" w:lineRule="exact"/>
        <w:jc w:val="both"/>
        <w:rPr>
          <w:rFonts w:ascii="Arial" w:hAnsi="Arial"/>
          <w:noProof/>
          <w:sz w:val="16"/>
          <w:szCs w:val="16"/>
          <w:lang w:val="bg-BG"/>
        </w:rPr>
      </w:pPr>
      <w:r>
        <w:rPr>
          <w:rFonts w:ascii="Arial" w:hAnsi="Arial"/>
          <w:noProof/>
          <w:sz w:val="16"/>
          <w:szCs w:val="16"/>
          <w:lang w:val="bg-BG"/>
        </w:rPr>
        <w:t>Стойността на гаранционните инструменти и на ценните книжа: тази стойност се оценява въз основа на комбинация от кредитоспособността на емитента и вида на използвания инструмент.</w:t>
      </w:r>
    </w:p>
    <w:p>
      <w:pPr>
        <w:spacing w:after="60" w:line="180" w:lineRule="exact"/>
        <w:ind w:left="357"/>
        <w:rPr>
          <w:rFonts w:ascii="Arial" w:hAnsi="Arial"/>
          <w:noProof/>
          <w:sz w:val="16"/>
          <w:lang w:val="bg-BG"/>
        </w:rPr>
      </w:pPr>
    </w:p>
    <w:p>
      <w:pPr>
        <w:numPr>
          <w:ilvl w:val="0"/>
          <w:numId w:val="62"/>
        </w:numPr>
        <w:suppressAutoHyphens/>
        <w:spacing w:line="180" w:lineRule="exact"/>
        <w:contextualSpacing/>
        <w:rPr>
          <w:rFonts w:ascii="Arial" w:hAnsi="Arial" w:cs="Arial"/>
          <w:noProof/>
          <w:sz w:val="16"/>
          <w:szCs w:val="16"/>
          <w:lang w:val="bg-BG" w:eastAsia="ar-SA"/>
        </w:rPr>
      </w:pPr>
      <w:r>
        <w:rPr>
          <w:rFonts w:ascii="Arial" w:hAnsi="Arial"/>
          <w:noProof/>
          <w:sz w:val="16"/>
          <w:szCs w:val="16"/>
          <w:lang w:val="bg-BG" w:eastAsia="ar-SA"/>
        </w:rPr>
        <w:t>Приложимият процент на събиране: предполагаемата сума, която следва да бъде събрана след неизпълнение от страна на съответния контрагент, изразена като процент от съответната кредитна експозиция</w:t>
      </w:r>
    </w:p>
    <w:p>
      <w:pPr>
        <w:spacing w:before="60" w:after="60" w:line="180" w:lineRule="exact"/>
        <w:ind w:left="360"/>
        <w:rPr>
          <w:noProof/>
          <w:sz w:val="16"/>
          <w:szCs w:val="16"/>
          <w:lang w:val="bg-BG"/>
        </w:rPr>
      </w:pPr>
    </w:p>
    <w:p>
      <w:pPr>
        <w:keepNext/>
        <w:numPr>
          <w:ilvl w:val="0"/>
          <w:numId w:val="62"/>
        </w:numPr>
        <w:autoSpaceDE w:val="0"/>
        <w:autoSpaceDN w:val="0"/>
        <w:adjustRightInd w:val="0"/>
        <w:spacing w:before="60" w:after="60" w:line="180" w:lineRule="exact"/>
        <w:jc w:val="both"/>
        <w:rPr>
          <w:rFonts w:ascii="Arial" w:hAnsi="Arial"/>
          <w:noProof/>
          <w:sz w:val="16"/>
          <w:szCs w:val="16"/>
          <w:lang w:val="bg-BG"/>
        </w:rPr>
      </w:pPr>
      <w:r>
        <w:rPr>
          <w:rFonts w:ascii="Arial" w:hAnsi="Arial"/>
          <w:noProof/>
          <w:sz w:val="16"/>
          <w:szCs w:val="16"/>
          <w:lang w:val="bg-BG"/>
        </w:rPr>
        <w:t>Договорната рамка: една стабилна договорна рамка ще повиши качеството на заема и ще подобри вътрешния му рейтинг.</w:t>
      </w:r>
    </w:p>
    <w:p>
      <w:pPr>
        <w:spacing w:before="60" w:after="60" w:line="180" w:lineRule="exact"/>
        <w:ind w:left="360"/>
        <w:rPr>
          <w:noProof/>
          <w:sz w:val="16"/>
          <w:szCs w:val="16"/>
          <w:lang w:val="bg-BG"/>
        </w:rPr>
      </w:pPr>
    </w:p>
    <w:p>
      <w:pPr>
        <w:keepNext/>
        <w:numPr>
          <w:ilvl w:val="0"/>
          <w:numId w:val="62"/>
        </w:numPr>
        <w:autoSpaceDE w:val="0"/>
        <w:autoSpaceDN w:val="0"/>
        <w:adjustRightInd w:val="0"/>
        <w:spacing w:before="60" w:after="60" w:line="180" w:lineRule="exact"/>
        <w:jc w:val="both"/>
        <w:rPr>
          <w:rFonts w:ascii="Arial" w:hAnsi="Arial"/>
          <w:noProof/>
          <w:sz w:val="16"/>
          <w:szCs w:val="16"/>
          <w:lang w:val="bg-BG"/>
        </w:rPr>
      </w:pPr>
      <w:r>
        <w:rPr>
          <w:rFonts w:ascii="Arial" w:hAnsi="Arial"/>
          <w:noProof/>
          <w:sz w:val="16"/>
          <w:szCs w:val="16"/>
          <w:lang w:val="bg-BG"/>
        </w:rPr>
        <w:t>Продължителността на заема или, в по-общ план, паричните потоци по заема: в случай че всички останали  условия са равнопоставени, колкото по-дълъг е заемът, толкова по-голям е рискът от възникване на трудности при обслужването му.</w:t>
      </w:r>
    </w:p>
    <w:p>
      <w:pPr>
        <w:autoSpaceDE w:val="0"/>
        <w:autoSpaceDN w:val="0"/>
        <w:adjustRightInd w:val="0"/>
        <w:spacing w:before="60" w:after="60" w:line="180" w:lineRule="exact"/>
        <w:jc w:val="both"/>
        <w:rPr>
          <w:rFonts w:ascii="Arial" w:hAnsi="Arial"/>
          <w:noProof/>
          <w:sz w:val="16"/>
          <w:szCs w:val="16"/>
          <w:lang w:val="bg-BG"/>
        </w:rPr>
      </w:pPr>
    </w:p>
    <w:p>
      <w:pPr>
        <w:suppressAutoHyphens/>
        <w:autoSpaceDE w:val="0"/>
        <w:autoSpaceDN w:val="0"/>
        <w:adjustRightInd w:val="0"/>
        <w:spacing w:before="60" w:after="60" w:line="180" w:lineRule="exact"/>
        <w:jc w:val="both"/>
        <w:rPr>
          <w:rFonts w:ascii="Arial" w:hAnsi="Arial"/>
          <w:noProof/>
          <w:sz w:val="16"/>
          <w:szCs w:val="16"/>
          <w:lang w:val="bg-BG" w:eastAsia="ar-SA"/>
        </w:rPr>
      </w:pPr>
      <w:r>
        <w:rPr>
          <w:rFonts w:ascii="Arial" w:hAnsi="Arial"/>
          <w:noProof/>
          <w:sz w:val="16"/>
          <w:szCs w:val="16"/>
          <w:lang w:val="bg-BG" w:eastAsia="ar-SA"/>
        </w:rPr>
        <w:t>Очакваната загуба на заема се изчислява чрез комбиниране на петте елемента, посочени по-горе. В зависимост от нивото на тази загуба заемът се разпределя в един от следните класове от КЗ, изброени по-долу:</w:t>
      </w:r>
    </w:p>
    <w:p>
      <w:pPr>
        <w:suppressAutoHyphens/>
        <w:autoSpaceDE w:val="0"/>
        <w:autoSpaceDN w:val="0"/>
        <w:adjustRightInd w:val="0"/>
        <w:spacing w:before="60" w:after="60" w:line="180" w:lineRule="exact"/>
        <w:jc w:val="both"/>
        <w:rPr>
          <w:rFonts w:ascii="Arial" w:hAnsi="Arial"/>
          <w:noProof/>
          <w:sz w:val="16"/>
          <w:szCs w:val="16"/>
          <w:lang w:val="bg-BG" w:eastAsia="ar-SA"/>
        </w:rPr>
      </w:pPr>
    </w:p>
    <w:p>
      <w:pPr>
        <w:tabs>
          <w:tab w:val="left" w:pos="360"/>
        </w:tabs>
        <w:spacing w:line="180" w:lineRule="exact"/>
        <w:jc w:val="both"/>
        <w:rPr>
          <w:rFonts w:ascii="Arial" w:hAnsi="Arial"/>
          <w:noProof/>
          <w:sz w:val="16"/>
          <w:szCs w:val="16"/>
          <w:lang w:val="bg-BG"/>
        </w:rPr>
      </w:pPr>
      <w:r>
        <w:rPr>
          <w:rFonts w:ascii="Arial" w:hAnsi="Arial"/>
          <w:noProof/>
          <w:sz w:val="16"/>
          <w:szCs w:val="16"/>
          <w:lang w:val="bg-BG"/>
        </w:rPr>
        <w:t xml:space="preserve">„А“ </w:t>
      </w:r>
      <w:r>
        <w:rPr>
          <w:rFonts w:ascii="Arial" w:hAnsi="Arial"/>
          <w:noProof/>
          <w:sz w:val="16"/>
          <w:szCs w:val="16"/>
          <w:lang w:val="bg-BG"/>
        </w:rPr>
        <w:tab/>
        <w:t>Първокачествени заеми, които имат три подкатегории:</w:t>
      </w:r>
    </w:p>
    <w:p>
      <w:pPr>
        <w:tabs>
          <w:tab w:val="left" w:pos="360"/>
        </w:tabs>
        <w:spacing w:before="60" w:after="60" w:line="180" w:lineRule="exact"/>
        <w:jc w:val="both"/>
        <w:rPr>
          <w:rFonts w:ascii="Arial" w:hAnsi="Arial"/>
          <w:noProof/>
          <w:sz w:val="16"/>
          <w:szCs w:val="16"/>
          <w:lang w:val="bg-BG"/>
        </w:rPr>
      </w:pPr>
    </w:p>
    <w:p>
      <w:pPr>
        <w:tabs>
          <w:tab w:val="left" w:pos="360"/>
        </w:tabs>
        <w:spacing w:after="120" w:line="180" w:lineRule="exact"/>
        <w:ind w:left="357"/>
        <w:jc w:val="both"/>
        <w:rPr>
          <w:rFonts w:ascii="Arial" w:hAnsi="Arial"/>
          <w:noProof/>
          <w:sz w:val="16"/>
          <w:szCs w:val="16"/>
          <w:lang w:val="bg-BG"/>
        </w:rPr>
      </w:pPr>
      <w:r>
        <w:rPr>
          <w:rFonts w:ascii="Arial" w:hAnsi="Arial"/>
          <w:noProof/>
          <w:sz w:val="16"/>
          <w:szCs w:val="16"/>
          <w:lang w:val="bg-BG"/>
        </w:rPr>
        <w:t xml:space="preserve">A0 включва заеми, отпуснати или гарантирани от държава — членка на ЕС, които имат очаквана загуба от 0 % (въз основа на предпочитания от банката статут на кредитор и законовата защита, за които се счита, че гарантират пълно събиране на активите на банката при настъпване на падежа им). </w:t>
      </w:r>
    </w:p>
    <w:p>
      <w:pPr>
        <w:tabs>
          <w:tab w:val="left" w:pos="360"/>
        </w:tabs>
        <w:spacing w:after="120" w:line="180" w:lineRule="exact"/>
        <w:ind w:left="357"/>
        <w:jc w:val="both"/>
        <w:rPr>
          <w:rFonts w:ascii="Arial" w:hAnsi="Arial"/>
          <w:noProof/>
          <w:sz w:val="16"/>
          <w:szCs w:val="16"/>
          <w:lang w:val="bg-BG"/>
        </w:rPr>
      </w:pPr>
      <w:r>
        <w:rPr>
          <w:rFonts w:ascii="Arial" w:hAnsi="Arial"/>
          <w:noProof/>
          <w:sz w:val="16"/>
          <w:szCs w:val="16"/>
          <w:lang w:val="bg-BG"/>
        </w:rPr>
        <w:t>A+ включва заеми, отпуснати на (или гарантирани от) субекти, различни от държавите — членки на ЕС, за които не се очаква влошаване на качеството през периода на тяхното действие.</w:t>
      </w:r>
    </w:p>
    <w:p>
      <w:pPr>
        <w:tabs>
          <w:tab w:val="left" w:pos="360"/>
        </w:tabs>
        <w:spacing w:line="180" w:lineRule="exact"/>
        <w:ind w:left="357"/>
        <w:jc w:val="both"/>
        <w:rPr>
          <w:rFonts w:ascii="Arial" w:hAnsi="Arial"/>
          <w:noProof/>
          <w:sz w:val="16"/>
          <w:szCs w:val="16"/>
          <w:lang w:val="bg-BG"/>
        </w:rPr>
      </w:pPr>
      <w:r>
        <w:rPr>
          <w:rFonts w:ascii="Arial" w:hAnsi="Arial"/>
          <w:noProof/>
          <w:sz w:val="16"/>
          <w:szCs w:val="16"/>
          <w:lang w:val="bg-BG"/>
        </w:rPr>
        <w:t>А- включва операции по отпускане на заеми, при които има известно съмнение относно запазването на настоящия им статут, но за които се очаква да бъдат ограничени каквито и да било отрицателни последици.</w:t>
      </w:r>
    </w:p>
    <w:p>
      <w:pPr>
        <w:tabs>
          <w:tab w:val="left" w:pos="360"/>
        </w:tabs>
        <w:suppressAutoHyphens/>
        <w:spacing w:before="60" w:after="60" w:line="180" w:lineRule="exact"/>
        <w:ind w:left="360" w:hanging="360"/>
        <w:jc w:val="both"/>
        <w:rPr>
          <w:rFonts w:ascii="Arial" w:hAnsi="Arial"/>
          <w:noProof/>
          <w:sz w:val="16"/>
          <w:szCs w:val="16"/>
          <w:lang w:val="bg-BG" w:eastAsia="ar-SA"/>
        </w:rPr>
      </w:pPr>
      <w:r>
        <w:rPr>
          <w:rFonts w:ascii="Arial" w:hAnsi="Arial"/>
          <w:noProof/>
          <w:sz w:val="16"/>
          <w:szCs w:val="16"/>
          <w:lang w:val="bg-BG" w:eastAsia="ar-SA"/>
        </w:rPr>
        <w:t xml:space="preserve">         </w:t>
      </w:r>
    </w:p>
    <w:p>
      <w:pPr>
        <w:tabs>
          <w:tab w:val="left" w:pos="360"/>
        </w:tabs>
        <w:suppressAutoHyphens/>
        <w:spacing w:before="60" w:after="60" w:line="180" w:lineRule="exact"/>
        <w:ind w:left="360" w:hanging="360"/>
        <w:jc w:val="both"/>
        <w:rPr>
          <w:rFonts w:ascii="Arial" w:hAnsi="Arial"/>
          <w:noProof/>
          <w:sz w:val="16"/>
          <w:szCs w:val="16"/>
          <w:lang w:val="bg-BG" w:eastAsia="ar-SA"/>
        </w:rPr>
      </w:pPr>
      <w:r>
        <w:rPr>
          <w:rFonts w:ascii="Arial" w:hAnsi="Arial"/>
          <w:noProof/>
          <w:sz w:val="16"/>
          <w:szCs w:val="16"/>
          <w:lang w:val="bg-BG" w:eastAsia="ar-SA"/>
        </w:rPr>
        <w:t xml:space="preserve">„Б“ </w:t>
      </w:r>
      <w:r>
        <w:rPr>
          <w:rFonts w:ascii="Arial" w:hAnsi="Arial"/>
          <w:noProof/>
          <w:sz w:val="16"/>
          <w:szCs w:val="16"/>
          <w:lang w:val="bg-BG" w:eastAsia="ar-SA"/>
        </w:rPr>
        <w:tab/>
      </w:r>
      <w:r>
        <w:rPr>
          <w:rFonts w:ascii="Arial" w:hAnsi="Arial"/>
          <w:noProof/>
          <w:spacing w:val="-4"/>
          <w:sz w:val="16"/>
          <w:szCs w:val="16"/>
          <w:lang w:val="bg-BG" w:eastAsia="ar-SA"/>
        </w:rPr>
        <w:t>Висококачествени заеми: те представляват клас активи, които банката приема, въпреки че не е изключено незначително влошаване в бъдеще. B+ и B- се използват за означаване на относителната вероятност от възникване за такова влошаване.</w:t>
      </w:r>
    </w:p>
    <w:p>
      <w:pPr>
        <w:tabs>
          <w:tab w:val="left" w:pos="360"/>
        </w:tabs>
        <w:suppressAutoHyphens/>
        <w:spacing w:before="60" w:after="60" w:line="180" w:lineRule="exact"/>
        <w:ind w:left="360" w:hanging="360"/>
        <w:jc w:val="both"/>
        <w:rPr>
          <w:rFonts w:ascii="Arial" w:hAnsi="Arial"/>
          <w:noProof/>
          <w:sz w:val="16"/>
          <w:szCs w:val="16"/>
          <w:lang w:val="bg-BG" w:eastAsia="ar-SA"/>
        </w:rPr>
      </w:pPr>
    </w:p>
    <w:p>
      <w:pPr>
        <w:tabs>
          <w:tab w:val="left" w:pos="360"/>
        </w:tabs>
        <w:suppressAutoHyphens/>
        <w:spacing w:before="60" w:after="60" w:line="180" w:lineRule="exact"/>
        <w:ind w:left="360" w:hanging="360"/>
        <w:jc w:val="both"/>
        <w:rPr>
          <w:rFonts w:ascii="Arial" w:hAnsi="Arial"/>
          <w:noProof/>
          <w:sz w:val="16"/>
          <w:szCs w:val="16"/>
          <w:lang w:val="bg-BG" w:eastAsia="ar-SA"/>
        </w:rPr>
      </w:pPr>
      <w:r>
        <w:rPr>
          <w:rFonts w:ascii="Arial" w:hAnsi="Arial"/>
          <w:noProof/>
          <w:sz w:val="16"/>
          <w:szCs w:val="16"/>
          <w:lang w:val="bg-BG" w:eastAsia="ar-SA"/>
        </w:rPr>
        <w:t xml:space="preserve">„В“ </w:t>
      </w:r>
      <w:r>
        <w:rPr>
          <w:rFonts w:ascii="Arial" w:hAnsi="Arial"/>
          <w:noProof/>
          <w:sz w:val="16"/>
          <w:szCs w:val="16"/>
          <w:lang w:val="bg-BG" w:eastAsia="ar-SA"/>
        </w:rPr>
        <w:tab/>
        <w:t>Доброкачествени заеми: пример за това е необезпечен кредит за солидна банка или корпоративна организация, платим изцяло на падежа след 7-годишен срок или на части от датата на предоставянето за еквивалентен срок.</w:t>
      </w:r>
    </w:p>
    <w:p>
      <w:pPr>
        <w:tabs>
          <w:tab w:val="left" w:pos="360"/>
        </w:tabs>
        <w:suppressAutoHyphens/>
        <w:spacing w:before="60" w:after="60" w:line="180" w:lineRule="exact"/>
        <w:ind w:left="360" w:hanging="360"/>
        <w:rPr>
          <w:noProof/>
          <w:sz w:val="16"/>
          <w:szCs w:val="16"/>
          <w:lang w:val="bg-BG" w:eastAsia="ar-SA"/>
        </w:rPr>
      </w:pPr>
    </w:p>
    <w:p>
      <w:pPr>
        <w:tabs>
          <w:tab w:val="left" w:pos="360"/>
        </w:tabs>
        <w:suppressAutoHyphens/>
        <w:spacing w:before="60" w:after="60" w:line="180" w:lineRule="exact"/>
        <w:ind w:left="360" w:hanging="360"/>
        <w:jc w:val="both"/>
        <w:rPr>
          <w:rFonts w:ascii="Arial" w:hAnsi="Arial"/>
          <w:noProof/>
          <w:sz w:val="16"/>
          <w:szCs w:val="16"/>
          <w:lang w:val="bg-BG" w:eastAsia="ar-SA"/>
        </w:rPr>
      </w:pPr>
      <w:r>
        <w:rPr>
          <w:rFonts w:ascii="Arial" w:hAnsi="Arial"/>
          <w:noProof/>
          <w:sz w:val="16"/>
          <w:szCs w:val="16"/>
          <w:lang w:val="bg-BG" w:eastAsia="ar-SA"/>
        </w:rPr>
        <w:t xml:space="preserve">„Г“ </w:t>
      </w:r>
      <w:r>
        <w:rPr>
          <w:rFonts w:ascii="Arial" w:hAnsi="Arial"/>
          <w:noProof/>
          <w:sz w:val="16"/>
          <w:szCs w:val="16"/>
          <w:lang w:val="bg-BG" w:eastAsia="ar-SA"/>
        </w:rPr>
        <w:tab/>
        <w:t>Този рейтингов клас представлява границата между „приемливо качество“ заеми и тези, при които има трудности. Тази граница на класификацията на заемите е по-точно определена от подкласовете D+ и D-. Заемите с рейтинг D- изискват засилен мониторинг.</w:t>
      </w:r>
    </w:p>
    <w:p>
      <w:pPr>
        <w:tabs>
          <w:tab w:val="left" w:pos="360"/>
        </w:tabs>
        <w:suppressAutoHyphens/>
        <w:spacing w:before="60" w:after="60" w:line="180" w:lineRule="exact"/>
        <w:ind w:left="360" w:hanging="360"/>
        <w:jc w:val="both"/>
        <w:rPr>
          <w:rFonts w:ascii="Arial" w:hAnsi="Arial"/>
          <w:noProof/>
          <w:sz w:val="16"/>
          <w:szCs w:val="16"/>
          <w:lang w:val="bg-BG" w:eastAsia="ar-SA"/>
        </w:rPr>
      </w:pPr>
    </w:p>
    <w:p>
      <w:pPr>
        <w:tabs>
          <w:tab w:val="left" w:pos="360"/>
        </w:tabs>
        <w:suppressAutoHyphens/>
        <w:spacing w:before="60" w:after="60" w:line="180" w:lineRule="exact"/>
        <w:ind w:left="360" w:hanging="360"/>
        <w:jc w:val="both"/>
        <w:rPr>
          <w:rFonts w:ascii="Arial" w:hAnsi="Arial"/>
          <w:noProof/>
          <w:sz w:val="16"/>
          <w:lang w:val="bg-BG" w:eastAsia="ar-SA"/>
        </w:rPr>
      </w:pPr>
      <w:r>
        <w:rPr>
          <w:rFonts w:ascii="Arial" w:hAnsi="Arial"/>
          <w:noProof/>
          <w:sz w:val="16"/>
          <w:szCs w:val="16"/>
          <w:lang w:val="bg-BG" w:eastAsia="ar-SA"/>
        </w:rPr>
        <w:t xml:space="preserve">„Д“ </w:t>
      </w:r>
      <w:r>
        <w:rPr>
          <w:rFonts w:ascii="Arial" w:hAnsi="Arial"/>
          <w:noProof/>
          <w:sz w:val="16"/>
          <w:szCs w:val="16"/>
          <w:lang w:val="bg-BG" w:eastAsia="ar-SA"/>
        </w:rPr>
        <w:tab/>
        <w:t>Този клас от КЗ включва заеми с рисков профил, по-голям от общоприетия. Той включва също заеми, при които е имало сериозни проблеми по време на тяхната продължителност и не може да се изключи да изпаднат в положение на загуба. По тази причина заемите са предмет на стриктен и засилен мониторинг. Подкласове E+ и E- се различават по интензивността на този специален мониторингов процес, като операциите с рейтинг E- са в положение, при което има голяма вероятност обслужването на дълга да не може да се поддържа редовно и затова се изисква някаква форма на преструктуриране на дълга, което е възможно да доведе до загуба от обезценка.</w:t>
      </w:r>
    </w:p>
    <w:p>
      <w:pPr>
        <w:tabs>
          <w:tab w:val="left" w:pos="360"/>
        </w:tabs>
        <w:suppressAutoHyphens/>
        <w:spacing w:before="60" w:after="60" w:line="180" w:lineRule="exact"/>
        <w:ind w:left="360" w:hanging="360"/>
        <w:jc w:val="both"/>
        <w:rPr>
          <w:noProof/>
          <w:sz w:val="16"/>
          <w:szCs w:val="16"/>
          <w:lang w:val="bg-BG" w:eastAsia="ar-SA"/>
        </w:rPr>
      </w:pPr>
    </w:p>
    <w:p>
      <w:pPr>
        <w:tabs>
          <w:tab w:val="left" w:pos="360"/>
        </w:tabs>
        <w:suppressAutoHyphens/>
        <w:spacing w:before="60" w:after="60" w:line="180" w:lineRule="exact"/>
        <w:ind w:left="360" w:hanging="360"/>
        <w:jc w:val="both"/>
        <w:rPr>
          <w:rFonts w:ascii="Arial" w:hAnsi="Arial"/>
          <w:noProof/>
          <w:sz w:val="16"/>
          <w:szCs w:val="16"/>
          <w:lang w:val="bg-BG" w:eastAsia="ar-SA"/>
        </w:rPr>
      </w:pPr>
      <w:r>
        <w:rPr>
          <w:rFonts w:ascii="Arial" w:hAnsi="Arial"/>
          <w:noProof/>
          <w:sz w:val="16"/>
          <w:szCs w:val="16"/>
          <w:lang w:val="bg-BG" w:eastAsia="ar-SA"/>
        </w:rPr>
        <w:t xml:space="preserve">„Е“ </w:t>
      </w:r>
      <w:r>
        <w:rPr>
          <w:rFonts w:ascii="Arial" w:hAnsi="Arial"/>
          <w:noProof/>
          <w:sz w:val="16"/>
          <w:szCs w:val="16"/>
          <w:lang w:val="bg-BG" w:eastAsia="ar-SA"/>
        </w:rPr>
        <w:tab/>
        <w:t>С F (fail — лош рейтинг) се обозначават заеми, които представляват неприемливи рискове. Заеми с рейтинг F- могат да произтичат само от текущи операции, при които след подписването са възникнали непредвидими, изключителни и сериозни неблагоприятни обстоятелства. Всички операции, при които има загуба на главницата за механизма, се означават с рейтинг F и за тях се прилага специфична разпоредба.</w:t>
      </w:r>
    </w:p>
    <w:p>
      <w:pPr>
        <w:tabs>
          <w:tab w:val="left" w:pos="360"/>
        </w:tabs>
        <w:suppressAutoHyphens/>
        <w:spacing w:before="60" w:after="60" w:line="180" w:lineRule="exact"/>
        <w:ind w:left="360" w:hanging="360"/>
        <w:jc w:val="both"/>
        <w:rPr>
          <w:rFonts w:ascii="Arial" w:hAnsi="Arial"/>
          <w:noProof/>
          <w:sz w:val="16"/>
          <w:szCs w:val="16"/>
          <w:lang w:val="bg-BG" w:eastAsia="ar-SA"/>
        </w:rPr>
      </w:pPr>
    </w:p>
    <w:p>
      <w:pPr>
        <w:tabs>
          <w:tab w:val="right" w:pos="-2700"/>
          <w:tab w:val="right" w:pos="720"/>
          <w:tab w:val="center" w:pos="4320"/>
          <w:tab w:val="right" w:pos="8640"/>
        </w:tabs>
        <w:suppressAutoHyphens/>
        <w:spacing w:before="60" w:after="60" w:line="180" w:lineRule="exact"/>
        <w:jc w:val="both"/>
        <w:rPr>
          <w:rFonts w:ascii="Arial" w:hAnsi="Arial" w:cs="Arial"/>
          <w:noProof/>
          <w:sz w:val="16"/>
          <w:szCs w:val="16"/>
          <w:lang w:val="bg-BG" w:eastAsia="ar-SA"/>
        </w:rPr>
      </w:pPr>
      <w:r>
        <w:rPr>
          <w:rFonts w:ascii="Arial" w:hAnsi="Arial" w:cs="Arial"/>
          <w:noProof/>
          <w:sz w:val="16"/>
          <w:szCs w:val="16"/>
          <w:lang w:val="bg-BG" w:eastAsia="ar-SA"/>
        </w:rPr>
        <w:t>По принцип всички заеми с вътрешен рейтинг D- или по-нисък се поставят в списъка за наблюдение. Въпреки това, ако един заем е бил първоначално одобрен с рисков профил D- или по-нисък, той се поставя в списъка за наблюдение само в резултат на сериозно кредитно събитие, причинило допълнително влошаване на неговото класифициране по КЗ.</w:t>
      </w:r>
    </w:p>
    <w:p>
      <w:pPr>
        <w:pStyle w:val="ListParagraph"/>
        <w:numPr>
          <w:ilvl w:val="0"/>
          <w:numId w:val="51"/>
        </w:numPr>
        <w:tabs>
          <w:tab w:val="right" w:pos="-2700"/>
          <w:tab w:val="left" w:pos="567"/>
        </w:tabs>
        <w:spacing w:before="60" w:after="60" w:line="180" w:lineRule="exact"/>
        <w:jc w:val="both"/>
        <w:rPr>
          <w:rFonts w:ascii="Arial" w:hAnsi="Arial"/>
          <w:noProof/>
          <w:sz w:val="16"/>
          <w:szCs w:val="16"/>
          <w:lang w:val="bg-BG"/>
        </w:rPr>
      </w:pPr>
    </w:p>
    <w:p>
      <w:pPr>
        <w:tabs>
          <w:tab w:val="right" w:pos="-2700"/>
          <w:tab w:val="left" w:pos="567"/>
          <w:tab w:val="right" w:pos="720"/>
        </w:tabs>
        <w:suppressAutoHyphens/>
        <w:spacing w:before="60" w:after="60" w:line="180" w:lineRule="exact"/>
        <w:jc w:val="both"/>
        <w:rPr>
          <w:rFonts w:ascii="Arial" w:hAnsi="Arial"/>
          <w:noProof/>
          <w:sz w:val="16"/>
          <w:szCs w:val="16"/>
          <w:lang w:val="bg-BG" w:eastAsia="ar-SA"/>
        </w:rPr>
      </w:pPr>
      <w:r>
        <w:rPr>
          <w:rFonts w:ascii="Arial" w:hAnsi="Arial"/>
          <w:noProof/>
          <w:sz w:val="16"/>
          <w:szCs w:val="16"/>
          <w:lang w:val="bg-BG" w:eastAsia="ar-SA"/>
        </w:rPr>
        <w:t>4</w:t>
      </w:r>
      <w:r>
        <w:rPr>
          <w:rFonts w:ascii="Arial" w:hAnsi="Arial"/>
          <w:noProof/>
          <w:sz w:val="16"/>
          <w:szCs w:val="16"/>
          <w:lang w:val="bg-BG" w:eastAsia="ar-SA"/>
        </w:rPr>
        <w:tab/>
        <w:t>Таблицата в раздел 3.2.3.3 показва анализа на кредитното качество на портфейла от заеми на механизма въз основа на различните класове по КЗ, описани по-горе.</w:t>
      </w:r>
    </w:p>
    <w:p>
      <w:pPr>
        <w:pageBreakBefore/>
        <w:numPr>
          <w:ilvl w:val="3"/>
          <w:numId w:val="64"/>
        </w:numPr>
        <w:tabs>
          <w:tab w:val="right" w:pos="-2700"/>
          <w:tab w:val="right" w:pos="720"/>
        </w:tabs>
        <w:suppressAutoHyphens/>
        <w:spacing w:before="60"/>
        <w:ind w:left="794" w:hanging="794"/>
        <w:jc w:val="both"/>
        <w:rPr>
          <w:rFonts w:ascii="Arial" w:hAnsi="Arial"/>
          <w:b/>
          <w:bCs/>
          <w:noProof/>
          <w:sz w:val="16"/>
          <w:szCs w:val="16"/>
          <w:lang w:val="bg-BG" w:eastAsia="ar-SA"/>
        </w:rPr>
      </w:pPr>
      <w:r>
        <w:rPr>
          <w:rFonts w:ascii="Arial" w:hAnsi="Arial"/>
          <w:b/>
          <w:bCs/>
          <w:noProof/>
          <w:sz w:val="16"/>
          <w:szCs w:val="16"/>
          <w:lang w:val="bg-BG" w:eastAsia="ar-SA"/>
        </w:rPr>
        <w:t>Анализ на кредитния риск</w:t>
      </w:r>
    </w:p>
    <w:p>
      <w:pPr>
        <w:numPr>
          <w:ilvl w:val="0"/>
          <w:numId w:val="65"/>
        </w:numPr>
        <w:tabs>
          <w:tab w:val="right" w:pos="-2700"/>
          <w:tab w:val="right" w:pos="720"/>
        </w:tabs>
        <w:suppressAutoHyphens/>
        <w:spacing w:after="60"/>
        <w:ind w:left="0" w:firstLine="0"/>
        <w:jc w:val="both"/>
        <w:rPr>
          <w:rFonts w:ascii="Arial" w:hAnsi="Arial"/>
          <w:noProof/>
          <w:sz w:val="16"/>
          <w:szCs w:val="16"/>
          <w:lang w:eastAsia="ar-SA"/>
        </w:rPr>
      </w:pPr>
    </w:p>
    <w:p>
      <w:pPr>
        <w:numPr>
          <w:ilvl w:val="0"/>
          <w:numId w:val="65"/>
        </w:numPr>
        <w:tabs>
          <w:tab w:val="right" w:pos="-2700"/>
          <w:tab w:val="right" w:pos="72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Следната таблица показва максималната експозиция (нетна балансова стойност) на кредитен риск за подписаните (изплатени и неизплатени) заеми и аванси по видове заемополучатели, като се вземат под внимание предоставените гаранции от гарантите:</w:t>
      </w:r>
    </w:p>
    <w:p>
      <w:pPr>
        <w:numPr>
          <w:ilvl w:val="0"/>
          <w:numId w:val="65"/>
        </w:numPr>
        <w:tabs>
          <w:tab w:val="right" w:pos="-2700"/>
          <w:tab w:val="right" w:pos="720"/>
        </w:tabs>
        <w:suppressAutoHyphens/>
        <w:spacing w:before="60" w:after="60"/>
        <w:ind w:left="0" w:firstLine="0"/>
        <w:jc w:val="both"/>
        <w:rPr>
          <w:rFonts w:ascii="Arial" w:hAnsi="Arial"/>
          <w:noProof/>
          <w:sz w:val="16"/>
          <w:szCs w:val="16"/>
          <w:lang w:val="bg-BG" w:eastAsia="ar-SA"/>
        </w:rPr>
      </w:pPr>
      <w:r>
        <w:rPr>
          <w:rFonts w:ascii="Arial" w:hAnsi="Arial"/>
          <w:b/>
          <w:noProof/>
          <w:sz w:val="20"/>
          <w:lang w:val="bg-BG" w:eastAsia="ar-SA"/>
        </w:rPr>
        <w:t xml:space="preserve"> </w:t>
      </w:r>
    </w:p>
    <w:tbl>
      <w:tblPr>
        <w:tblStyle w:val="CDMRange21"/>
        <w:tblW w:w="9975" w:type="dxa"/>
        <w:tblLayout w:type="fixed"/>
        <w:tblLook w:val="0600" w:firstRow="0" w:lastRow="0" w:firstColumn="0" w:lastColumn="0" w:noHBand="1" w:noVBand="1"/>
      </w:tblPr>
      <w:tblGrid>
        <w:gridCol w:w="2475"/>
        <w:gridCol w:w="1500"/>
        <w:gridCol w:w="1500"/>
        <w:gridCol w:w="1500"/>
        <w:gridCol w:w="1500"/>
        <w:gridCol w:w="1500"/>
      </w:tblGrid>
      <w:tr>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31.12.2019 г.</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Гарантирани</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Други кредитни подобрения</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Негарантирани</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от общо изплатените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Банки</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111,806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803,861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915,667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Предприятия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190,006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36,704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172,082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398,792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Публични институции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26,908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28,594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Държави</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2,085</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173,537</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175,622</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изплатени</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328,720</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38,789</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1,151,166</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1,518,675</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Неизплатени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191,191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1,128,860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1,320,051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изплатени и неизплатени</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519,911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38,789</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2,280,026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2,838,726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4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31.12.2018 г.</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Гарантирани</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Други кредитни подобрения</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Негарантирани</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от общо изплатените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Банки</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88,263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856,484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944,747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Предприятия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147,551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205,198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398,569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Публични институции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Държави</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2,647</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165,846</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168,493</w:t>
            </w:r>
          </w:p>
        </w:tc>
        <w:tc>
          <w:tcPr>
            <w:tcW w:w="1500" w:type="dxa"/>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изплатени</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264,996</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48,467</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1,227,528</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1,540,991</w:t>
            </w:r>
          </w:p>
        </w:tc>
        <w:tc>
          <w:tcPr>
            <w:tcW w:w="1500" w:type="dxa"/>
            <w:tcBorders>
              <w:top w:val="single" w:sz="4" w:space="0" w:color="auto"/>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Неизплатени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170,356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1,089,753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1,260,110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изплатени и неизплатени</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435,352</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48,467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2,317,281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2,801,101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p>
        </w:tc>
      </w:tr>
    </w:tbl>
    <w:p>
      <w:pPr>
        <w:pBdr>
          <w:top w:val="nil"/>
          <w:left w:val="nil"/>
          <w:bottom w:val="nil"/>
          <w:right w:val="nil"/>
          <w:between w:val="nil"/>
          <w:bar w:val="nil"/>
        </w:pBdr>
        <w:autoSpaceDE w:val="0"/>
        <w:autoSpaceDN w:val="0"/>
        <w:adjustRightInd w:val="0"/>
        <w:spacing w:before="60" w:after="60"/>
        <w:jc w:val="both"/>
        <w:rPr>
          <w:rFonts w:ascii="Arial" w:eastAsia="Calibri" w:hAnsi="Arial" w:cs="Arial"/>
          <w:noProof/>
          <w:color w:val="000000"/>
          <w:sz w:val="16"/>
          <w:szCs w:val="16"/>
          <w:bdr w:val="nil"/>
          <w:lang w:val="bg-BG" w:eastAsia="en-US"/>
        </w:rPr>
      </w:pPr>
    </w:p>
    <w:p>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lang w:val="bg-BG" w:eastAsia="en-US"/>
        </w:rPr>
      </w:pPr>
      <w:r>
        <w:rPr>
          <w:rFonts w:ascii="Arial" w:eastAsia="Calibri" w:hAnsi="Arial" w:cs="Arial"/>
          <w:noProof/>
          <w:color w:val="000000"/>
          <w:sz w:val="16"/>
          <w:szCs w:val="16"/>
          <w:bdr w:val="nil"/>
          <w:lang w:val="bg-BG" w:eastAsia="en-US"/>
        </w:rPr>
        <w:t>Дирекцията за управление и преструктуриране на операциите е натоварена да извършва мониторинг на кредитополучателя и на гаранта, както и финансов и договорен мониторинг на проектите. Така качеството на заемите и кредитоспособността на длъжниците и гарантите на механизма се контролират редовно — най-малко веднъж годишно или по-често при необходимост и при настъпване на кредитни събития. По-специално, Дирекцията за управление и преструктуриране на операциите проверява дали са изпълнени договорните права и в случай на влошаване на рейтинга и/или неизпълнение на договор се предприемат коригиращи действия. Прилагат се мерки за намаляване на риска, когато е необходимо, в съответствие с насоките за кредитния риск. Също така в случай на подновяване на банкови гаранции, получени по заеми от ЕИБ, банката гарантира, че тези гаранции се заменят, или предприема своевременни действия.</w:t>
      </w:r>
    </w:p>
    <w:p>
      <w:pPr>
        <w:pBdr>
          <w:top w:val="nil"/>
          <w:left w:val="nil"/>
          <w:bottom w:val="nil"/>
          <w:right w:val="nil"/>
          <w:between w:val="nil"/>
          <w:bar w:val="nil"/>
        </w:pBdr>
        <w:autoSpaceDE w:val="0"/>
        <w:autoSpaceDN w:val="0"/>
        <w:adjustRightInd w:val="0"/>
        <w:jc w:val="both"/>
        <w:rPr>
          <w:rFonts w:ascii="Arial" w:eastAsia="Calibri" w:hAnsi="Arial" w:cs="Arial"/>
          <w:noProof/>
          <w:color w:val="000000"/>
          <w:sz w:val="16"/>
          <w:szCs w:val="16"/>
          <w:bdr w:val="nil"/>
          <w:lang w:val="bg-BG" w:eastAsia="en-US"/>
        </w:rPr>
      </w:pPr>
      <w:r>
        <w:rPr>
          <w:rFonts w:ascii="Arial" w:eastAsia="Calibri" w:hAnsi="Arial" w:cs="Arial"/>
          <w:noProof/>
          <w:color w:val="000000"/>
          <w:lang w:val="bg-BG" w:eastAsia="en-US"/>
        </w:rPr>
        <w:t xml:space="preserve"> </w:t>
      </w:r>
    </w:p>
    <w:p>
      <w:pPr>
        <w:pageBreakBefore/>
        <w:numPr>
          <w:ilvl w:val="3"/>
          <w:numId w:val="66"/>
        </w:numPr>
        <w:tabs>
          <w:tab w:val="right" w:pos="-2700"/>
          <w:tab w:val="right" w:pos="720"/>
        </w:tabs>
        <w:suppressAutoHyphens/>
        <w:spacing w:before="60"/>
        <w:ind w:left="794" w:hanging="794"/>
        <w:jc w:val="both"/>
        <w:rPr>
          <w:rFonts w:ascii="Arial" w:hAnsi="Arial"/>
          <w:b/>
          <w:bCs/>
          <w:noProof/>
          <w:sz w:val="16"/>
          <w:szCs w:val="16"/>
          <w:lang w:val="bg-BG" w:eastAsia="ar-SA"/>
        </w:rPr>
      </w:pPr>
      <w:r>
        <w:rPr>
          <w:rFonts w:ascii="Arial" w:hAnsi="Arial"/>
          <w:b/>
          <w:noProof/>
          <w:sz w:val="16"/>
          <w:szCs w:val="16"/>
          <w:lang w:val="bg-BG" w:eastAsia="ar-SA"/>
        </w:rPr>
        <w:t>Анализ на кредитното качество по видове заемополучатели</w:t>
      </w:r>
    </w:p>
    <w:p>
      <w:pPr>
        <w:numPr>
          <w:ilvl w:val="0"/>
          <w:numId w:val="67"/>
        </w:numPr>
        <w:tabs>
          <w:tab w:val="right" w:pos="-2700"/>
          <w:tab w:val="right" w:pos="720"/>
        </w:tabs>
        <w:suppressAutoHyphens/>
        <w:spacing w:after="60"/>
        <w:ind w:left="0" w:firstLine="0"/>
        <w:jc w:val="both"/>
        <w:rPr>
          <w:rFonts w:ascii="Arial" w:hAnsi="Arial"/>
          <w:bCs/>
          <w:noProof/>
          <w:sz w:val="16"/>
          <w:szCs w:val="16"/>
          <w:lang w:val="bg-BG" w:eastAsia="ar-SA"/>
        </w:rPr>
      </w:pPr>
    </w:p>
    <w:p>
      <w:pPr>
        <w:numPr>
          <w:ilvl w:val="0"/>
          <w:numId w:val="67"/>
        </w:numPr>
        <w:tabs>
          <w:tab w:val="right" w:pos="-270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Таблиците по-долу показват анализа на кредитното качество на портфейла от заеми на механизма към 31 декември 2019 г. и към 31 декември 2018 г. от приложенията за класификация на заеми, въз основа на подписаните експозиции (изплатени и неизплатени):</w:t>
      </w:r>
    </w:p>
    <w:p>
      <w:pPr>
        <w:numPr>
          <w:ilvl w:val="0"/>
          <w:numId w:val="67"/>
        </w:numPr>
        <w:tabs>
          <w:tab w:val="right" w:pos="-2700"/>
        </w:tabs>
        <w:suppressAutoHyphens/>
        <w:spacing w:before="60" w:after="60"/>
        <w:ind w:left="0" w:firstLine="0"/>
        <w:jc w:val="both"/>
        <w:rPr>
          <w:rFonts w:ascii="Arial" w:hAnsi="Arial"/>
          <w:noProof/>
          <w:sz w:val="16"/>
          <w:szCs w:val="16"/>
          <w:lang w:val="bg-BG" w:eastAsia="ar-SA"/>
        </w:rPr>
      </w:pPr>
      <w:r>
        <w:rPr>
          <w:rFonts w:ascii="Arial" w:hAnsi="Arial"/>
          <w:b/>
          <w:noProof/>
          <w:sz w:val="20"/>
          <w:lang w:val="bg-BG" w:eastAsia="ar-SA"/>
        </w:rPr>
        <w:t xml:space="preserve"> </w:t>
      </w:r>
    </w:p>
    <w:tbl>
      <w:tblPr>
        <w:tblStyle w:val="CDMRange12"/>
        <w:tblW w:w="9975" w:type="dxa"/>
        <w:tblLayout w:type="fixed"/>
        <w:tblLook w:val="0600" w:firstRow="0" w:lastRow="0" w:firstColumn="0" w:lastColumn="0" w:noHBand="1" w:noVBand="1"/>
      </w:tblPr>
      <w:tblGrid>
        <w:gridCol w:w="1275"/>
        <w:gridCol w:w="1350"/>
        <w:gridCol w:w="1050"/>
        <w:gridCol w:w="1050"/>
        <w:gridCol w:w="1050"/>
        <w:gridCol w:w="1050"/>
        <w:gridCol w:w="1050"/>
        <w:gridCol w:w="1050"/>
        <w:gridCol w:w="1050"/>
      </w:tblGrid>
      <w:tr>
        <w:trPr>
          <w:trHeight w:val="290"/>
        </w:trPr>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31.12.2019 г.</w:t>
            </w: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Висок рейтинг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Стандартен рейтинг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Приемлив минимум риск</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Висок риск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Без рейтинг*</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от общото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350" w:type="dxa"/>
            <w:tcBorders>
              <w:top w:val="nil"/>
              <w:left w:val="nil"/>
              <w:bottom w:val="nil"/>
              <w:right w:val="nil"/>
              <w:tl2br w:val="nil"/>
              <w:tr2bl w:val="nil"/>
            </w:tcBorders>
            <w:shd w:val="clear" w:color="auto" w:fill="auto"/>
            <w:noWrap/>
            <w:tcMar>
              <w:left w:w="0" w:type="dxa"/>
              <w:right w:w="0" w:type="dxa"/>
            </w:tcMar>
            <w:vAlign w:val="center"/>
          </w:tcPr>
          <w:p>
            <w:pPr>
              <w:jc w:val="center"/>
              <w:rPr>
                <w:rFonts w:ascii="Arial" w:eastAsia="Arial" w:hAnsi="Arial" w:cs="Arial"/>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27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3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A до B-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C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D+ </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D- и по-нисък</w:t>
            </w: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Заемополучател</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Банки</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234,072</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219,467</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335,841</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817,894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1,607,274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Предприятия</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100,115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49,458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524,532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95,925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770,030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val="restar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Публични институции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26,908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28,594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Държави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6,285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422,057</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432,828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rPr>
                <w:rFonts w:ascii="Arial" w:eastAsia="Arial" w:hAnsi="Arial" w:cs="Arial"/>
                <w:b/>
                <w:noProof/>
                <w:color w:val="000000"/>
                <w:sz w:val="16"/>
                <w:lang w:val="bg-BG"/>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334,187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302,118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340,327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1,764,483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97,611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2,838,726</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4725" w:type="dxa"/>
            <w:gridSpan w:val="4"/>
            <w:tcBorders>
              <w:top w:val="nil"/>
              <w:left w:val="nil"/>
              <w:bottom w:val="nil"/>
              <w:right w:val="nil"/>
              <w:tl2br w:val="nil"/>
              <w:tr2bl w:val="nil"/>
            </w:tcBorders>
            <w:shd w:val="clear" w:color="auto" w:fill="auto"/>
            <w:noWrap/>
            <w:tcMar>
              <w:left w:w="0" w:type="dxa"/>
              <w:right w:w="0" w:type="dxa"/>
            </w:tcMar>
          </w:tcPr>
          <w:p>
            <w:pPr>
              <w:rPr>
                <w:rFonts w:ascii="Arial" w:eastAsia="Arial" w:hAnsi="Arial" w:cs="Arial"/>
                <w:noProof/>
                <w:color w:val="000000"/>
                <w:sz w:val="20"/>
                <w:lang w:val="bg-BG"/>
              </w:rPr>
            </w:pPr>
            <w:r>
              <w:rPr>
                <w:rFonts w:ascii="Arial" w:hAnsi="Arial"/>
                <w:noProof/>
                <w:color w:val="000000"/>
                <w:sz w:val="16"/>
                <w:lang w:val="bg-BG"/>
              </w:rPr>
              <w:t>* Операции по заеми, оценени по FVTPL</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4725" w:type="dxa"/>
            <w:gridSpan w:val="4"/>
            <w:tcBorders>
              <w:top w:val="nil"/>
              <w:left w:val="nil"/>
              <w:bottom w:val="single" w:sz="4" w:space="0" w:color="000000"/>
              <w:right w:val="nil"/>
              <w:tl2br w:val="nil"/>
              <w:tr2bl w:val="nil"/>
            </w:tcBorders>
            <w:shd w:val="clear" w:color="auto" w:fill="auto"/>
            <w:noWrap/>
            <w:tcMar>
              <w:left w:w="0" w:type="dxa"/>
              <w:right w:w="0" w:type="dxa"/>
            </w:tcMar>
          </w:tcPr>
          <w:p>
            <w:pPr>
              <w:rPr>
                <w:rFonts w:ascii="Arial" w:eastAsia="Arial" w:hAnsi="Arial" w:cs="Arial"/>
                <w:noProof/>
                <w:color w:val="000000"/>
                <w:sz w:val="16"/>
                <w:lang w:val="bg-BG"/>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31.12.2018 г.</w:t>
            </w: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Висок рейтинг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Стандартен рейтинг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Приемлив минимум риск</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Висок риск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Без рейтинг</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от общото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350" w:type="dxa"/>
            <w:tcBorders>
              <w:top w:val="nil"/>
              <w:left w:val="nil"/>
              <w:bottom w:val="nil"/>
              <w:right w:val="nil"/>
              <w:tl2br w:val="nil"/>
              <w:tr2bl w:val="nil"/>
            </w:tcBorders>
            <w:shd w:val="clear" w:color="auto" w:fill="auto"/>
            <w:noWrap/>
            <w:tcMar>
              <w:left w:w="0" w:type="dxa"/>
              <w:right w:w="0" w:type="dxa"/>
            </w:tcMar>
            <w:vAlign w:val="center"/>
          </w:tcPr>
          <w:p>
            <w:pPr>
              <w:jc w:val="center"/>
              <w:rPr>
                <w:rFonts w:ascii="Arial" w:eastAsia="Arial" w:hAnsi="Arial" w:cs="Arial"/>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27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3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A до B-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C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D+ </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D- и по-нисък</w:t>
            </w: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jc w:val="right"/>
              <w:rPr>
                <w:rFonts w:ascii="Arial" w:eastAsia="Arial" w:hAnsi="Arial" w:cs="Arial"/>
                <w:b/>
                <w:noProof/>
                <w:color w:val="000000"/>
                <w:sz w:val="16"/>
                <w:lang w:val="bg-BG"/>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Заемополучател</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Банки</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232,467</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238,619</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349,756</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698,562</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1,519,404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Предприятия</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103,845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7,564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744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693,100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50,000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855,253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val="restart"/>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Публични институции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29,182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2,994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32,176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noProof/>
                <w:color w:val="000000"/>
                <w:sz w:val="16"/>
                <w:lang w:val="bg-BG"/>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Държави</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4,786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7,681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381,801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394,268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rPr>
                <w:rFonts w:ascii="Arial" w:eastAsia="Arial" w:hAnsi="Arial" w:cs="Arial"/>
                <w:b/>
                <w:noProof/>
                <w:color w:val="000000"/>
                <w:sz w:val="16"/>
                <w:lang w:val="bg-BG"/>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336,312</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250,969</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387,363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1,776,457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50,000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2,801,101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675" w:type="dxa"/>
            <w:gridSpan w:val="3"/>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rPr>
                <w:rFonts w:ascii="Calibri" w:eastAsia="Calibri" w:hAnsi="Calibri" w:cs="Calibri"/>
                <w:noProof/>
                <w:color w:val="000000"/>
                <w:sz w:val="22"/>
                <w:lang w:val="bg-BG"/>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rPr>
                <w:rFonts w:ascii="Calibri" w:eastAsia="Calibri" w:hAnsi="Calibri" w:cs="Calibri"/>
                <w:noProof/>
                <w:color w:val="000000"/>
                <w:sz w:val="22"/>
                <w:lang w:val="bg-BG"/>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rPr>
                <w:rFonts w:ascii="Calibri" w:eastAsia="Calibri" w:hAnsi="Calibri" w:cs="Calibri"/>
                <w:noProof/>
                <w:color w:val="000000"/>
                <w:sz w:val="22"/>
                <w:lang w:val="bg-BG"/>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rPr>
                <w:rFonts w:ascii="Calibri" w:eastAsia="Calibri" w:hAnsi="Calibri" w:cs="Calibri"/>
                <w:noProof/>
                <w:color w:val="000000"/>
                <w:sz w:val="22"/>
                <w:lang w:val="bg-BG"/>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rPr>
                <w:rFonts w:ascii="Calibri" w:eastAsia="Calibri" w:hAnsi="Calibri" w:cs="Calibri"/>
                <w:noProof/>
                <w:color w:val="000000"/>
                <w:sz w:val="22"/>
                <w:lang w:val="bg-BG"/>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rPr>
                <w:rFonts w:ascii="Calibri" w:eastAsia="Calibri" w:hAnsi="Calibri" w:cs="Calibri"/>
                <w:noProof/>
                <w:color w:val="000000"/>
                <w:sz w:val="22"/>
                <w:lang w:val="bg-BG"/>
              </w:rPr>
            </w:pPr>
          </w:p>
        </w:tc>
      </w:tr>
    </w:tbl>
    <w:p>
      <w:pPr>
        <w:pageBreakBefore/>
        <w:numPr>
          <w:ilvl w:val="3"/>
          <w:numId w:val="68"/>
        </w:numPr>
        <w:tabs>
          <w:tab w:val="right" w:pos="-2700"/>
          <w:tab w:val="right" w:pos="720"/>
        </w:tabs>
        <w:suppressAutoHyphens/>
        <w:spacing w:before="60"/>
        <w:ind w:left="794" w:hanging="794"/>
        <w:jc w:val="both"/>
        <w:rPr>
          <w:rFonts w:ascii="Arial" w:hAnsi="Arial"/>
          <w:b/>
          <w:bCs/>
          <w:noProof/>
          <w:sz w:val="16"/>
          <w:szCs w:val="16"/>
          <w:lang w:val="bg-BG" w:eastAsia="ar-SA"/>
        </w:rPr>
      </w:pPr>
      <w:r>
        <w:rPr>
          <w:rFonts w:ascii="Arial" w:hAnsi="Arial"/>
          <w:b/>
          <w:noProof/>
          <w:sz w:val="16"/>
          <w:szCs w:val="16"/>
          <w:lang w:val="bg-BG" w:eastAsia="ar-SA"/>
        </w:rPr>
        <w:t>Концентрации на риска за заеми и аванси</w:t>
      </w:r>
    </w:p>
    <w:p>
      <w:pPr>
        <w:numPr>
          <w:ilvl w:val="0"/>
          <w:numId w:val="69"/>
        </w:numPr>
        <w:tabs>
          <w:tab w:val="right" w:pos="-2700"/>
          <w:tab w:val="right" w:pos="720"/>
        </w:tabs>
        <w:suppressAutoHyphens/>
        <w:spacing w:after="60"/>
        <w:ind w:left="0" w:firstLine="0"/>
        <w:jc w:val="both"/>
        <w:rPr>
          <w:rFonts w:ascii="Arial" w:hAnsi="Arial"/>
          <w:b/>
          <w:bCs/>
          <w:noProof/>
          <w:sz w:val="16"/>
          <w:szCs w:val="16"/>
          <w:lang w:val="bg-BG" w:eastAsia="ar-SA"/>
        </w:rPr>
      </w:pPr>
    </w:p>
    <w:p>
      <w:pPr>
        <w:numPr>
          <w:ilvl w:val="4"/>
          <w:numId w:val="68"/>
        </w:numPr>
        <w:tabs>
          <w:tab w:val="right" w:pos="-2700"/>
          <w:tab w:val="left" w:pos="993"/>
        </w:tabs>
        <w:suppressAutoHyphens/>
        <w:spacing w:before="60"/>
        <w:ind w:left="1077" w:hanging="1077"/>
        <w:jc w:val="both"/>
        <w:rPr>
          <w:rFonts w:ascii="Arial" w:hAnsi="Arial"/>
          <w:b/>
          <w:noProof/>
          <w:sz w:val="16"/>
          <w:szCs w:val="16"/>
          <w:lang w:val="bg-BG" w:eastAsia="ar-SA"/>
        </w:rPr>
      </w:pPr>
      <w:r>
        <w:rPr>
          <w:rFonts w:ascii="Arial" w:hAnsi="Arial"/>
          <w:b/>
          <w:noProof/>
          <w:sz w:val="16"/>
          <w:szCs w:val="16"/>
          <w:lang w:val="bg-BG" w:eastAsia="ar-SA"/>
        </w:rPr>
        <w:t>Географски анализ</w:t>
      </w:r>
    </w:p>
    <w:p>
      <w:pPr>
        <w:numPr>
          <w:ilvl w:val="0"/>
          <w:numId w:val="69"/>
        </w:numPr>
        <w:tabs>
          <w:tab w:val="right" w:pos="-2700"/>
        </w:tabs>
        <w:suppressAutoHyphens/>
        <w:spacing w:after="60"/>
        <w:ind w:left="0" w:firstLine="0"/>
        <w:jc w:val="both"/>
        <w:rPr>
          <w:rFonts w:ascii="Arial" w:hAnsi="Arial"/>
          <w:noProof/>
          <w:sz w:val="16"/>
          <w:szCs w:val="16"/>
          <w:lang w:eastAsia="ar-SA"/>
        </w:rPr>
      </w:pPr>
    </w:p>
    <w:p>
      <w:pPr>
        <w:numPr>
          <w:ilvl w:val="0"/>
          <w:numId w:val="69"/>
        </w:numPr>
        <w:tabs>
          <w:tab w:val="right" w:pos="-270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Въз основа на държавата на заемополучателя портфейлът от заеми на механизма може да бъде анализиран от следните географски региони (в хиляди евро):</w:t>
      </w:r>
    </w:p>
    <w:p>
      <w:pPr>
        <w:numPr>
          <w:ilvl w:val="0"/>
          <w:numId w:val="69"/>
        </w:numPr>
        <w:tabs>
          <w:tab w:val="right" w:pos="-2700"/>
        </w:tabs>
        <w:suppressAutoHyphens/>
        <w:spacing w:before="60" w:after="60"/>
        <w:ind w:left="0" w:firstLine="0"/>
        <w:jc w:val="both"/>
        <w:rPr>
          <w:rFonts w:ascii="Arial" w:hAnsi="Arial"/>
          <w:noProof/>
          <w:sz w:val="16"/>
          <w:szCs w:val="16"/>
          <w:lang w:val="bg-BG" w:eastAsia="ar-SA"/>
        </w:rPr>
      </w:pPr>
      <w:r>
        <w:rPr>
          <w:rFonts w:ascii="Arial" w:hAnsi="Arial"/>
          <w:b/>
          <w:noProof/>
          <w:sz w:val="20"/>
          <w:lang w:val="bg-BG" w:eastAsia="ar-SA"/>
        </w:rPr>
        <w:t xml:space="preserve"> </w:t>
      </w:r>
    </w:p>
    <w:tbl>
      <w:tblPr>
        <w:tblStyle w:val="CDMRange22"/>
        <w:tblW w:w="9975" w:type="dxa"/>
        <w:tblLayout w:type="fixed"/>
        <w:tblLook w:val="0600" w:firstRow="0" w:lastRow="0" w:firstColumn="0" w:lastColumn="0" w:noHBand="1" w:noVBand="1"/>
      </w:tblPr>
      <w:tblGrid>
        <w:gridCol w:w="6975"/>
        <w:gridCol w:w="1500"/>
        <w:gridCol w:w="1500"/>
      </w:tblGrid>
      <w:tr>
        <w:trPr>
          <w:trHeight w:val="29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Държава на заемополучателя</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Кения</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230,837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233,269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Нигерия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179,499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172,515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Египет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101,316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74,431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Танзания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96,640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124,718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Мавриций</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96,014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133,132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Барбадос</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75,342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74,638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Конго (Демократична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66,754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Уганда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64,882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81,766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Етиопия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62,005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55,215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Мавритания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49,139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50,727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Руанда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48,839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28,704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Доминиканска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45,393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54,326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Нова Каледония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43,980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21,124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Замбия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17,700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Сeнeгaл</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42,750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18,330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Ямайка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33,436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Камерун</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32,238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14,784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Гана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31,635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39,246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Малави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21,800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26,827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Гвинея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20,399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Ангола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20,651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Того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18,022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30,634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Кабо Верде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17,226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18,923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Регион — АКТБ</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24,335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Мозамбик</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12,709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14,719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Френска Полинезия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12,556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17,453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Кайманови острови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12,203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13,213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Нигер</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Мали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4,767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Сейшелски острови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4,201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4,786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Хаити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4,748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Самоа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Буркина Фасо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Вануату</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Ботсуана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Палау</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Микронезия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Бенин</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Либерия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Южна Африка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1,518,675</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1,540,991</w:t>
            </w:r>
          </w:p>
        </w:tc>
      </w:tr>
    </w:tbl>
    <w:p>
      <w:pPr>
        <w:pageBreakBefore/>
        <w:numPr>
          <w:ilvl w:val="4"/>
          <w:numId w:val="70"/>
        </w:numPr>
        <w:tabs>
          <w:tab w:val="right" w:pos="-2700"/>
          <w:tab w:val="left" w:pos="993"/>
        </w:tabs>
        <w:suppressAutoHyphens/>
        <w:spacing w:before="60"/>
        <w:ind w:left="1168" w:hanging="1168"/>
        <w:jc w:val="both"/>
        <w:rPr>
          <w:rFonts w:ascii="Arial" w:hAnsi="Arial"/>
          <w:b/>
          <w:noProof/>
          <w:sz w:val="16"/>
          <w:szCs w:val="16"/>
          <w:lang w:val="bg-BG" w:eastAsia="ar-SA"/>
        </w:rPr>
      </w:pPr>
      <w:r>
        <w:rPr>
          <w:rFonts w:ascii="Arial" w:hAnsi="Arial"/>
          <w:b/>
          <w:noProof/>
          <w:sz w:val="16"/>
          <w:szCs w:val="16"/>
          <w:lang w:val="bg-BG" w:eastAsia="ar-SA"/>
        </w:rPr>
        <w:t>Анализ по отрасли</w:t>
      </w:r>
    </w:p>
    <w:p>
      <w:pPr>
        <w:numPr>
          <w:ilvl w:val="0"/>
          <w:numId w:val="71"/>
        </w:numPr>
        <w:tabs>
          <w:tab w:val="right" w:pos="-2700"/>
          <w:tab w:val="left" w:pos="993"/>
        </w:tabs>
        <w:suppressAutoHyphens/>
        <w:spacing w:after="60"/>
        <w:ind w:left="0" w:firstLine="0"/>
        <w:jc w:val="both"/>
        <w:rPr>
          <w:rFonts w:ascii="Arial" w:hAnsi="Arial"/>
          <w:noProof/>
          <w:sz w:val="16"/>
          <w:szCs w:val="16"/>
          <w:lang w:eastAsia="ar-SA"/>
        </w:rPr>
      </w:pPr>
    </w:p>
    <w:p>
      <w:pPr>
        <w:spacing w:before="60" w:after="60"/>
        <w:jc w:val="both"/>
        <w:rPr>
          <w:rFonts w:ascii="Arial" w:hAnsi="Arial"/>
          <w:noProof/>
          <w:sz w:val="16"/>
          <w:szCs w:val="16"/>
          <w:lang w:val="bg-BG"/>
        </w:rPr>
      </w:pPr>
      <w:r>
        <w:rPr>
          <w:rFonts w:ascii="Arial" w:hAnsi="Arial"/>
          <w:noProof/>
          <w:sz w:val="16"/>
          <w:szCs w:val="16"/>
          <w:lang w:val="bg-BG"/>
        </w:rPr>
        <w:t>В таблицата по-долу се прави анализ на портфейла от заеми на механизма по отрасли на заемополучателя. Операциите, които са отпуснати първо на финансов посредник, преди да бъдат отпуснати на крайния бенефициер, са записани като „Третичен сектор и други“ (в хиляди евро):</w:t>
      </w:r>
    </w:p>
    <w:p>
      <w:pPr>
        <w:spacing w:before="60" w:after="60"/>
        <w:jc w:val="both"/>
        <w:rPr>
          <w:rFonts w:ascii="Arial" w:hAnsi="Arial" w:cs="Arial"/>
          <w:noProof/>
          <w:sz w:val="16"/>
          <w:szCs w:val="16"/>
          <w:lang w:val="bg-BG"/>
        </w:rPr>
      </w:pPr>
      <w:r>
        <w:rPr>
          <w:noProof/>
          <w:lang w:val="bg-BG"/>
        </w:rPr>
        <w:t xml:space="preserve"> </w:t>
      </w:r>
    </w:p>
    <w:tbl>
      <w:tblPr>
        <w:tblStyle w:val="CDMRange13"/>
        <w:tblW w:w="9975" w:type="dxa"/>
        <w:tblLayout w:type="fixed"/>
        <w:tblLook w:val="0600" w:firstRow="0" w:lastRow="0" w:firstColumn="0" w:lastColumn="0" w:noHBand="1" w:noVBand="1"/>
      </w:tblPr>
      <w:tblGrid>
        <w:gridCol w:w="6975"/>
        <w:gridCol w:w="1500"/>
        <w:gridCol w:w="1500"/>
      </w:tblGrid>
      <w:tr>
        <w:trPr>
          <w:trHeight w:val="29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Отрасъл на заемополучателя</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Третичен сектор и други</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932,901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957,602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Електричество, въглища и 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226,314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181,317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Градско развитие, реновации и транспорт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195,042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192,400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Химикали, пластмаси и фармацевтични продукти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51,865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20,436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Суровини и минно дело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44,746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45,820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Летища и системи за управление на въздушния трафик</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26,908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29,182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Телекомуникации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21,546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26,095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Верига за производство на храни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15,386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Събиране на отпадъци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Инвестиционни стоки, дълготрайни потребителски стоки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4,186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Обработване на материали, строителство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33,144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Пътища и магистрали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32,043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Социална инфраструктура, образование и здравеопазване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1,518,675</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1,540,991</w:t>
            </w:r>
          </w:p>
        </w:tc>
      </w:tr>
    </w:tbl>
    <w:p>
      <w:pPr>
        <w:spacing w:after="200" w:line="276" w:lineRule="auto"/>
        <w:rPr>
          <w:rFonts w:ascii="Calibri" w:eastAsia="Calibri" w:hAnsi="Calibri" w:cs="Arial"/>
          <w:noProof/>
          <w:sz w:val="22"/>
          <w:szCs w:val="22"/>
          <w:lang w:val="bg-BG" w:eastAsia="en-US"/>
        </w:rPr>
      </w:pPr>
    </w:p>
    <w:p>
      <w:pPr>
        <w:rPr>
          <w:rFonts w:ascii="Arial" w:hAnsi="Arial"/>
          <w:b/>
          <w:bCs/>
          <w:noProof/>
          <w:sz w:val="16"/>
          <w:szCs w:val="16"/>
          <w:lang w:val="bg-BG"/>
        </w:rPr>
      </w:pPr>
    </w:p>
    <w:p>
      <w:pPr>
        <w:pageBreakBefore/>
        <w:numPr>
          <w:ilvl w:val="3"/>
          <w:numId w:val="68"/>
        </w:numPr>
        <w:tabs>
          <w:tab w:val="right" w:pos="-2700"/>
          <w:tab w:val="right" w:pos="720"/>
        </w:tabs>
        <w:suppressAutoHyphens/>
        <w:spacing w:before="60"/>
        <w:ind w:left="794" w:hanging="794"/>
        <w:jc w:val="both"/>
        <w:rPr>
          <w:rFonts w:ascii="Arial" w:hAnsi="Arial"/>
          <w:b/>
          <w:noProof/>
          <w:sz w:val="16"/>
          <w:szCs w:val="16"/>
          <w:lang w:val="bg-BG" w:eastAsia="ar-SA"/>
        </w:rPr>
      </w:pPr>
      <w:r>
        <w:rPr>
          <w:rFonts w:ascii="Arial" w:hAnsi="Arial"/>
          <w:b/>
          <w:noProof/>
          <w:sz w:val="16"/>
          <w:szCs w:val="16"/>
          <w:lang w:val="bg-BG" w:eastAsia="ar-SA"/>
        </w:rPr>
        <w:t>Експозиция към кредитен риск за всеки вътрешен рисков рейтинг</w:t>
      </w:r>
    </w:p>
    <w:p>
      <w:pPr>
        <w:spacing w:after="60" w:line="276" w:lineRule="auto"/>
        <w:contextualSpacing/>
        <w:jc w:val="both"/>
        <w:rPr>
          <w:rFonts w:ascii="Arial" w:eastAsia="Calibri" w:hAnsi="Arial" w:cs="Arial"/>
          <w:noProof/>
          <w:sz w:val="16"/>
          <w:szCs w:val="16"/>
          <w:bdr w:val="none" w:sz="0" w:space="0" w:color="auto" w:frame="1"/>
          <w:lang w:val="bg-BG" w:eastAsia="en-US"/>
        </w:rPr>
      </w:pPr>
    </w:p>
    <w:p>
      <w:pPr>
        <w:spacing w:after="60"/>
        <w:jc w:val="both"/>
        <w:rPr>
          <w:rFonts w:ascii="Arial" w:hAnsi="Arial"/>
          <w:noProof/>
          <w:sz w:val="16"/>
          <w:szCs w:val="16"/>
          <w:lang w:val="bg-BG"/>
        </w:rPr>
      </w:pPr>
      <w:r>
        <w:rPr>
          <w:rFonts w:ascii="Arial" w:hAnsi="Arial"/>
          <w:noProof/>
          <w:sz w:val="16"/>
          <w:szCs w:val="16"/>
          <w:lang w:val="bg-BG"/>
        </w:rPr>
        <w:t>Механизмът използва вътрешна рейтингова методика в съответствие с подхода, основан на вътрешния рейтинг, в рамките на Базел III. По-голямата част от контрагентите на механизма са получили вътрешен рейтинг съгласно тази методика. Таблицата по-долу показва разбивка на портфейла от заеми на механизма по степен на вътрешните рейтинги на заемополучателя или на гаранта, когато има такива. В случаите, когато липсва вътрешен рейтинг, за този анализ е използван външният рейтинг.</w:t>
      </w:r>
    </w:p>
    <w:p>
      <w:pPr>
        <w:spacing w:after="60"/>
        <w:jc w:val="both"/>
        <w:rPr>
          <w:rFonts w:ascii="Arial" w:hAnsi="Arial"/>
          <w:noProof/>
          <w:sz w:val="16"/>
          <w:szCs w:val="16"/>
          <w:bdr w:val="none" w:sz="0" w:space="0" w:color="auto" w:frame="1"/>
          <w:lang w:val="bg-BG"/>
        </w:rPr>
      </w:pPr>
    </w:p>
    <w:tbl>
      <w:tblPr>
        <w:tblStyle w:val="CDMRange23"/>
        <w:tblpPr w:leftFromText="180" w:rightFromText="180" w:vertAnchor="text" w:horzAnchor="margin" w:tblpY="516"/>
        <w:tblW w:w="5000" w:type="pct"/>
        <w:tblLayout w:type="fixed"/>
        <w:tblLook w:val="0600" w:firstRow="0" w:lastRow="0" w:firstColumn="0" w:lastColumn="0" w:noHBand="1" w:noVBand="1"/>
      </w:tblPr>
      <w:tblGrid>
        <w:gridCol w:w="2832"/>
        <w:gridCol w:w="974"/>
        <w:gridCol w:w="960"/>
        <w:gridCol w:w="1096"/>
        <w:gridCol w:w="960"/>
        <w:gridCol w:w="960"/>
        <w:gridCol w:w="960"/>
        <w:gridCol w:w="937"/>
      </w:tblGrid>
      <w:tr>
        <w:trPr>
          <w:trHeight w:hRule="exact" w:val="113"/>
        </w:trPr>
        <w:tc>
          <w:tcPr>
            <w:tcW w:w="1463" w:type="pct"/>
            <w:tcBorders>
              <w:left w:val="nil"/>
              <w:right w:val="nil"/>
              <w:tl2br w:val="nil"/>
              <w:tr2bl w:val="nil"/>
            </w:tcBorders>
            <w:shd w:val="clear" w:color="auto" w:fill="auto"/>
            <w:noWrap/>
            <w:tcMar>
              <w:left w:w="0" w:type="dxa"/>
              <w:right w:w="0" w:type="dxa"/>
            </w:tcMar>
            <w:vAlign w:val="bottom"/>
          </w:tcPr>
          <w:p>
            <w:pPr>
              <w:spacing w:after="120" w:line="276" w:lineRule="auto"/>
              <w:contextualSpacing/>
              <w:jc w:val="both"/>
              <w:rPr>
                <w:rFonts w:ascii="Arial" w:eastAsia="Calibri" w:hAnsi="Arial" w:cs="Arial"/>
                <w:noProof/>
                <w:sz w:val="16"/>
                <w:szCs w:val="16"/>
                <w:bdr w:val="none" w:sz="0" w:space="0" w:color="auto" w:frame="1"/>
                <w:lang w:val="bg-BG" w:eastAsia="en-US"/>
              </w:rPr>
            </w:pPr>
          </w:p>
        </w:tc>
        <w:tc>
          <w:tcPr>
            <w:tcW w:w="503" w:type="pct"/>
            <w:tcBorders>
              <w:left w:val="nil"/>
              <w:right w:val="nil"/>
              <w:tl2br w:val="nil"/>
              <w:tr2bl w:val="nil"/>
            </w:tcBorders>
            <w:shd w:val="clear" w:color="auto" w:fill="auto"/>
            <w:noWrap/>
            <w:tcMar>
              <w:left w:w="0" w:type="dxa"/>
              <w:right w:w="0" w:type="dxa"/>
            </w:tcMar>
            <w:vAlign w:val="bottom"/>
          </w:tcPr>
          <w:p>
            <w:pPr>
              <w:spacing w:after="120" w:line="276" w:lineRule="auto"/>
              <w:contextualSpacing/>
              <w:jc w:val="both"/>
              <w:rPr>
                <w:rFonts w:ascii="Arial" w:eastAsia="Calibri" w:hAnsi="Arial" w:cs="Arial"/>
                <w:b/>
                <w:noProof/>
                <w:sz w:val="16"/>
                <w:szCs w:val="16"/>
                <w:bdr w:val="none" w:sz="0" w:space="0" w:color="auto" w:frame="1"/>
                <w:lang w:val="bg-BG" w:eastAsia="en-US"/>
              </w:rPr>
            </w:pPr>
          </w:p>
        </w:tc>
        <w:tc>
          <w:tcPr>
            <w:tcW w:w="3034" w:type="pct"/>
            <w:gridSpan w:val="6"/>
            <w:tcBorders>
              <w:left w:val="nil"/>
              <w:bottom w:val="single" w:sz="4" w:space="0" w:color="000000"/>
              <w:right w:val="nil"/>
              <w:tl2br w:val="nil"/>
              <w:tr2bl w:val="nil"/>
            </w:tcBorders>
            <w:shd w:val="clear" w:color="auto" w:fill="auto"/>
            <w:noWrap/>
            <w:tcMar>
              <w:left w:w="40" w:type="dxa"/>
              <w:right w:w="40" w:type="dxa"/>
            </w:tcMar>
            <w:vAlign w:val="bottom"/>
          </w:tcPr>
          <w:p>
            <w:pPr>
              <w:spacing w:line="276" w:lineRule="auto"/>
              <w:contextualSpacing/>
              <w:jc w:val="center"/>
              <w:rPr>
                <w:rFonts w:ascii="Arial" w:eastAsia="Calibri" w:hAnsi="Arial" w:cs="Arial"/>
                <w:b/>
                <w:noProof/>
                <w:sz w:val="16"/>
                <w:szCs w:val="16"/>
                <w:bdr w:val="none" w:sz="0" w:space="0" w:color="auto" w:frame="1"/>
                <w:lang w:val="bg-BG" w:eastAsia="en-US"/>
              </w:rPr>
            </w:pPr>
          </w:p>
        </w:tc>
      </w:tr>
      <w:tr>
        <w:trPr>
          <w:trHeight w:hRule="exact" w:val="290"/>
        </w:trPr>
        <w:tc>
          <w:tcPr>
            <w:tcW w:w="1463" w:type="pct"/>
            <w:tcBorders>
              <w:left w:val="nil"/>
              <w:bottom w:val="single" w:sz="4" w:space="0" w:color="000000"/>
              <w:right w:val="nil"/>
              <w:tl2br w:val="nil"/>
              <w:tr2bl w:val="nil"/>
            </w:tcBorders>
            <w:shd w:val="clear" w:color="auto" w:fill="auto"/>
            <w:noWrap/>
            <w:tcMar>
              <w:left w:w="0" w:type="dxa"/>
              <w:right w:w="0" w:type="dxa"/>
            </w:tcMar>
            <w:vAlign w:val="bottom"/>
          </w:tcPr>
          <w:p>
            <w:pPr>
              <w:spacing w:after="120" w:line="276" w:lineRule="auto"/>
              <w:contextualSpacing/>
              <w:jc w:val="both"/>
              <w:rPr>
                <w:rFonts w:ascii="Arial" w:eastAsia="Calibri" w:hAnsi="Arial" w:cs="Arial"/>
                <w:noProof/>
                <w:sz w:val="16"/>
                <w:szCs w:val="16"/>
                <w:bdr w:val="none" w:sz="0" w:space="0" w:color="auto" w:frame="1"/>
                <w:lang w:val="bg-BG" w:eastAsia="en-US"/>
              </w:rPr>
            </w:pPr>
          </w:p>
        </w:tc>
        <w:tc>
          <w:tcPr>
            <w:tcW w:w="503" w:type="pct"/>
            <w:tcBorders>
              <w:left w:val="nil"/>
              <w:bottom w:val="single" w:sz="4" w:space="0" w:color="000000"/>
              <w:right w:val="nil"/>
              <w:tl2br w:val="nil"/>
              <w:tr2bl w:val="nil"/>
            </w:tcBorders>
            <w:shd w:val="clear" w:color="auto" w:fill="auto"/>
            <w:noWrap/>
            <w:tcMar>
              <w:left w:w="0" w:type="dxa"/>
              <w:right w:w="0" w:type="dxa"/>
            </w:tcMar>
            <w:vAlign w:val="bottom"/>
          </w:tcPr>
          <w:p>
            <w:pPr>
              <w:spacing w:after="120" w:line="276" w:lineRule="auto"/>
              <w:contextualSpacing/>
              <w:jc w:val="both"/>
              <w:rPr>
                <w:rFonts w:ascii="Arial" w:eastAsia="Calibri" w:hAnsi="Arial" w:cs="Arial"/>
                <w:b/>
                <w:noProof/>
                <w:sz w:val="16"/>
                <w:szCs w:val="16"/>
                <w:bdr w:val="none" w:sz="0" w:space="0" w:color="auto" w:frame="1"/>
                <w:lang w:val="bg-BG" w:eastAsia="en-US"/>
              </w:rPr>
            </w:pPr>
          </w:p>
        </w:tc>
        <w:tc>
          <w:tcPr>
            <w:tcW w:w="3034" w:type="pct"/>
            <w:gridSpan w:val="6"/>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spacing w:line="276" w:lineRule="auto"/>
              <w:contextualSpacing/>
              <w:jc w:val="center"/>
              <w:rPr>
                <w:rFonts w:ascii="Arial" w:eastAsia="Calibri" w:hAnsi="Arial" w:cs="Arial"/>
                <w:b/>
                <w:noProof/>
                <w:sz w:val="16"/>
                <w:szCs w:val="16"/>
                <w:bdr w:val="none" w:sz="0" w:space="0" w:color="auto" w:frame="1"/>
                <w:lang w:val="bg-BG" w:eastAsia="en-US"/>
              </w:rPr>
            </w:pPr>
            <w:r>
              <w:rPr>
                <w:rFonts w:ascii="Arial" w:eastAsia="Calibri" w:hAnsi="Arial" w:cs="Arial"/>
                <w:b/>
                <w:noProof/>
                <w:sz w:val="16"/>
                <w:szCs w:val="16"/>
                <w:bdr w:val="none" w:sz="0" w:space="0" w:color="auto" w:frame="1"/>
                <w:lang w:val="bg-BG" w:eastAsia="en-US"/>
              </w:rPr>
              <w:t>2019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after="120" w:line="276" w:lineRule="auto"/>
              <w:contextualSpacing/>
              <w:jc w:val="both"/>
              <w:rPr>
                <w:rFonts w:ascii="Arial" w:eastAsia="Calibri" w:hAnsi="Arial" w:cs="Arial"/>
                <w:b/>
                <w:noProof/>
                <w:sz w:val="16"/>
                <w:szCs w:val="16"/>
                <w:bdr w:val="none" w:sz="0" w:space="0" w:color="auto" w:frame="1"/>
                <w:lang w:val="bg-BG" w:eastAsia="en-US"/>
              </w:rPr>
            </w:pPr>
            <w:r>
              <w:rPr>
                <w:rFonts w:ascii="Arial" w:eastAsia="Calibri" w:hAnsi="Arial" w:cs="Arial"/>
                <w:b/>
                <w:noProof/>
                <w:sz w:val="16"/>
                <w:szCs w:val="16"/>
                <w:bdr w:val="none" w:sz="0" w:space="0" w:color="auto" w:frame="1"/>
                <w:lang w:val="bg-BG" w:eastAsia="en-US"/>
              </w:rPr>
              <w:t>В хиляди евро</w:t>
            </w:r>
          </w:p>
        </w:tc>
        <w:tc>
          <w:tcPr>
            <w:tcW w:w="50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spacing w:after="120" w:line="276" w:lineRule="auto"/>
              <w:contextualSpacing/>
              <w:jc w:val="both"/>
              <w:rPr>
                <w:rFonts w:ascii="Arial" w:eastAsia="Calibri" w:hAnsi="Arial" w:cs="Arial"/>
                <w:b/>
                <w:noProof/>
                <w:sz w:val="16"/>
                <w:szCs w:val="16"/>
                <w:bdr w:val="none" w:sz="0" w:space="0" w:color="auto" w:frame="1"/>
                <w:lang w:val="bg-BG" w:eastAsia="en-US"/>
              </w:rPr>
            </w:pPr>
            <w:r>
              <w:rPr>
                <w:rFonts w:ascii="Arial" w:eastAsia="Calibri" w:hAnsi="Arial" w:cs="Arial"/>
                <w:b/>
                <w:noProof/>
                <w:sz w:val="16"/>
                <w:szCs w:val="16"/>
                <w:bdr w:val="none" w:sz="0" w:space="0" w:color="auto" w:frame="1"/>
                <w:lang w:val="bg-BG" w:eastAsia="en-US"/>
              </w:rPr>
              <w:t xml:space="preserve">Еквивалент на рейтинг на Moody’s </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after="120" w:line="276" w:lineRule="auto"/>
              <w:contextualSpacing/>
              <w:jc w:val="right"/>
              <w:rPr>
                <w:rFonts w:ascii="Arial" w:eastAsia="Calibri" w:hAnsi="Arial" w:cs="Arial"/>
                <w:b/>
                <w:noProof/>
                <w:sz w:val="16"/>
                <w:szCs w:val="16"/>
                <w:bdr w:val="none" w:sz="0" w:space="0" w:color="auto" w:frame="1"/>
                <w:lang w:val="bg-BG" w:eastAsia="en-US"/>
              </w:rPr>
            </w:pPr>
            <w:r>
              <w:rPr>
                <w:rFonts w:ascii="Arial" w:eastAsia="Calibri" w:hAnsi="Arial" w:cs="Arial"/>
                <w:b/>
                <w:noProof/>
                <w:sz w:val="16"/>
                <w:szCs w:val="16"/>
                <w:bdr w:val="none" w:sz="0" w:space="0" w:color="auto" w:frame="1"/>
                <w:lang w:val="bg-BG" w:eastAsia="en-US"/>
              </w:rPr>
              <w:t>12-месечни ОКЗ</w:t>
            </w:r>
          </w:p>
        </w:tc>
        <w:tc>
          <w:tcPr>
            <w:tcW w:w="56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after="120" w:line="276" w:lineRule="auto"/>
              <w:contextualSpacing/>
              <w:jc w:val="right"/>
              <w:rPr>
                <w:rFonts w:ascii="Arial" w:eastAsia="Calibri" w:hAnsi="Arial" w:cs="Arial"/>
                <w:b/>
                <w:noProof/>
                <w:sz w:val="16"/>
                <w:szCs w:val="16"/>
                <w:bdr w:val="none" w:sz="0" w:space="0" w:color="auto" w:frame="1"/>
                <w:lang w:val="bg-BG" w:eastAsia="en-US"/>
              </w:rPr>
            </w:pPr>
            <w:r>
              <w:rPr>
                <w:rFonts w:ascii="Arial" w:eastAsia="Calibri" w:hAnsi="Arial" w:cs="Arial"/>
                <w:b/>
                <w:noProof/>
                <w:sz w:val="16"/>
                <w:szCs w:val="16"/>
                <w:bdr w:val="none" w:sz="0" w:space="0" w:color="auto" w:frame="1"/>
                <w:lang w:val="bg-BG" w:eastAsia="en-US"/>
              </w:rPr>
              <w:t>ОКЗ през целия жизнен цикъл без кредитна обезценка</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after="120" w:line="276" w:lineRule="auto"/>
              <w:contextualSpacing/>
              <w:jc w:val="right"/>
              <w:rPr>
                <w:rFonts w:ascii="Arial" w:eastAsia="Calibri" w:hAnsi="Arial" w:cs="Arial"/>
                <w:b/>
                <w:noProof/>
                <w:sz w:val="16"/>
                <w:szCs w:val="16"/>
                <w:bdr w:val="none" w:sz="0" w:space="0" w:color="auto" w:frame="1"/>
                <w:lang w:val="bg-BG" w:eastAsia="en-US"/>
              </w:rPr>
            </w:pPr>
            <w:r>
              <w:rPr>
                <w:rFonts w:ascii="Arial" w:eastAsia="Calibri" w:hAnsi="Arial" w:cs="Arial"/>
                <w:b/>
                <w:noProof/>
                <w:sz w:val="16"/>
                <w:szCs w:val="16"/>
                <w:bdr w:val="none" w:sz="0" w:space="0" w:color="auto" w:frame="1"/>
                <w:lang w:val="bg-BG" w:eastAsia="en-US"/>
              </w:rPr>
              <w:t>ОКЗ през целия жизнен цикъл с кредитна обезценка</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after="120" w:line="276" w:lineRule="auto"/>
              <w:contextualSpacing/>
              <w:jc w:val="right"/>
              <w:rPr>
                <w:rFonts w:ascii="Arial" w:eastAsia="Calibri" w:hAnsi="Arial" w:cs="Arial"/>
                <w:b/>
                <w:noProof/>
                <w:sz w:val="16"/>
                <w:szCs w:val="16"/>
                <w:bdr w:val="none" w:sz="0" w:space="0" w:color="auto" w:frame="1"/>
                <w:lang w:val="bg-BG" w:eastAsia="en-US"/>
              </w:rPr>
            </w:pPr>
            <w:r>
              <w:rPr>
                <w:rFonts w:ascii="Arial" w:eastAsia="Calibri" w:hAnsi="Arial" w:cs="Arial"/>
                <w:b/>
                <w:noProof/>
                <w:sz w:val="16"/>
                <w:szCs w:val="16"/>
                <w:bdr w:val="none" w:sz="0" w:space="0" w:color="auto" w:frame="1"/>
                <w:lang w:val="bg-BG" w:eastAsia="en-US"/>
              </w:rPr>
              <w:t>POCI</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after="120" w:line="276" w:lineRule="auto"/>
              <w:contextualSpacing/>
              <w:jc w:val="right"/>
              <w:rPr>
                <w:rFonts w:ascii="Arial" w:eastAsia="Calibri" w:hAnsi="Arial" w:cs="Arial"/>
                <w:b/>
                <w:noProof/>
                <w:sz w:val="16"/>
                <w:szCs w:val="16"/>
                <w:bdr w:val="none" w:sz="0" w:space="0" w:color="auto" w:frame="1"/>
                <w:lang w:val="bg-BG" w:eastAsia="en-US"/>
              </w:rPr>
            </w:pPr>
            <w:r>
              <w:rPr>
                <w:rFonts w:ascii="Arial" w:eastAsia="Calibri" w:hAnsi="Arial" w:cs="Arial"/>
                <w:b/>
                <w:noProof/>
                <w:sz w:val="16"/>
                <w:szCs w:val="16"/>
                <w:bdr w:val="none" w:sz="0" w:space="0" w:color="auto" w:frame="1"/>
                <w:lang w:val="bg-BG" w:eastAsia="en-US"/>
              </w:rPr>
              <w:t>FVTPL</w:t>
            </w:r>
          </w:p>
        </w:tc>
        <w:tc>
          <w:tcPr>
            <w:tcW w:w="48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after="120" w:line="276" w:lineRule="auto"/>
              <w:contextualSpacing/>
              <w:jc w:val="right"/>
              <w:rPr>
                <w:rFonts w:ascii="Arial" w:eastAsia="Calibri" w:hAnsi="Arial" w:cs="Arial"/>
                <w:b/>
                <w:noProof/>
                <w:sz w:val="16"/>
                <w:szCs w:val="16"/>
                <w:bdr w:val="none" w:sz="0" w:space="0" w:color="auto" w:frame="1"/>
                <w:lang w:val="bg-BG" w:eastAsia="en-US"/>
              </w:rPr>
            </w:pPr>
            <w:r>
              <w:rPr>
                <w:rFonts w:ascii="Arial" w:eastAsia="Calibri" w:hAnsi="Arial" w:cs="Arial"/>
                <w:b/>
                <w:noProof/>
                <w:sz w:val="16"/>
                <w:szCs w:val="16"/>
                <w:bdr w:val="none" w:sz="0" w:space="0" w:color="auto" w:frame="1"/>
                <w:lang w:val="bg-BG" w:eastAsia="en-US"/>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auto" w:fill="auto"/>
            <w:tcMar>
              <w:left w:w="40" w:type="dxa"/>
              <w:right w:w="40" w:type="dxa"/>
            </w:tcMar>
            <w:vAlign w:val="center"/>
          </w:tcPr>
          <w:p>
            <w:pPr>
              <w:spacing w:after="120" w:line="276" w:lineRule="auto"/>
              <w:contextualSpacing/>
              <w:rPr>
                <w:rFonts w:ascii="Arial" w:eastAsia="Calibri" w:hAnsi="Arial" w:cs="Arial"/>
                <w:b/>
                <w:noProof/>
                <w:sz w:val="16"/>
                <w:szCs w:val="16"/>
                <w:bdr w:val="none" w:sz="0" w:space="0" w:color="auto" w:frame="1"/>
                <w:lang w:val="bg-BG" w:eastAsia="en-US"/>
              </w:rPr>
            </w:pPr>
            <w:r>
              <w:rPr>
                <w:rFonts w:ascii="Arial" w:eastAsia="Calibri" w:hAnsi="Arial" w:cs="Arial"/>
                <w:b/>
                <w:noProof/>
                <w:sz w:val="16"/>
                <w:szCs w:val="16"/>
                <w:bdr w:val="none" w:sz="0" w:space="0" w:color="auto" w:frame="1"/>
                <w:lang w:val="bg-BG" w:eastAsia="en-US"/>
              </w:rPr>
              <w:t>Заеми и аванси по АС</w:t>
            </w:r>
          </w:p>
        </w:tc>
        <w:tc>
          <w:tcPr>
            <w:tcW w:w="503" w:type="pct"/>
            <w:tcBorders>
              <w:top w:val="single" w:sz="4" w:space="0" w:color="000000"/>
              <w:left w:val="nil"/>
              <w:bottom w:val="nil"/>
              <w:right w:val="nil"/>
              <w:tl2br w:val="nil"/>
              <w:tr2bl w:val="nil"/>
            </w:tcBorders>
            <w:shd w:val="clear" w:color="auto" w:fill="auto"/>
            <w:tcMar>
              <w:left w:w="0" w:type="dxa"/>
              <w:right w:w="0" w:type="dxa"/>
            </w:tcMar>
            <w:vAlign w:val="bottom"/>
          </w:tcPr>
          <w:p>
            <w:pPr>
              <w:spacing w:after="120" w:line="276" w:lineRule="auto"/>
              <w:contextualSpacing/>
              <w:jc w:val="both"/>
              <w:rPr>
                <w:rFonts w:ascii="Arial" w:eastAsia="Calibri" w:hAnsi="Arial" w:cs="Arial"/>
                <w:noProof/>
                <w:sz w:val="16"/>
                <w:szCs w:val="16"/>
                <w:bdr w:val="none" w:sz="0" w:space="0" w:color="auto" w:frame="1"/>
                <w:lang w:val="bg-BG" w:eastAsia="en-US"/>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spacing w:after="120" w:line="276" w:lineRule="auto"/>
              <w:contextualSpacing/>
              <w:jc w:val="both"/>
              <w:rPr>
                <w:rFonts w:ascii="Arial" w:eastAsia="Calibri" w:hAnsi="Arial" w:cs="Arial"/>
                <w:noProof/>
                <w:sz w:val="16"/>
                <w:szCs w:val="16"/>
                <w:bdr w:val="none" w:sz="0" w:space="0" w:color="auto" w:frame="1"/>
                <w:lang w:val="bg-BG" w:eastAsia="en-US"/>
              </w:rPr>
            </w:pPr>
          </w:p>
        </w:tc>
        <w:tc>
          <w:tcPr>
            <w:tcW w:w="56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spacing w:after="120" w:line="276" w:lineRule="auto"/>
              <w:contextualSpacing/>
              <w:jc w:val="both"/>
              <w:rPr>
                <w:rFonts w:ascii="Arial" w:eastAsia="Calibri" w:hAnsi="Arial" w:cs="Arial"/>
                <w:noProof/>
                <w:sz w:val="16"/>
                <w:szCs w:val="16"/>
                <w:bdr w:val="none" w:sz="0" w:space="0" w:color="auto" w:frame="1"/>
                <w:lang w:val="bg-BG" w:eastAsia="en-US"/>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spacing w:after="120" w:line="276" w:lineRule="auto"/>
              <w:contextualSpacing/>
              <w:jc w:val="both"/>
              <w:rPr>
                <w:rFonts w:ascii="Arial" w:eastAsia="Calibri" w:hAnsi="Arial" w:cs="Arial"/>
                <w:noProof/>
                <w:sz w:val="16"/>
                <w:szCs w:val="16"/>
                <w:bdr w:val="none" w:sz="0" w:space="0" w:color="auto" w:frame="1"/>
                <w:lang w:val="bg-BG" w:eastAsia="en-US"/>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spacing w:after="120" w:line="276" w:lineRule="auto"/>
              <w:contextualSpacing/>
              <w:jc w:val="both"/>
              <w:rPr>
                <w:rFonts w:ascii="Arial" w:eastAsia="Calibri" w:hAnsi="Arial" w:cs="Arial"/>
                <w:noProof/>
                <w:sz w:val="16"/>
                <w:szCs w:val="16"/>
                <w:bdr w:val="none" w:sz="0" w:space="0" w:color="auto" w:frame="1"/>
                <w:lang w:val="bg-BG" w:eastAsia="en-US"/>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spacing w:after="120" w:line="276" w:lineRule="auto"/>
              <w:contextualSpacing/>
              <w:jc w:val="both"/>
              <w:rPr>
                <w:rFonts w:ascii="Arial" w:eastAsia="Calibri" w:hAnsi="Arial" w:cs="Arial"/>
                <w:noProof/>
                <w:sz w:val="16"/>
                <w:szCs w:val="16"/>
                <w:bdr w:val="none" w:sz="0" w:space="0" w:color="auto" w:frame="1"/>
                <w:lang w:val="bg-BG" w:eastAsia="en-US"/>
              </w:rPr>
            </w:pPr>
          </w:p>
        </w:tc>
        <w:tc>
          <w:tcPr>
            <w:tcW w:w="48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spacing w:after="120" w:line="276" w:lineRule="auto"/>
              <w:contextualSpacing/>
              <w:jc w:val="both"/>
              <w:rPr>
                <w:rFonts w:ascii="Arial" w:eastAsia="Calibri" w:hAnsi="Arial" w:cs="Arial"/>
                <w:noProof/>
                <w:sz w:val="16"/>
                <w:szCs w:val="16"/>
                <w:bdr w:val="none" w:sz="0" w:space="0" w:color="auto" w:frame="1"/>
                <w:lang w:val="bg-BG" w:eastAsia="en-US"/>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1 — минимален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Aaa</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82,211</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82,211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2 — много нисък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75,352</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75,352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3 — нисък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5,399</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4 — умерен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60,385</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16,449</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76,834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5 — финансово слаб контрагент</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192,201</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6,199</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198,400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6 — висок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708,162</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159,858</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868,020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7 — много висок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под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79,411</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145,176</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224,587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463" w:type="pct"/>
            <w:tcBorders>
              <w:top w:val="nil"/>
              <w:left w:val="nil"/>
              <w:bottom w:val="single" w:sz="4"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8 — контрагент в неизпълнение</w:t>
            </w:r>
          </w:p>
        </w:tc>
        <w:tc>
          <w:tcPr>
            <w:tcW w:w="503" w:type="pct"/>
            <w:tcBorders>
              <w:top w:val="nil"/>
              <w:left w:val="nil"/>
              <w:bottom w:val="single" w:sz="4"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под Caa1, но в неизпълнение</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136,749</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136,749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аванси по FVTPL</w:t>
            </w:r>
          </w:p>
        </w:tc>
        <w:tc>
          <w:tcPr>
            <w:tcW w:w="503"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37,366</w:t>
            </w:r>
          </w:p>
        </w:tc>
        <w:tc>
          <w:tcPr>
            <w:tcW w:w="485"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37,366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Коректив за загуби и корекция по справедлива стойност</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-17,191</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-38,509</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-114,307</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-16,236</w:t>
            </w:r>
          </w:p>
        </w:tc>
        <w:tc>
          <w:tcPr>
            <w:tcW w:w="48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-186,243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 на заемите и авансите</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rPr>
                <w:rFonts w:ascii="Arial" w:eastAsia="Arial" w:hAnsi="Arial" w:cs="Arial"/>
                <w:b/>
                <w:noProof/>
                <w:color w:val="000000"/>
                <w:sz w:val="16"/>
                <w:lang w:val="bg-BG"/>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1,103,719</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371,384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22,442</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21,130</w:t>
            </w:r>
          </w:p>
        </w:tc>
        <w:tc>
          <w:tcPr>
            <w:tcW w:w="485"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1,518,675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16"/>
                <w:lang w:val="bg-BG"/>
              </w:rPr>
            </w:pPr>
          </w:p>
        </w:tc>
        <w:tc>
          <w:tcPr>
            <w:tcW w:w="503"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85"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Кредитни ангажименти</w:t>
            </w:r>
          </w:p>
        </w:tc>
        <w:tc>
          <w:tcPr>
            <w:tcW w:w="503"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85"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1 — минимален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Aaa</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2 — много нисък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102,092</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102,092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3 — нисък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12,000</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4 — умерен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61,461</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61,461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5 — финансово слаб контрагент</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323,080</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323,080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6 — висок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405,773</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126,076</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531,849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7 — много висок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под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14,883</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104,328</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119,211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46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8 — контрагент в неизпълнение</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под Caa1, но в неизпълнение</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51,377</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51,377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single" w:sz="4"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Без вътрешен рейтинг*</w:t>
            </w:r>
          </w:p>
        </w:tc>
        <w:tc>
          <w:tcPr>
            <w:tcW w:w="503" w:type="pct"/>
            <w:tcBorders>
              <w:top w:val="nil"/>
              <w:left w:val="nil"/>
              <w:bottom w:val="single" w:sz="4" w:space="0" w:color="auto"/>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79,669</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79,669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аванси по FVTPL</w:t>
            </w:r>
          </w:p>
        </w:tc>
        <w:tc>
          <w:tcPr>
            <w:tcW w:w="503"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76,581</w:t>
            </w:r>
          </w:p>
        </w:tc>
        <w:tc>
          <w:tcPr>
            <w:tcW w:w="485"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76,581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Коректив за загуби и корекция по справедлива стойност</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-3,943</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-33,326</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 на кредитните ангажименти</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jc w:val="right"/>
              <w:rPr>
                <w:rFonts w:ascii="Arial" w:eastAsia="Arial" w:hAnsi="Arial" w:cs="Arial"/>
                <w:b/>
                <w:noProof/>
                <w:color w:val="000000"/>
                <w:sz w:val="16"/>
                <w:lang w:val="bg-BG"/>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995,015</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197,078</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51,377</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76,581</w:t>
            </w:r>
          </w:p>
        </w:tc>
        <w:tc>
          <w:tcPr>
            <w:tcW w:w="485"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1,320,051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5000" w:type="pct"/>
            <w:gridSpan w:val="8"/>
            <w:tcBorders>
              <w:top w:val="nil"/>
              <w:left w:val="nil"/>
              <w:bottom w:val="nil"/>
              <w:right w:val="nil"/>
              <w:tl2br w:val="nil"/>
              <w:tr2bl w:val="nil"/>
            </w:tcBorders>
            <w:shd w:val="clear" w:color="auto" w:fill="auto"/>
            <w:tcMar>
              <w:left w:w="40" w:type="dxa"/>
              <w:right w:w="40" w:type="dxa"/>
            </w:tcMar>
          </w:tcPr>
          <w:p>
            <w:pPr>
              <w:spacing w:before="40"/>
              <w:jc w:val="both"/>
              <w:rPr>
                <w:rFonts w:ascii="Arial" w:eastAsia="Arial" w:hAnsi="Arial" w:cs="Arial"/>
                <w:noProof/>
                <w:color w:val="000000"/>
                <w:sz w:val="16"/>
                <w:lang w:val="bg-BG"/>
              </w:rPr>
            </w:pPr>
            <w:r>
              <w:rPr>
                <w:rFonts w:ascii="Arial" w:hAnsi="Arial"/>
                <w:noProof/>
                <w:color w:val="000000"/>
                <w:sz w:val="16"/>
                <w:lang w:val="bg-BG"/>
              </w:rPr>
              <w:t>* Споразумения за представителство, за които към отчетната дата не съществуват базови контрагенти.</w:t>
            </w:r>
          </w:p>
        </w:tc>
      </w:tr>
    </w:tbl>
    <w:p>
      <w:pPr>
        <w:spacing w:after="60" w:line="276" w:lineRule="auto"/>
        <w:contextualSpacing/>
        <w:jc w:val="both"/>
        <w:rPr>
          <w:rFonts w:ascii="Arial" w:eastAsia="Calibri" w:hAnsi="Arial" w:cs="Arial"/>
          <w:noProof/>
          <w:sz w:val="16"/>
          <w:szCs w:val="16"/>
          <w:bdr w:val="none" w:sz="0" w:space="0" w:color="auto" w:frame="1"/>
          <w:lang w:val="bg-BG" w:eastAsia="en-US"/>
        </w:rPr>
      </w:pPr>
      <w:r>
        <w:rPr>
          <w:rFonts w:ascii="Arial" w:eastAsia="Calibri" w:hAnsi="Arial" w:cs="Arial"/>
          <w:noProof/>
          <w:sz w:val="16"/>
          <w:szCs w:val="16"/>
          <w:bdr w:val="none" w:sz="0" w:space="0" w:color="auto" w:frame="1"/>
          <w:lang w:val="bg-BG" w:eastAsia="en-US"/>
        </w:rPr>
        <w:t>Таблицата показва както подписаните експозиции (изплатени и неизплатени), така и рисково претеглените експозиции въз основа на вътрешна методика, която механизмът използва за ограничаване на управлението.</w:t>
      </w:r>
    </w:p>
    <w:p>
      <w:pPr>
        <w:spacing w:after="480" w:line="276" w:lineRule="auto"/>
        <w:contextualSpacing/>
        <w:jc w:val="both"/>
        <w:rPr>
          <w:rFonts w:ascii="Arial" w:eastAsia="Calibri" w:hAnsi="Arial" w:cs="Arial"/>
          <w:noProof/>
          <w:sz w:val="16"/>
          <w:szCs w:val="20"/>
          <w:bdr w:val="none" w:sz="0" w:space="0" w:color="auto" w:frame="1"/>
          <w:lang w:val="bg-BG" w:eastAsia="en-US"/>
        </w:rPr>
      </w:pPr>
    </w:p>
    <w:p>
      <w:pPr>
        <w:rPr>
          <w:noProof/>
          <w:lang w:val="bg-BG"/>
        </w:rPr>
      </w:pPr>
      <w:r>
        <w:rPr>
          <w:noProof/>
          <w:lang w:val="bg-BG"/>
        </w:rPr>
        <w:br w:type="page"/>
      </w:r>
    </w:p>
    <w:p>
      <w:pPr>
        <w:numPr>
          <w:ilvl w:val="3"/>
          <w:numId w:val="70"/>
        </w:numPr>
        <w:tabs>
          <w:tab w:val="left" w:pos="709"/>
        </w:tabs>
        <w:contextualSpacing/>
        <w:rPr>
          <w:rFonts w:ascii="Arial" w:hAnsi="Arial" w:cs="Arial"/>
          <w:b/>
          <w:noProof/>
          <w:sz w:val="16"/>
          <w:lang w:val="bg-BG" w:eastAsia="ar-SA"/>
        </w:rPr>
      </w:pPr>
      <w:r>
        <w:rPr>
          <w:rFonts w:ascii="Arial" w:hAnsi="Arial"/>
          <w:b/>
          <w:noProof/>
          <w:sz w:val="16"/>
          <w:lang w:val="bg-BG" w:eastAsia="ar-SA"/>
        </w:rPr>
        <w:t>Експозиция към кредитен риск за всеки вътрешен рисков рейтинг (продължение)</w:t>
      </w:r>
    </w:p>
    <w:p>
      <w:pPr>
        <w:tabs>
          <w:tab w:val="left" w:pos="709"/>
        </w:tabs>
        <w:spacing w:after="60"/>
        <w:ind w:left="794"/>
        <w:contextualSpacing/>
        <w:rPr>
          <w:rFonts w:ascii="Arial" w:hAnsi="Arial"/>
          <w:b/>
          <w:noProof/>
          <w:sz w:val="16"/>
          <w:lang w:val="bg-BG" w:eastAsia="ar-SA"/>
        </w:rPr>
      </w:pPr>
    </w:p>
    <w:tbl>
      <w:tblPr>
        <w:tblStyle w:val="CDMRange14"/>
        <w:tblW w:w="5000" w:type="pct"/>
        <w:tblLayout w:type="fixed"/>
        <w:tblLook w:val="0600" w:firstRow="0" w:lastRow="0" w:firstColumn="0" w:lastColumn="0" w:noHBand="1" w:noVBand="1"/>
      </w:tblPr>
      <w:tblGrid>
        <w:gridCol w:w="2830"/>
        <w:gridCol w:w="974"/>
        <w:gridCol w:w="960"/>
        <w:gridCol w:w="1096"/>
        <w:gridCol w:w="960"/>
        <w:gridCol w:w="960"/>
        <w:gridCol w:w="960"/>
        <w:gridCol w:w="939"/>
      </w:tblGrid>
      <w:tr>
        <w:trPr>
          <w:trHeight w:hRule="exact" w:val="290"/>
        </w:trPr>
        <w:tc>
          <w:tcPr>
            <w:tcW w:w="1462"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16"/>
                <w:lang w:val="bg-BG"/>
              </w:rPr>
            </w:pPr>
          </w:p>
        </w:tc>
        <w:tc>
          <w:tcPr>
            <w:tcW w:w="503"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16"/>
                <w:lang w:val="bg-BG"/>
              </w:rPr>
            </w:pPr>
          </w:p>
        </w:tc>
        <w:tc>
          <w:tcPr>
            <w:tcW w:w="3035" w:type="pct"/>
            <w:gridSpan w:val="6"/>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jc w:val="center"/>
              <w:rPr>
                <w:rFonts w:ascii="Arial" w:eastAsia="Arial" w:hAnsi="Arial" w:cs="Arial"/>
                <w:b/>
                <w:noProof/>
                <w:color w:val="000000"/>
                <w:sz w:val="16"/>
                <w:lang w:val="bg-BG"/>
              </w:rPr>
            </w:pPr>
            <w:r>
              <w:rPr>
                <w:rFonts w:ascii="Arial" w:hAnsi="Arial"/>
                <w:b/>
                <w:noProof/>
                <w:color w:val="000000"/>
                <w:sz w:val="16"/>
                <w:lang w:val="bg-BG"/>
              </w:rPr>
              <w:t>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50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rPr>
                <w:rFonts w:ascii="Arial" w:eastAsia="Arial" w:hAnsi="Arial" w:cs="Arial"/>
                <w:b/>
                <w:noProof/>
                <w:color w:val="000000"/>
                <w:sz w:val="16"/>
                <w:lang w:val="bg-BG"/>
              </w:rPr>
            </w:pPr>
            <w:r>
              <w:rPr>
                <w:rFonts w:ascii="Arial" w:hAnsi="Arial"/>
                <w:b/>
                <w:noProof/>
                <w:color w:val="000000"/>
                <w:sz w:val="16"/>
                <w:lang w:val="bg-BG"/>
              </w:rPr>
              <w:t>Еквивалент на рейтинг на Moody’s</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12-месечни ОКЗ</w:t>
            </w:r>
          </w:p>
        </w:tc>
        <w:tc>
          <w:tcPr>
            <w:tcW w:w="56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ОКЗ през целия жизнен цикъл без кредитна обезценка</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ОКЗ през целия жизнен цикъл с кредитна обезценка</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POCI</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FVTPL</w:t>
            </w:r>
          </w:p>
        </w:tc>
        <w:tc>
          <w:tcPr>
            <w:tcW w:w="48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аванси по АС</w:t>
            </w:r>
          </w:p>
        </w:tc>
        <w:tc>
          <w:tcPr>
            <w:tcW w:w="503" w:type="pct"/>
            <w:tcBorders>
              <w:top w:val="single" w:sz="4" w:space="0" w:color="000000"/>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16"/>
                <w:lang w:val="bg-BG"/>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16"/>
                <w:lang w:val="bg-BG"/>
              </w:rPr>
            </w:pPr>
          </w:p>
        </w:tc>
        <w:tc>
          <w:tcPr>
            <w:tcW w:w="566" w:type="pct"/>
            <w:tcBorders>
              <w:top w:val="single" w:sz="4" w:space="0" w:color="000000"/>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16"/>
                <w:lang w:val="bg-BG"/>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16"/>
                <w:lang w:val="bg-BG"/>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16"/>
                <w:lang w:val="bg-BG"/>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16"/>
                <w:lang w:val="bg-BG"/>
              </w:rPr>
            </w:pPr>
          </w:p>
        </w:tc>
        <w:tc>
          <w:tcPr>
            <w:tcW w:w="486" w:type="pct"/>
            <w:tcBorders>
              <w:top w:val="single" w:sz="4" w:space="0" w:color="000000"/>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1 — минимален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Aaa</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90,875</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90,875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2 — много нисък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74,650</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74,650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3 — нисък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17,804</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17,804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4 — умерен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39,295</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18,783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58,078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5 — финансово слаб контрагент</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165,551</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165,551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6 — висок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834,194</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94,749</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928,943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7 — много висок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под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75,057</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134,701</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209,758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1462" w:type="pct"/>
            <w:tcBorders>
              <w:top w:val="nil"/>
              <w:left w:val="nil"/>
              <w:bottom w:val="single" w:sz="4"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8 — контрагент в неизпълнение</w:t>
            </w:r>
          </w:p>
        </w:tc>
        <w:tc>
          <w:tcPr>
            <w:tcW w:w="503" w:type="pct"/>
            <w:tcBorders>
              <w:top w:val="nil"/>
              <w:left w:val="nil"/>
              <w:bottom w:val="single" w:sz="4" w:space="0" w:color="auto"/>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под Caa1, но в неизпълнение</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185,273</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3,588</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single" w:sz="4" w:space="0" w:color="auto"/>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188,861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аванси по FVTPL</w:t>
            </w:r>
          </w:p>
        </w:tc>
        <w:tc>
          <w:tcPr>
            <w:tcW w:w="503"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1,806</w:t>
            </w:r>
          </w:p>
        </w:tc>
        <w:tc>
          <w:tcPr>
            <w:tcW w:w="48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Коректив за загуби и корекция по справедлива стойност</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-22,023</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-27,342</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-143,092</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-1,794</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-1,084</w:t>
            </w:r>
          </w:p>
        </w:tc>
        <w:tc>
          <w:tcPr>
            <w:tcW w:w="48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-195,335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 на заемите и авансите</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rPr>
                <w:rFonts w:ascii="Arial" w:eastAsia="Arial" w:hAnsi="Arial" w:cs="Arial"/>
                <w:b/>
                <w:noProof/>
                <w:color w:val="000000"/>
                <w:sz w:val="16"/>
                <w:lang w:val="bg-BG"/>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1,184,528</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311,766</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42,181</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1,794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722</w:t>
            </w:r>
          </w:p>
        </w:tc>
        <w:tc>
          <w:tcPr>
            <w:tcW w:w="48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16"/>
                <w:lang w:val="bg-BG"/>
              </w:rPr>
            </w:pPr>
          </w:p>
        </w:tc>
        <w:tc>
          <w:tcPr>
            <w:tcW w:w="503"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16"/>
                <w:lang w:val="bg-BG"/>
              </w:rPr>
            </w:pPr>
          </w:p>
        </w:tc>
        <w:tc>
          <w:tcPr>
            <w:tcW w:w="503"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Кредитни ангажименти</w:t>
            </w:r>
          </w:p>
        </w:tc>
        <w:tc>
          <w:tcPr>
            <w:tcW w:w="503"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2 — много нисък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102,092</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102,092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3 — нисък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12,000</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4 — умерен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12,463</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12,463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5 — финансово слаб контрагент</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230,455</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230,455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6 — висок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567,573</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22,467</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590,040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7 — много висок кредитен риск</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под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100,055</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96,074</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196,129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Вътрешен рейтинг 8 — контрагент в неизпълнение</w:t>
            </w:r>
          </w:p>
        </w:tc>
        <w:tc>
          <w:tcPr>
            <w:tcW w:w="50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под Caa1, но в неизпълнение</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16,932</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Без вътрешен рейтинг* </w:t>
            </w:r>
          </w:p>
        </w:tc>
        <w:tc>
          <w:tcPr>
            <w:tcW w:w="503"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123,821</w:t>
            </w:r>
          </w:p>
        </w:tc>
        <w:tc>
          <w:tcPr>
            <w:tcW w:w="56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123,821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Коректив за загуби и корекция по справедлива стойност</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-7,225</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-16,597</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8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-23,822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 на кредитните ангажименти</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rPr>
                <w:rFonts w:ascii="Arial" w:eastAsia="Arial" w:hAnsi="Arial" w:cs="Arial"/>
                <w:b/>
                <w:noProof/>
                <w:color w:val="000000"/>
                <w:sz w:val="16"/>
                <w:lang w:val="bg-BG"/>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1,141,234</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101,944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16,932</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48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1,260,110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0"/>
        </w:trPr>
        <w:tc>
          <w:tcPr>
            <w:tcW w:w="5000" w:type="pct"/>
            <w:gridSpan w:val="8"/>
            <w:tcBorders>
              <w:top w:val="nil"/>
              <w:left w:val="nil"/>
              <w:bottom w:val="nil"/>
              <w:right w:val="nil"/>
              <w:tl2br w:val="nil"/>
              <w:tr2bl w:val="nil"/>
            </w:tcBorders>
            <w:shd w:val="clear" w:color="auto" w:fill="auto"/>
            <w:tcMar>
              <w:left w:w="40" w:type="dxa"/>
              <w:right w:w="40" w:type="dxa"/>
            </w:tcMar>
          </w:tcPr>
          <w:p>
            <w:pPr>
              <w:spacing w:before="40"/>
              <w:jc w:val="both"/>
              <w:rPr>
                <w:rFonts w:ascii="Arial" w:eastAsia="Arial" w:hAnsi="Arial" w:cs="Arial"/>
                <w:noProof/>
                <w:color w:val="000000"/>
                <w:sz w:val="16"/>
                <w:lang w:val="bg-BG"/>
              </w:rPr>
            </w:pPr>
            <w:r>
              <w:rPr>
                <w:rFonts w:ascii="Arial" w:hAnsi="Arial"/>
                <w:noProof/>
                <w:color w:val="000000"/>
                <w:sz w:val="16"/>
                <w:lang w:val="bg-BG"/>
              </w:rPr>
              <w:t>* Споразумения за представителство, за които към отчетната дата не съществуват базови контрагенти.</w:t>
            </w:r>
          </w:p>
          <w:p>
            <w:pPr>
              <w:spacing w:before="60" w:after="60"/>
              <w:jc w:val="both"/>
              <w:rPr>
                <w:rFonts w:ascii="Arial" w:eastAsia="Arial" w:hAnsi="Arial" w:cs="Arial"/>
                <w:noProof/>
                <w:color w:val="000000"/>
                <w:sz w:val="16"/>
                <w:lang w:val="bg-BG"/>
              </w:rPr>
            </w:pPr>
          </w:p>
          <w:p>
            <w:pPr>
              <w:jc w:val="both"/>
              <w:rPr>
                <w:rFonts w:ascii="Arial" w:eastAsia="Arial" w:hAnsi="Arial" w:cs="Arial"/>
                <w:noProof/>
                <w:color w:val="000000"/>
                <w:sz w:val="16"/>
                <w:lang w:val="bg-BG"/>
              </w:rPr>
            </w:pPr>
            <w:r>
              <w:rPr>
                <w:rFonts w:ascii="Arial" w:hAnsi="Arial"/>
                <w:noProof/>
                <w:color w:val="000000"/>
                <w:sz w:val="16"/>
                <w:lang w:val="bg-BG"/>
              </w:rPr>
              <w:t>Механизмът непрекъснато следи събитията, които засягат неговите заемополучатели и гаранти, особено банките. По-специално механизмът прави оценка за всеки отделен случай на своите договорни права в случай на влошаване на рейтинга и се стреми към мерки за смекчаване. Също така той следи отблизо подновяването на банкови гаранции, получени по неговите заеми, за да гарантира, че тези гаранции се заменят или се предприемат своевременни действия, ако е необходимо.</w:t>
            </w:r>
          </w:p>
        </w:tc>
      </w:tr>
    </w:tbl>
    <w:p>
      <w:pPr>
        <w:pageBreakBefore/>
        <w:numPr>
          <w:ilvl w:val="3"/>
          <w:numId w:val="72"/>
        </w:numPr>
        <w:tabs>
          <w:tab w:val="right" w:pos="-2700"/>
          <w:tab w:val="right" w:pos="720"/>
        </w:tabs>
        <w:suppressAutoHyphens/>
        <w:spacing w:before="60"/>
        <w:ind w:left="794" w:hanging="794"/>
        <w:jc w:val="both"/>
        <w:rPr>
          <w:rFonts w:ascii="Arial" w:hAnsi="Arial"/>
          <w:b/>
          <w:bCs/>
          <w:noProof/>
          <w:sz w:val="16"/>
          <w:szCs w:val="16"/>
          <w:lang w:val="bg-BG" w:eastAsia="ar-SA"/>
        </w:rPr>
      </w:pPr>
      <w:r>
        <w:rPr>
          <w:rFonts w:ascii="Arial" w:hAnsi="Arial"/>
          <w:b/>
          <w:bCs/>
          <w:noProof/>
          <w:sz w:val="16"/>
          <w:szCs w:val="16"/>
          <w:lang w:val="bg-BG" w:eastAsia="ar-SA"/>
        </w:rPr>
        <w:t>Просрочени плащания по заеми и обезценки</w:t>
      </w:r>
    </w:p>
    <w:p>
      <w:pPr>
        <w:suppressAutoHyphens/>
        <w:spacing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Просрочените плащания се установяват, наблюдават и докладват в съответствие с процедурите, определени в обстойните насоки и процедури на банката за мониторинг на финансирането. Тези процедури са в съответствие с най-добрите банкови практики и се приемат за всички заеми, управлявани от ЕИБ.</w:t>
      </w:r>
    </w:p>
    <w:p>
      <w:pPr>
        <w:suppressAutoHyphens/>
        <w:spacing w:before="60" w:after="60"/>
        <w:jc w:val="both"/>
        <w:rPr>
          <w:rFonts w:ascii="Arial" w:hAnsi="Arial"/>
          <w:noProof/>
          <w:sz w:val="16"/>
          <w:szCs w:val="16"/>
          <w:lang w:val="bg-BG" w:eastAsia="ar-SA"/>
        </w:rPr>
      </w:pPr>
    </w:p>
    <w:p>
      <w:pPr>
        <w:suppressAutoHyphens/>
        <w:spacing w:before="60" w:after="60"/>
        <w:jc w:val="both"/>
        <w:rPr>
          <w:noProof/>
          <w:szCs w:val="20"/>
          <w:lang w:val="bg-BG" w:eastAsia="ar-SA"/>
        </w:rPr>
      </w:pPr>
      <w:r>
        <w:rPr>
          <w:rFonts w:ascii="Arial" w:hAnsi="Arial"/>
          <w:noProof/>
          <w:sz w:val="16"/>
          <w:szCs w:val="16"/>
          <w:lang w:val="bg-BG" w:eastAsia="ar-SA"/>
        </w:rPr>
        <w:t>Процесът на мониторинг е структуриран с цел да се гарантира, че i) потенциалните просрочени плащания се установяват и докладват на отговорните служби с минимално закъснение; ii) критичните случаи бързо се изпращат на подходящото оперативно и управленско равнище; iii) осигурява се редовно докладване пред ръководството на ЕИБ и пред държавите членки за общото състояние на просрочените плащания и за вече предприетите или предстоящите мерки по събирането.</w:t>
      </w:r>
    </w:p>
    <w:p>
      <w:pPr>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Просрочените плащания и обезценките могат да се анализират, както следва (в хиляди евро):</w:t>
      </w:r>
    </w:p>
    <w:p>
      <w:pPr>
        <w:suppressAutoHyphens/>
        <w:spacing w:before="60" w:after="60"/>
        <w:jc w:val="both"/>
        <w:rPr>
          <w:rFonts w:ascii="Arial" w:hAnsi="Arial"/>
          <w:noProof/>
          <w:sz w:val="16"/>
          <w:szCs w:val="16"/>
          <w:lang w:val="bg-BG" w:eastAsia="ar-SA"/>
        </w:rPr>
      </w:pPr>
      <w:r>
        <w:rPr>
          <w:noProof/>
          <w:lang w:val="bg-BG" w:eastAsia="ar-SA"/>
        </w:rPr>
        <w:t xml:space="preserve"> </w:t>
      </w:r>
    </w:p>
    <w:tbl>
      <w:tblPr>
        <w:tblStyle w:val="CDMRange24"/>
        <w:tblW w:w="5000" w:type="pct"/>
        <w:tblLayout w:type="fixed"/>
        <w:tblLook w:val="0600" w:firstRow="0" w:lastRow="0" w:firstColumn="0" w:lastColumn="0" w:noHBand="1" w:noVBand="1"/>
      </w:tblPr>
      <w:tblGrid>
        <w:gridCol w:w="4729"/>
        <w:gridCol w:w="2476"/>
        <w:gridCol w:w="2474"/>
      </w:tblGrid>
      <w:tr>
        <w:trPr>
          <w:trHeight w:val="289"/>
        </w:trPr>
        <w:tc>
          <w:tcPr>
            <w:tcW w:w="2443" w:type="pct"/>
            <w:tcBorders>
              <w:top w:val="single" w:sz="4" w:space="0" w:color="000000"/>
              <w:left w:val="nil"/>
              <w:bottom w:val="nil"/>
              <w:right w:val="nil"/>
              <w:tl2br w:val="nil"/>
              <w:tr2bl w:val="nil"/>
            </w:tcBorders>
            <w:shd w:val="clear" w:color="auto" w:fill="auto"/>
            <w:tcMar>
              <w:left w:w="0" w:type="dxa"/>
              <w:right w:w="0" w:type="dxa"/>
            </w:tcMar>
            <w:vAlign w:val="bottom"/>
          </w:tcPr>
          <w:p>
            <w:pPr>
              <w:rPr>
                <w:noProof/>
                <w:color w:val="000000"/>
                <w:sz w:val="20"/>
                <w:lang w:val="bg-BG"/>
              </w:rPr>
            </w:pP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Заеми и аванси</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Заеми и аванси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single" w:sz="4" w:space="0" w:color="000000"/>
              <w:right w:val="nil"/>
              <w:tl2br w:val="nil"/>
              <w:tr2bl w:val="nil"/>
            </w:tcBorders>
            <w:shd w:val="clear" w:color="auto" w:fill="auto"/>
            <w:tcMar>
              <w:left w:w="0" w:type="dxa"/>
              <w:right w:w="0" w:type="dxa"/>
            </w:tcMar>
            <w:vAlign w:val="bottom"/>
          </w:tcPr>
          <w:p>
            <w:pPr>
              <w:jc w:val="center"/>
              <w:rPr>
                <w:noProof/>
                <w:color w:val="000000"/>
                <w:sz w:val="20"/>
                <w:lang w:val="bg-BG"/>
              </w:rPr>
            </w:pPr>
          </w:p>
        </w:tc>
        <w:tc>
          <w:tcPr>
            <w:tcW w:w="1279"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1279"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w:t>
            </w:r>
          </w:p>
        </w:tc>
        <w:tc>
          <w:tcPr>
            <w:tcW w:w="127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1,518,675</w:t>
            </w:r>
          </w:p>
        </w:tc>
        <w:tc>
          <w:tcPr>
            <w:tcW w:w="127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ОКЗ през целия жизнен цикъл с кредитна обезценка</w:t>
            </w: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Брутна сума</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136,749</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188,861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Средства за загуба от обезценка</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-114,307</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-144,886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 на ОКЗ през целия жизнен цикъл с кредитна обезценка</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22,442</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43,975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jc w:val="right"/>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rPr>
                <w:noProof/>
                <w:color w:val="000000"/>
                <w:sz w:val="20"/>
                <w:lang w:val="bg-BG"/>
              </w:rPr>
            </w:pPr>
          </w:p>
        </w:tc>
        <w:tc>
          <w:tcPr>
            <w:tcW w:w="1279" w:type="pct"/>
            <w:tcBorders>
              <w:top w:val="nil"/>
              <w:left w:val="nil"/>
              <w:bottom w:val="single" w:sz="4" w:space="0" w:color="000000"/>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20"/>
                <w:lang w:val="bg-BG"/>
              </w:rPr>
            </w:pPr>
          </w:p>
        </w:tc>
        <w:tc>
          <w:tcPr>
            <w:tcW w:w="1279"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jc w:val="right"/>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Просрочени, но без кредитна обезценка</w:t>
            </w: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rPr>
                <w:noProof/>
                <w:color w:val="000000"/>
                <w:sz w:val="20"/>
                <w:lang w:val="bg-BG"/>
              </w:rPr>
            </w:pPr>
          </w:p>
        </w:tc>
        <w:tc>
          <w:tcPr>
            <w:tcW w:w="1279" w:type="pct"/>
            <w:tcBorders>
              <w:top w:val="single" w:sz="4" w:space="0" w:color="000000"/>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20"/>
                <w:lang w:val="bg-BG"/>
              </w:rPr>
            </w:pPr>
          </w:p>
        </w:tc>
        <w:tc>
          <w:tcPr>
            <w:tcW w:w="1279"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jc w:val="right"/>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Просрочените включват</w:t>
            </w:r>
          </w:p>
        </w:tc>
        <w:tc>
          <w:tcPr>
            <w:tcW w:w="1279"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jc w:val="right"/>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0—30 дни</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61</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30—60 дни</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924</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60—90 дни</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90—180 дни</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135</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повече от 180 дни</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w:t>
            </w:r>
          </w:p>
        </w:tc>
        <w:tc>
          <w:tcPr>
            <w:tcW w:w="127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 на просрочените, но без кредитна обезценка</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1,146</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noWrap/>
            <w:tcMar>
              <w:left w:w="0" w:type="dxa"/>
              <w:right w:w="0" w:type="dxa"/>
            </w:tcMar>
            <w:vAlign w:val="bottom"/>
          </w:tcPr>
          <w:p>
            <w:pPr>
              <w:rPr>
                <w:noProof/>
                <w:color w:val="000000"/>
                <w:sz w:val="20"/>
                <w:lang w:val="bg-BG"/>
              </w:rPr>
            </w:pPr>
          </w:p>
        </w:tc>
        <w:tc>
          <w:tcPr>
            <w:tcW w:w="1279" w:type="pct"/>
            <w:tcBorders>
              <w:top w:val="nil"/>
              <w:left w:val="nil"/>
              <w:bottom w:val="nil"/>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20"/>
                <w:lang w:val="bg-BG"/>
              </w:rPr>
            </w:pPr>
          </w:p>
        </w:tc>
        <w:tc>
          <w:tcPr>
            <w:tcW w:w="1279" w:type="pct"/>
            <w:tcBorders>
              <w:top w:val="nil"/>
              <w:left w:val="nil"/>
              <w:bottom w:val="nil"/>
              <w:right w:val="nil"/>
              <w:tl2br w:val="nil"/>
              <w:tr2bl w:val="nil"/>
            </w:tcBorders>
            <w:shd w:val="clear" w:color="auto" w:fill="auto"/>
            <w:noWrap/>
            <w:tcMar>
              <w:left w:w="0" w:type="dxa"/>
              <w:right w:w="0" w:type="dxa"/>
            </w:tcMar>
            <w:vAlign w:val="bottom"/>
          </w:tcPr>
          <w:p>
            <w:pPr>
              <w:jc w:val="right"/>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Балансова стойност — нито просрочени, нито с кредитна обезценка</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1,495,087</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1,496,211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Обща балансова стойност на заеми и аванси</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1,518,675</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1,540,991</w:t>
            </w:r>
          </w:p>
        </w:tc>
      </w:tr>
    </w:tbl>
    <w:p>
      <w:pPr>
        <w:pageBreakBefore/>
        <w:numPr>
          <w:ilvl w:val="3"/>
          <w:numId w:val="74"/>
        </w:numPr>
        <w:tabs>
          <w:tab w:val="right" w:pos="-2700"/>
          <w:tab w:val="right" w:pos="720"/>
        </w:tabs>
        <w:suppressAutoHyphens/>
        <w:spacing w:before="60"/>
        <w:ind w:left="794" w:hanging="794"/>
        <w:jc w:val="both"/>
        <w:rPr>
          <w:rFonts w:ascii="Arial" w:hAnsi="Arial"/>
          <w:b/>
          <w:bCs/>
          <w:noProof/>
          <w:sz w:val="16"/>
          <w:szCs w:val="16"/>
          <w:lang w:val="bg-BG" w:eastAsia="ar-SA"/>
        </w:rPr>
      </w:pPr>
      <w:r>
        <w:rPr>
          <w:rFonts w:ascii="Arial" w:hAnsi="Arial"/>
          <w:b/>
          <w:bCs/>
          <w:noProof/>
          <w:sz w:val="16"/>
          <w:szCs w:val="16"/>
          <w:lang w:val="bg-BG" w:eastAsia="ar-SA"/>
        </w:rPr>
        <w:t>Предоговаряне и преструктуриране на заеми</w:t>
      </w:r>
    </w:p>
    <w:p>
      <w:pPr>
        <w:suppressAutoHyphens/>
        <w:spacing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 xml:space="preserve">Механизмът счита заемите за преструктурирани, ако в отговор на неблагоприятни промени във финансовото състояние на заемополучателя механизмът предоговори първоначалните условия на договорните споразумения с въпросния заемополучател, засягащи пряко бъдещите парични потоци на финансовия инструмент, което може да доведе до загуба за механизма. Въпреки това финансовото въздействие на преструктурираните дейности по принцип е ограничено до загубите от обезценка, ако има такива, тъй като финансовата неутралност се прилага повсеместно от механизма и е отразена в предоговорените ценови условия на преструктурираните операции. </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В обичайния ход на дейност рейтингът на въпросните заеми щеше да се влоши и заемите щяха да бъдат включени в списъка за наблюдение преди предоговарянето. След като заемите бъдат предоговорени, механизмът ще продължи да ги наблюдава отблизо. Ако предоговорените условия на плащане няма да възстановят първоначалната балансова стойност на актива, той ще се счита за обезценен. Съответните загуби от обезценка ще се изчисляват въз основа на прогнозните парични потоци, сконтирани по първоначалния ефективен лихвен процент. Необходимостта от обезценка за всички заеми, чийто рейтинг е спаднал до E-, се оценява редовно; всички заеми с рейтинг F изискват обезценка. След като рейтингът на даден заем се подобри достатъчно, той ще бъде премахнат от списъка за наблюдение в съответствие с процедурите на механизма.</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 xml:space="preserve">Мерките и практиките за преструктуриране, предприети от екипа на банката за преструктуриране през отчетния период, включват удължаване на срока до падежа, отсрочване само на главницата, отсрочване на главницата и лихвите, както и капитализация на просрочените задължения. Такива мерки за преструктуриране не водят до отписване на съответната операция, освен ако въздействието на договорните промени върху нетната настояща стойност на заема към датата на преструктурирането се счита за значително. Ако такъв новопризнат финансов актив е с кредитна обезценка, той би отговорил на определението за финансов актив POCI. </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Експозициите, подлежащи на промени в договорните клаузи, които не засягат бъдещите парични потоци, като обезпечения, други договорености с ценни книжа или отказ от договорни права по споразумения, не се считат за преструктурирани и следователно тези събития сами по себе си не се считат за достатъчен признак за обезценка.</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Операциите, подлежащи на мерки за преструктуриране, са посочени като такива в таблицата по-долу:</w:t>
      </w:r>
    </w:p>
    <w:p>
      <w:pPr>
        <w:suppressAutoHyphens/>
        <w:spacing w:before="60" w:after="60"/>
        <w:jc w:val="both"/>
        <w:rPr>
          <w:rFonts w:ascii="Arial" w:hAnsi="Arial"/>
          <w:noProof/>
          <w:sz w:val="16"/>
          <w:szCs w:val="16"/>
          <w:lang w:val="bg-BG" w:eastAsia="ar-SA"/>
        </w:rPr>
      </w:pPr>
      <w:r>
        <w:rPr>
          <w:noProof/>
          <w:lang w:val="bg-BG" w:eastAsia="ar-SA"/>
        </w:rPr>
        <w:t xml:space="preserve"> </w:t>
      </w:r>
    </w:p>
    <w:tbl>
      <w:tblPr>
        <w:tblStyle w:val="CDMRange15"/>
        <w:tblW w:w="5000" w:type="pct"/>
        <w:tblLayout w:type="fixed"/>
        <w:tblLook w:val="0600" w:firstRow="0" w:lastRow="0" w:firstColumn="0" w:lastColumn="0" w:noHBand="1" w:noVBand="1"/>
      </w:tblPr>
      <w:tblGrid>
        <w:gridCol w:w="6791"/>
        <w:gridCol w:w="1464"/>
        <w:gridCol w:w="1464"/>
      </w:tblGrid>
      <w:tr>
        <w:trPr>
          <w:trHeight w:val="300"/>
        </w:trPr>
        <w:tc>
          <w:tcPr>
            <w:tcW w:w="34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75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75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lang w:val="bg-BG"/>
              </w:rPr>
            </w:pPr>
            <w:r>
              <w:rPr>
                <w:rFonts w:ascii="Arial" w:hAnsi="Arial"/>
                <w:noProof/>
                <w:color w:val="000000"/>
                <w:sz w:val="16"/>
                <w:lang w:val="bg-BG"/>
              </w:rPr>
              <w:t>Брой на операциите, подлежащи на практики за преструктуриране</w:t>
            </w:r>
          </w:p>
        </w:tc>
        <w:tc>
          <w:tcPr>
            <w:tcW w:w="753"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28</w:t>
            </w:r>
          </w:p>
        </w:tc>
        <w:tc>
          <w:tcPr>
            <w:tcW w:w="753"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lang w:val="bg-BG"/>
              </w:rPr>
            </w:pPr>
            <w:r>
              <w:rPr>
                <w:rFonts w:ascii="Arial" w:hAnsi="Arial"/>
                <w:noProof/>
                <w:color w:val="000000"/>
                <w:sz w:val="16"/>
                <w:lang w:val="bg-BG"/>
              </w:rPr>
              <w:t>Балансови стойности (вкл. лихви и просрочени плащания)</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245,534</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280,720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lang w:val="bg-BG"/>
              </w:rPr>
            </w:pPr>
            <w:r>
              <w:rPr>
                <w:rFonts w:ascii="Arial" w:hAnsi="Arial"/>
                <w:noProof/>
                <w:color w:val="000000"/>
                <w:sz w:val="16"/>
                <w:lang w:val="bg-BG"/>
              </w:rPr>
              <w:t>Признати средства за ОКЗ</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7,916</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lang w:val="bg-BG"/>
              </w:rPr>
            </w:pPr>
            <w:r>
              <w:rPr>
                <w:rFonts w:ascii="Arial" w:hAnsi="Arial"/>
                <w:noProof/>
                <w:color w:val="000000"/>
                <w:sz w:val="16"/>
                <w:lang w:val="bg-BG"/>
              </w:rPr>
              <w:t>Призната обезценка</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57,321</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86,334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lang w:val="bg-BG"/>
              </w:rPr>
            </w:pPr>
            <w:r>
              <w:rPr>
                <w:rFonts w:ascii="Arial" w:hAnsi="Arial"/>
                <w:noProof/>
                <w:color w:val="000000"/>
                <w:sz w:val="16"/>
                <w:lang w:val="bg-BG"/>
              </w:rPr>
              <w:t>Приходи от лихви по отношение на преструктурирани операции</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8,985</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13,465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lang w:val="bg-BG"/>
              </w:rPr>
            </w:pPr>
            <w:r>
              <w:rPr>
                <w:rFonts w:ascii="Arial" w:hAnsi="Arial"/>
                <w:noProof/>
                <w:color w:val="000000"/>
                <w:sz w:val="16"/>
                <w:lang w:val="bg-BG"/>
              </w:rPr>
              <w:t>Отписани експозиции (след прекратяването/продажбата на операцията)</w:t>
            </w:r>
          </w:p>
        </w:tc>
        <w:tc>
          <w:tcPr>
            <w:tcW w:w="753"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280</w:t>
            </w:r>
          </w:p>
        </w:tc>
        <w:tc>
          <w:tcPr>
            <w:tcW w:w="753"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bl>
    <w:p>
      <w:pPr>
        <w:spacing w:before="60" w:after="60"/>
        <w:rPr>
          <w:rFonts w:ascii="Arial" w:hAnsi="Arial"/>
          <w:noProof/>
          <w:sz w:val="16"/>
          <w:lang w:val="bg-BG"/>
        </w:rPr>
      </w:pPr>
    </w:p>
    <w:tbl>
      <w:tblPr>
        <w:tblStyle w:val="CDMRange25"/>
        <w:tblW w:w="5000" w:type="pct"/>
        <w:tblLayout w:type="fixed"/>
        <w:tblLook w:val="0600" w:firstRow="0" w:lastRow="0" w:firstColumn="0" w:lastColumn="0" w:noHBand="1" w:noVBand="1"/>
      </w:tblPr>
      <w:tblGrid>
        <w:gridCol w:w="1407"/>
        <w:gridCol w:w="1126"/>
        <w:gridCol w:w="1126"/>
        <w:gridCol w:w="1126"/>
        <w:gridCol w:w="1126"/>
        <w:gridCol w:w="1126"/>
        <w:gridCol w:w="1195"/>
        <w:gridCol w:w="1407"/>
      </w:tblGrid>
      <w:tr>
        <w:trPr>
          <w:trHeight w:hRule="exact" w:val="300"/>
        </w:trPr>
        <w:tc>
          <w:tcPr>
            <w:tcW w:w="730"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16"/>
                <w:lang w:val="bg-BG"/>
              </w:rPr>
            </w:pPr>
          </w:p>
        </w:tc>
        <w:tc>
          <w:tcPr>
            <w:tcW w:w="584"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16"/>
                <w:lang w:val="bg-BG"/>
              </w:rPr>
            </w:pPr>
          </w:p>
        </w:tc>
        <w:tc>
          <w:tcPr>
            <w:tcW w:w="584"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16"/>
                <w:lang w:val="bg-BG"/>
              </w:rPr>
            </w:pPr>
          </w:p>
        </w:tc>
        <w:tc>
          <w:tcPr>
            <w:tcW w:w="1168" w:type="pct"/>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Мерки за преструктуриране</w:t>
            </w:r>
          </w:p>
        </w:tc>
        <w:tc>
          <w:tcPr>
            <w:tcW w:w="584"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16"/>
                <w:lang w:val="bg-BG"/>
              </w:rPr>
            </w:pPr>
          </w:p>
        </w:tc>
        <w:tc>
          <w:tcPr>
            <w:tcW w:w="620"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16"/>
                <w:lang w:val="bg-BG"/>
              </w:rPr>
            </w:pPr>
          </w:p>
        </w:tc>
        <w:tc>
          <w:tcPr>
            <w:tcW w:w="730"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0"/>
        </w:trPr>
        <w:tc>
          <w:tcPr>
            <w:tcW w:w="730"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both"/>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584"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Удължаване на срока до падежа</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Отсрочване само на главницата</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Нарушаване на съществени финансови клаузи</w:t>
            </w:r>
          </w:p>
          <w:p>
            <w:pPr>
              <w:jc w:val="right"/>
              <w:rPr>
                <w:rFonts w:ascii="Arial" w:eastAsia="Arial" w:hAnsi="Arial" w:cs="Arial"/>
                <w:b/>
                <w:noProof/>
                <w:color w:val="000000"/>
                <w:sz w:val="16"/>
                <w:lang w:val="bg-BG"/>
              </w:rPr>
            </w:pP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Други</w:t>
            </w:r>
          </w:p>
        </w:tc>
        <w:tc>
          <w:tcPr>
            <w:tcW w:w="620"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Договорно погасяване и прекратяване*</w:t>
            </w:r>
          </w:p>
        </w:tc>
        <w:tc>
          <w:tcPr>
            <w:tcW w:w="730"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30"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lang w:val="bg-BG"/>
              </w:rPr>
            </w:pPr>
            <w:r>
              <w:rPr>
                <w:rFonts w:ascii="Arial" w:hAnsi="Arial"/>
                <w:noProof/>
                <w:color w:val="000000"/>
                <w:sz w:val="16"/>
                <w:lang w:val="bg-BG"/>
              </w:rPr>
              <w:t>Банки</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27,592</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0</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97</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33,524</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507</w:t>
            </w:r>
          </w:p>
        </w:tc>
        <w:tc>
          <w:tcPr>
            <w:tcW w:w="620"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-10,252</w:t>
            </w:r>
          </w:p>
        </w:tc>
        <w:tc>
          <w:tcPr>
            <w:tcW w:w="730"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51,468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30" w:type="pct"/>
            <w:tcBorders>
              <w:top w:val="nil"/>
              <w:left w:val="nil"/>
              <w:bottom w:val="nil"/>
              <w:right w:val="nil"/>
              <w:tl2br w:val="nil"/>
              <w:tr2bl w:val="nil"/>
            </w:tcBorders>
            <w:shd w:val="clear" w:color="auto" w:fill="auto"/>
            <w:tcMar>
              <w:left w:w="40" w:type="dxa"/>
              <w:right w:w="40" w:type="dxa"/>
            </w:tcMar>
            <w:vAlign w:val="center"/>
          </w:tcPr>
          <w:p>
            <w:pPr>
              <w:jc w:val="both"/>
              <w:rPr>
                <w:rFonts w:ascii="Arial" w:eastAsia="Arial" w:hAnsi="Arial" w:cs="Arial"/>
                <w:noProof/>
                <w:color w:val="000000"/>
                <w:sz w:val="16"/>
                <w:lang w:val="bg-BG"/>
              </w:rPr>
            </w:pPr>
            <w:r>
              <w:rPr>
                <w:rFonts w:ascii="Arial" w:hAnsi="Arial"/>
                <w:noProof/>
                <w:color w:val="000000"/>
                <w:sz w:val="16"/>
                <w:lang w:val="bg-BG"/>
              </w:rPr>
              <w:t>Предприятия</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253,128</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134</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0</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0</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0</w:t>
            </w:r>
          </w:p>
        </w:tc>
        <w:tc>
          <w:tcPr>
            <w:tcW w:w="620"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-59,196</w:t>
            </w:r>
          </w:p>
        </w:tc>
        <w:tc>
          <w:tcPr>
            <w:tcW w:w="730" w:type="pct"/>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szCs w:val="16"/>
                <w:lang w:val="bg-BG"/>
              </w:rPr>
              <w:t>194,066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30" w:type="pct"/>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szCs w:val="16"/>
                <w:lang w:val="bg-BG"/>
              </w:rPr>
            </w:pPr>
            <w:r>
              <w:rPr>
                <w:rFonts w:ascii="Arial" w:hAnsi="Arial"/>
                <w:b/>
                <w:noProof/>
                <w:color w:val="000000"/>
                <w:sz w:val="16"/>
                <w:szCs w:val="16"/>
                <w:lang w:val="bg-BG"/>
              </w:rPr>
              <w:t>Общо</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bCs/>
                <w:noProof/>
                <w:color w:val="000000"/>
                <w:sz w:val="16"/>
                <w:szCs w:val="16"/>
                <w:lang w:val="bg-BG"/>
              </w:rPr>
              <w:t>280,720</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bCs/>
                <w:noProof/>
                <w:color w:val="000000"/>
                <w:sz w:val="16"/>
                <w:szCs w:val="16"/>
                <w:lang w:val="bg-BG"/>
              </w:rPr>
              <w:t>134</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spacing w:before="40"/>
              <w:jc w:val="right"/>
              <w:rPr>
                <w:rFonts w:ascii="Arial" w:eastAsia="Arial" w:hAnsi="Arial" w:cs="Arial"/>
                <w:b/>
                <w:noProof/>
                <w:color w:val="000000"/>
                <w:sz w:val="16"/>
                <w:lang w:val="bg-BG"/>
              </w:rPr>
            </w:pPr>
            <w:r>
              <w:rPr>
                <w:rFonts w:ascii="Arial" w:hAnsi="Arial"/>
                <w:b/>
                <w:bCs/>
                <w:noProof/>
                <w:color w:val="000000"/>
                <w:sz w:val="16"/>
                <w:szCs w:val="16"/>
                <w:lang w:val="bg-BG"/>
              </w:rPr>
              <w:t>97</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bCs/>
                <w:noProof/>
                <w:color w:val="000000"/>
                <w:sz w:val="16"/>
                <w:szCs w:val="16"/>
                <w:lang w:val="bg-BG"/>
              </w:rPr>
              <w:t>33,524</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bCs/>
                <w:noProof/>
                <w:color w:val="000000"/>
                <w:sz w:val="16"/>
                <w:szCs w:val="16"/>
                <w:lang w:val="bg-BG"/>
              </w:rPr>
              <w:t>507</w:t>
            </w:r>
          </w:p>
        </w:tc>
        <w:tc>
          <w:tcPr>
            <w:tcW w:w="620" w:type="pct"/>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bCs/>
                <w:noProof/>
                <w:color w:val="000000"/>
                <w:sz w:val="16"/>
                <w:szCs w:val="16"/>
                <w:lang w:val="bg-BG"/>
              </w:rPr>
              <w:t>-69,448</w:t>
            </w:r>
          </w:p>
        </w:tc>
        <w:tc>
          <w:tcPr>
            <w:tcW w:w="730" w:type="pct"/>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bCs/>
                <w:noProof/>
                <w:color w:val="000000"/>
                <w:sz w:val="16"/>
                <w:szCs w:val="16"/>
                <w:lang w:val="bg-BG"/>
              </w:rPr>
              <w:t>245,534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5000" w:type="pct"/>
            <w:gridSpan w:val="8"/>
            <w:tcBorders>
              <w:top w:val="nil"/>
              <w:left w:val="nil"/>
              <w:bottom w:val="nil"/>
              <w:right w:val="nil"/>
              <w:tl2br w:val="nil"/>
              <w:tr2bl w:val="nil"/>
            </w:tcBorders>
            <w:shd w:val="clear" w:color="auto" w:fill="auto"/>
            <w:tcMar>
              <w:left w:w="40" w:type="dxa"/>
              <w:right w:w="40" w:type="dxa"/>
            </w:tcMar>
          </w:tcPr>
          <w:p>
            <w:pPr>
              <w:spacing w:before="40"/>
              <w:jc w:val="both"/>
              <w:rPr>
                <w:rFonts w:ascii="Arial" w:eastAsia="Arial" w:hAnsi="Arial"/>
                <w:noProof/>
                <w:color w:val="000000"/>
                <w:sz w:val="16"/>
                <w:vertAlign w:val="superscript"/>
                <w:lang w:val="bg-BG"/>
              </w:rPr>
            </w:pPr>
            <w:r>
              <w:rPr>
                <w:rFonts w:ascii="Arial" w:hAnsi="Arial"/>
                <w:noProof/>
                <w:color w:val="000000"/>
                <w:sz w:val="16"/>
                <w:lang w:val="bg-BG"/>
              </w:rPr>
              <w:t>* Намаленията се дължат на погасявания на главницата през годината по операции, които вече се считат за преструктурирани към 31 декември 2019 г., и на прекратяване на преструктурирани мерки през годината.</w:t>
            </w:r>
          </w:p>
        </w:tc>
      </w:tr>
    </w:tbl>
    <w:p>
      <w:pPr>
        <w:pageBreakBefore/>
        <w:tabs>
          <w:tab w:val="right" w:pos="-2700"/>
        </w:tabs>
        <w:suppressAutoHyphens/>
        <w:spacing w:before="240"/>
        <w:ind w:left="-102"/>
        <w:jc w:val="both"/>
        <w:rPr>
          <w:rFonts w:ascii="Arial" w:hAnsi="Arial"/>
          <w:b/>
          <w:noProof/>
          <w:sz w:val="16"/>
          <w:szCs w:val="16"/>
          <w:lang w:val="bg-BG" w:eastAsia="ar-SA"/>
        </w:rPr>
      </w:pPr>
      <w:bookmarkStart w:id="160" w:name="OLE_LINK3_0"/>
      <w:bookmarkStart w:id="161" w:name="OLE_LINK4_0"/>
      <w:r>
        <w:rPr>
          <w:rFonts w:ascii="Arial" w:hAnsi="Arial"/>
          <w:b/>
          <w:noProof/>
          <w:sz w:val="16"/>
          <w:szCs w:val="16"/>
          <w:lang w:val="en-US" w:eastAsia="ar-SA"/>
        </w:rPr>
        <w:t>3.2.3</w:t>
      </w:r>
      <w:r>
        <w:rPr>
          <w:rFonts w:ascii="Arial" w:hAnsi="Arial"/>
          <w:b/>
          <w:noProof/>
          <w:sz w:val="16"/>
          <w:szCs w:val="16"/>
          <w:lang w:val="en-US" w:eastAsia="ar-SA"/>
        </w:rPr>
        <w:tab/>
      </w:r>
      <w:r>
        <w:rPr>
          <w:rFonts w:ascii="Arial" w:hAnsi="Arial"/>
          <w:b/>
          <w:noProof/>
          <w:sz w:val="16"/>
          <w:szCs w:val="16"/>
          <w:lang w:val="bg-BG" w:eastAsia="ar-SA"/>
        </w:rPr>
        <w:t>Кредитен риск на парите и паричните еквиваленти</w:t>
      </w:r>
    </w:p>
    <w:p>
      <w:pPr>
        <w:suppressAutoHyphens/>
        <w:spacing w:after="60"/>
        <w:rPr>
          <w:rFonts w:ascii="Arial" w:hAnsi="Arial"/>
          <w:noProof/>
          <w:sz w:val="16"/>
          <w:szCs w:val="16"/>
          <w:shd w:val="clear" w:color="auto" w:fill="00FF00"/>
          <w:lang w:val="bg-BG" w:eastAsia="ar-SA"/>
        </w:rPr>
      </w:pPr>
    </w:p>
    <w:bookmarkEnd w:id="160"/>
    <w:bookmarkEnd w:id="161"/>
    <w:p>
      <w:pPr>
        <w:numPr>
          <w:ilvl w:val="0"/>
          <w:numId w:val="78"/>
        </w:numPr>
        <w:tabs>
          <w:tab w:val="clear" w:pos="795"/>
          <w:tab w:val="right" w:pos="-2700"/>
          <w:tab w:val="num" w:pos="426"/>
          <w:tab w:val="center" w:pos="4320"/>
          <w:tab w:val="right" w:pos="864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 xml:space="preserve">Наличните средства се инвестират съгласно графика на изплащане на договорните задължения на механизма. Към 31 декември 2019 г. и 31 декември 2018 г. инвестициите са били под формата на банкови депозити, депозитни сертификати и търговски ценни книжа. </w:t>
      </w:r>
    </w:p>
    <w:p>
      <w:pPr>
        <w:numPr>
          <w:ilvl w:val="0"/>
          <w:numId w:val="78"/>
        </w:numPr>
        <w:tabs>
          <w:tab w:val="clear" w:pos="795"/>
          <w:tab w:val="right" w:pos="-2700"/>
          <w:tab w:val="num" w:pos="1276"/>
          <w:tab w:val="center" w:pos="4320"/>
          <w:tab w:val="right" w:pos="8640"/>
        </w:tabs>
        <w:suppressAutoHyphens/>
        <w:spacing w:before="60" w:after="60"/>
        <w:ind w:left="426" w:hanging="426"/>
        <w:jc w:val="both"/>
        <w:rPr>
          <w:rFonts w:ascii="Arial" w:hAnsi="Arial"/>
          <w:noProof/>
          <w:sz w:val="16"/>
          <w:szCs w:val="16"/>
          <w:lang w:val="bg-BG" w:eastAsia="ar-SA"/>
        </w:rPr>
      </w:pPr>
    </w:p>
    <w:p>
      <w:pPr>
        <w:numPr>
          <w:ilvl w:val="0"/>
          <w:numId w:val="78"/>
        </w:numPr>
        <w:tabs>
          <w:tab w:val="clear" w:pos="795"/>
          <w:tab w:val="right" w:pos="-2700"/>
          <w:tab w:val="num" w:pos="426"/>
          <w:tab w:val="center" w:pos="4320"/>
          <w:tab w:val="right" w:pos="864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Оторизираните субекти имат рейтинг, който е подобен на краткосрочните и дългосрочните рейтинги, изисквани за собствените инвестиции в ценни книжа на ЕИБ. В случай на различни рейтинги, които са били предоставени от повече от една кредитна агенция, се прилага най-ниският рейтинг. Максимално разрешеният лимит за всяка оторизирана банка в момента е 50 000 000 EUR (петдесет милиона евро). Изключение от това правило беше предоставено на Société Générale, където механизмът държи своите оперативни парични сметки. Краткосрочният кредитен лимит за Société Générale към 31 декември 2019 г. и към 31 декември 2018 г. възлиза на 110 000 000 EUR (сто и десет милиона евро). Увеличеният лимит се прилага за сумата на паричните средства, държани по оперативните парични сметки, и инструментите, емитирани от този контрагент и държани от финансовия портфейл.</w:t>
      </w:r>
    </w:p>
    <w:p>
      <w:pPr>
        <w:numPr>
          <w:ilvl w:val="0"/>
          <w:numId w:val="78"/>
        </w:numPr>
        <w:tabs>
          <w:tab w:val="clear" w:pos="795"/>
          <w:tab w:val="right" w:pos="-2700"/>
          <w:tab w:val="num" w:pos="426"/>
          <w:tab w:val="center" w:pos="4320"/>
          <w:tab w:val="right" w:pos="8640"/>
        </w:tabs>
        <w:suppressAutoHyphens/>
        <w:spacing w:before="60" w:after="60"/>
        <w:ind w:left="0" w:firstLine="0"/>
        <w:jc w:val="both"/>
        <w:rPr>
          <w:rFonts w:ascii="Arial" w:hAnsi="Arial"/>
          <w:noProof/>
          <w:sz w:val="16"/>
          <w:lang w:val="bg-BG" w:eastAsia="ar-SA"/>
        </w:rPr>
      </w:pPr>
    </w:p>
    <w:p>
      <w:pPr>
        <w:tabs>
          <w:tab w:val="right" w:pos="-2700"/>
          <w:tab w:val="center" w:pos="4320"/>
          <w:tab w:val="right" w:pos="8640"/>
        </w:tabs>
        <w:suppressAutoHyphens/>
        <w:spacing w:before="60" w:after="60"/>
        <w:jc w:val="both"/>
        <w:rPr>
          <w:rFonts w:ascii="Arial" w:hAnsi="Arial" w:cs="Arial"/>
          <w:noProof/>
          <w:sz w:val="16"/>
          <w:szCs w:val="16"/>
          <w:lang w:val="bg-BG" w:eastAsia="ar-SA"/>
        </w:rPr>
      </w:pPr>
      <w:r>
        <w:rPr>
          <w:rFonts w:ascii="Arial" w:hAnsi="Arial" w:cs="Arial"/>
          <w:noProof/>
          <w:sz w:val="16"/>
          <w:szCs w:val="16"/>
          <w:lang w:val="bg-BG" w:eastAsia="ar-SA"/>
        </w:rPr>
        <w:t xml:space="preserve">Всички инвестиции са направени при оторизирани субекти с максимален срок до падежа от три месеца от датата на операцията. Всички случаи на неспазване на лимита за кредитна експозиция са докладвани на мандатоносителите. Към 31 декември 2019 г. и 31 декември 2018 г. всички срочни депозити, търговски ценни книжа и касови наличности, държани от финансовия портфейл на механизма, са имали минимален рейтинг поне P-2 (еквивалент на Moody’s) в деня на сетълмента. </w:t>
      </w:r>
    </w:p>
    <w:p>
      <w:pPr>
        <w:numPr>
          <w:ilvl w:val="0"/>
          <w:numId w:val="78"/>
        </w:numPr>
        <w:tabs>
          <w:tab w:val="clear" w:pos="795"/>
          <w:tab w:val="right" w:pos="-2700"/>
          <w:tab w:val="num" w:pos="426"/>
          <w:tab w:val="center" w:pos="4320"/>
          <w:tab w:val="right" w:pos="8640"/>
        </w:tabs>
        <w:suppressAutoHyphens/>
        <w:spacing w:before="60" w:after="60"/>
        <w:ind w:left="0" w:firstLine="0"/>
        <w:jc w:val="both"/>
        <w:rPr>
          <w:rFonts w:ascii="Arial" w:hAnsi="Arial"/>
          <w:noProof/>
          <w:sz w:val="16"/>
          <w:szCs w:val="16"/>
          <w:lang w:val="bg-BG" w:eastAsia="ar-SA"/>
        </w:rPr>
      </w:pPr>
    </w:p>
    <w:p>
      <w:pPr>
        <w:numPr>
          <w:ilvl w:val="0"/>
          <w:numId w:val="78"/>
        </w:numPr>
        <w:tabs>
          <w:tab w:val="clear" w:pos="795"/>
          <w:tab w:val="right" w:pos="-2700"/>
          <w:tab w:val="num" w:pos="426"/>
          <w:tab w:val="center" w:pos="4320"/>
          <w:tab w:val="right" w:pos="8640"/>
        </w:tabs>
        <w:suppressAutoHyphens/>
        <w:spacing w:before="60" w:after="60"/>
        <w:ind w:left="0" w:firstLine="0"/>
        <w:jc w:val="both"/>
        <w:rPr>
          <w:rFonts w:ascii="Arial" w:hAnsi="Arial"/>
          <w:noProof/>
          <w:spacing w:val="-4"/>
          <w:sz w:val="16"/>
          <w:szCs w:val="16"/>
          <w:lang w:val="bg-BG" w:eastAsia="ar-SA"/>
        </w:rPr>
      </w:pPr>
      <w:r>
        <w:rPr>
          <w:rFonts w:ascii="Arial" w:hAnsi="Arial"/>
          <w:noProof/>
          <w:spacing w:val="-4"/>
          <w:sz w:val="16"/>
          <w:szCs w:val="16"/>
          <w:lang w:val="bg-BG" w:eastAsia="ar-SA"/>
        </w:rPr>
        <w:t>Следната таблица показва положението на парите и паричните еквиваленти, включително начислените лихви (в хиляди евро):</w:t>
      </w:r>
    </w:p>
    <w:p>
      <w:pPr>
        <w:numPr>
          <w:ilvl w:val="0"/>
          <w:numId w:val="78"/>
        </w:numPr>
        <w:tabs>
          <w:tab w:val="clear" w:pos="795"/>
          <w:tab w:val="right" w:pos="-2700"/>
          <w:tab w:val="num" w:pos="426"/>
          <w:tab w:val="center" w:pos="4320"/>
          <w:tab w:val="right" w:pos="8640"/>
        </w:tabs>
        <w:suppressAutoHyphens/>
        <w:spacing w:before="60" w:after="60"/>
        <w:ind w:left="0" w:firstLine="0"/>
        <w:jc w:val="both"/>
        <w:rPr>
          <w:rFonts w:ascii="Arial" w:hAnsi="Arial"/>
          <w:noProof/>
          <w:sz w:val="16"/>
          <w:szCs w:val="16"/>
          <w:lang w:val="bg-BG" w:eastAsia="ar-SA"/>
        </w:rPr>
      </w:pPr>
      <w:r>
        <w:rPr>
          <w:rFonts w:ascii="Arial" w:hAnsi="Arial"/>
          <w:b/>
          <w:noProof/>
          <w:sz w:val="20"/>
          <w:lang w:val="bg-BG" w:eastAsia="ar-SA"/>
        </w:rPr>
        <w:t xml:space="preserve"> </w:t>
      </w:r>
    </w:p>
    <w:tbl>
      <w:tblPr>
        <w:tblStyle w:val="CDMRange16"/>
        <w:tblW w:w="9960" w:type="dxa"/>
        <w:tblLayout w:type="fixed"/>
        <w:tblLook w:val="0600" w:firstRow="0" w:lastRow="0" w:firstColumn="0" w:lastColumn="0" w:noHBand="1" w:noVBand="1"/>
      </w:tblPr>
      <w:tblGrid>
        <w:gridCol w:w="1980"/>
        <w:gridCol w:w="1980"/>
        <w:gridCol w:w="1500"/>
        <w:gridCol w:w="1500"/>
        <w:gridCol w:w="1500"/>
        <w:gridCol w:w="1500"/>
      </w:tblGrid>
      <w:tr>
        <w:trPr>
          <w:trHeight w:val="615"/>
        </w:trPr>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Минимален краткосрочен рейтинг</w:t>
            </w:r>
          </w:p>
        </w:tc>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Минимален дългосрочен рейтинг</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36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c>
          <w:tcPr>
            <w:tcW w:w="36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(по Moody’s)</w:t>
            </w:r>
          </w:p>
        </w:tc>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(по Moody’s)</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center"/>
              <w:rPr>
                <w:rFonts w:ascii="Calibri" w:eastAsia="Calibri" w:hAnsi="Calibri" w:cs="Calibri"/>
                <w:noProof/>
                <w:color w:val="000000"/>
                <w:sz w:val="22"/>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center"/>
              <w:rPr>
                <w:rFonts w:ascii="Calibri" w:eastAsia="Calibri" w:hAnsi="Calibri" w:cs="Calibri"/>
                <w:noProof/>
                <w:color w:val="000000"/>
                <w:sz w:val="22"/>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center"/>
              <w:rPr>
                <w:rFonts w:ascii="Calibri" w:eastAsia="Calibri" w:hAnsi="Calibri" w:cs="Calibri"/>
                <w:noProof/>
                <w:color w:val="000000"/>
                <w:sz w:val="22"/>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center"/>
              <w:rPr>
                <w:rFonts w:ascii="Calibri" w:eastAsia="Calibri" w:hAnsi="Calibri" w:cs="Calibri"/>
                <w:noProof/>
                <w:color w:val="000000"/>
                <w:sz w:val="22"/>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Aaa</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98,945</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12 %</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71,914</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67,799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89,983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49,972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213,914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199,938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212,199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201,899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104,944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49,993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49,985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980" w:type="dxa"/>
            <w:tcBorders>
              <w:top w:val="nil"/>
              <w:left w:val="nil"/>
              <w:bottom w:val="nil"/>
              <w:right w:val="nil"/>
              <w:tl2br w:val="nil"/>
              <w:tr2bl w:val="nil"/>
            </w:tcBorders>
            <w:shd w:val="clear" w:color="FFFFFF" w:fill="BFBFBF"/>
            <w:noWrap/>
            <w:tcMar>
              <w:left w:w="0" w:type="dxa"/>
              <w:right w:w="0" w:type="dxa"/>
            </w:tcMar>
            <w:vAlign w:val="center"/>
          </w:tcPr>
          <w:p>
            <w:pP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837,777</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573,708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100 %</w:t>
            </w:r>
          </w:p>
        </w:tc>
      </w:tr>
    </w:tbl>
    <w:p>
      <w:pPr>
        <w:suppressAutoHyphens/>
        <w:rPr>
          <w:rFonts w:ascii="Arial" w:hAnsi="Arial"/>
          <w:noProof/>
          <w:sz w:val="16"/>
          <w:lang w:val="bg-BG" w:eastAsia="ar-SA"/>
        </w:rPr>
      </w:pPr>
    </w:p>
    <w:p>
      <w:pPr>
        <w:numPr>
          <w:ilvl w:val="2"/>
          <w:numId w:val="78"/>
        </w:numPr>
        <w:tabs>
          <w:tab w:val="right" w:pos="-2700"/>
          <w:tab w:val="right" w:pos="720"/>
        </w:tabs>
        <w:suppressAutoHyphens/>
        <w:spacing w:before="60"/>
        <w:ind w:left="794" w:hanging="794"/>
        <w:rPr>
          <w:rFonts w:ascii="Arial" w:hAnsi="Arial"/>
          <w:b/>
          <w:bCs/>
          <w:noProof/>
          <w:sz w:val="16"/>
          <w:szCs w:val="16"/>
          <w:lang w:val="bg-BG" w:eastAsia="ar-SA"/>
        </w:rPr>
      </w:pPr>
      <w:r>
        <w:rPr>
          <w:rFonts w:ascii="Arial" w:hAnsi="Arial"/>
          <w:b/>
          <w:bCs/>
          <w:noProof/>
          <w:sz w:val="16"/>
          <w:szCs w:val="16"/>
          <w:lang w:val="bg-BG" w:eastAsia="ar-SA"/>
        </w:rPr>
        <w:t>Кредитен риск на дериватите</w:t>
      </w:r>
    </w:p>
    <w:p>
      <w:pPr>
        <w:numPr>
          <w:ilvl w:val="0"/>
          <w:numId w:val="79"/>
        </w:numPr>
        <w:tabs>
          <w:tab w:val="right" w:pos="-2700"/>
        </w:tabs>
        <w:suppressAutoHyphens/>
        <w:spacing w:after="60"/>
        <w:ind w:left="0" w:firstLine="0"/>
        <w:jc w:val="both"/>
        <w:rPr>
          <w:rFonts w:ascii="Arial" w:hAnsi="Arial"/>
          <w:b/>
          <w:noProof/>
          <w:sz w:val="16"/>
          <w:szCs w:val="16"/>
          <w:lang w:eastAsia="ar-SA"/>
        </w:rPr>
      </w:pPr>
    </w:p>
    <w:p>
      <w:pPr>
        <w:numPr>
          <w:ilvl w:val="3"/>
          <w:numId w:val="78"/>
        </w:numPr>
        <w:tabs>
          <w:tab w:val="right" w:pos="-2700"/>
          <w:tab w:val="right" w:pos="720"/>
        </w:tabs>
        <w:suppressAutoHyphens/>
        <w:spacing w:before="60"/>
        <w:ind w:left="794" w:hanging="794"/>
        <w:rPr>
          <w:rFonts w:ascii="Arial" w:hAnsi="Arial"/>
          <w:b/>
          <w:bCs/>
          <w:noProof/>
          <w:sz w:val="16"/>
          <w:szCs w:val="16"/>
          <w:lang w:val="bg-BG" w:eastAsia="ar-SA"/>
        </w:rPr>
      </w:pPr>
      <w:r>
        <w:rPr>
          <w:rFonts w:ascii="Arial" w:hAnsi="Arial"/>
          <w:b/>
          <w:bCs/>
          <w:noProof/>
          <w:sz w:val="16"/>
          <w:szCs w:val="16"/>
          <w:lang w:val="bg-BG" w:eastAsia="ar-SA"/>
        </w:rPr>
        <w:t>Политика за кредитния риск на дериватите</w:t>
      </w:r>
    </w:p>
    <w:p>
      <w:pPr>
        <w:numPr>
          <w:ilvl w:val="0"/>
          <w:numId w:val="79"/>
        </w:numPr>
        <w:tabs>
          <w:tab w:val="right" w:pos="-2700"/>
        </w:tabs>
        <w:suppressAutoHyphens/>
        <w:spacing w:after="60"/>
        <w:ind w:left="0" w:firstLine="0"/>
        <w:jc w:val="both"/>
        <w:rPr>
          <w:rFonts w:ascii="Arial" w:hAnsi="Arial"/>
          <w:noProof/>
          <w:sz w:val="16"/>
          <w:szCs w:val="16"/>
          <w:lang w:eastAsia="ar-SA"/>
        </w:rPr>
      </w:pPr>
    </w:p>
    <w:p>
      <w:pPr>
        <w:numPr>
          <w:ilvl w:val="0"/>
          <w:numId w:val="79"/>
        </w:numPr>
        <w:tabs>
          <w:tab w:val="right" w:pos="-270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Кредитният риск по отношение на дериватите се представя като загуби, които едната страна би понесла, ако другият контрагент по сделката не е в състояние да изпълни своите договорни задължения. Кредитният риск, свързан с дериватите, варира в зависимост от редица фактори (като лихвени проценти и валутни курсове) и като цяло отговаря на само малка част от тяхната условна стойност.</w:t>
      </w:r>
    </w:p>
    <w:p>
      <w:pPr>
        <w:numPr>
          <w:ilvl w:val="0"/>
          <w:numId w:val="79"/>
        </w:numPr>
        <w:tabs>
          <w:tab w:val="right" w:pos="-2700"/>
        </w:tabs>
        <w:suppressAutoHyphens/>
        <w:spacing w:before="60" w:after="60"/>
        <w:ind w:left="0" w:firstLine="0"/>
        <w:jc w:val="both"/>
        <w:rPr>
          <w:rFonts w:ascii="Arial" w:hAnsi="Arial"/>
          <w:noProof/>
          <w:sz w:val="16"/>
          <w:szCs w:val="16"/>
          <w:lang w:val="bg-BG" w:eastAsia="ar-SA"/>
        </w:rPr>
      </w:pPr>
    </w:p>
    <w:p>
      <w:pPr>
        <w:numPr>
          <w:ilvl w:val="0"/>
          <w:numId w:val="79"/>
        </w:numPr>
        <w:tabs>
          <w:tab w:val="right" w:pos="-270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 xml:space="preserve">В обичайния ход на своята дейност механизмът може да сключва договори за суап с цел да хеджира определени кредитни операции или да сключва форуърдни договори с цел да хеджира валутните си позиции, изразени в активно търгувани валути, различни от евро. Всички суапове се изпълняват от ЕИБ с външно участие. Суаповете се уреждат от същото главно споразумение за суаповете и от приложенията относно кредитната подкрепа, подписани между ЕИБ и външните ѝ партньори. </w:t>
      </w:r>
    </w:p>
    <w:p>
      <w:pPr>
        <w:numPr>
          <w:ilvl w:val="0"/>
          <w:numId w:val="79"/>
        </w:numPr>
        <w:tabs>
          <w:tab w:val="right" w:pos="-2700"/>
        </w:tabs>
        <w:suppressAutoHyphens/>
        <w:spacing w:before="60" w:after="60"/>
        <w:ind w:left="0" w:firstLine="0"/>
        <w:rPr>
          <w:rFonts w:ascii="Arial" w:hAnsi="Arial"/>
          <w:noProof/>
          <w:sz w:val="16"/>
          <w:szCs w:val="16"/>
          <w:shd w:val="clear" w:color="auto" w:fill="FFFF00"/>
          <w:lang w:val="bg-BG" w:eastAsia="ar-SA"/>
        </w:rPr>
      </w:pPr>
    </w:p>
    <w:p>
      <w:pPr>
        <w:numPr>
          <w:ilvl w:val="3"/>
          <w:numId w:val="78"/>
        </w:numPr>
        <w:tabs>
          <w:tab w:val="right" w:pos="-2700"/>
          <w:tab w:val="right" w:pos="720"/>
        </w:tabs>
        <w:suppressAutoHyphens/>
        <w:spacing w:before="60"/>
        <w:ind w:left="794" w:hanging="794"/>
        <w:rPr>
          <w:rFonts w:ascii="Arial" w:hAnsi="Arial"/>
          <w:b/>
          <w:bCs/>
          <w:noProof/>
          <w:sz w:val="16"/>
          <w:szCs w:val="16"/>
          <w:lang w:val="bg-BG" w:eastAsia="ar-SA"/>
        </w:rPr>
      </w:pPr>
      <w:r>
        <w:rPr>
          <w:rFonts w:ascii="Arial" w:hAnsi="Arial"/>
          <w:b/>
          <w:bCs/>
          <w:noProof/>
          <w:sz w:val="16"/>
          <w:szCs w:val="16"/>
          <w:lang w:val="bg-BG" w:eastAsia="ar-SA"/>
        </w:rPr>
        <w:t>Измерване на кредитния риск на дериватите</w:t>
      </w:r>
    </w:p>
    <w:p>
      <w:pPr>
        <w:numPr>
          <w:ilvl w:val="0"/>
          <w:numId w:val="79"/>
        </w:numPr>
        <w:tabs>
          <w:tab w:val="right" w:pos="-2700"/>
          <w:tab w:val="right" w:pos="720"/>
        </w:tabs>
        <w:suppressAutoHyphens/>
        <w:spacing w:after="60"/>
        <w:ind w:left="0" w:firstLine="0"/>
        <w:jc w:val="both"/>
        <w:rPr>
          <w:rFonts w:ascii="Arial" w:hAnsi="Arial"/>
          <w:noProof/>
          <w:sz w:val="16"/>
          <w:szCs w:val="16"/>
          <w:lang w:val="bg-BG" w:eastAsia="ar-SA"/>
        </w:rPr>
      </w:pPr>
    </w:p>
    <w:p>
      <w:pPr>
        <w:numPr>
          <w:ilvl w:val="0"/>
          <w:numId w:val="79"/>
        </w:numPr>
        <w:tabs>
          <w:tab w:val="right" w:pos="-2700"/>
          <w:tab w:val="right" w:pos="72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Всички суапове, предприети от ЕИБ, които са свързани с механизма, се третират в същата договорна рамка и със същите методики, прилагани за дериватите, договорени от ЕИБ за нейните собствени цели. По-специално допустимостта на партньорите при суап се определя от ЕИБ на базата на същите условия за допустимост, прилагани за общите операции по суап.</w:t>
      </w:r>
    </w:p>
    <w:p>
      <w:pPr>
        <w:numPr>
          <w:ilvl w:val="0"/>
          <w:numId w:val="79"/>
        </w:numPr>
        <w:tabs>
          <w:tab w:val="right" w:pos="-2700"/>
          <w:tab w:val="right" w:pos="720"/>
        </w:tabs>
        <w:suppressAutoHyphens/>
        <w:spacing w:before="60" w:after="60"/>
        <w:ind w:left="0" w:firstLine="0"/>
        <w:jc w:val="both"/>
        <w:rPr>
          <w:rFonts w:ascii="Arial" w:hAnsi="Arial"/>
          <w:noProof/>
          <w:sz w:val="16"/>
          <w:szCs w:val="16"/>
          <w:lang w:val="bg-BG" w:eastAsia="ar-SA"/>
        </w:rPr>
      </w:pPr>
    </w:p>
    <w:p>
      <w:pPr>
        <w:numPr>
          <w:ilvl w:val="0"/>
          <w:numId w:val="79"/>
        </w:numPr>
        <w:tabs>
          <w:tab w:val="right" w:pos="-2700"/>
          <w:tab w:val="right" w:pos="72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ЕИБ измерва експозицията към кредитен риск, свързана със суапове и трансакции с деривати, с помощта на подхода за нетната пазарна експозиция (НПЕ) и потенциалната бъдеща експозиция (ПБЕ) за докладване и мониторинг на лимитите. НПЕ и ПБЕ включват изцяло дериватите, свързани с Инвестиционния механизъм.</w:t>
      </w:r>
    </w:p>
    <w:p>
      <w:pPr>
        <w:numPr>
          <w:ilvl w:val="0"/>
          <w:numId w:val="79"/>
        </w:numPr>
        <w:tabs>
          <w:tab w:val="right" w:pos="-2700"/>
          <w:tab w:val="right" w:pos="720"/>
        </w:tabs>
        <w:suppressAutoHyphens/>
        <w:spacing w:before="60" w:after="60"/>
        <w:ind w:left="0" w:firstLine="0"/>
        <w:rPr>
          <w:rFonts w:ascii="Arial" w:hAnsi="Arial"/>
          <w:noProof/>
          <w:sz w:val="16"/>
          <w:szCs w:val="16"/>
          <w:lang w:val="bg-BG" w:eastAsia="ar-SA"/>
        </w:rPr>
      </w:pPr>
      <w:r>
        <w:rPr>
          <w:rFonts w:ascii="Arial" w:hAnsi="Arial"/>
          <w:b/>
          <w:noProof/>
          <w:sz w:val="20"/>
          <w:lang w:val="bg-BG" w:eastAsia="ar-SA"/>
        </w:rPr>
        <w:t xml:space="preserve"> </w:t>
      </w:r>
    </w:p>
    <w:p>
      <w:pPr>
        <w:pageBreakBefore/>
        <w:numPr>
          <w:ilvl w:val="0"/>
          <w:numId w:val="80"/>
        </w:numPr>
        <w:tabs>
          <w:tab w:val="right" w:pos="-2700"/>
          <w:tab w:val="right" w:pos="720"/>
        </w:tabs>
        <w:suppressAutoHyphens/>
        <w:spacing w:before="60"/>
        <w:ind w:left="357" w:hanging="357"/>
        <w:rPr>
          <w:rFonts w:ascii="Arial" w:hAnsi="Arial"/>
          <w:noProof/>
          <w:sz w:val="16"/>
          <w:szCs w:val="16"/>
          <w:lang w:val="bg-BG" w:eastAsia="ar-SA"/>
        </w:rPr>
      </w:pPr>
      <w:r>
        <w:rPr>
          <w:rFonts w:ascii="Arial" w:hAnsi="Arial"/>
          <w:noProof/>
          <w:sz w:val="16"/>
          <w:szCs w:val="16"/>
          <w:lang w:val="bg-BG" w:eastAsia="ar-SA"/>
        </w:rPr>
        <w:t>Следната таблица показва падежите на кръстосани валутно-лихвени суапове, разделени според тяхната фиктивна стойност и справедлива стойност:</w:t>
      </w:r>
    </w:p>
    <w:p>
      <w:pPr>
        <w:numPr>
          <w:ilvl w:val="0"/>
          <w:numId w:val="81"/>
        </w:numPr>
        <w:tabs>
          <w:tab w:val="right" w:pos="-2700"/>
          <w:tab w:val="right" w:pos="720"/>
        </w:tabs>
        <w:suppressAutoHyphens/>
        <w:spacing w:before="60" w:after="60"/>
        <w:ind w:left="0" w:firstLine="0"/>
        <w:rPr>
          <w:rFonts w:ascii="Arial" w:hAnsi="Arial"/>
          <w:noProof/>
          <w:sz w:val="16"/>
          <w:szCs w:val="16"/>
          <w:lang w:val="bg-BG" w:eastAsia="ar-SA"/>
        </w:rPr>
      </w:pPr>
      <w:r>
        <w:rPr>
          <w:rFonts w:ascii="Arial" w:hAnsi="Arial"/>
          <w:b/>
          <w:noProof/>
          <w:sz w:val="20"/>
          <w:lang w:val="bg-BG" w:eastAsia="ar-SA"/>
        </w:rPr>
        <w:t xml:space="preserve"> </w:t>
      </w:r>
    </w:p>
    <w:tbl>
      <w:tblPr>
        <w:tblStyle w:val="CDMRange26"/>
        <w:tblW w:w="9975" w:type="dxa"/>
        <w:tblLayout w:type="fixed"/>
        <w:tblLook w:val="0600" w:firstRow="0" w:lastRow="0" w:firstColumn="0" w:lastColumn="0" w:noHBand="1" w:noVBand="1"/>
      </w:tblPr>
      <w:tblGrid>
        <w:gridCol w:w="3975"/>
        <w:gridCol w:w="1200"/>
        <w:gridCol w:w="1200"/>
        <w:gridCol w:w="1200"/>
        <w:gridCol w:w="1200"/>
        <w:gridCol w:w="1200"/>
      </w:tblGrid>
      <w:tr>
        <w:trPr>
          <w:trHeight w:hRule="exact" w:val="544"/>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Суапови договори към 31.12.2019 г.</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по-малко от</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 години</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 за 2019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24"/>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5 години</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10 години</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10 години</w:t>
            </w: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Условна стойност</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Справедлива стойност (т.е. нетната сконтирана стойност)</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4"/>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Суапови договори към 31.12.2018 г.</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по-малко от</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 години</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 за 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5 години</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до 10 години</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 години</w:t>
            </w: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Условна стойност</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5,245</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Справедлива стойност (т.е. нетната сконтирана стойност)</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-325</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-325</w:t>
            </w:r>
          </w:p>
        </w:tc>
      </w:tr>
    </w:tbl>
    <w:p>
      <w:pPr>
        <w:tabs>
          <w:tab w:val="right" w:pos="-2700"/>
          <w:tab w:val="center" w:pos="4320"/>
          <w:tab w:val="right" w:pos="8640"/>
        </w:tabs>
        <w:suppressAutoHyphens/>
        <w:spacing w:before="60" w:after="60"/>
        <w:ind w:left="360"/>
        <w:jc w:val="both"/>
        <w:rPr>
          <w:rFonts w:ascii="Arial" w:hAnsi="Arial"/>
          <w:noProof/>
          <w:sz w:val="16"/>
          <w:szCs w:val="16"/>
          <w:lang w:val="bg-BG" w:eastAsia="ar-SA"/>
        </w:rPr>
      </w:pPr>
      <w:r>
        <w:rPr>
          <w:rFonts w:ascii="Arial" w:hAnsi="Arial"/>
          <w:noProof/>
          <w:sz w:val="16"/>
          <w:szCs w:val="16"/>
          <w:lang w:val="bg-BG" w:eastAsia="ar-SA"/>
        </w:rPr>
        <w:t>1</w:t>
      </w:r>
      <w:r>
        <w:rPr>
          <w:rFonts w:ascii="Arial" w:hAnsi="Arial"/>
          <w:noProof/>
          <w:sz w:val="16"/>
          <w:szCs w:val="16"/>
          <w:lang w:val="bg-BG" w:eastAsia="ar-SA"/>
        </w:rPr>
        <w:tab/>
      </w:r>
    </w:p>
    <w:p>
      <w:pPr>
        <w:numPr>
          <w:ilvl w:val="0"/>
          <w:numId w:val="82"/>
        </w:numPr>
        <w:tabs>
          <w:tab w:val="right" w:pos="-2700"/>
          <w:tab w:val="center" w:pos="4320"/>
          <w:tab w:val="right" w:pos="8640"/>
        </w:tabs>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Механизмът сключва договори за краткосрочни валутни суапове (FX суапове) с цел да хеджира валутния риск на плащанията във валути, различни от EUR. FX суаповете имат падеж от максимум три месеца и редовно се подновяват. Условната сума на FX суаповете възлиза на 1 545,0 милиона евро към 31 декември 2019 г. при 1 460,6 милиона евро към 31 декември 2018 г. Справедливата стойност на FX суаповете възлиза на 14,1 милиона евро към 31 декември 2019 г. при 1,1 милиона евро към 31 декември 2018 г.</w:t>
      </w:r>
    </w:p>
    <w:p>
      <w:pPr>
        <w:numPr>
          <w:ilvl w:val="0"/>
          <w:numId w:val="83"/>
        </w:numPr>
        <w:tabs>
          <w:tab w:val="right" w:pos="-2700"/>
          <w:tab w:val="center" w:pos="4320"/>
          <w:tab w:val="right" w:pos="8640"/>
        </w:tabs>
        <w:suppressAutoHyphens/>
        <w:spacing w:before="60" w:after="60"/>
        <w:ind w:firstLine="66"/>
        <w:jc w:val="both"/>
        <w:rPr>
          <w:rFonts w:ascii="Arial" w:hAnsi="Arial"/>
          <w:noProof/>
          <w:sz w:val="16"/>
          <w:szCs w:val="16"/>
          <w:lang w:val="bg-BG" w:eastAsia="ar-SA"/>
        </w:rPr>
      </w:pPr>
    </w:p>
    <w:p>
      <w:pPr>
        <w:numPr>
          <w:ilvl w:val="0"/>
          <w:numId w:val="82"/>
        </w:numPr>
        <w:tabs>
          <w:tab w:val="right" w:pos="-2700"/>
          <w:tab w:val="center" w:pos="4320"/>
          <w:tab w:val="right" w:pos="8640"/>
        </w:tabs>
        <w:suppressAutoHyphens/>
        <w:spacing w:before="60" w:after="60"/>
        <w:ind w:left="357" w:hanging="357"/>
        <w:jc w:val="both"/>
        <w:rPr>
          <w:rFonts w:ascii="Arial" w:hAnsi="Arial"/>
          <w:noProof/>
          <w:sz w:val="16"/>
          <w:szCs w:val="16"/>
          <w:lang w:val="bg-BG" w:eastAsia="ar-SA"/>
        </w:rPr>
      </w:pPr>
      <w:r>
        <w:rPr>
          <w:rFonts w:ascii="Arial" w:hAnsi="Arial"/>
          <w:noProof/>
          <w:sz w:val="16"/>
          <w:szCs w:val="16"/>
          <w:lang w:val="bg-BG" w:eastAsia="ar-SA"/>
        </w:rPr>
        <w:t>Механизмът сключва договори за лихвен суап с цел хеджиране на лихвения риск за изплатени заеми. Към 31 декември 2019 г. съществуват два лихвени суапа с условна сума от 24,2 милиона евро (2018 г.: 28,5 милиона евро) и справедлива стойност от -0,1 милиона евро (2018 г.: 0,7 милиона евро).</w:t>
      </w:r>
    </w:p>
    <w:p>
      <w:pPr>
        <w:numPr>
          <w:ilvl w:val="0"/>
          <w:numId w:val="83"/>
        </w:numPr>
        <w:tabs>
          <w:tab w:val="right" w:pos="-2700"/>
          <w:tab w:val="center" w:pos="4320"/>
          <w:tab w:val="right" w:pos="8640"/>
        </w:tabs>
        <w:suppressAutoHyphens/>
        <w:spacing w:before="60"/>
        <w:ind w:left="0" w:firstLine="0"/>
        <w:jc w:val="both"/>
        <w:rPr>
          <w:rFonts w:ascii="Arial" w:hAnsi="Arial"/>
          <w:noProof/>
          <w:sz w:val="16"/>
          <w:szCs w:val="16"/>
          <w:lang w:val="bg-BG" w:eastAsia="ar-SA"/>
        </w:rPr>
      </w:pPr>
      <w:r>
        <w:rPr>
          <w:rFonts w:ascii="Arial" w:hAnsi="Arial"/>
          <w:b/>
          <w:noProof/>
          <w:sz w:val="20"/>
          <w:lang w:val="bg-BG" w:eastAsia="ar-SA"/>
        </w:rPr>
        <w:t xml:space="preserve"> </w:t>
      </w:r>
    </w:p>
    <w:p>
      <w:pPr>
        <w:tabs>
          <w:tab w:val="right" w:pos="-2700"/>
          <w:tab w:val="left" w:pos="851"/>
        </w:tabs>
        <w:suppressAutoHyphens/>
        <w:spacing w:before="60"/>
        <w:jc w:val="both"/>
        <w:rPr>
          <w:rFonts w:ascii="Arial" w:hAnsi="Arial"/>
          <w:b/>
          <w:noProof/>
          <w:sz w:val="16"/>
          <w:szCs w:val="16"/>
          <w:lang w:val="bg-BG" w:eastAsia="ar-SA"/>
        </w:rPr>
      </w:pPr>
      <w:r>
        <w:rPr>
          <w:rFonts w:ascii="Arial" w:hAnsi="Arial"/>
          <w:b/>
          <w:noProof/>
          <w:sz w:val="16"/>
          <w:szCs w:val="16"/>
          <w:lang w:val="bg-BG" w:eastAsia="ar-SA"/>
        </w:rPr>
        <w:t>3.2.4.</w:t>
      </w:r>
      <w:r>
        <w:rPr>
          <w:rFonts w:ascii="Arial" w:hAnsi="Arial"/>
          <w:b/>
          <w:noProof/>
          <w:sz w:val="16"/>
          <w:szCs w:val="16"/>
          <w:lang w:val="bg-BG" w:eastAsia="ar-SA"/>
        </w:rPr>
        <w:tab/>
        <w:t>Кредитен риск на касовите финансови активи</w:t>
      </w:r>
    </w:p>
    <w:p>
      <w:pPr>
        <w:pStyle w:val="Notes3"/>
        <w:rPr>
          <w:noProof/>
          <w:sz w:val="16"/>
          <w:szCs w:val="16"/>
        </w:rPr>
      </w:pPr>
    </w:p>
    <w:p>
      <w:pPr>
        <w:tabs>
          <w:tab w:val="right" w:pos="-2700"/>
          <w:tab w:val="center" w:pos="4320"/>
          <w:tab w:val="right" w:pos="8640"/>
        </w:tabs>
        <w:suppressAutoHyphens/>
        <w:spacing w:before="60" w:after="60"/>
        <w:jc w:val="both"/>
        <w:rPr>
          <w:rFonts w:ascii="Arial" w:hAnsi="Arial" w:cs="Arial"/>
          <w:noProof/>
          <w:sz w:val="16"/>
          <w:szCs w:val="16"/>
          <w:lang w:val="bg-BG" w:eastAsia="ar-SA"/>
        </w:rPr>
      </w:pPr>
      <w:r>
        <w:rPr>
          <w:rFonts w:ascii="Arial" w:hAnsi="Arial" w:cs="Arial"/>
          <w:noProof/>
          <w:sz w:val="16"/>
          <w:szCs w:val="16"/>
          <w:lang w:val="bg-BG" w:eastAsia="ar-SA"/>
        </w:rPr>
        <w:t>Таблицата по-долу показва състоянието на касовия портфейл, изцяло съставен от търговски ценни книжа, емитирани от структури на поддържавно равнище, банки и небанкови субекти, с остатъчен срок до падежа до три месеца. Държавите — членки на ЕС, техните агенции, банки и небанкови субекти са допустими емитенти. Максимално допустимата граница за всеки оторизиран емитент е 50 000 000 EUR (петдесет милиона евро). Инвестициите в средносрочни и дългосрочни облигации също могат да бъдат допустими според инвестиционните насоки и в зависимост от изискванията за ликвидност:</w:t>
      </w:r>
    </w:p>
    <w:p>
      <w:pPr>
        <w:pStyle w:val="Notes19"/>
        <w:rPr>
          <w:noProof/>
          <w:sz w:val="16"/>
          <w:szCs w:val="16"/>
        </w:rPr>
      </w:pPr>
      <w:r>
        <w:rPr>
          <w:noProof/>
        </w:rPr>
        <w:t xml:space="preserve"> </w:t>
      </w:r>
    </w:p>
    <w:tbl>
      <w:tblPr>
        <w:tblStyle w:val="CDMRange17"/>
        <w:tblW w:w="9960" w:type="dxa"/>
        <w:tblLayout w:type="fixed"/>
        <w:tblLook w:val="0600" w:firstRow="0" w:lastRow="0" w:firstColumn="0" w:lastColumn="0" w:noHBand="1" w:noVBand="1"/>
      </w:tblPr>
      <w:tblGrid>
        <w:gridCol w:w="1980"/>
        <w:gridCol w:w="1980"/>
        <w:gridCol w:w="1500"/>
        <w:gridCol w:w="1500"/>
        <w:gridCol w:w="1500"/>
        <w:gridCol w:w="1500"/>
      </w:tblGrid>
      <w:tr>
        <w:trPr>
          <w:trHeight w:val="420"/>
        </w:trPr>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Минимален краткосрочен рейтинг</w:t>
            </w:r>
          </w:p>
        </w:tc>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Минимален дългосрочен рейтинг</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1500" w:type="dxa"/>
            <w:vMerge w:val="restart"/>
            <w:tcBorders>
              <w:top w:val="single" w:sz="4" w:space="0" w:color="000000"/>
              <w:left w:val="nil"/>
              <w:bottom w:val="nil"/>
              <w:right w:val="nil"/>
              <w:tl2br w:val="nil"/>
              <w:tr2bl w:val="nil"/>
            </w:tcBorders>
            <w:shd w:val="clear" w:color="auto" w:fill="auto"/>
            <w:vAlign w:val="center"/>
          </w:tcPr>
          <w:p>
            <w:pPr>
              <w:jc w:val="center"/>
              <w:rPr>
                <w:rFonts w:ascii="Arial" w:eastAsia="Arial" w:hAnsi="Arial" w:cs="Arial"/>
                <w:b/>
                <w:noProof/>
                <w:color w:val="000000"/>
                <w:sz w:val="16"/>
                <w:lang w:val="bg-BG"/>
              </w:rPr>
            </w:pP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c>
          <w:tcPr>
            <w:tcW w:w="1500" w:type="dxa"/>
            <w:vMerge w:val="restart"/>
            <w:tcBorders>
              <w:top w:val="single" w:sz="4" w:space="0" w:color="000000"/>
              <w:left w:val="nil"/>
              <w:bottom w:val="nil"/>
              <w:right w:val="nil"/>
              <w:tl2br w:val="nil"/>
              <w:tr2bl w:val="nil"/>
            </w:tcBorders>
            <w:shd w:val="clear" w:color="auto" w:fill="auto"/>
            <w:vAlign w:val="center"/>
          </w:tcPr>
          <w:p>
            <w:pPr>
              <w:jc w:val="center"/>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(по Moody’s)</w:t>
            </w:r>
          </w:p>
        </w:tc>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(по Moody’s)</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c>
          <w:tcPr>
            <w:tcW w:w="1500" w:type="dxa"/>
            <w:vMerge/>
            <w:tcBorders>
              <w:top w:val="nil"/>
              <w:left w:val="nil"/>
              <w:bottom w:val="single" w:sz="4" w:space="0" w:color="000000"/>
              <w:right w:val="nil"/>
              <w:tl2br w:val="nil"/>
              <w:tr2bl w:val="nil"/>
            </w:tcBorders>
            <w:shd w:val="clear" w:color="auto" w:fill="auto"/>
            <w:vAlign w:val="center"/>
          </w:tcPr>
          <w:p>
            <w:pPr>
              <w:jc w:val="center"/>
              <w:rPr>
                <w:rFonts w:ascii="Arial" w:eastAsia="Arial" w:hAnsi="Arial" w:cs="Arial"/>
                <w:b/>
                <w:noProof/>
                <w:color w:val="000000"/>
                <w:sz w:val="16"/>
                <w:lang w:val="bg-BG"/>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c>
          <w:tcPr>
            <w:tcW w:w="1500" w:type="dxa"/>
            <w:vMerge/>
            <w:tcBorders>
              <w:top w:val="nil"/>
              <w:left w:val="nil"/>
              <w:bottom w:val="single" w:sz="4" w:space="0" w:color="000000"/>
              <w:right w:val="nil"/>
              <w:tl2br w:val="nil"/>
              <w:tr2bl w:val="nil"/>
            </w:tcBorders>
            <w:shd w:val="clear" w:color="auto" w:fill="auto"/>
            <w:vAlign w:val="center"/>
          </w:tcPr>
          <w:p>
            <w:pPr>
              <w:jc w:val="center"/>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Aa1</w:t>
            </w:r>
          </w:p>
        </w:tc>
        <w:tc>
          <w:tcPr>
            <w:tcW w:w="1500" w:type="dxa"/>
            <w:tcBorders>
              <w:top w:val="single" w:sz="4" w:space="0" w:color="000000"/>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50,046</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15 %</w:t>
            </w:r>
          </w:p>
        </w:tc>
        <w:tc>
          <w:tcPr>
            <w:tcW w:w="1500" w:type="dxa"/>
            <w:tcBorders>
              <w:top w:val="single" w:sz="4" w:space="0" w:color="000000"/>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19,997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80,041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50,025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95,055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A1</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55,050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15,005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45,008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50,015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85,027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50,016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Baa1</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30,433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Baa3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40,009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330,587</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335,140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100 %</w:t>
            </w:r>
          </w:p>
        </w:tc>
      </w:tr>
    </w:tbl>
    <w:p>
      <w:pPr>
        <w:pageBreakBefore/>
        <w:numPr>
          <w:ilvl w:val="1"/>
          <w:numId w:val="87"/>
        </w:numPr>
        <w:tabs>
          <w:tab w:val="right" w:pos="-2700"/>
          <w:tab w:val="right" w:pos="720"/>
        </w:tabs>
        <w:suppressAutoHyphens/>
        <w:jc w:val="both"/>
        <w:rPr>
          <w:rFonts w:ascii="Arial" w:hAnsi="Arial"/>
          <w:b/>
          <w:noProof/>
          <w:sz w:val="16"/>
          <w:szCs w:val="16"/>
          <w:lang w:val="bg-BG" w:eastAsia="ar-SA"/>
        </w:rPr>
      </w:pPr>
      <w:r>
        <w:rPr>
          <w:rFonts w:ascii="Arial" w:hAnsi="Arial"/>
          <w:b/>
          <w:noProof/>
          <w:sz w:val="16"/>
          <w:szCs w:val="16"/>
          <w:lang w:val="bg-BG" w:eastAsia="ar-SA"/>
        </w:rPr>
        <w:t>Ликвиден риск</w:t>
      </w:r>
    </w:p>
    <w:p>
      <w:pPr>
        <w:numPr>
          <w:ilvl w:val="0"/>
          <w:numId w:val="90"/>
        </w:numPr>
        <w:tabs>
          <w:tab w:val="right" w:pos="-2700"/>
          <w:tab w:val="center" w:pos="4320"/>
          <w:tab w:val="right" w:pos="8640"/>
        </w:tabs>
        <w:suppressAutoHyphens/>
        <w:spacing w:after="60"/>
        <w:jc w:val="both"/>
        <w:rPr>
          <w:rFonts w:ascii="Arial" w:hAnsi="Arial"/>
          <w:noProof/>
          <w:sz w:val="16"/>
          <w:szCs w:val="16"/>
          <w:lan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pacing w:val="-4"/>
          <w:sz w:val="16"/>
          <w:szCs w:val="16"/>
          <w:lang w:val="bg-BG" w:eastAsia="ar-SA"/>
        </w:rPr>
      </w:pPr>
      <w:r>
        <w:rPr>
          <w:rFonts w:ascii="Arial" w:hAnsi="Arial"/>
          <w:noProof/>
          <w:spacing w:val="-4"/>
          <w:sz w:val="16"/>
          <w:szCs w:val="16"/>
          <w:lang w:val="bg-BG" w:eastAsia="ar-SA"/>
        </w:rPr>
        <w:t>Ликвиден риск е способността на един субект да финансира увеличения на активите и да изпълнява задължения, когато те станат изискуеми, без да търпи неприемливи загуби. Той може да бъде разделен на ликвиден риск, свързан с финансирането, и пазарен ликвиден риск. Ликвидният риск, свързан с финансирането, е рискът, че един субект няма да може да посрещне ефикасно очакваните и неочакваните настоящи и бъдещи нужди от парични потоци, без това да се отразява върху ежедневната му дейност или финансовото му състояние. Пазарният ликвиден риск е рискът, че един субект няма да може лесно да компенсира или елиминира позиция на пазарната цена поради недостатъчна дълбочина на пазара или поради пазарни сътресения.</w:t>
      </w:r>
    </w:p>
    <w:p>
      <w:pPr>
        <w:tabs>
          <w:tab w:val="right" w:pos="-2700"/>
          <w:tab w:val="right" w:pos="426"/>
        </w:tabs>
        <w:suppressAutoHyphens/>
        <w:spacing w:before="60" w:after="60"/>
        <w:jc w:val="both"/>
        <w:rPr>
          <w:rFonts w:ascii="Arial" w:hAnsi="Arial"/>
          <w:noProof/>
          <w:sz w:val="16"/>
          <w:szCs w:val="16"/>
          <w:lang w:val="en-US" w:eastAsia="ar-SA"/>
        </w:rPr>
      </w:pPr>
      <w:r>
        <w:rPr>
          <w:rFonts w:ascii="Arial" w:hAnsi="Arial"/>
          <w:noProof/>
          <w:sz w:val="16"/>
          <w:szCs w:val="16"/>
          <w:lang w:val="en-US" w:eastAsia="ar-SA"/>
        </w:rPr>
        <w:t>3.2</w:t>
      </w:r>
      <w:r>
        <w:rPr>
          <w:rFonts w:ascii="Arial" w:hAnsi="Arial"/>
          <w:noProof/>
          <w:sz w:val="16"/>
          <w:szCs w:val="16"/>
          <w:lang w:val="en-US" w:eastAsia="ar-SA"/>
        </w:rPr>
        <w:tab/>
      </w:r>
    </w:p>
    <w:p>
      <w:pPr>
        <w:numPr>
          <w:ilvl w:val="2"/>
          <w:numId w:val="87"/>
        </w:numPr>
        <w:tabs>
          <w:tab w:val="right" w:pos="-2700"/>
        </w:tabs>
        <w:suppressAutoHyphens/>
        <w:spacing w:before="60"/>
        <w:ind w:left="357" w:hanging="357"/>
        <w:jc w:val="both"/>
        <w:rPr>
          <w:rFonts w:ascii="Arial" w:hAnsi="Arial"/>
          <w:b/>
          <w:noProof/>
          <w:sz w:val="16"/>
          <w:szCs w:val="16"/>
          <w:lang w:val="bg-BG" w:eastAsia="ar-SA"/>
        </w:rPr>
      </w:pPr>
      <w:r>
        <w:rPr>
          <w:rFonts w:ascii="Arial" w:hAnsi="Arial"/>
          <w:b/>
          <w:noProof/>
          <w:sz w:val="16"/>
          <w:szCs w:val="16"/>
          <w:lang w:val="bg-BG" w:eastAsia="ar-SA"/>
        </w:rPr>
        <w:t xml:space="preserve"> </w:t>
      </w:r>
      <w:r>
        <w:rPr>
          <w:rFonts w:ascii="Arial" w:hAnsi="Arial"/>
          <w:b/>
          <w:noProof/>
          <w:sz w:val="16"/>
          <w:szCs w:val="16"/>
          <w:lang w:val="bg-BG" w:eastAsia="ar-SA"/>
        </w:rPr>
        <w:tab/>
        <w:t>Управление на ликвидния риск</w:t>
      </w:r>
    </w:p>
    <w:p>
      <w:pPr>
        <w:numPr>
          <w:ilvl w:val="0"/>
          <w:numId w:val="90"/>
        </w:numPr>
        <w:tabs>
          <w:tab w:val="right" w:pos="-2700"/>
        </w:tabs>
        <w:suppressAutoHyphens/>
        <w:spacing w:after="60"/>
        <w:ind w:left="0" w:firstLine="0"/>
        <w:jc w:val="both"/>
        <w:rPr>
          <w:rFonts w:ascii="Arial" w:hAnsi="Arial"/>
          <w:noProof/>
          <w:sz w:val="16"/>
          <w:szCs w:val="16"/>
          <w:lan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Механизмът се финансира предимно със средства от годишните вноски на държавите членки, както и от обратните постъпления, произтичащи от операции на механизма. Механизмът управлява своя ликвиден риск, свързан с финансирането, главно чрез планиране на своите нетни нужди от ликвидност и изискваните годишни вноски на държавите членки.</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val="bg-B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 xml:space="preserve">За да се изчислят годишните вноски на държавите членки, моделите на разходване на съществуващия и следващия портфейл се анализират и проследяват през цялата година. Специални събития, например рано възстановени разходи, продажби на акции или случаи на неизпълнение, се вземат предвид за коригиране на годишните изисквания за ликвидност. </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val="bg-B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 xml:space="preserve">С цел допълнително минимизиране на ликвидния риск механизмът поддържа ликвиден резерв, достатъчен да покрие във всеки момент прогнозните касови плащания, съобщавани периодично от отдела по заемите на ЕИБ. Средствата се инвестират на паричния пазар и пазарите на облигации под формата на междубанкови депозити и други краткосрочни финансови инструменти, като се вземат предвид задълженията на механизма за касови плащания. Ликвидните активи на механизма се управляват от отдела за управление на касовите наличности на банката с цел да се поддържа подходяща ликвидност, за да може механизмът да изпълнява своите задължения.   </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val="bg-B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 xml:space="preserve">В съответствие с принципа на разделение на функциите между фронт- и бек-офиса, операциите по сетълмент, свързани с инвестирането на тези активи, са под отговорността на отдела на ЕИБ по планиране и сетълмент на операциите. Освен това оторизирането на контрагенти и ограниченията за касовите инвестиции, както и мониторингът на тези ограничения, са отговорност на дирекцията за управление на риска на банката. </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val="bg-BG" w:eastAsia="ar-SA"/>
        </w:rPr>
      </w:pPr>
    </w:p>
    <w:p>
      <w:pPr>
        <w:numPr>
          <w:ilvl w:val="2"/>
          <w:numId w:val="87"/>
        </w:numPr>
        <w:tabs>
          <w:tab w:val="right" w:pos="-2700"/>
        </w:tabs>
        <w:suppressAutoHyphens/>
        <w:spacing w:before="60"/>
        <w:ind w:left="357" w:hanging="357"/>
        <w:jc w:val="both"/>
        <w:rPr>
          <w:rFonts w:ascii="Arial" w:hAnsi="Arial"/>
          <w:b/>
          <w:noProof/>
          <w:sz w:val="16"/>
          <w:szCs w:val="16"/>
          <w:lang w:val="bg-BG" w:eastAsia="ar-SA"/>
        </w:rPr>
      </w:pPr>
      <w:r>
        <w:rPr>
          <w:rFonts w:ascii="Arial" w:hAnsi="Arial"/>
          <w:b/>
          <w:noProof/>
          <w:sz w:val="16"/>
          <w:szCs w:val="16"/>
          <w:lang w:val="bg-BG" w:eastAsia="ar-SA"/>
        </w:rPr>
        <w:t xml:space="preserve"> </w:t>
      </w:r>
      <w:r>
        <w:rPr>
          <w:rFonts w:ascii="Arial" w:hAnsi="Arial"/>
          <w:b/>
          <w:noProof/>
          <w:sz w:val="16"/>
          <w:szCs w:val="16"/>
          <w:lang w:val="bg-BG" w:eastAsia="ar-SA"/>
        </w:rPr>
        <w:tab/>
        <w:t>Измерване на ликвидния риск</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pacing w:val="-4"/>
          <w:sz w:val="16"/>
          <w:szCs w:val="16"/>
          <w:lang w:eastAsia="ar-SA"/>
        </w:rPr>
      </w:pPr>
      <w:r>
        <w:rPr>
          <w:rFonts w:ascii="Arial" w:hAnsi="Arial"/>
          <w:noProof/>
          <w:spacing w:val="-4"/>
          <w:sz w:val="16"/>
          <w:szCs w:val="16"/>
          <w:lang w:eastAsia="ar-SA"/>
        </w:rPr>
        <w:t>В таблиците на този раздел се анализират финансовите пасиви на механизма по матуритет въз основа на оставащия период от време от датата на счетоводния баланс до договорната дата на падеж (въз основа на несконтирани парични потоци).</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r>
        <w:rPr>
          <w:rFonts w:ascii="Arial" w:hAnsi="Arial"/>
          <w:noProof/>
          <w:sz w:val="16"/>
          <w:szCs w:val="16"/>
          <w:lang w:eastAsia="ar-SA"/>
        </w:rPr>
        <w:t xml:space="preserve">Що се отнася до недериватните финансови пасиви, механизмът има ангажименти под формата на неизплатени части от кредита по сключените споразумения за заем, неизплатени части на подписано вписване на капитал/инвестиционни споразумения, предоставени гаранции по заеми или поети като задължение лихвени субсидии и техническа помощ. </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r>
        <w:rPr>
          <w:rFonts w:ascii="Arial" w:hAnsi="Arial"/>
          <w:noProof/>
          <w:sz w:val="16"/>
          <w:szCs w:val="16"/>
          <w:lang w:eastAsia="ar-SA"/>
        </w:rPr>
        <w:t xml:space="preserve">Заемите по Инвестиционния механизъм имат краен срок за плащане. Въпреки това плащанията се извършват в моменти и в размери, които отразяват напредъка на съответните инвестиционни проекти. Освен това заемите на механизма са операции, извършени в относително нестабилна работна среда, поради което графикът на изплащането им се характеризира със значителна степен на несигурност. </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r>
        <w:rPr>
          <w:rFonts w:ascii="Arial" w:hAnsi="Arial"/>
          <w:noProof/>
          <w:sz w:val="16"/>
          <w:szCs w:val="16"/>
          <w:lang w:eastAsia="ar-SA"/>
        </w:rPr>
        <w:t xml:space="preserve">Капиталовите инвестиции стават дължими, когато и щом управителите на фондовете издадат валидни искания за капитал, отразяващи напредъка в техните инвестиционни дейности. Периодът на усвояване на заема обикновено е 3 години с често удължаване с една или две години. Някои задължения за плащания обикновено продължават и след края на периода на усвояване до пълното приключване на съответните инвестиции на фонда поради факта, че понякога ликвидността на фонда може да бъде недостатъчна за изпълнението на задълженията за плащане, произтичащи от такси или други разходи. </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r>
        <w:rPr>
          <w:rFonts w:ascii="Arial" w:hAnsi="Arial"/>
          <w:noProof/>
          <w:sz w:val="16"/>
          <w:szCs w:val="16"/>
          <w:lang w:eastAsia="ar-SA"/>
        </w:rPr>
        <w:t>Гаранциите не са предмет на специфични задължения за плащане, освен ако гаранцията не е задействана. Размерът на оставащите гаранции се намалява съобразно с графика за връщане на гарантираните заеми.</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r>
        <w:rPr>
          <w:rFonts w:ascii="Arial" w:hAnsi="Arial"/>
          <w:noProof/>
          <w:sz w:val="16"/>
          <w:szCs w:val="16"/>
          <w:lang w:eastAsia="ar-SA"/>
        </w:rPr>
        <w:t xml:space="preserve">Изходящите парични потоци за поетите като задължение лихвени субсидии се срещат в случай на субсидирани заеми, финансирани от собствените ресурси на банката. Поради това отчетените изходящи потоци представляват само поети задължения, свързани с тези заеми, а не общият размер на поетите като задължение неизплатени лихвени субсидии. Както при заемите, техният график на изплащане е несигурен.  </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r>
        <w:rPr>
          <w:rFonts w:ascii="Arial" w:hAnsi="Arial"/>
          <w:noProof/>
          <w:sz w:val="16"/>
          <w:szCs w:val="16"/>
          <w:lang w:eastAsia="ar-SA"/>
        </w:rPr>
        <w:t xml:space="preserve">„Брутният номинален изходящ поток“ на поетата като задължение техническа помощ в таблицата „Матуритетен профил на недериватните финансови пасиви“ се отнася до общата непредоставена част на подписаните договори за техническа помощ. Графикът на плащанията се характеризира със значителна степен на несигурност. Изходящите парични потоци, класифицирани в графа „3 месеца или по-малко“, представляват сумата на неплатените фактури, получени до отчетната дата. </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eastAsia="ar-SA"/>
        </w:rPr>
      </w:pPr>
      <w:r>
        <w:rPr>
          <w:rFonts w:ascii="Arial" w:hAnsi="Arial"/>
          <w:noProof/>
          <w:sz w:val="16"/>
          <w:szCs w:val="16"/>
          <w:lang w:eastAsia="ar-SA"/>
        </w:rPr>
        <w:t>Поетите задължения за недериватни финансови пасиви, за които не съществува определена договорна падежна дата, са класифицирани в графа „Неопределен падеж“. Поетите задължения, за които има регистрирано искане за плащане към отчетната дата, са класифицирани в съответните времеви интервали.</w:t>
      </w:r>
    </w:p>
    <w:p>
      <w:pPr>
        <w:numPr>
          <w:ilvl w:val="0"/>
          <w:numId w:val="90"/>
        </w:numPr>
        <w:tabs>
          <w:tab w:val="right" w:pos="-2700"/>
          <w:tab w:val="center" w:pos="4320"/>
          <w:tab w:val="right" w:pos="8640"/>
        </w:tabs>
        <w:suppressAutoHyphens/>
        <w:spacing w:before="60" w:after="60"/>
        <w:ind w:left="0" w:firstLine="0"/>
        <w:jc w:val="both"/>
        <w:rPr>
          <w:rFonts w:ascii="Arial" w:hAnsi="Arial"/>
          <w:noProof/>
          <w:sz w:val="16"/>
          <w:szCs w:val="16"/>
          <w:lang w:val="bg-BG" w:eastAsia="ar-SA"/>
        </w:rPr>
      </w:pPr>
    </w:p>
    <w:p>
      <w:pPr>
        <w:rPr>
          <w:rFonts w:ascii="Arial" w:hAnsi="Arial"/>
          <w:noProof/>
          <w:sz w:val="16"/>
          <w:szCs w:val="16"/>
          <w:lang w:val="bg-BG"/>
        </w:rPr>
      </w:pPr>
      <w:r>
        <w:rPr>
          <w:noProof/>
          <w:lang w:val="bg-BG"/>
        </w:rPr>
        <w:br w:type="page"/>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Що се отнася до дериватните финансови пасиви, матуритетният профил представя несконтираните брутни парични потоци по договорите за суап, включително кръстосаните валутни суапове (CCS), кръстосаните валутно-лихвени суапове (CCIRS), краткосрочните валутни суапове и лихвените суапове.</w:t>
      </w:r>
    </w:p>
    <w:p>
      <w:pPr>
        <w:numPr>
          <w:ilvl w:val="0"/>
          <w:numId w:val="90"/>
        </w:numPr>
        <w:tabs>
          <w:tab w:val="right" w:pos="-2700"/>
          <w:tab w:val="center" w:pos="426"/>
          <w:tab w:val="right" w:pos="8640"/>
        </w:tabs>
        <w:suppressAutoHyphens/>
        <w:spacing w:before="60" w:after="60"/>
        <w:ind w:left="0" w:firstLine="0"/>
        <w:jc w:val="both"/>
        <w:rPr>
          <w:rFonts w:ascii="Arial" w:hAnsi="Arial"/>
          <w:noProof/>
          <w:sz w:val="16"/>
          <w:szCs w:val="16"/>
          <w:lang w:val="bg-BG" w:eastAsia="ar-SA"/>
        </w:rPr>
      </w:pPr>
      <w:r>
        <w:rPr>
          <w:rFonts w:ascii="Arial" w:hAnsi="Arial"/>
          <w:b/>
          <w:noProof/>
          <w:sz w:val="20"/>
          <w:lang w:val="bg-BG" w:eastAsia="ar-SA"/>
        </w:rPr>
        <w:t xml:space="preserve"> </w:t>
      </w:r>
    </w:p>
    <w:tbl>
      <w:tblPr>
        <w:tblStyle w:val="CDMRange27"/>
        <w:tblW w:w="10230" w:type="dxa"/>
        <w:tblLayout w:type="fixed"/>
        <w:tblLook w:val="0600" w:firstRow="0" w:lastRow="0" w:firstColumn="0" w:lastColumn="0" w:noHBand="1" w:noVBand="1"/>
      </w:tblPr>
      <w:tblGrid>
        <w:gridCol w:w="4635"/>
        <w:gridCol w:w="960"/>
        <w:gridCol w:w="900"/>
        <w:gridCol w:w="900"/>
        <w:gridCol w:w="900"/>
        <w:gridCol w:w="975"/>
        <w:gridCol w:w="960"/>
      </w:tblGrid>
      <w:tr>
        <w:trPr>
          <w:trHeight w:val="57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Матуритетен профил на недериватните финансови пасиви</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3 месеца или по-малко</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3 месеца до 1 година</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1 година до 5 години</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5 години</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Неопределен падеж</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Брутен номинален изходящ поток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 към 31.12.2019 г.</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но неизплатени заеми</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33,038</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1,324,282</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1,357,320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инвестиционни средства и записване на акции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369</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405,551</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405,920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(подписани неиздадени гаранции, издадени гаранции)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1,559,831</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1,559,831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лихвени субсидии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350,678</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350,678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Изходящи потоци за поета като задължение техническа помощ </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3,898</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21,166</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25,064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37,305</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3,661,508</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3,698,813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0" w:type="dxa"/>
              <w:right w:w="0" w:type="dxa"/>
            </w:tcMar>
            <w:vAlign w:val="bottom"/>
          </w:tcPr>
          <w:p>
            <w:pPr>
              <w:rPr>
                <w:rFonts w:ascii="Arial" w:eastAsia="Arial" w:hAnsi="Arial" w:cs="Arial"/>
                <w:noProof/>
                <w:color w:val="000000"/>
                <w:sz w:val="20"/>
                <w:lang w:val="bg-BG"/>
              </w:rPr>
            </w:pPr>
          </w:p>
        </w:tc>
        <w:tc>
          <w:tcPr>
            <w:tcW w:w="96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9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9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9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96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Матуритетен профил на недериватните финансови пасиви</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3 месеца или по-малко</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3 месеца до 1 година</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1 година до 5 години</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 5 години</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Неопределен падеж</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Брутен номинален изходящ поток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 към 31.12.2018 г.</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но неизплатени заеми</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7,854</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1,276,078</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1,283,932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инвестиционни средства и записване на акции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2,023</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345,144</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347,167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(подписани не издадени гаранции, издадени гаранции)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1,556,468</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1,556,468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Изходящи потоци за поети като задължение лихвени субсидии</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360,655</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360,655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Изходящи потоци за поета като задължение техническа помощ </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2,373</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24,082</w:t>
            </w:r>
          </w:p>
        </w:tc>
        <w:tc>
          <w:tcPr>
            <w:tcW w:w="9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12,250</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3,562,427</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3,574,677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bl>
    <w:tbl>
      <w:tblPr>
        <w:tblStyle w:val="CDMRange18"/>
        <w:tblW w:w="10230" w:type="dxa"/>
        <w:tblLayout w:type="fixed"/>
        <w:tblLook w:val="0600" w:firstRow="0" w:lastRow="0" w:firstColumn="0" w:lastColumn="0" w:noHBand="1" w:noVBand="1"/>
      </w:tblPr>
      <w:tblGrid>
        <w:gridCol w:w="4635"/>
        <w:gridCol w:w="1140"/>
        <w:gridCol w:w="1095"/>
        <w:gridCol w:w="1080"/>
        <w:gridCol w:w="1110"/>
        <w:gridCol w:w="1170"/>
      </w:tblGrid>
      <w:tr>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Матуритетен профил на дериватни финансови пасиви</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3 месеца</w:t>
            </w:r>
          </w:p>
          <w:p>
            <w:pPr>
              <w:jc w:val="right"/>
              <w:rPr>
                <w:rFonts w:ascii="Arial" w:eastAsia="Arial" w:hAnsi="Arial" w:cs="Arial"/>
                <w:b/>
                <w:noProof/>
                <w:color w:val="000000"/>
                <w:sz w:val="16"/>
                <w:lang w:val="bg-BG"/>
              </w:rPr>
            </w:pPr>
            <w:r>
              <w:rPr>
                <w:rFonts w:ascii="Arial" w:hAnsi="Arial"/>
                <w:b/>
                <w:noProof/>
                <w:color w:val="000000"/>
                <w:sz w:val="16"/>
                <w:lang w:val="bg-BG"/>
              </w:rPr>
              <w:t>или по-малко</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Повече от </w:t>
            </w:r>
            <w:r>
              <w:rPr>
                <w:rFonts w:ascii="Arial" w:hAnsi="Arial"/>
                <w:b/>
                <w:noProof/>
                <w:color w:val="000000"/>
                <w:sz w:val="16"/>
                <w:lang w:val="bg-BG"/>
              </w:rPr>
              <w:br/>
              <w:t>3 месеца</w:t>
            </w:r>
          </w:p>
          <w:p>
            <w:pPr>
              <w:jc w:val="right"/>
              <w:rPr>
                <w:rFonts w:ascii="Arial" w:eastAsia="Arial" w:hAnsi="Arial" w:cs="Arial"/>
                <w:b/>
                <w:noProof/>
                <w:color w:val="000000"/>
                <w:sz w:val="16"/>
                <w:lang w:val="bg-BG"/>
              </w:rPr>
            </w:pPr>
            <w:r>
              <w:rPr>
                <w:rFonts w:ascii="Arial" w:hAnsi="Arial"/>
                <w:b/>
                <w:noProof/>
                <w:color w:val="000000"/>
                <w:sz w:val="16"/>
                <w:lang w:val="bg-BG"/>
              </w:rPr>
              <w:t>до 1 година</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w:t>
            </w:r>
          </w:p>
          <w:p>
            <w:pPr>
              <w:jc w:val="right"/>
              <w:rPr>
                <w:rFonts w:ascii="Arial" w:eastAsia="Arial" w:hAnsi="Arial" w:cs="Arial"/>
                <w:b/>
                <w:noProof/>
                <w:color w:val="000000"/>
                <w:sz w:val="16"/>
                <w:lang w:val="bg-BG"/>
              </w:rPr>
            </w:pPr>
            <w:r>
              <w:rPr>
                <w:rFonts w:ascii="Arial" w:hAnsi="Arial"/>
                <w:b/>
                <w:noProof/>
                <w:color w:val="000000"/>
                <w:sz w:val="16"/>
                <w:lang w:val="bg-BG"/>
              </w:rPr>
              <w:t>1 година до 5 години</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w:t>
            </w:r>
          </w:p>
          <w:p>
            <w:pPr>
              <w:jc w:val="right"/>
              <w:rPr>
                <w:rFonts w:ascii="Arial" w:eastAsia="Arial" w:hAnsi="Arial" w:cs="Arial"/>
                <w:b/>
                <w:noProof/>
                <w:color w:val="000000"/>
                <w:sz w:val="16"/>
                <w:lang w:val="bg-BG"/>
              </w:rPr>
            </w:pPr>
            <w:r>
              <w:rPr>
                <w:rFonts w:ascii="Arial" w:hAnsi="Arial"/>
                <w:b/>
                <w:noProof/>
                <w:color w:val="000000"/>
                <w:sz w:val="16"/>
                <w:lang w:val="bg-BG"/>
              </w:rPr>
              <w:t>5 години</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Брутен номинален входящ/изходящ поток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 към 31.12.2019 г.</w:t>
            </w: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CCS и CCIRS — входящи потоци</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CCS и CCIRS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Краткосрочни валутни суапове — входящи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1,545,000</w:t>
            </w:r>
          </w:p>
        </w:tc>
        <w:tc>
          <w:tcPr>
            <w:tcW w:w="109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1,545,000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Краткосрочни валутни суапове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-1,535,571</w:t>
            </w:r>
          </w:p>
        </w:tc>
        <w:tc>
          <w:tcPr>
            <w:tcW w:w="109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-1,535,571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 — входящи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310</w:t>
            </w:r>
          </w:p>
        </w:tc>
        <w:tc>
          <w:tcPr>
            <w:tcW w:w="109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820</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2,045</w:t>
            </w:r>
          </w:p>
        </w:tc>
        <w:tc>
          <w:tcPr>
            <w:tcW w:w="111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7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-1,128</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-2,138</w:t>
            </w:r>
          </w:p>
        </w:tc>
        <w:tc>
          <w:tcPr>
            <w:tcW w:w="111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p>
        </w:tc>
        <w:tc>
          <w:tcPr>
            <w:tcW w:w="117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9,739</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-308</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-93</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9,338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635" w:type="dxa"/>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Матуритетен профил на дериватни финансови пасиви</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 xml:space="preserve"> 3 месеца</w:t>
            </w:r>
          </w:p>
          <w:p>
            <w:pPr>
              <w:jc w:val="right"/>
              <w:rPr>
                <w:rFonts w:ascii="Arial" w:eastAsia="Arial" w:hAnsi="Arial" w:cs="Arial"/>
                <w:b/>
                <w:noProof/>
                <w:color w:val="000000"/>
                <w:sz w:val="16"/>
                <w:lang w:val="bg-BG"/>
              </w:rPr>
            </w:pPr>
            <w:r>
              <w:rPr>
                <w:rFonts w:ascii="Arial" w:hAnsi="Arial"/>
                <w:b/>
                <w:noProof/>
                <w:color w:val="000000"/>
                <w:sz w:val="16"/>
                <w:lang w:val="bg-BG"/>
              </w:rPr>
              <w:t>или по-малко</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w:t>
            </w:r>
          </w:p>
          <w:p>
            <w:pPr>
              <w:jc w:val="right"/>
              <w:rPr>
                <w:rFonts w:ascii="Arial" w:eastAsia="Arial" w:hAnsi="Arial" w:cs="Arial"/>
                <w:b/>
                <w:noProof/>
                <w:color w:val="000000"/>
                <w:sz w:val="16"/>
                <w:lang w:val="bg-BG"/>
              </w:rPr>
            </w:pPr>
            <w:r>
              <w:rPr>
                <w:rFonts w:ascii="Arial" w:hAnsi="Arial"/>
                <w:b/>
                <w:noProof/>
                <w:color w:val="000000"/>
                <w:sz w:val="16"/>
                <w:lang w:val="bg-BG"/>
              </w:rPr>
              <w:t>3 месеца</w:t>
            </w:r>
          </w:p>
          <w:p>
            <w:pPr>
              <w:jc w:val="right"/>
              <w:rPr>
                <w:rFonts w:ascii="Arial" w:eastAsia="Arial" w:hAnsi="Arial" w:cs="Arial"/>
                <w:b/>
                <w:noProof/>
                <w:color w:val="000000"/>
                <w:sz w:val="16"/>
                <w:lang w:val="bg-BG"/>
              </w:rPr>
            </w:pPr>
            <w:r>
              <w:rPr>
                <w:rFonts w:ascii="Arial" w:hAnsi="Arial"/>
                <w:b/>
                <w:noProof/>
                <w:color w:val="000000"/>
                <w:sz w:val="16"/>
                <w:lang w:val="bg-BG"/>
              </w:rPr>
              <w:t>до 1 година</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w:t>
            </w:r>
          </w:p>
          <w:p>
            <w:pPr>
              <w:jc w:val="right"/>
              <w:rPr>
                <w:rFonts w:ascii="Arial" w:eastAsia="Arial" w:hAnsi="Arial" w:cs="Arial"/>
                <w:b/>
                <w:noProof/>
                <w:color w:val="000000"/>
                <w:sz w:val="16"/>
                <w:lang w:val="bg-BG"/>
              </w:rPr>
            </w:pPr>
            <w:r>
              <w:rPr>
                <w:rFonts w:ascii="Arial" w:hAnsi="Arial"/>
                <w:b/>
                <w:noProof/>
                <w:color w:val="000000"/>
                <w:sz w:val="16"/>
                <w:lang w:val="bg-BG"/>
              </w:rPr>
              <w:t>1 година до 5 години</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Повече от</w:t>
            </w:r>
          </w:p>
          <w:p>
            <w:pPr>
              <w:jc w:val="right"/>
              <w:rPr>
                <w:rFonts w:ascii="Arial" w:eastAsia="Arial" w:hAnsi="Arial" w:cs="Arial"/>
                <w:b/>
                <w:noProof/>
                <w:color w:val="000000"/>
                <w:sz w:val="16"/>
                <w:lang w:val="bg-BG"/>
              </w:rPr>
            </w:pPr>
            <w:r>
              <w:rPr>
                <w:rFonts w:ascii="Arial" w:hAnsi="Arial"/>
                <w:b/>
                <w:noProof/>
                <w:color w:val="000000"/>
                <w:sz w:val="16"/>
                <w:lang w:val="bg-BG"/>
              </w:rPr>
              <w:t>5 години</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Брутен номинален входящ/изходящ поток</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 към 31.12.2018 г.</w:t>
            </w: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CCS и CCIRS — входящи потоци</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3,281</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1,816</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CCS и CCIRS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-4,081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-1,770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-5,851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Краткосрочни валутни суапове — входящи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1,460,608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1,460,608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Краткосрочни валутни суапове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-1,465,498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-1,465,498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 — входящи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397</w:t>
            </w:r>
          </w:p>
        </w:tc>
        <w:tc>
          <w:tcPr>
            <w:tcW w:w="109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1,171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3,473</w:t>
            </w:r>
          </w:p>
        </w:tc>
        <w:tc>
          <w:tcPr>
            <w:tcW w:w="111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204</w:t>
            </w:r>
          </w:p>
        </w:tc>
        <w:tc>
          <w:tcPr>
            <w:tcW w:w="117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 — изходящи потоци</w:t>
            </w:r>
          </w:p>
        </w:tc>
        <w:tc>
          <w:tcPr>
            <w:tcW w:w="114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-1,340</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-3,030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-175</w:t>
            </w:r>
          </w:p>
        </w:tc>
        <w:tc>
          <w:tcPr>
            <w:tcW w:w="117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-4,488</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-969</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489</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-4,939</w:t>
            </w:r>
          </w:p>
        </w:tc>
      </w:tr>
    </w:tbl>
    <w:p>
      <w:pPr>
        <w:pageBreakBefore/>
        <w:tabs>
          <w:tab w:val="right" w:pos="-2700"/>
        </w:tabs>
        <w:suppressAutoHyphens/>
        <w:jc w:val="both"/>
        <w:rPr>
          <w:rFonts w:ascii="Arial" w:hAnsi="Arial"/>
          <w:b/>
          <w:noProof/>
          <w:sz w:val="16"/>
          <w:szCs w:val="16"/>
          <w:lang w:val="bg-BG" w:eastAsia="ar-SA"/>
        </w:rPr>
      </w:pPr>
      <w:r>
        <w:rPr>
          <w:rFonts w:ascii="Arial" w:hAnsi="Arial"/>
          <w:b/>
          <w:noProof/>
          <w:sz w:val="16"/>
          <w:szCs w:val="16"/>
          <w:lang w:val="en-US" w:eastAsia="ar-SA"/>
        </w:rPr>
        <w:t>3.3.3</w:t>
      </w:r>
      <w:r>
        <w:rPr>
          <w:rFonts w:ascii="Arial" w:hAnsi="Arial"/>
          <w:b/>
          <w:noProof/>
          <w:sz w:val="16"/>
          <w:szCs w:val="16"/>
          <w:lang w:val="bg-BG" w:eastAsia="ar-SA"/>
        </w:rPr>
        <w:t xml:space="preserve"> </w:t>
      </w:r>
      <w:r>
        <w:rPr>
          <w:rFonts w:ascii="Arial" w:hAnsi="Arial"/>
          <w:b/>
          <w:noProof/>
          <w:sz w:val="16"/>
          <w:szCs w:val="16"/>
          <w:lang w:val="bg-BG" w:eastAsia="ar-SA"/>
        </w:rPr>
        <w:tab/>
        <w:t>Дългосрочни финансови активи и пасиви</w:t>
      </w:r>
    </w:p>
    <w:p>
      <w:pPr>
        <w:numPr>
          <w:ilvl w:val="0"/>
          <w:numId w:val="93"/>
        </w:numPr>
        <w:tabs>
          <w:tab w:val="right" w:pos="-2700"/>
          <w:tab w:val="center" w:pos="4320"/>
          <w:tab w:val="right" w:pos="8640"/>
        </w:tabs>
        <w:suppressAutoHyphens/>
        <w:spacing w:after="60"/>
        <w:ind w:left="0" w:firstLine="0"/>
        <w:jc w:val="both"/>
        <w:rPr>
          <w:rFonts w:ascii="Arial" w:hAnsi="Arial"/>
          <w:noProof/>
          <w:sz w:val="16"/>
          <w:szCs w:val="16"/>
          <w:lang w:eastAsia="ar-SA"/>
        </w:rPr>
      </w:pPr>
    </w:p>
    <w:p>
      <w:pPr>
        <w:numPr>
          <w:ilvl w:val="0"/>
          <w:numId w:val="93"/>
        </w:numPr>
        <w:tabs>
          <w:tab w:val="right" w:pos="-2700"/>
          <w:tab w:val="center" w:pos="4320"/>
          <w:tab w:val="right" w:pos="8640"/>
        </w:tabs>
        <w:suppressAutoHyphens/>
        <w:spacing w:before="60" w:after="60"/>
        <w:ind w:left="0" w:hanging="6"/>
        <w:jc w:val="both"/>
        <w:rPr>
          <w:rFonts w:ascii="Arial" w:hAnsi="Arial"/>
          <w:noProof/>
          <w:sz w:val="16"/>
          <w:szCs w:val="16"/>
          <w:lang w:val="bg-BG" w:eastAsia="ar-SA"/>
        </w:rPr>
      </w:pPr>
      <w:r>
        <w:rPr>
          <w:rFonts w:ascii="Arial" w:hAnsi="Arial"/>
          <w:noProof/>
          <w:sz w:val="16"/>
          <w:szCs w:val="16"/>
          <w:lang w:val="bg-BG" w:eastAsia="ar-SA"/>
        </w:rPr>
        <w:t>Таблицата по-долу съдържа балансовите стойности на недериватните финансови активи и пасиви, които се очаква да бъдат възстановени или изплатени след повече от 12 месеца от датата на отчитане.</w:t>
      </w:r>
    </w:p>
    <w:p>
      <w:pPr>
        <w:numPr>
          <w:ilvl w:val="0"/>
          <w:numId w:val="93"/>
        </w:numPr>
        <w:tabs>
          <w:tab w:val="right" w:pos="-2700"/>
          <w:tab w:val="center" w:pos="4320"/>
          <w:tab w:val="right" w:pos="8640"/>
        </w:tabs>
        <w:suppressAutoHyphens/>
        <w:spacing w:before="60" w:after="60"/>
        <w:ind w:left="0" w:firstLine="0"/>
        <w:jc w:val="both"/>
        <w:rPr>
          <w:rFonts w:ascii="Arial" w:hAnsi="Arial"/>
          <w:noProof/>
          <w:sz w:val="16"/>
          <w:szCs w:val="16"/>
          <w:lang w:val="bg-BG" w:eastAsia="ar-SA"/>
        </w:rPr>
      </w:pPr>
      <w:r>
        <w:rPr>
          <w:rFonts w:ascii="Arial" w:hAnsi="Arial"/>
          <w:b/>
          <w:noProof/>
          <w:sz w:val="20"/>
          <w:lang w:val="bg-BG" w:eastAsia="ar-SA"/>
        </w:rPr>
        <w:t xml:space="preserve"> </w:t>
      </w:r>
    </w:p>
    <w:tbl>
      <w:tblPr>
        <w:tblStyle w:val="CDMRange28"/>
        <w:tblW w:w="9975" w:type="dxa"/>
        <w:tblLayout w:type="fixed"/>
        <w:tblLook w:val="0600" w:firstRow="0" w:lastRow="0" w:firstColumn="0" w:lastColumn="0" w:noHBand="1" w:noVBand="1"/>
      </w:tblPr>
      <w:tblGrid>
        <w:gridCol w:w="6975"/>
        <w:gridCol w:w="1500"/>
        <w:gridCol w:w="1500"/>
      </w:tblGrid>
      <w:tr>
        <w:trPr>
          <w:trHeight w:val="465"/>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активи:</w:t>
            </w:r>
          </w:p>
        </w:tc>
        <w:tc>
          <w:tcPr>
            <w:tcW w:w="1500" w:type="dxa"/>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аванси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1,636,520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1,666,232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Акции и други ценни книжа с променлива доходност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619,928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567,292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2,256,448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2,233,695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пасиви:</w:t>
            </w: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Провизии за 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Сума, дължима на трети страни*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93,531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93,641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Провизии за кредитни ангажименти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131,428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118,256</w:t>
            </w:r>
          </w:p>
        </w:tc>
      </w:tr>
    </w:tbl>
    <w:p>
      <w:pPr>
        <w:suppressAutoHyphens/>
        <w:spacing w:before="40" w:after="60"/>
        <w:jc w:val="both"/>
        <w:rPr>
          <w:rFonts w:ascii="Arial" w:eastAsia="Arial" w:hAnsi="Arial"/>
          <w:noProof/>
          <w:color w:val="000000"/>
          <w:sz w:val="16"/>
          <w:lang w:val="bg-BG" w:eastAsia="ar-SA"/>
        </w:rPr>
      </w:pPr>
      <w:r>
        <w:rPr>
          <w:rFonts w:ascii="Arial" w:hAnsi="Arial"/>
          <w:noProof/>
          <w:color w:val="000000"/>
          <w:sz w:val="16"/>
          <w:lang w:val="bg-BG" w:eastAsia="ar-SA"/>
        </w:rPr>
        <w:t xml:space="preserve">* Сумите, дължими на трети страни, включват все още неизплатените лихвени субсидии и техническа помощ, които се дължат на държавите членки, когато падежът им е предимно неопределен.  </w:t>
      </w:r>
    </w:p>
    <w:p>
      <w:pPr>
        <w:suppressAutoHyphens/>
        <w:spacing w:after="60"/>
        <w:rPr>
          <w:rFonts w:ascii="Arial" w:hAnsi="Arial"/>
          <w:noProof/>
          <w:sz w:val="16"/>
          <w:lang w:val="bg-BG" w:eastAsia="ar-SA"/>
        </w:rPr>
      </w:pPr>
    </w:p>
    <w:p>
      <w:pPr>
        <w:numPr>
          <w:ilvl w:val="1"/>
          <w:numId w:val="92"/>
        </w:numPr>
        <w:tabs>
          <w:tab w:val="right" w:pos="-2700"/>
          <w:tab w:val="right" w:pos="720"/>
        </w:tabs>
        <w:suppressAutoHyphens/>
        <w:spacing w:before="60"/>
        <w:ind w:left="357" w:hanging="357"/>
        <w:jc w:val="both"/>
        <w:rPr>
          <w:rFonts w:ascii="Arial" w:hAnsi="Arial"/>
          <w:b/>
          <w:noProof/>
          <w:sz w:val="16"/>
          <w:szCs w:val="16"/>
          <w:lang w:val="bg-BG" w:eastAsia="ar-SA"/>
        </w:rPr>
      </w:pPr>
      <w:r>
        <w:rPr>
          <w:rFonts w:ascii="Arial" w:hAnsi="Arial"/>
          <w:b/>
          <w:noProof/>
          <w:sz w:val="16"/>
          <w:szCs w:val="16"/>
          <w:lang w:val="bg-BG" w:eastAsia="ar-SA"/>
        </w:rPr>
        <w:t>Пазарен риск</w:t>
      </w:r>
    </w:p>
    <w:p>
      <w:pPr>
        <w:numPr>
          <w:ilvl w:val="0"/>
          <w:numId w:val="95"/>
        </w:numPr>
        <w:tabs>
          <w:tab w:val="right" w:pos="-2700"/>
          <w:tab w:val="right" w:pos="720"/>
        </w:tabs>
        <w:suppressAutoHyphens/>
        <w:spacing w:after="60"/>
        <w:ind w:left="0" w:firstLine="0"/>
        <w:jc w:val="both"/>
        <w:rPr>
          <w:rFonts w:ascii="Arial" w:hAnsi="Arial"/>
          <w:noProof/>
          <w:sz w:val="16"/>
          <w:szCs w:val="16"/>
          <w:lang w:eastAsia="ar-SA"/>
        </w:rPr>
      </w:pPr>
    </w:p>
    <w:p>
      <w:pPr>
        <w:numPr>
          <w:ilvl w:val="0"/>
          <w:numId w:val="95"/>
        </w:numPr>
        <w:tabs>
          <w:tab w:val="right" w:pos="-2700"/>
          <w:tab w:val="right" w:pos="720"/>
        </w:tabs>
        <w:suppressAutoHyphens/>
        <w:spacing w:before="60" w:after="60"/>
        <w:ind w:left="0" w:firstLine="0"/>
        <w:jc w:val="both"/>
        <w:rPr>
          <w:rFonts w:ascii="Arial" w:hAnsi="Arial"/>
          <w:noProof/>
          <w:sz w:val="16"/>
          <w:szCs w:val="16"/>
          <w:lang w:val="bg-BG" w:eastAsia="ar-SA"/>
        </w:rPr>
      </w:pPr>
      <w:r>
        <w:rPr>
          <w:rFonts w:ascii="Arial" w:hAnsi="Arial"/>
          <w:noProof/>
          <w:sz w:val="16"/>
          <w:szCs w:val="16"/>
          <w:lang w:val="bg-BG" w:eastAsia="ar-SA"/>
        </w:rPr>
        <w:t>Пазарният риск представлява рискът, че промените в пазарните цени и проценти, например лихвени проценти, цени на капиталови инструменти, обменни курсове на чуждестранни валути, ще засегнат приходите на образуванието или стойността на неговото участие във финансови инструменти.</w:t>
      </w:r>
    </w:p>
    <w:p>
      <w:pPr>
        <w:numPr>
          <w:ilvl w:val="0"/>
          <w:numId w:val="95"/>
        </w:numPr>
        <w:tabs>
          <w:tab w:val="right" w:pos="-2700"/>
          <w:tab w:val="right" w:pos="720"/>
        </w:tabs>
        <w:suppressAutoHyphens/>
        <w:spacing w:before="60" w:after="60"/>
        <w:ind w:left="0" w:firstLine="0"/>
        <w:jc w:val="both"/>
        <w:rPr>
          <w:rFonts w:ascii="Arial" w:hAnsi="Arial"/>
          <w:noProof/>
          <w:sz w:val="16"/>
          <w:szCs w:val="16"/>
          <w:lang w:eastAsia="ar-SA"/>
        </w:rPr>
      </w:pPr>
    </w:p>
    <w:p>
      <w:pPr>
        <w:numPr>
          <w:ilvl w:val="2"/>
          <w:numId w:val="92"/>
        </w:numPr>
        <w:tabs>
          <w:tab w:val="right" w:pos="-2700"/>
        </w:tabs>
        <w:suppressAutoHyphens/>
        <w:jc w:val="both"/>
        <w:rPr>
          <w:rFonts w:ascii="Arial" w:hAnsi="Arial"/>
          <w:b/>
          <w:noProof/>
          <w:sz w:val="16"/>
          <w:szCs w:val="16"/>
          <w:lang w:val="bg-BG" w:eastAsia="ar-SA"/>
        </w:rPr>
      </w:pPr>
      <w:r>
        <w:rPr>
          <w:rFonts w:ascii="Arial" w:hAnsi="Arial"/>
          <w:b/>
          <w:noProof/>
          <w:sz w:val="16"/>
          <w:szCs w:val="16"/>
          <w:lang w:val="bg-BG" w:eastAsia="ar-SA"/>
        </w:rPr>
        <w:t xml:space="preserve"> </w:t>
      </w:r>
      <w:r>
        <w:rPr>
          <w:rFonts w:ascii="Arial" w:hAnsi="Arial"/>
          <w:b/>
          <w:noProof/>
          <w:sz w:val="16"/>
          <w:szCs w:val="16"/>
          <w:lang w:val="bg-BG" w:eastAsia="ar-SA"/>
        </w:rPr>
        <w:tab/>
        <w:t>Лихвен риск</w:t>
      </w:r>
    </w:p>
    <w:p>
      <w:pPr>
        <w:suppressAutoHyphens/>
        <w:spacing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 xml:space="preserve">Лихвеният риск възниква от променливостта в икономическата стойност на лихвената позиция или в дохода, получен от нея, дължаща се на неблагоприятни промени в лихвените проценти. </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Механизмът не се влияе директно от колебанията на икономическата си стойност или от ценовите несъответствия между различните активи, пасиви и хеджиращи инструменти, тъй като i) той няма преки разходи по заеми или лихвоносни пасиви и ii) той поема въздействието на колебанията на лихвените проценти върху приходите от своите инвестиции.</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Механизмът измерва чувствителността към колебанията на лихвения процент на кредитния си портфейл и суаповете за микрохеджиране с помощта на изчисление на стойността по базисни точки (BPV).</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Стойността по базисни точки (BPV) измерва печалбата или загубата в нетната настояща стойност на съответния портфейл, дължаща се на увеличение с 1 базисна точка (0,01 %) на лихвения процент в рамките на определени продължителности: „паричен пазар — до една година“, „много кратки — 2 до 3 години“, „кратки — от 4 до 6 години“, „средносрочни — от 7 до 11 години“, „дългосрочни — от 12 до 20 години“ или „много дългосрочни — повече от 21 години“.</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 xml:space="preserve">За определяне на нетната настояща стойност (ННС) на паричните потоци по заеми, деноминирани в евро, механизмът използва кривата на финансиране на ЕИБ на база евро (евро суапова крива, коригирана с глобалния спред на финансиране на ЕИБ). Кривата на финансиране на ЕИБ в USD се използва за изчисляване на ННС на паричните потоци по заеми, деноминирани в USD. ННС на паричните потоци по заеми, деноминирани във валути, за които не е налична достоверна и достатъчно пълна сконтова крива, се определя, като се използва кривата на финансиране на ЕИБ на база евро като заместител. </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За да се изчисли нетната настояща стойност на заемите, механизмът използва кривата на финансиране с евро (евро суапова крива + спред на финансиране от ЕИБ) за паричните потоци, деноминирани в евро и в чуждестранни валути, различни от USD, и кривата на финансиране с щатски долари за паричните потоци, деноминирани в USD.</w:t>
      </w:r>
    </w:p>
    <w:p>
      <w:pPr>
        <w:rPr>
          <w:rFonts w:ascii="Arial" w:hAnsi="Arial"/>
          <w:noProof/>
          <w:sz w:val="16"/>
          <w:szCs w:val="16"/>
          <w:lang w:val="bg-BG" w:eastAsia="ar-SA"/>
        </w:rPr>
      </w:pPr>
      <w:r>
        <w:rPr>
          <w:noProof/>
          <w:lang w:val="bg-BG" w:eastAsia="ar-SA"/>
        </w:rPr>
        <w:br w:type="page"/>
      </w:r>
    </w:p>
    <w:p>
      <w:pPr>
        <w:suppressAutoHyphens/>
        <w:spacing w:before="60" w:after="60" w:line="170" w:lineRule="exact"/>
        <w:jc w:val="both"/>
        <w:rPr>
          <w:rFonts w:ascii="Arial" w:hAnsi="Arial"/>
          <w:noProof/>
          <w:sz w:val="16"/>
          <w:szCs w:val="16"/>
          <w:lang w:val="bg-BG" w:eastAsia="ar-SA"/>
        </w:rPr>
      </w:pPr>
      <w:r>
        <w:rPr>
          <w:rFonts w:ascii="Arial" w:hAnsi="Arial"/>
          <w:noProof/>
          <w:sz w:val="16"/>
          <w:szCs w:val="16"/>
          <w:lang w:val="bg-BG" w:eastAsia="ar-SA"/>
        </w:rPr>
        <w:t>Както е показано в следната таблица, към 31 декември 2019 г. нетната настояща стойност на кредитния портфейл, включително свързаните с него суапове за микрохеджиране, намалява с 533 хиляди евро (към 31 декември 2018 г.: намаление с 483 хиляди евро), ако всички съответни криви на лихвените проценти едновременно променят своята посока нагоре с 1 базисна точка.</w:t>
      </w:r>
    </w:p>
    <w:p>
      <w:pPr>
        <w:suppressAutoHyphens/>
        <w:spacing w:before="60" w:after="60" w:line="170" w:lineRule="exact"/>
        <w:jc w:val="both"/>
        <w:rPr>
          <w:rFonts w:ascii="Arial" w:hAnsi="Arial"/>
          <w:noProof/>
          <w:sz w:val="16"/>
          <w:szCs w:val="16"/>
          <w:lang w:val="bg-BG" w:eastAsia="ar-SA"/>
        </w:rPr>
      </w:pPr>
      <w:r>
        <w:rPr>
          <w:noProof/>
          <w:lang w:val="bg-BG" w:eastAsia="ar-SA"/>
        </w:rPr>
        <w:t xml:space="preserve"> </w:t>
      </w:r>
    </w:p>
    <w:tbl>
      <w:tblPr>
        <w:tblStyle w:val="CDMRange19"/>
        <w:tblW w:w="9975" w:type="dxa"/>
        <w:tblLayout w:type="fixed"/>
        <w:tblLook w:val="0600" w:firstRow="0" w:lastRow="0" w:firstColumn="0" w:lastColumn="0" w:noHBand="1" w:noVBand="1"/>
      </w:tblPr>
      <w:tblGrid>
        <w:gridCol w:w="1883"/>
        <w:gridCol w:w="892"/>
        <w:gridCol w:w="1200"/>
        <w:gridCol w:w="1200"/>
        <w:gridCol w:w="1200"/>
        <w:gridCol w:w="1603"/>
        <w:gridCol w:w="1134"/>
        <w:gridCol w:w="863"/>
      </w:tblGrid>
      <w:tr>
        <w:trPr>
          <w:trHeight w:val="290"/>
        </w:trPr>
        <w:tc>
          <w:tcPr>
            <w:tcW w:w="1883"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rPr>
                <w:rFonts w:ascii="Arial" w:eastAsia="Arial" w:hAnsi="Arial" w:cs="Arial"/>
                <w:b/>
                <w:noProof/>
                <w:color w:val="000000"/>
                <w:sz w:val="16"/>
                <w:lang w:val="bg-BG"/>
              </w:rPr>
            </w:pPr>
            <w:r>
              <w:rPr>
                <w:rFonts w:ascii="Arial" w:hAnsi="Arial"/>
                <w:b/>
                <w:noProof/>
                <w:color w:val="000000"/>
                <w:sz w:val="16"/>
                <w:lang w:val="bg-BG"/>
              </w:rPr>
              <w:t>Стойност по базисни точки</w:t>
            </w:r>
          </w:p>
        </w:tc>
        <w:tc>
          <w:tcPr>
            <w:tcW w:w="892"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Пари</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 xml:space="preserve">Много кратки </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Кратки</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Средни</w:t>
            </w:r>
          </w:p>
        </w:tc>
        <w:tc>
          <w:tcPr>
            <w:tcW w:w="1603"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Дълги</w:t>
            </w:r>
          </w:p>
        </w:tc>
        <w:tc>
          <w:tcPr>
            <w:tcW w:w="1134"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 xml:space="preserve">Много дълги </w:t>
            </w:r>
          </w:p>
        </w:tc>
        <w:tc>
          <w:tcPr>
            <w:tcW w:w="863"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883" w:type="dxa"/>
            <w:tcBorders>
              <w:top w:val="nil"/>
              <w:left w:val="nil"/>
              <w:bottom w:val="nil"/>
              <w:right w:val="nil"/>
              <w:tl2br w:val="nil"/>
              <w:tr2bl w:val="nil"/>
            </w:tcBorders>
            <w:shd w:val="clear" w:color="FFFFFF" w:fill="FFFFFF"/>
            <w:tcMar>
              <w:left w:w="40" w:type="dxa"/>
              <w:right w:w="40" w:type="dxa"/>
            </w:tcMar>
            <w:vAlign w:val="center"/>
          </w:tcPr>
          <w:p>
            <w:pPr>
              <w:spacing w:line="170" w:lineRule="exact"/>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892" w:type="dxa"/>
            <w:tcBorders>
              <w:top w:val="nil"/>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Пазар</w:t>
            </w:r>
          </w:p>
        </w:tc>
        <w:tc>
          <w:tcPr>
            <w:tcW w:w="1200"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c>
          <w:tcPr>
            <w:tcW w:w="1200"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c>
          <w:tcPr>
            <w:tcW w:w="1200"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c>
          <w:tcPr>
            <w:tcW w:w="1603"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c>
          <w:tcPr>
            <w:tcW w:w="1134"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c>
          <w:tcPr>
            <w:tcW w:w="863"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47"/>
        </w:trPr>
        <w:tc>
          <w:tcPr>
            <w:tcW w:w="1883"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rPr>
                <w:rFonts w:ascii="Arial" w:eastAsia="Arial" w:hAnsi="Arial" w:cs="Arial"/>
                <w:b/>
                <w:noProof/>
                <w:color w:val="000000"/>
                <w:sz w:val="16"/>
                <w:lang w:val="bg-BG"/>
              </w:rPr>
            </w:pPr>
            <w:r>
              <w:rPr>
                <w:rFonts w:ascii="Arial" w:hAnsi="Arial"/>
                <w:b/>
                <w:noProof/>
                <w:color w:val="000000"/>
                <w:sz w:val="16"/>
                <w:lang w:val="bg-BG"/>
              </w:rPr>
              <w:t>Към 31.12.2019 г.</w:t>
            </w:r>
          </w:p>
        </w:tc>
        <w:tc>
          <w:tcPr>
            <w:tcW w:w="892"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От 2 до 3 години</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От 4 до 6 години</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От 7 до 11 години</w:t>
            </w:r>
          </w:p>
        </w:tc>
        <w:tc>
          <w:tcPr>
            <w:tcW w:w="1603"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От 12 до 20 години</w:t>
            </w:r>
          </w:p>
        </w:tc>
        <w:tc>
          <w:tcPr>
            <w:tcW w:w="1134"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21 години</w:t>
            </w:r>
          </w:p>
        </w:tc>
        <w:tc>
          <w:tcPr>
            <w:tcW w:w="863" w:type="dxa"/>
            <w:tcBorders>
              <w:top w:val="nil"/>
              <w:left w:val="nil"/>
              <w:bottom w:val="single" w:sz="4" w:space="0" w:color="000000"/>
              <w:right w:val="nil"/>
              <w:tl2br w:val="nil"/>
              <w:tr2bl w:val="nil"/>
            </w:tcBorders>
            <w:shd w:val="clear" w:color="FFFFFF" w:fill="FFFFFF"/>
            <w:noWrap/>
            <w:tcMar>
              <w:left w:w="0" w:type="dxa"/>
              <w:right w:w="0" w:type="dxa"/>
            </w:tcMar>
            <w:vAlign w:val="center"/>
          </w:tcPr>
          <w:p>
            <w:pPr>
              <w:spacing w:line="170" w:lineRule="exact"/>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83"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spacing w:line="170" w:lineRule="exact"/>
              <w:rPr>
                <w:rFonts w:ascii="Arial" w:eastAsia="Arial" w:hAnsi="Arial" w:cs="Arial"/>
                <w:noProof/>
                <w:color w:val="000000"/>
                <w:sz w:val="16"/>
                <w:lang w:val="bg-BG"/>
              </w:rPr>
            </w:pPr>
            <w:r>
              <w:rPr>
                <w:rFonts w:ascii="Arial" w:hAnsi="Arial"/>
                <w:noProof/>
                <w:color w:val="000000"/>
                <w:sz w:val="16"/>
                <w:lang w:val="bg-BG"/>
              </w:rPr>
              <w:t>Обща чувствителност на заемите и суаповете за микрохеджиране</w:t>
            </w:r>
          </w:p>
        </w:tc>
        <w:tc>
          <w:tcPr>
            <w:tcW w:w="892"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-42</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-99</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-172</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-163</w:t>
            </w:r>
          </w:p>
        </w:tc>
        <w:tc>
          <w:tcPr>
            <w:tcW w:w="1603"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-57</w:t>
            </w:r>
          </w:p>
        </w:tc>
        <w:tc>
          <w:tcPr>
            <w:tcW w:w="1134"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w:t>
            </w:r>
          </w:p>
        </w:tc>
        <w:tc>
          <w:tcPr>
            <w:tcW w:w="863"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-533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883"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pPr>
              <w:spacing w:line="170" w:lineRule="exact"/>
              <w:rPr>
                <w:rFonts w:ascii="Arial" w:eastAsia="Arial" w:hAnsi="Arial" w:cs="Arial"/>
                <w:noProof/>
                <w:color w:val="000000"/>
                <w:sz w:val="20"/>
                <w:lang w:val="bg-BG"/>
              </w:rPr>
            </w:pPr>
          </w:p>
        </w:tc>
        <w:tc>
          <w:tcPr>
            <w:tcW w:w="892"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pacing w:line="170" w:lineRule="exact"/>
              <w:rPr>
                <w:rFonts w:ascii="Arial" w:eastAsia="Arial" w:hAnsi="Arial" w:cs="Arial"/>
                <w:noProof/>
                <w:color w:val="000000"/>
                <w:sz w:val="20"/>
                <w:lang w:val="bg-BG"/>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pacing w:line="170" w:lineRule="exact"/>
              <w:rPr>
                <w:rFonts w:ascii="Arial" w:eastAsia="Arial" w:hAnsi="Arial" w:cs="Arial"/>
                <w:noProof/>
                <w:color w:val="000000"/>
                <w:sz w:val="20"/>
                <w:lang w:val="bg-BG"/>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pacing w:line="170" w:lineRule="exact"/>
              <w:rPr>
                <w:rFonts w:ascii="Arial" w:eastAsia="Arial" w:hAnsi="Arial" w:cs="Arial"/>
                <w:noProof/>
                <w:color w:val="000000"/>
                <w:sz w:val="20"/>
                <w:lang w:val="bg-BG"/>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pacing w:line="170" w:lineRule="exact"/>
              <w:rPr>
                <w:rFonts w:ascii="Arial" w:eastAsia="Arial" w:hAnsi="Arial" w:cs="Arial"/>
                <w:noProof/>
                <w:color w:val="000000"/>
                <w:sz w:val="20"/>
                <w:lang w:val="bg-BG"/>
              </w:rPr>
            </w:pPr>
          </w:p>
        </w:tc>
        <w:tc>
          <w:tcPr>
            <w:tcW w:w="1603"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pacing w:line="170" w:lineRule="exact"/>
              <w:rPr>
                <w:rFonts w:ascii="Arial" w:eastAsia="Arial" w:hAnsi="Arial" w:cs="Arial"/>
                <w:noProof/>
                <w:color w:val="000000"/>
                <w:sz w:val="20"/>
                <w:lang w:val="bg-BG"/>
              </w:rPr>
            </w:pPr>
          </w:p>
        </w:tc>
        <w:tc>
          <w:tcPr>
            <w:tcW w:w="1134"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pacing w:line="170" w:lineRule="exact"/>
              <w:rPr>
                <w:rFonts w:ascii="Arial" w:eastAsia="Arial" w:hAnsi="Arial" w:cs="Arial"/>
                <w:noProof/>
                <w:color w:val="000000"/>
                <w:sz w:val="20"/>
                <w:lang w:val="bg-BG"/>
              </w:rPr>
            </w:pPr>
          </w:p>
        </w:tc>
        <w:tc>
          <w:tcPr>
            <w:tcW w:w="863"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pacing w:line="170" w:lineRule="exact"/>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883"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rPr>
                <w:rFonts w:ascii="Arial" w:eastAsia="Arial" w:hAnsi="Arial" w:cs="Arial"/>
                <w:b/>
                <w:noProof/>
                <w:color w:val="000000"/>
                <w:sz w:val="16"/>
                <w:lang w:val="bg-BG"/>
              </w:rPr>
            </w:pPr>
            <w:r>
              <w:rPr>
                <w:rFonts w:ascii="Arial" w:hAnsi="Arial"/>
                <w:b/>
                <w:noProof/>
                <w:color w:val="000000"/>
                <w:sz w:val="16"/>
                <w:lang w:val="bg-BG"/>
              </w:rPr>
              <w:t>Стойност по базисни точки</w:t>
            </w:r>
          </w:p>
        </w:tc>
        <w:tc>
          <w:tcPr>
            <w:tcW w:w="892"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Пари</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 xml:space="preserve">Много кратки </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Кратки</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Средни</w:t>
            </w:r>
          </w:p>
        </w:tc>
        <w:tc>
          <w:tcPr>
            <w:tcW w:w="1603"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Дълги</w:t>
            </w:r>
          </w:p>
        </w:tc>
        <w:tc>
          <w:tcPr>
            <w:tcW w:w="1134"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 xml:space="preserve">Много дълги </w:t>
            </w:r>
          </w:p>
        </w:tc>
        <w:tc>
          <w:tcPr>
            <w:tcW w:w="863" w:type="dxa"/>
            <w:tcBorders>
              <w:top w:val="single" w:sz="4" w:space="0" w:color="000000"/>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883" w:type="dxa"/>
            <w:tcBorders>
              <w:top w:val="nil"/>
              <w:left w:val="nil"/>
              <w:bottom w:val="nil"/>
              <w:right w:val="nil"/>
              <w:tl2br w:val="nil"/>
              <w:tr2bl w:val="nil"/>
            </w:tcBorders>
            <w:shd w:val="clear" w:color="FFFFFF" w:fill="FFFFFF"/>
            <w:tcMar>
              <w:left w:w="40" w:type="dxa"/>
              <w:right w:w="40" w:type="dxa"/>
            </w:tcMar>
            <w:vAlign w:val="center"/>
          </w:tcPr>
          <w:p>
            <w:pPr>
              <w:spacing w:line="170" w:lineRule="exact"/>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892" w:type="dxa"/>
            <w:tcBorders>
              <w:top w:val="nil"/>
              <w:left w:val="nil"/>
              <w:bottom w:val="nil"/>
              <w:right w:val="nil"/>
              <w:tl2br w:val="nil"/>
              <w:tr2bl w:val="nil"/>
            </w:tcBorders>
            <w:shd w:val="clear" w:color="FFFFFF" w:fill="FFFFFF"/>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Пазар</w:t>
            </w:r>
          </w:p>
        </w:tc>
        <w:tc>
          <w:tcPr>
            <w:tcW w:w="1200"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c>
          <w:tcPr>
            <w:tcW w:w="1200"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c>
          <w:tcPr>
            <w:tcW w:w="1200"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c>
          <w:tcPr>
            <w:tcW w:w="1603"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c>
          <w:tcPr>
            <w:tcW w:w="1134"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c>
          <w:tcPr>
            <w:tcW w:w="863" w:type="dxa"/>
            <w:tcBorders>
              <w:top w:val="nil"/>
              <w:left w:val="nil"/>
              <w:bottom w:val="nil"/>
              <w:right w:val="nil"/>
              <w:tl2br w:val="nil"/>
              <w:tr2bl w:val="nil"/>
            </w:tcBorders>
            <w:shd w:val="clear" w:color="FFFFFF" w:fill="FFFFFF"/>
            <w:tcMar>
              <w:left w:w="0" w:type="dxa"/>
              <w:right w:w="0" w:type="dxa"/>
            </w:tcMar>
            <w:vAlign w:val="center"/>
          </w:tcPr>
          <w:p>
            <w:pPr>
              <w:spacing w:line="170" w:lineRule="exact"/>
              <w:jc w:val="center"/>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883" w:type="dxa"/>
            <w:tcBorders>
              <w:top w:val="nil"/>
              <w:left w:val="nil"/>
              <w:bottom w:val="single" w:sz="4" w:space="0" w:color="000000"/>
              <w:right w:val="nil"/>
              <w:tl2br w:val="nil"/>
              <w:tr2bl w:val="nil"/>
            </w:tcBorders>
            <w:shd w:val="clear" w:color="FFFFFF" w:fill="FFFFFF"/>
            <w:tcMar>
              <w:left w:w="40" w:type="dxa"/>
              <w:right w:w="40" w:type="dxa"/>
            </w:tcMar>
            <w:vAlign w:val="center"/>
          </w:tcPr>
          <w:p>
            <w:pPr>
              <w:spacing w:line="170" w:lineRule="exact"/>
              <w:rPr>
                <w:rFonts w:ascii="Arial" w:eastAsia="Arial" w:hAnsi="Arial" w:cs="Arial"/>
                <w:b/>
                <w:noProof/>
                <w:color w:val="000000"/>
                <w:sz w:val="16"/>
                <w:lang w:val="bg-BG"/>
              </w:rPr>
            </w:pPr>
            <w:r>
              <w:rPr>
                <w:rFonts w:ascii="Arial" w:hAnsi="Arial"/>
                <w:b/>
                <w:noProof/>
                <w:color w:val="000000"/>
                <w:sz w:val="16"/>
                <w:lang w:val="bg-BG"/>
              </w:rPr>
              <w:t>Към 31.12.2018 г.</w:t>
            </w:r>
          </w:p>
        </w:tc>
        <w:tc>
          <w:tcPr>
            <w:tcW w:w="892"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1 година</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От 2 до 3 години</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От 4 до 6 години</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От 7 до 11 години</w:t>
            </w:r>
          </w:p>
        </w:tc>
        <w:tc>
          <w:tcPr>
            <w:tcW w:w="1603"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От 12 до 20 години</w:t>
            </w:r>
          </w:p>
        </w:tc>
        <w:tc>
          <w:tcPr>
            <w:tcW w:w="1134"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b/>
                <w:noProof/>
                <w:color w:val="000000"/>
                <w:sz w:val="16"/>
                <w:lang w:val="bg-BG"/>
              </w:rPr>
            </w:pPr>
            <w:r>
              <w:rPr>
                <w:rFonts w:ascii="Arial" w:hAnsi="Arial"/>
                <w:b/>
                <w:noProof/>
                <w:color w:val="000000"/>
                <w:sz w:val="16"/>
                <w:lang w:val="bg-BG"/>
              </w:rPr>
              <w:t>21 години</w:t>
            </w:r>
          </w:p>
        </w:tc>
        <w:tc>
          <w:tcPr>
            <w:tcW w:w="863" w:type="dxa"/>
            <w:tcBorders>
              <w:top w:val="nil"/>
              <w:left w:val="nil"/>
              <w:bottom w:val="single" w:sz="4" w:space="0" w:color="000000"/>
              <w:right w:val="nil"/>
              <w:tl2br w:val="nil"/>
              <w:tr2bl w:val="nil"/>
            </w:tcBorders>
            <w:shd w:val="clear" w:color="FFFFFF" w:fill="FFFFFF"/>
            <w:noWrap/>
            <w:tcMar>
              <w:left w:w="0" w:type="dxa"/>
              <w:right w:w="0" w:type="dxa"/>
            </w:tcMar>
            <w:vAlign w:val="center"/>
          </w:tcPr>
          <w:p>
            <w:pPr>
              <w:spacing w:line="170" w:lineRule="exact"/>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883"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spacing w:line="170" w:lineRule="exact"/>
              <w:rPr>
                <w:rFonts w:ascii="Arial" w:eastAsia="Arial" w:hAnsi="Arial" w:cs="Arial"/>
                <w:noProof/>
                <w:color w:val="000000"/>
                <w:sz w:val="16"/>
                <w:lang w:val="bg-BG"/>
              </w:rPr>
            </w:pPr>
            <w:r>
              <w:rPr>
                <w:rFonts w:ascii="Arial" w:hAnsi="Arial"/>
                <w:noProof/>
                <w:color w:val="000000"/>
                <w:sz w:val="16"/>
                <w:lang w:val="bg-BG"/>
              </w:rPr>
              <w:t>Обща чувствителност на заемите и суаповете за микрохеджиране</w:t>
            </w:r>
          </w:p>
        </w:tc>
        <w:tc>
          <w:tcPr>
            <w:tcW w:w="892"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-38</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-94</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-168</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-154</w:t>
            </w:r>
          </w:p>
        </w:tc>
        <w:tc>
          <w:tcPr>
            <w:tcW w:w="1603"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-29</w:t>
            </w:r>
          </w:p>
        </w:tc>
        <w:tc>
          <w:tcPr>
            <w:tcW w:w="1134"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w:t>
            </w:r>
          </w:p>
        </w:tc>
        <w:tc>
          <w:tcPr>
            <w:tcW w:w="863"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spacing w:line="170" w:lineRule="exact"/>
              <w:jc w:val="center"/>
              <w:rPr>
                <w:rFonts w:ascii="Arial" w:eastAsia="Arial" w:hAnsi="Arial" w:cs="Arial"/>
                <w:noProof/>
                <w:color w:val="000000"/>
                <w:sz w:val="16"/>
                <w:lang w:val="bg-BG"/>
              </w:rPr>
            </w:pPr>
            <w:r>
              <w:rPr>
                <w:rFonts w:ascii="Arial" w:hAnsi="Arial"/>
                <w:noProof/>
                <w:color w:val="000000"/>
                <w:sz w:val="16"/>
                <w:lang w:val="bg-BG"/>
              </w:rPr>
              <w:t>-483</w:t>
            </w:r>
          </w:p>
        </w:tc>
      </w:tr>
    </w:tbl>
    <w:p>
      <w:pPr>
        <w:suppressAutoHyphens/>
        <w:spacing w:before="60" w:after="60" w:line="170" w:lineRule="exact"/>
        <w:rPr>
          <w:rFonts w:ascii="Arial" w:hAnsi="Arial"/>
          <w:noProof/>
          <w:sz w:val="16"/>
          <w:lang w:val="bg-BG" w:eastAsia="ar-SA"/>
        </w:rPr>
      </w:pPr>
    </w:p>
    <w:p>
      <w:pPr>
        <w:numPr>
          <w:ilvl w:val="2"/>
          <w:numId w:val="94"/>
        </w:numPr>
        <w:spacing w:before="60" w:line="170" w:lineRule="exact"/>
        <w:jc w:val="both"/>
        <w:rPr>
          <w:rFonts w:ascii="Arial" w:hAnsi="Arial"/>
          <w:b/>
          <w:noProof/>
          <w:sz w:val="16"/>
          <w:szCs w:val="16"/>
          <w:lang w:val="bg-BG" w:eastAsia="ar-SA"/>
        </w:rPr>
      </w:pPr>
      <w:r>
        <w:rPr>
          <w:rFonts w:ascii="Arial" w:hAnsi="Arial"/>
          <w:b/>
          <w:noProof/>
          <w:sz w:val="16"/>
          <w:szCs w:val="16"/>
          <w:lang w:val="bg-BG" w:eastAsia="ar-SA"/>
        </w:rPr>
        <w:t>Валутен риск</w:t>
      </w:r>
    </w:p>
    <w:p>
      <w:pPr>
        <w:numPr>
          <w:ilvl w:val="0"/>
          <w:numId w:val="97"/>
        </w:numPr>
        <w:tabs>
          <w:tab w:val="right" w:pos="-2700"/>
          <w:tab w:val="left" w:pos="2115"/>
        </w:tabs>
        <w:suppressAutoHyphens/>
        <w:spacing w:after="60" w:line="170" w:lineRule="exact"/>
        <w:ind w:left="0" w:firstLine="0"/>
        <w:jc w:val="both"/>
        <w:rPr>
          <w:rFonts w:ascii="Arial" w:hAnsi="Arial"/>
          <w:noProof/>
          <w:sz w:val="16"/>
          <w:szCs w:val="16"/>
          <w:lang w:val="bg-BG" w:eastAsia="ar-SA"/>
        </w:rPr>
      </w:pPr>
      <w:r>
        <w:rPr>
          <w:rFonts w:ascii="Arial" w:hAnsi="Arial"/>
          <w:noProof/>
          <w:sz w:val="16"/>
          <w:szCs w:val="16"/>
          <w:lang w:val="bg-BG" w:eastAsia="ar-SA"/>
        </w:rPr>
        <w:tab/>
      </w:r>
    </w:p>
    <w:p>
      <w:pPr>
        <w:numPr>
          <w:ilvl w:val="0"/>
          <w:numId w:val="97"/>
        </w:numPr>
        <w:tabs>
          <w:tab w:val="right" w:pos="-2700"/>
        </w:tabs>
        <w:suppressAutoHyphens/>
        <w:spacing w:before="60" w:after="60" w:line="170" w:lineRule="exact"/>
        <w:ind w:left="0" w:firstLine="0"/>
        <w:jc w:val="both"/>
        <w:rPr>
          <w:rFonts w:ascii="Arial" w:hAnsi="Arial"/>
          <w:noProof/>
          <w:sz w:val="16"/>
          <w:szCs w:val="16"/>
          <w:lang w:val="bg-BG" w:eastAsia="ar-SA"/>
        </w:rPr>
      </w:pPr>
      <w:r>
        <w:rPr>
          <w:rFonts w:ascii="Arial" w:hAnsi="Arial"/>
          <w:noProof/>
          <w:sz w:val="16"/>
          <w:szCs w:val="16"/>
          <w:lang w:val="bg-BG" w:eastAsia="ar-SA"/>
        </w:rPr>
        <w:t>Валутният риск за Инвестиционния механизъм е рискът от загуба на доходите или икономическа стойност, дължаща се на неблагоприятни промени на валутните курсове.</w:t>
      </w:r>
    </w:p>
    <w:p>
      <w:pPr>
        <w:numPr>
          <w:ilvl w:val="0"/>
          <w:numId w:val="97"/>
        </w:numPr>
        <w:tabs>
          <w:tab w:val="right" w:pos="-2700"/>
        </w:tabs>
        <w:suppressAutoHyphens/>
        <w:spacing w:before="60" w:after="60" w:line="170" w:lineRule="exact"/>
        <w:ind w:left="0" w:firstLine="0"/>
        <w:jc w:val="both"/>
        <w:rPr>
          <w:rFonts w:ascii="Arial" w:hAnsi="Arial"/>
          <w:noProof/>
          <w:sz w:val="16"/>
          <w:szCs w:val="16"/>
          <w:lang w:val="bg-BG" w:eastAsia="ar-SA"/>
        </w:rPr>
      </w:pPr>
    </w:p>
    <w:p>
      <w:pPr>
        <w:spacing w:before="60" w:after="60" w:line="170" w:lineRule="exact"/>
        <w:jc w:val="both"/>
        <w:rPr>
          <w:rFonts w:ascii="Arial" w:hAnsi="Arial"/>
          <w:noProof/>
          <w:sz w:val="16"/>
          <w:szCs w:val="16"/>
          <w:lang w:val="bg-BG" w:eastAsia="ar-SA"/>
        </w:rPr>
      </w:pPr>
      <w:r>
        <w:rPr>
          <w:rFonts w:ascii="Arial" w:hAnsi="Arial"/>
          <w:noProof/>
          <w:sz w:val="16"/>
          <w:szCs w:val="16"/>
          <w:lang w:val="bg-BG" w:eastAsia="ar-SA"/>
        </w:rPr>
        <w:t>Като се има предвид референтна отчетна валута (евро за Инвестиционния механизъм), механизмът е изложен към валутен риск, когато има несъответствие между активите и пасивите, деноминирани във валута, различна от референтната отчетна валута. Валутният риск обхваща също и ефекта от промени в стойността на бъдещите парични потоци, деноминирани във валута, различна от референтната отчетна валута, например лихви и дивиденти, поради колебанията във валутните курсове.</w:t>
      </w:r>
    </w:p>
    <w:p>
      <w:pPr>
        <w:spacing w:before="60" w:after="60" w:line="170" w:lineRule="exact"/>
        <w:jc w:val="both"/>
        <w:rPr>
          <w:rFonts w:ascii="Arial" w:hAnsi="Arial"/>
          <w:noProof/>
          <w:sz w:val="16"/>
          <w:szCs w:val="16"/>
          <w:highlight w:val="green"/>
          <w:lang w:val="bg-BG" w:eastAsia="ar-SA"/>
        </w:rPr>
      </w:pPr>
    </w:p>
    <w:p>
      <w:pPr>
        <w:numPr>
          <w:ilvl w:val="3"/>
          <w:numId w:val="94"/>
        </w:numPr>
        <w:spacing w:before="60" w:line="170" w:lineRule="exact"/>
        <w:jc w:val="both"/>
        <w:rPr>
          <w:rFonts w:ascii="Arial" w:hAnsi="Arial"/>
          <w:b/>
          <w:noProof/>
          <w:sz w:val="16"/>
          <w:szCs w:val="16"/>
          <w:lang w:val="bg-BG" w:eastAsia="ar-SA"/>
        </w:rPr>
      </w:pPr>
      <w:r>
        <w:rPr>
          <w:rFonts w:ascii="Arial" w:hAnsi="Arial"/>
          <w:b/>
          <w:noProof/>
          <w:sz w:val="16"/>
          <w:szCs w:val="16"/>
          <w:lang w:val="bg-BG" w:eastAsia="ar-SA"/>
        </w:rPr>
        <w:t>Валутен риск и касови активи</w:t>
      </w:r>
    </w:p>
    <w:p>
      <w:pPr>
        <w:spacing w:after="60" w:line="170" w:lineRule="exact"/>
        <w:jc w:val="both"/>
        <w:rPr>
          <w:rFonts w:ascii="Arial" w:hAnsi="Arial"/>
          <w:noProof/>
          <w:sz w:val="16"/>
          <w:szCs w:val="16"/>
          <w:u w:val="single"/>
          <w:lang w:val="bg-BG" w:eastAsia="ar-SA"/>
        </w:rPr>
      </w:pPr>
    </w:p>
    <w:p>
      <w:pPr>
        <w:spacing w:before="60" w:after="60" w:line="170" w:lineRule="exact"/>
        <w:jc w:val="both"/>
        <w:rPr>
          <w:rFonts w:ascii="Arial" w:hAnsi="Arial"/>
          <w:noProof/>
          <w:sz w:val="16"/>
          <w:szCs w:val="16"/>
          <w:lang w:val="bg-BG" w:eastAsia="ar-SA"/>
        </w:rPr>
      </w:pPr>
      <w:r>
        <w:rPr>
          <w:rFonts w:ascii="Arial" w:hAnsi="Arial"/>
          <w:noProof/>
          <w:sz w:val="16"/>
          <w:szCs w:val="16"/>
          <w:lang w:val="bg-BG" w:eastAsia="ar-SA"/>
        </w:rPr>
        <w:t>Касовите активи на Инвестиционния механизъм са деноминирани в евро или в щатски долари.</w:t>
      </w:r>
    </w:p>
    <w:p>
      <w:pPr>
        <w:spacing w:before="60" w:after="60" w:line="170" w:lineRule="exact"/>
        <w:jc w:val="both"/>
        <w:rPr>
          <w:rFonts w:ascii="Arial" w:hAnsi="Arial"/>
          <w:noProof/>
          <w:sz w:val="16"/>
          <w:szCs w:val="16"/>
          <w:lang w:val="bg-BG" w:eastAsia="ar-SA"/>
        </w:rPr>
      </w:pPr>
    </w:p>
    <w:p>
      <w:pPr>
        <w:spacing w:before="60" w:after="60" w:line="170" w:lineRule="exact"/>
        <w:jc w:val="both"/>
        <w:rPr>
          <w:rFonts w:ascii="Arial" w:hAnsi="Arial"/>
          <w:noProof/>
          <w:sz w:val="16"/>
          <w:szCs w:val="16"/>
          <w:lang w:val="bg-BG" w:eastAsia="ar-SA"/>
        </w:rPr>
      </w:pPr>
      <w:r>
        <w:rPr>
          <w:rFonts w:ascii="Arial" w:hAnsi="Arial"/>
          <w:noProof/>
          <w:sz w:val="16"/>
          <w:szCs w:val="16"/>
          <w:lang w:val="bg-BG" w:eastAsia="ar-SA"/>
        </w:rPr>
        <w:t>Валутният риск се хеджира посредством кръстосани валутни спот или форуърд сделки, валутни суапове или кръстосани валутни суапове. Отделът за управление на касовите наличности на ЕИБ може, когато счита за необходимо и уместно, да използва всякакви други инструменти, в съответствие с политиката на банката, които осигуряват защита срещу пазарните рискове, поети във връзка с финансовите дейности на механизма.</w:t>
      </w:r>
    </w:p>
    <w:p>
      <w:pPr>
        <w:spacing w:before="60" w:after="60" w:line="170" w:lineRule="exact"/>
        <w:jc w:val="both"/>
        <w:rPr>
          <w:rFonts w:ascii="Arial" w:hAnsi="Arial"/>
          <w:noProof/>
          <w:sz w:val="16"/>
          <w:szCs w:val="16"/>
          <w:lang w:val="bg-BG" w:eastAsia="ar-SA"/>
        </w:rPr>
      </w:pPr>
    </w:p>
    <w:p>
      <w:pPr>
        <w:numPr>
          <w:ilvl w:val="3"/>
          <w:numId w:val="94"/>
        </w:numPr>
        <w:spacing w:before="60" w:line="170" w:lineRule="exact"/>
        <w:jc w:val="both"/>
        <w:rPr>
          <w:rFonts w:ascii="Arial" w:hAnsi="Arial"/>
          <w:b/>
          <w:noProof/>
          <w:sz w:val="16"/>
          <w:szCs w:val="16"/>
          <w:lang w:val="bg-BG" w:eastAsia="ar-SA"/>
        </w:rPr>
      </w:pPr>
      <w:r>
        <w:rPr>
          <w:rFonts w:ascii="Arial" w:hAnsi="Arial"/>
          <w:b/>
          <w:noProof/>
          <w:sz w:val="16"/>
          <w:szCs w:val="16"/>
          <w:lang w:val="bg-BG" w:eastAsia="ar-SA"/>
        </w:rPr>
        <w:t>Валутен риск и операции, финансирани или гарантирани от механизма</w:t>
      </w:r>
    </w:p>
    <w:p>
      <w:pPr>
        <w:spacing w:after="60" w:line="170" w:lineRule="exact"/>
        <w:jc w:val="both"/>
        <w:rPr>
          <w:rFonts w:ascii="Arial" w:hAnsi="Arial"/>
          <w:noProof/>
          <w:sz w:val="16"/>
          <w:szCs w:val="16"/>
          <w:u w:val="single"/>
          <w:lang w:val="bg-BG" w:eastAsia="ar-SA"/>
        </w:rPr>
      </w:pPr>
    </w:p>
    <w:p>
      <w:pPr>
        <w:spacing w:before="60" w:after="60" w:line="170" w:lineRule="exact"/>
        <w:jc w:val="both"/>
        <w:rPr>
          <w:rFonts w:ascii="Arial" w:hAnsi="Arial"/>
          <w:noProof/>
          <w:sz w:val="16"/>
          <w:szCs w:val="16"/>
          <w:lang w:val="bg-BG" w:eastAsia="ar-SA"/>
        </w:rPr>
      </w:pPr>
      <w:r>
        <w:rPr>
          <w:rFonts w:ascii="Arial" w:hAnsi="Arial"/>
          <w:noProof/>
          <w:sz w:val="16"/>
          <w:szCs w:val="16"/>
          <w:lang w:val="bg-BG" w:eastAsia="ar-SA"/>
        </w:rPr>
        <w:t>Вноските на държавите членки за механизма се получават в евро. Операциите, финансирани или гарантирани от механизма, както и лихвените субсидии, могат да бъдат деноминирани в евро, щатски долари или всякаква друга разрешена валута.</w:t>
      </w:r>
    </w:p>
    <w:p>
      <w:pPr>
        <w:spacing w:before="60" w:after="60" w:line="170" w:lineRule="exact"/>
        <w:jc w:val="both"/>
        <w:rPr>
          <w:rFonts w:ascii="Arial" w:hAnsi="Arial"/>
          <w:noProof/>
          <w:sz w:val="16"/>
          <w:szCs w:val="16"/>
          <w:lang w:val="bg-BG"/>
        </w:rPr>
      </w:pPr>
    </w:p>
    <w:p>
      <w:pPr>
        <w:spacing w:before="60" w:after="60" w:line="170" w:lineRule="exact"/>
        <w:jc w:val="both"/>
        <w:rPr>
          <w:rFonts w:ascii="Arial" w:hAnsi="Arial"/>
          <w:noProof/>
          <w:sz w:val="16"/>
          <w:szCs w:val="16"/>
          <w:lang w:val="bg-BG" w:eastAsia="ar-SA"/>
        </w:rPr>
      </w:pPr>
      <w:r>
        <w:rPr>
          <w:rFonts w:ascii="Arial" w:hAnsi="Arial"/>
          <w:noProof/>
          <w:sz w:val="16"/>
          <w:szCs w:val="16"/>
          <w:lang w:val="bg-BG" w:eastAsia="ar-SA"/>
        </w:rPr>
        <w:t>Валутен риск (спрямо еврото като референтна валута) възниква, когато сделките, деноминирани във валути, различни от еврото, са оставени без хеджиране. Насоките за хеджиране на валутния риск на механизма са изложени по-долу. </w:t>
      </w:r>
    </w:p>
    <w:p>
      <w:pPr>
        <w:spacing w:before="60" w:after="60" w:line="170" w:lineRule="exact"/>
        <w:jc w:val="both"/>
        <w:rPr>
          <w:rFonts w:ascii="Arial" w:hAnsi="Arial"/>
          <w:noProof/>
          <w:sz w:val="16"/>
          <w:szCs w:val="16"/>
          <w:lang w:val="bg-BG" w:eastAsia="ar-SA"/>
        </w:rPr>
      </w:pPr>
    </w:p>
    <w:p>
      <w:pPr>
        <w:numPr>
          <w:ilvl w:val="4"/>
          <w:numId w:val="96"/>
        </w:numPr>
        <w:tabs>
          <w:tab w:val="right" w:pos="-2700"/>
        </w:tabs>
        <w:suppressAutoHyphens/>
        <w:spacing w:before="60" w:line="170" w:lineRule="exact"/>
        <w:jc w:val="both"/>
        <w:rPr>
          <w:rFonts w:ascii="Arial" w:hAnsi="Arial"/>
          <w:b/>
          <w:noProof/>
          <w:sz w:val="16"/>
          <w:szCs w:val="16"/>
          <w:lang w:val="bg-BG" w:eastAsia="ar-SA"/>
        </w:rPr>
      </w:pPr>
      <w:r>
        <w:rPr>
          <w:rFonts w:ascii="Arial" w:hAnsi="Arial"/>
          <w:b/>
          <w:noProof/>
          <w:sz w:val="16"/>
          <w:szCs w:val="16"/>
          <w:lang w:val="bg-BG" w:eastAsia="ar-SA"/>
        </w:rPr>
        <w:t>Хеджиране на операции, деноминирани в USD</w:t>
      </w:r>
    </w:p>
    <w:p>
      <w:pPr>
        <w:spacing w:after="60" w:line="170" w:lineRule="exact"/>
        <w:jc w:val="both"/>
        <w:rPr>
          <w:rFonts w:ascii="Arial" w:hAnsi="Arial"/>
          <w:noProof/>
          <w:sz w:val="16"/>
          <w:szCs w:val="16"/>
          <w:lang w:val="bg-BG"/>
        </w:rPr>
      </w:pPr>
    </w:p>
    <w:p>
      <w:pPr>
        <w:spacing w:before="60" w:after="60" w:line="170" w:lineRule="exact"/>
        <w:jc w:val="both"/>
        <w:rPr>
          <w:rFonts w:ascii="Arial" w:hAnsi="Arial"/>
          <w:noProof/>
          <w:sz w:val="16"/>
          <w:szCs w:val="16"/>
          <w:lang w:val="bg-BG" w:eastAsia="ar-SA"/>
        </w:rPr>
      </w:pPr>
      <w:r>
        <w:rPr>
          <w:rFonts w:ascii="Arial" w:hAnsi="Arial"/>
          <w:noProof/>
          <w:sz w:val="16"/>
          <w:szCs w:val="16"/>
          <w:lang w:val="bg-BG" w:eastAsia="ar-SA"/>
        </w:rPr>
        <w:t>Валутният риск, породен от операции на механизма, деноминирани в щастки долари, се обезпечава на агрегирана основа чрез валутни суапове за щатски долар/евро, прехвърляни и коригирани периодично по отношение на размера на средствата. Използването на валутни суапове преследва двойна цел. От една страна, се създава необходимата ликвидност за нови плащания (заеми и собствен капитал) и, от друга страна, се поддържа валутно макрохеджиране.</w:t>
      </w:r>
    </w:p>
    <w:p>
      <w:pPr>
        <w:spacing w:before="60" w:after="60" w:line="170" w:lineRule="exact"/>
        <w:jc w:val="both"/>
        <w:rPr>
          <w:rFonts w:ascii="Arial" w:hAnsi="Arial"/>
          <w:noProof/>
          <w:sz w:val="16"/>
          <w:szCs w:val="16"/>
          <w:lang w:val="bg-BG"/>
        </w:rPr>
      </w:pPr>
    </w:p>
    <w:p>
      <w:pPr>
        <w:spacing w:before="60" w:after="60" w:line="170" w:lineRule="exact"/>
        <w:jc w:val="both"/>
        <w:rPr>
          <w:rFonts w:ascii="Arial" w:hAnsi="Arial"/>
          <w:noProof/>
          <w:sz w:val="16"/>
          <w:szCs w:val="16"/>
          <w:lang w:val="bg-BG" w:eastAsia="ar-SA"/>
        </w:rPr>
      </w:pPr>
      <w:r>
        <w:rPr>
          <w:rFonts w:ascii="Arial" w:hAnsi="Arial"/>
          <w:noProof/>
          <w:sz w:val="16"/>
          <w:szCs w:val="16"/>
          <w:lang w:val="bg-BG" w:eastAsia="ar-SA"/>
        </w:rPr>
        <w:t xml:space="preserve">В началото на всеки период паричните потоци, които следва да се получат или платят в USD през следващия период, се изчисляват въз основа на планирани или очаквани обратни постъпления/плащания. Следователно валутните суапове с наближаващ падеж се разсрочват, техните суми се коригират, за да се покрият поне нуждите от ликвидност на USD, планирани за следващия период. </w:t>
      </w:r>
    </w:p>
    <w:p>
      <w:pPr>
        <w:spacing w:before="60" w:after="60" w:line="170" w:lineRule="exact"/>
        <w:jc w:val="both"/>
        <w:rPr>
          <w:rFonts w:ascii="Arial" w:hAnsi="Arial"/>
          <w:noProof/>
          <w:sz w:val="16"/>
          <w:szCs w:val="16"/>
          <w:lang w:val="bg-BG"/>
        </w:rPr>
      </w:pPr>
    </w:p>
    <w:p>
      <w:pPr>
        <w:spacing w:before="60" w:after="60" w:line="170" w:lineRule="exact"/>
        <w:jc w:val="both"/>
        <w:rPr>
          <w:rFonts w:ascii="Arial" w:hAnsi="Arial"/>
          <w:noProof/>
          <w:sz w:val="16"/>
          <w:szCs w:val="16"/>
          <w:lang w:val="bg-BG" w:eastAsia="ar-SA"/>
        </w:rPr>
      </w:pPr>
      <w:r>
        <w:rPr>
          <w:rFonts w:ascii="Arial" w:hAnsi="Arial"/>
          <w:noProof/>
          <w:sz w:val="16"/>
          <w:szCs w:val="16"/>
          <w:lang w:val="bg-BG" w:eastAsia="ar-SA"/>
        </w:rPr>
        <w:t>Всеки месец валутната позиция за USD се хеджира, ако надвишава съответните ограничения, чрез спот или форуърд операции.</w:t>
      </w:r>
    </w:p>
    <w:p>
      <w:pPr>
        <w:spacing w:before="60" w:after="60" w:line="170" w:lineRule="exact"/>
        <w:jc w:val="both"/>
        <w:rPr>
          <w:rFonts w:ascii="Arial" w:hAnsi="Arial"/>
          <w:noProof/>
          <w:sz w:val="16"/>
          <w:szCs w:val="16"/>
          <w:lang w:val="bg-BG"/>
        </w:rPr>
      </w:pPr>
    </w:p>
    <w:p>
      <w:pPr>
        <w:spacing w:before="60" w:after="60" w:line="170" w:lineRule="exact"/>
        <w:jc w:val="both"/>
        <w:rPr>
          <w:rFonts w:ascii="Arial" w:hAnsi="Arial"/>
          <w:noProof/>
          <w:sz w:val="16"/>
          <w:szCs w:val="16"/>
          <w:lang w:val="bg-BG" w:eastAsia="ar-SA"/>
        </w:rPr>
      </w:pPr>
      <w:r>
        <w:rPr>
          <w:rFonts w:ascii="Arial" w:hAnsi="Arial"/>
          <w:noProof/>
          <w:sz w:val="16"/>
          <w:szCs w:val="16"/>
          <w:lang w:val="bg-BG" w:eastAsia="ar-SA"/>
        </w:rPr>
        <w:t>В рамките на периода на разсрочване неочакваните ликвидни дефицити за USD се покриват чрез ad hoc валутни суапови операции, докато ликвидните излишъци или се инвестират в касови активи, или се преобръщат в евро, ако са възникнали от увеличение на валутната позиция.</w:t>
      </w:r>
    </w:p>
    <w:p>
      <w:pPr>
        <w:rPr>
          <w:rFonts w:ascii="Arial" w:hAnsi="Arial"/>
          <w:noProof/>
          <w:sz w:val="16"/>
          <w:szCs w:val="16"/>
          <w:lang w:val="bg-BG" w:eastAsia="ar-SA"/>
        </w:rPr>
      </w:pPr>
      <w:r>
        <w:rPr>
          <w:noProof/>
          <w:lang w:val="bg-BG" w:eastAsia="ar-SA"/>
        </w:rPr>
        <w:br w:type="page"/>
      </w:r>
    </w:p>
    <w:p>
      <w:pPr>
        <w:numPr>
          <w:ilvl w:val="4"/>
          <w:numId w:val="96"/>
        </w:numPr>
        <w:tabs>
          <w:tab w:val="right" w:pos="-2700"/>
        </w:tabs>
        <w:suppressAutoHyphens/>
        <w:spacing w:before="60"/>
        <w:jc w:val="both"/>
        <w:rPr>
          <w:rFonts w:ascii="Arial" w:hAnsi="Arial"/>
          <w:b/>
          <w:noProof/>
          <w:sz w:val="16"/>
          <w:szCs w:val="16"/>
          <w:lang w:val="bg-BG" w:eastAsia="ar-SA"/>
        </w:rPr>
      </w:pPr>
      <w:r>
        <w:rPr>
          <w:rFonts w:ascii="Arial" w:hAnsi="Arial"/>
          <w:b/>
          <w:noProof/>
          <w:sz w:val="16"/>
          <w:szCs w:val="16"/>
          <w:lang w:val="bg-BG" w:eastAsia="ar-SA"/>
        </w:rPr>
        <w:t>Хеджиране на операциите, деноминирани във валута, различна от EUR или USD</w:t>
      </w:r>
    </w:p>
    <w:p>
      <w:pPr>
        <w:spacing w:after="60"/>
        <w:jc w:val="both"/>
        <w:rPr>
          <w:rFonts w:ascii="Arial" w:hAnsi="Arial"/>
          <w:noProof/>
          <w:sz w:val="16"/>
          <w:szCs w:val="16"/>
          <w:lang w:val="bg-BG"/>
        </w:rPr>
      </w:pPr>
    </w:p>
    <w:p>
      <w:pPr>
        <w:spacing w:before="60" w:after="60"/>
        <w:jc w:val="both"/>
        <w:rPr>
          <w:rFonts w:ascii="Arial" w:hAnsi="Arial"/>
          <w:noProof/>
          <w:sz w:val="16"/>
          <w:szCs w:val="16"/>
          <w:lang w:val="bg-BG" w:eastAsia="ar-SA"/>
        </w:rPr>
      </w:pPr>
      <w:r>
        <w:rPr>
          <w:rFonts w:ascii="Arial" w:hAnsi="Arial"/>
          <w:noProof/>
          <w:sz w:val="16"/>
          <w:szCs w:val="16"/>
          <w:lang w:val="bg-BG" w:eastAsia="ar-SA"/>
        </w:rPr>
        <w:t>Операциите на механизма, деноминирани във валути, различни от EUR и USD, се хеджират посредством кръстосани суапови договори със същите финансови профили като съответния заем, при условие че суаповият пазар е функциониращ.</w:t>
      </w:r>
    </w:p>
    <w:p>
      <w:pPr>
        <w:spacing w:before="60" w:after="60"/>
        <w:jc w:val="both"/>
        <w:rPr>
          <w:rFonts w:ascii="Arial" w:hAnsi="Arial"/>
          <w:noProof/>
          <w:sz w:val="16"/>
          <w:szCs w:val="16"/>
          <w:lang w:val="bg-BG"/>
        </w:rPr>
      </w:pPr>
    </w:p>
    <w:p>
      <w:pPr>
        <w:spacing w:before="60" w:after="60"/>
        <w:jc w:val="both"/>
        <w:rPr>
          <w:rFonts w:ascii="Arial" w:hAnsi="Arial"/>
          <w:noProof/>
          <w:sz w:val="16"/>
          <w:szCs w:val="16"/>
          <w:lang w:val="bg-BG" w:eastAsia="ar-SA"/>
        </w:rPr>
      </w:pPr>
      <w:r>
        <w:rPr>
          <w:rFonts w:ascii="Arial" w:hAnsi="Arial"/>
          <w:noProof/>
          <w:sz w:val="16"/>
          <w:szCs w:val="16"/>
          <w:lang w:val="bg-BG" w:eastAsia="ar-SA"/>
        </w:rPr>
        <w:t>Механизмът има операции във валути, за които възможности за хеджиране или не са налични, или се предоставят на висока цена. Тези операции са деноминирани в местна валута, но платени в EUR или USD. Рамката за финансовия риск на механизма, която беше одобрена от Комитета механизма на 22 януари 2015 г., предлага възможност за хеджиране на валутна експозиция в местни валути със значителна положителна корелация синтетично с щатския долар чрез деривати, деноминирани в щатски долари. Местните валути, хеджирани синтетично с деривати, деноминирани в щатски долари, се отчитат в таблицата в раздел 3.4.2.2.3 по-долу в точка „Местни валути (със синтетично хеджиране)“, докато местните валути, нехеджирани синтетично с щатския долар, се отчитат в същата таблица в точка „Местни валути (без синтетично хеджиране)“.</w:t>
      </w:r>
    </w:p>
    <w:p>
      <w:pPr>
        <w:numPr>
          <w:ilvl w:val="0"/>
          <w:numId w:val="97"/>
        </w:numPr>
        <w:tabs>
          <w:tab w:val="right" w:pos="-2700"/>
        </w:tabs>
        <w:suppressAutoHyphens/>
        <w:spacing w:before="60" w:after="60"/>
        <w:ind w:left="1021" w:firstLine="0"/>
        <w:jc w:val="both"/>
        <w:rPr>
          <w:rFonts w:ascii="Arial" w:hAnsi="Arial"/>
          <w:b/>
          <w:noProof/>
          <w:sz w:val="16"/>
          <w:szCs w:val="16"/>
          <w:lang w:val="bg-BG" w:eastAsia="ar-SA"/>
        </w:rPr>
      </w:pPr>
    </w:p>
    <w:p>
      <w:pPr>
        <w:numPr>
          <w:ilvl w:val="4"/>
          <w:numId w:val="96"/>
        </w:numPr>
        <w:tabs>
          <w:tab w:val="right" w:pos="-2700"/>
        </w:tabs>
        <w:suppressAutoHyphens/>
        <w:spacing w:before="60"/>
        <w:jc w:val="both"/>
        <w:rPr>
          <w:rFonts w:ascii="Arial" w:hAnsi="Arial"/>
          <w:b/>
          <w:noProof/>
          <w:sz w:val="16"/>
          <w:szCs w:val="16"/>
          <w:lang w:val="bg-BG" w:eastAsia="ar-SA"/>
        </w:rPr>
      </w:pPr>
      <w:r>
        <w:rPr>
          <w:rFonts w:ascii="Arial" w:hAnsi="Arial"/>
          <w:b/>
          <w:noProof/>
          <w:sz w:val="16"/>
          <w:szCs w:val="16"/>
          <w:lang w:val="bg-BG" w:eastAsia="ar-SA"/>
        </w:rPr>
        <w:t>Валутна позиция (в хиляди евро)</w:t>
      </w:r>
    </w:p>
    <w:p>
      <w:pPr>
        <w:tabs>
          <w:tab w:val="right" w:pos="-2700"/>
        </w:tabs>
        <w:suppressAutoHyphens/>
        <w:spacing w:after="60"/>
        <w:ind w:left="1021"/>
        <w:jc w:val="both"/>
        <w:rPr>
          <w:rFonts w:ascii="Arial" w:hAnsi="Arial"/>
          <w:b/>
          <w:noProof/>
          <w:sz w:val="16"/>
          <w:szCs w:val="16"/>
          <w:lang w:val="en-US" w:eastAsia="ar-SA"/>
        </w:rPr>
      </w:pPr>
      <w:r>
        <w:rPr>
          <w:rFonts w:ascii="Arial" w:hAnsi="Arial"/>
          <w:b/>
          <w:noProof/>
          <w:sz w:val="16"/>
          <w:szCs w:val="16"/>
          <w:lang w:val="en-US" w:eastAsia="ar-SA"/>
        </w:rPr>
        <w:t>4</w:t>
      </w:r>
      <w:r>
        <w:rPr>
          <w:rFonts w:ascii="Arial" w:hAnsi="Arial"/>
          <w:b/>
          <w:noProof/>
          <w:sz w:val="16"/>
          <w:szCs w:val="16"/>
          <w:lang w:val="en-US" w:eastAsia="ar-SA"/>
        </w:rPr>
        <w:tab/>
      </w:r>
    </w:p>
    <w:p>
      <w:pPr>
        <w:tabs>
          <w:tab w:val="right" w:pos="-2700"/>
          <w:tab w:val="num" w:pos="720"/>
          <w:tab w:val="center" w:pos="4320"/>
          <w:tab w:val="right" w:pos="8640"/>
        </w:tabs>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В таблиците на тази бележка се съдържа валутната позиция на механизма.</w:t>
      </w:r>
    </w:p>
    <w:p>
      <w:pPr>
        <w:tabs>
          <w:tab w:val="right" w:pos="-2700"/>
          <w:tab w:val="num" w:pos="720"/>
          <w:tab w:val="center" w:pos="4320"/>
          <w:tab w:val="right" w:pos="8640"/>
        </w:tabs>
        <w:suppressAutoHyphens/>
        <w:spacing w:before="60" w:after="60"/>
        <w:jc w:val="both"/>
        <w:rPr>
          <w:rFonts w:ascii="Arial" w:hAnsi="Arial"/>
          <w:noProof/>
          <w:sz w:val="16"/>
          <w:szCs w:val="16"/>
          <w:lang w:val="bg-BG" w:eastAsia="ar-SA"/>
        </w:rPr>
      </w:pPr>
    </w:p>
    <w:p>
      <w:pPr>
        <w:spacing w:before="60" w:after="60"/>
        <w:jc w:val="both"/>
        <w:rPr>
          <w:rFonts w:ascii="Arial" w:hAnsi="Arial"/>
          <w:noProof/>
          <w:sz w:val="16"/>
          <w:szCs w:val="16"/>
          <w:lang w:val="bg-BG" w:eastAsia="ar-SA"/>
        </w:rPr>
      </w:pPr>
      <w:r>
        <w:rPr>
          <w:rFonts w:ascii="Arial" w:hAnsi="Arial"/>
          <w:noProof/>
          <w:sz w:val="16"/>
          <w:szCs w:val="16"/>
          <w:lang w:val="bg-BG" w:eastAsia="ar-SA"/>
        </w:rPr>
        <w:t>Валутната позиция е представена в таблиците по-долу в съответствие с политиките за риска на механизма (както е описано в рамката за финансовия риск на механизма). Валутната позиция съгласно политиките за риска се основава на счетоводните данни и се определя като салдото между избрани активи и пасиви. Активите и пасивите, определени във валутната позиция съгласно рисковите политики, са подбрани така, че да гарантират, че приходите ще бъдат конвертирани в отчетната валута (евро) едва при тяхното получаване.</w:t>
      </w:r>
    </w:p>
    <w:p>
      <w:pPr>
        <w:spacing w:before="60" w:after="60"/>
        <w:jc w:val="both"/>
        <w:rPr>
          <w:rFonts w:ascii="Arial" w:hAnsi="Arial"/>
          <w:noProof/>
          <w:sz w:val="16"/>
          <w:szCs w:val="16"/>
          <w:lang w:val="bg-BG"/>
        </w:rPr>
      </w:pPr>
    </w:p>
    <w:p>
      <w:pPr>
        <w:spacing w:before="60" w:after="60"/>
        <w:jc w:val="both"/>
        <w:rPr>
          <w:rFonts w:ascii="Arial" w:hAnsi="Arial"/>
          <w:noProof/>
          <w:sz w:val="16"/>
          <w:szCs w:val="16"/>
          <w:lang w:val="bg-BG" w:eastAsia="ar-SA"/>
        </w:rPr>
      </w:pPr>
      <w:r>
        <w:rPr>
          <w:rFonts w:ascii="Arial" w:hAnsi="Arial"/>
          <w:noProof/>
          <w:sz w:val="16"/>
          <w:szCs w:val="16"/>
          <w:lang w:val="bg-BG" w:eastAsia="ar-SA"/>
        </w:rPr>
        <w:t>Промяната на справедливата стойност на акции и други ценни книжа с променлива доходност се включва във валутната позиция съгласно рисковите политики, както и обезценките на заемите и авансите. Дериватите, включени във валутната позиция съгласно рисковите политики, се вземат по номинална стойност вместо по справедлива стойност, за да бъдат приведени в съответствие с неразпределената стойност на активите, също взета по номинална стойност, коригирана с обезценката за заемите.</w:t>
      </w:r>
    </w:p>
    <w:p>
      <w:pPr>
        <w:spacing w:before="60" w:after="60"/>
        <w:jc w:val="both"/>
        <w:rPr>
          <w:rFonts w:ascii="Arial" w:hAnsi="Arial"/>
          <w:noProof/>
          <w:sz w:val="16"/>
          <w:lang w:val="bg-BG" w:eastAsia="ar-SA"/>
        </w:rPr>
      </w:pPr>
    </w:p>
    <w:p>
      <w:pPr>
        <w:jc w:val="both"/>
        <w:rPr>
          <w:rFonts w:ascii="Arial" w:hAnsi="Arial"/>
          <w:noProof/>
          <w:sz w:val="16"/>
          <w:szCs w:val="16"/>
          <w:lang w:val="bg-BG" w:eastAsia="ar-SA"/>
        </w:rPr>
      </w:pPr>
      <w:r>
        <w:rPr>
          <w:rFonts w:ascii="Arial" w:hAnsi="Arial"/>
          <w:noProof/>
          <w:sz w:val="16"/>
          <w:szCs w:val="16"/>
          <w:lang w:val="bg-BG" w:eastAsia="ar-SA"/>
        </w:rPr>
        <w:t>В таблиците по-долу останалата част от активите и пасивите, които включват главно начислени лихви по заеми, деривати и субсидии, е представена като „Валутна позиция, изключена от политиките за риска“.</w:t>
      </w:r>
    </w:p>
    <w:p>
      <w:pPr>
        <w:spacing w:before="60" w:after="60"/>
        <w:rPr>
          <w:rFonts w:ascii="Arial" w:hAnsi="Arial"/>
          <w:noProof/>
          <w:sz w:val="16"/>
          <w:szCs w:val="16"/>
          <w:lang w:val="bg-BG"/>
        </w:rPr>
      </w:pPr>
    </w:p>
    <w:tbl>
      <w:tblPr>
        <w:tblStyle w:val="CDMRange29"/>
        <w:tblW w:w="9975" w:type="dxa"/>
        <w:tblLayout w:type="fixed"/>
        <w:tblLook w:val="0600" w:firstRow="0" w:lastRow="0" w:firstColumn="0" w:lastColumn="0" w:noHBand="1" w:noVBand="1"/>
      </w:tblPr>
      <w:tblGrid>
        <w:gridCol w:w="2625"/>
        <w:gridCol w:w="1800"/>
        <w:gridCol w:w="1800"/>
        <w:gridCol w:w="1800"/>
        <w:gridCol w:w="150"/>
        <w:gridCol w:w="1800"/>
      </w:tblGrid>
      <w:tr>
        <w:trPr>
          <w:trHeight w:val="43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2019 г.</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Активи и пасиви</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b/>
                <w:noProof/>
                <w:color w:val="000000"/>
                <w:sz w:val="16"/>
                <w:lang w:val="bg-BG"/>
              </w:rPr>
            </w:pP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Поети задължения и условни пасиви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6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Валути</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съгласно политиките за риска</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изключена от политиките за риска</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на баланса</w:t>
            </w:r>
          </w:p>
        </w:tc>
        <w:tc>
          <w:tcPr>
            <w:tcW w:w="150" w:type="dxa"/>
            <w:tcBorders>
              <w:top w:val="nil"/>
              <w:left w:val="nil"/>
              <w:bottom w:val="nil"/>
              <w:right w:val="nil"/>
              <w:tl2br w:val="nil"/>
              <w:tr2bl w:val="nil"/>
            </w:tcBorders>
            <w:shd w:val="clear" w:color="FFFFFF" w:fill="FFFFFF"/>
            <w:tcMar>
              <w:left w:w="0" w:type="dxa"/>
              <w:right w:w="0" w:type="dxa"/>
            </w:tcMar>
            <w:vAlign w:val="center"/>
          </w:tcPr>
          <w:p>
            <w:pPr>
              <w:jc w:val="center"/>
              <w:rPr>
                <w:rFonts w:ascii="Arial" w:eastAsia="Arial" w:hAnsi="Arial" w:cs="Arial"/>
                <w:noProof/>
                <w:color w:val="000000"/>
                <w:sz w:val="16"/>
                <w:lang w:val="bg-BG"/>
              </w:rPr>
            </w:pPr>
          </w:p>
        </w:tc>
        <w:tc>
          <w:tcPr>
            <w:tcW w:w="18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pPr>
              <w:rPr>
                <w:rFonts w:ascii="Arial" w:eastAsia="Arial" w:hAnsi="Arial" w:cs="Arial"/>
                <w:b/>
                <w:i/>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-103,746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-56,632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-160,378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637,693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r>
              <w:rPr>
                <w:rFonts w:ascii="Arial" w:hAnsi="Arial"/>
                <w:i/>
                <w:noProof/>
                <w:color w:val="000000"/>
                <w:sz w:val="16"/>
                <w:lang w:val="bg-BG"/>
              </w:rPr>
              <w:t xml:space="preserve">Местни валути </w:t>
            </w:r>
          </w:p>
          <w:p>
            <w:pPr>
              <w:rPr>
                <w:rFonts w:ascii="Arial" w:eastAsia="Arial" w:hAnsi="Arial" w:cs="Arial"/>
                <w:i/>
                <w:noProof/>
                <w:color w:val="000000"/>
                <w:sz w:val="16"/>
                <w:lang w:val="bg-BG"/>
              </w:rPr>
            </w:pPr>
            <w:r>
              <w:rPr>
                <w:rFonts w:ascii="Arial" w:hAnsi="Arial"/>
                <w:i/>
                <w:noProof/>
                <w:color w:val="000000"/>
                <w:sz w:val="16"/>
                <w:lang w:val="bg-BG"/>
              </w:rPr>
              <w:t>(със синтетично хеджиране)*</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rPr>
                <w:rFonts w:ascii="Arial" w:eastAsia="Arial" w:hAnsi="Arial" w:cs="Arial"/>
                <w:i/>
                <w:noProof/>
                <w:color w:val="000000"/>
                <w:sz w:val="16"/>
                <w:lang w:val="bg-BG"/>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rPr>
                <w:rFonts w:ascii="Arial" w:eastAsia="Arial" w:hAnsi="Arial" w:cs="Arial"/>
                <w:i/>
                <w:noProof/>
                <w:color w:val="000000"/>
                <w:sz w:val="16"/>
                <w:lang w:val="bg-BG"/>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rPr>
                <w:rFonts w:ascii="Arial" w:eastAsia="Arial" w:hAnsi="Arial" w:cs="Arial"/>
                <w:i/>
                <w:noProof/>
                <w:color w:val="000000"/>
                <w:sz w:val="16"/>
                <w:lang w:val="bg-BG"/>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29,472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464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29,936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48,092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354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48,446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25,383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602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25,985</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37,132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574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37,706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30,766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30,813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r>
              <w:rPr>
                <w:rFonts w:ascii="Arial" w:hAnsi="Arial"/>
                <w:i/>
                <w:noProof/>
                <w:color w:val="000000"/>
                <w:sz w:val="16"/>
                <w:lang w:val="bg-BG"/>
              </w:rPr>
              <w:t xml:space="preserve">Местни валути </w:t>
            </w:r>
          </w:p>
          <w:p>
            <w:pPr>
              <w:rPr>
                <w:rFonts w:ascii="Arial" w:eastAsia="Arial" w:hAnsi="Arial" w:cs="Arial"/>
                <w:i/>
                <w:noProof/>
                <w:color w:val="000000"/>
                <w:sz w:val="16"/>
                <w:lang w:val="bg-BG"/>
              </w:rPr>
            </w:pPr>
            <w:r>
              <w:rPr>
                <w:rFonts w:ascii="Arial" w:hAnsi="Arial"/>
                <w:i/>
                <w:noProof/>
                <w:color w:val="000000"/>
                <w:sz w:val="16"/>
                <w:lang w:val="bg-BG"/>
              </w:rPr>
              <w:t>(без синтетично хеджиране)*</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jc w:val="center"/>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99,864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-530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99,334</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валути, различни от еврото</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166,963</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-55,121</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111,842</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b/>
                <w:noProof/>
                <w:color w:val="000000"/>
                <w:sz w:val="16"/>
                <w:lang w:val="bg-BG"/>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637,693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Евро</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3,075,194</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3,075,194</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b/>
                <w:noProof/>
                <w:color w:val="000000"/>
                <w:sz w:val="16"/>
                <w:lang w:val="bg-BG"/>
              </w:rPr>
            </w:pP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2,741,023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евро и други валути</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166,963</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3,020,073</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bCs/>
                <w:noProof/>
                <w:sz w:val="16"/>
                <w:szCs w:val="16"/>
                <w:lang w:val="bg-BG"/>
              </w:rPr>
              <w:t>3,187,036</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noProof/>
                <w:color w:val="000000"/>
                <w:sz w:val="16"/>
                <w:lang w:val="bg-BG"/>
              </w:rPr>
            </w:pP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3,378,716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975" w:type="dxa"/>
            <w:gridSpan w:val="6"/>
            <w:tcBorders>
              <w:top w:val="nil"/>
              <w:left w:val="nil"/>
              <w:bottom w:val="nil"/>
              <w:right w:val="nil"/>
              <w:tl2br w:val="nil"/>
              <w:tr2bl w:val="nil"/>
            </w:tcBorders>
            <w:shd w:val="clear" w:color="FFFFFF" w:fill="FFFFFF"/>
            <w:tcMar>
              <w:left w:w="40" w:type="dxa"/>
              <w:right w:w="40" w:type="dxa"/>
            </w:tcMar>
          </w:tcPr>
          <w:p>
            <w:pPr>
              <w:spacing w:before="40"/>
              <w:jc w:val="both"/>
              <w:rPr>
                <w:rFonts w:ascii="Arial" w:eastAsia="Arial" w:hAnsi="Arial" w:cs="Arial"/>
                <w:noProof/>
                <w:color w:val="000000"/>
                <w:sz w:val="16"/>
                <w:lang w:val="bg-BG"/>
              </w:rPr>
            </w:pPr>
            <w:r>
              <w:rPr>
                <w:rFonts w:ascii="Arial" w:hAnsi="Arial"/>
                <w:noProof/>
                <w:color w:val="000000"/>
                <w:sz w:val="16"/>
                <w:lang w:val="bg-BG"/>
              </w:rPr>
              <w:t>* Вж. точка 3.4.2.2.2 за обяснение на синтетичното хеджиране.</w:t>
            </w:r>
          </w:p>
        </w:tc>
      </w:tr>
    </w:tbl>
    <w:tbl>
      <w:tblPr>
        <w:tblStyle w:val="CDMRange110"/>
        <w:tblW w:w="9975" w:type="dxa"/>
        <w:tblLayout w:type="fixed"/>
        <w:tblLook w:val="0600" w:firstRow="0" w:lastRow="0" w:firstColumn="0" w:lastColumn="0" w:noHBand="1" w:noVBand="1"/>
      </w:tblPr>
      <w:tblGrid>
        <w:gridCol w:w="2625"/>
        <w:gridCol w:w="1800"/>
        <w:gridCol w:w="1800"/>
        <w:gridCol w:w="1800"/>
        <w:gridCol w:w="150"/>
        <w:gridCol w:w="1800"/>
      </w:tblGrid>
      <w:tr>
        <w:trPr>
          <w:trHeight w:val="43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ageBreakBefore/>
              <w:rPr>
                <w:rFonts w:ascii="Arial" w:eastAsia="Arial" w:hAnsi="Arial" w:cs="Arial"/>
                <w:b/>
                <w:noProof/>
                <w:color w:val="000000"/>
                <w:sz w:val="16"/>
                <w:lang w:val="bg-BG"/>
              </w:rPr>
            </w:pPr>
            <w:r>
              <w:rPr>
                <w:rFonts w:ascii="Arial" w:hAnsi="Arial"/>
                <w:b/>
                <w:noProof/>
                <w:color w:val="000000"/>
                <w:sz w:val="16"/>
                <w:lang w:val="bg-BG"/>
              </w:rPr>
              <w:t>Към 31 декември 2018 г.</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Активи и пасиви</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b/>
                <w:noProof/>
                <w:color w:val="000000"/>
                <w:sz w:val="16"/>
                <w:lang w:val="bg-BG"/>
              </w:rPr>
            </w:pP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Поети задължения и условни пасиви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6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Валути</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съгласно политиките за риска</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изключена от политиките за риска</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Валутна позиция на баланса</w:t>
            </w:r>
          </w:p>
        </w:tc>
        <w:tc>
          <w:tcPr>
            <w:tcW w:w="150" w:type="dxa"/>
            <w:tcBorders>
              <w:top w:val="nil"/>
              <w:left w:val="nil"/>
              <w:bottom w:val="nil"/>
              <w:right w:val="nil"/>
              <w:tl2br w:val="nil"/>
              <w:tr2bl w:val="nil"/>
            </w:tcBorders>
            <w:shd w:val="clear" w:color="FFFFFF" w:fill="FFFFFF"/>
            <w:tcMar>
              <w:left w:w="0" w:type="dxa"/>
              <w:right w:w="0" w:type="dxa"/>
            </w:tcMar>
            <w:vAlign w:val="center"/>
          </w:tcPr>
          <w:p>
            <w:pPr>
              <w:jc w:val="center"/>
              <w:rPr>
                <w:rFonts w:ascii="Arial" w:eastAsia="Arial" w:hAnsi="Arial" w:cs="Arial"/>
                <w:noProof/>
                <w:color w:val="000000"/>
                <w:sz w:val="16"/>
                <w:lang w:val="bg-BG"/>
              </w:rPr>
            </w:pPr>
          </w:p>
        </w:tc>
        <w:tc>
          <w:tcPr>
            <w:tcW w:w="18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pPr>
              <w:rPr>
                <w:rFonts w:ascii="Arial" w:eastAsia="Arial" w:hAnsi="Arial" w:cs="Arial"/>
                <w:b/>
                <w:i/>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-157,177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-52,111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-209,288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600,271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r>
              <w:rPr>
                <w:rFonts w:ascii="Arial" w:hAnsi="Arial"/>
                <w:i/>
                <w:noProof/>
                <w:color w:val="000000"/>
                <w:sz w:val="16"/>
                <w:lang w:val="bg-BG"/>
              </w:rPr>
              <w:t xml:space="preserve">Местни валути </w:t>
            </w:r>
          </w:p>
          <w:p>
            <w:pPr>
              <w:rPr>
                <w:rFonts w:ascii="Arial" w:eastAsia="Arial" w:hAnsi="Arial" w:cs="Arial"/>
                <w:i/>
                <w:noProof/>
                <w:color w:val="000000"/>
                <w:sz w:val="16"/>
                <w:lang w:val="bg-BG"/>
              </w:rPr>
            </w:pPr>
            <w:r>
              <w:rPr>
                <w:rFonts w:ascii="Arial" w:hAnsi="Arial"/>
                <w:i/>
                <w:noProof/>
                <w:color w:val="000000"/>
                <w:sz w:val="16"/>
                <w:lang w:val="bg-BG"/>
              </w:rPr>
              <w:t>(със синтетично хеджиране)*</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rPr>
                <w:rFonts w:ascii="Arial" w:eastAsia="Arial" w:hAnsi="Arial" w:cs="Arial"/>
                <w:i/>
                <w:noProof/>
                <w:color w:val="000000"/>
                <w:sz w:val="16"/>
                <w:lang w:val="bg-BG"/>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rPr>
                <w:rFonts w:ascii="Arial" w:eastAsia="Arial" w:hAnsi="Arial" w:cs="Arial"/>
                <w:i/>
                <w:noProof/>
                <w:color w:val="000000"/>
                <w:sz w:val="16"/>
                <w:lang w:val="bg-BG"/>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rPr>
                <w:rFonts w:ascii="Arial" w:eastAsia="Arial" w:hAnsi="Arial" w:cs="Arial"/>
                <w:i/>
                <w:noProof/>
                <w:color w:val="000000"/>
                <w:sz w:val="16"/>
                <w:lang w:val="bg-BG"/>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35,806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252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36,058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71,195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814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72,009</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35,311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821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36,132</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45,731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769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46,500</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24,176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17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24,193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i/>
                <w:noProof/>
                <w:color w:val="000000"/>
                <w:sz w:val="16"/>
                <w:lang w:val="bg-BG"/>
              </w:rPr>
            </w:pPr>
            <w:r>
              <w:rPr>
                <w:rFonts w:ascii="Arial" w:hAnsi="Arial"/>
                <w:i/>
                <w:noProof/>
                <w:color w:val="000000"/>
                <w:sz w:val="16"/>
                <w:lang w:val="bg-BG"/>
              </w:rPr>
              <w:t xml:space="preserve">Местни валути </w:t>
            </w:r>
          </w:p>
          <w:p>
            <w:pPr>
              <w:rPr>
                <w:rFonts w:ascii="Arial" w:eastAsia="Arial" w:hAnsi="Arial" w:cs="Arial"/>
                <w:i/>
                <w:noProof/>
                <w:color w:val="000000"/>
                <w:sz w:val="16"/>
                <w:lang w:val="bg-BG"/>
              </w:rPr>
            </w:pPr>
            <w:r>
              <w:rPr>
                <w:rFonts w:ascii="Arial" w:hAnsi="Arial"/>
                <w:i/>
                <w:noProof/>
                <w:color w:val="000000"/>
                <w:sz w:val="16"/>
                <w:lang w:val="bg-BG"/>
              </w:rPr>
              <w:t>(без синтетично хеджиране)*</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jc w:val="center"/>
              <w:rPr>
                <w:rFonts w:ascii="Arial" w:eastAsia="Arial" w:hAnsi="Arial" w:cs="Arial"/>
                <w:noProof/>
                <w:color w:val="000000"/>
                <w:sz w:val="16"/>
                <w:lang w:val="bg-BG"/>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2625" w:type="dxa"/>
            <w:tcBorders>
              <w:top w:val="nil"/>
              <w:left w:val="nil"/>
              <w:bottom w:val="nil"/>
              <w:right w:val="nil"/>
              <w:tl2br w:val="nil"/>
              <w:tr2bl w:val="nil"/>
            </w:tcBorders>
            <w:shd w:val="clear" w:color="FFFFFF" w:fill="FFFFF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74,265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-432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73,833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jc w:val="center"/>
              <w:rPr>
                <w:rFonts w:ascii="Arial" w:eastAsia="Arial" w:hAnsi="Arial" w:cs="Arial"/>
                <w:noProof/>
                <w:color w:val="000000"/>
                <w:sz w:val="16"/>
                <w:lang w:val="bg-BG"/>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валути, различни от еврото</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129,307</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-49,870</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79,437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b/>
                <w:noProof/>
                <w:color w:val="000000"/>
                <w:sz w:val="16"/>
                <w:lang w:val="bg-BG"/>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600,271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Евро</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2,834,560</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2,834,560</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b/>
                <w:noProof/>
                <w:color w:val="000000"/>
                <w:sz w:val="16"/>
                <w:lang w:val="bg-BG"/>
              </w:rPr>
            </w:pP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3,044,623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евро и други валути</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129,307</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2,784,690</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2,913,997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noProof/>
                <w:color w:val="000000"/>
                <w:sz w:val="16"/>
                <w:lang w:val="bg-BG"/>
              </w:rPr>
            </w:pP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3,644,894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025" w:type="dxa"/>
            <w:gridSpan w:val="4"/>
            <w:tcBorders>
              <w:top w:val="single" w:sz="4" w:space="0" w:color="000000"/>
              <w:left w:val="nil"/>
              <w:bottom w:val="nil"/>
              <w:right w:val="nil"/>
              <w:tl2br w:val="nil"/>
              <w:tr2bl w:val="nil"/>
            </w:tcBorders>
            <w:shd w:val="clear" w:color="FFFFFF" w:fill="FFFFFF"/>
            <w:noWrap/>
            <w:tcMar>
              <w:left w:w="40" w:type="dxa"/>
              <w:right w:w="40" w:type="dxa"/>
            </w:tcMar>
            <w:vAlign w:val="center"/>
          </w:tcPr>
          <w:p>
            <w:pPr>
              <w:rPr>
                <w:rFonts w:ascii="Arial" w:eastAsia="Arial" w:hAnsi="Arial"/>
                <w:b/>
                <w:noProof/>
                <w:color w:val="000000"/>
                <w:sz w:val="16"/>
                <w:lang w:val="bg-BG"/>
              </w:rPr>
            </w:pPr>
            <w:r>
              <w:rPr>
                <w:rFonts w:ascii="Arial" w:hAnsi="Arial"/>
                <w:noProof/>
                <w:color w:val="000000"/>
                <w:sz w:val="16"/>
                <w:lang w:val="bg-BG"/>
              </w:rPr>
              <w:t>* Вж. точка 3.4.2.2.2 за обяснение на синтетичното хеджиране.</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jc w:val="center"/>
              <w:rPr>
                <w:rFonts w:ascii="Arial" w:eastAsia="Arial" w:hAnsi="Arial" w:cs="Arial"/>
                <w:noProof/>
                <w:color w:val="000000"/>
                <w:sz w:val="16"/>
                <w:lang w:val="bg-BG"/>
              </w:rPr>
            </w:pPr>
          </w:p>
        </w:tc>
        <w:tc>
          <w:tcPr>
            <w:tcW w:w="1800"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lang w:val="bg-BG"/>
              </w:rPr>
            </w:pPr>
          </w:p>
        </w:tc>
      </w:tr>
    </w:tbl>
    <w:p>
      <w:pPr>
        <w:suppressAutoHyphens/>
        <w:spacing w:before="60" w:after="60"/>
        <w:rPr>
          <w:rFonts w:ascii="Arial" w:hAnsi="Arial"/>
          <w:noProof/>
          <w:sz w:val="16"/>
          <w:lang w:val="bg-BG" w:eastAsia="ar-SA"/>
        </w:rPr>
      </w:pPr>
    </w:p>
    <w:p>
      <w:pPr>
        <w:numPr>
          <w:ilvl w:val="3"/>
          <w:numId w:val="98"/>
        </w:numPr>
        <w:suppressAutoHyphens/>
        <w:contextualSpacing/>
        <w:jc w:val="both"/>
        <w:rPr>
          <w:rFonts w:ascii="Arial" w:hAnsi="Arial"/>
          <w:b/>
          <w:noProof/>
          <w:sz w:val="16"/>
          <w:szCs w:val="16"/>
          <w:lang w:val="bg-BG" w:eastAsia="ar-SA"/>
        </w:rPr>
      </w:pPr>
      <w:r>
        <w:rPr>
          <w:rFonts w:ascii="Arial" w:hAnsi="Arial"/>
          <w:b/>
          <w:noProof/>
          <w:sz w:val="16"/>
          <w:szCs w:val="16"/>
          <w:lang w:val="bg-BG" w:eastAsia="ar-SA"/>
        </w:rPr>
        <w:t>Анализ на валутната чувствителност</w:t>
      </w:r>
    </w:p>
    <w:p>
      <w:pPr>
        <w:suppressAutoHyphens/>
        <w:jc w:val="both"/>
        <w:rPr>
          <w:rFonts w:ascii="Arial" w:hAnsi="Arial"/>
          <w:noProof/>
          <w:sz w:val="16"/>
          <w:szCs w:val="16"/>
          <w:lang w:val="bg-BG" w:eastAsia="ar-SA"/>
        </w:rPr>
      </w:pPr>
    </w:p>
    <w:p>
      <w:pPr>
        <w:suppressAutoHyphens/>
        <w:spacing w:before="60" w:after="60"/>
        <w:jc w:val="both"/>
        <w:rPr>
          <w:noProof/>
          <w:lang w:val="bg-BG" w:eastAsia="ar-SA"/>
        </w:rPr>
      </w:pPr>
      <w:r>
        <w:rPr>
          <w:rFonts w:ascii="Arial" w:hAnsi="Arial"/>
          <w:noProof/>
          <w:sz w:val="16"/>
          <w:szCs w:val="16"/>
          <w:lang w:val="bg-BG" w:eastAsia="ar-SA"/>
        </w:rPr>
        <w:t>Към 31 декември 2019 г. обезценяване на еврото с 10 % спрямо всички валути би довело до увеличение на ресурсите на вносителите в размер на 14,0 милиона евро (31 декември 2018 г.: 8,8 милиона евро). Поскъпване на еврото с 10 % спрямо всички валути би довело до намаление на ресурсите на вносителите в размер на 11,4 милиона евро (31 декември 2018 г.: 7,2 милиона евро).</w:t>
      </w:r>
      <w:r>
        <w:rPr>
          <w:noProof/>
          <w:lang w:val="bg-BG" w:eastAsia="ar-SA"/>
        </w:rPr>
        <w:t xml:space="preserve"> </w:t>
      </w:r>
    </w:p>
    <w:p>
      <w:pPr>
        <w:suppressAutoHyphens/>
        <w:spacing w:before="60" w:after="60"/>
        <w:jc w:val="both"/>
        <w:rPr>
          <w:rFonts w:ascii="Arial" w:hAnsi="Arial"/>
          <w:noProof/>
          <w:sz w:val="16"/>
          <w:szCs w:val="16"/>
          <w:lang w:val="bg-BG" w:eastAsia="ar-SA"/>
        </w:rPr>
      </w:pPr>
    </w:p>
    <w:p>
      <w:pPr>
        <w:numPr>
          <w:ilvl w:val="3"/>
          <w:numId w:val="99"/>
        </w:numPr>
        <w:suppressAutoHyphens/>
        <w:contextualSpacing/>
        <w:jc w:val="both"/>
        <w:rPr>
          <w:rFonts w:ascii="Arial" w:hAnsi="Arial"/>
          <w:b/>
          <w:noProof/>
          <w:sz w:val="16"/>
          <w:szCs w:val="16"/>
          <w:lang w:val="bg-BG" w:eastAsia="ar-SA"/>
        </w:rPr>
      </w:pPr>
      <w:r>
        <w:rPr>
          <w:rFonts w:ascii="Arial" w:hAnsi="Arial"/>
          <w:b/>
          <w:noProof/>
          <w:sz w:val="16"/>
          <w:szCs w:val="16"/>
          <w:lang w:val="bg-BG" w:eastAsia="ar-SA"/>
        </w:rPr>
        <w:t>Обменни курсове</w:t>
      </w:r>
    </w:p>
    <w:p>
      <w:pPr>
        <w:suppressAutoHyphens/>
        <w:spacing w:after="60"/>
        <w:ind w:left="794"/>
        <w:contextualSpacing/>
        <w:jc w:val="both"/>
        <w:rPr>
          <w:rFonts w:ascii="Arial" w:hAnsi="Arial"/>
          <w:noProof/>
          <w:sz w:val="16"/>
          <w:szCs w:val="16"/>
          <w:lang w:val="bg-BG" w:eastAsia="ar-SA"/>
        </w:rPr>
      </w:pPr>
    </w:p>
    <w:p>
      <w:pPr>
        <w:suppressAutoHyphens/>
        <w:jc w:val="both"/>
        <w:rPr>
          <w:rFonts w:ascii="Arial" w:hAnsi="Arial"/>
          <w:noProof/>
          <w:sz w:val="16"/>
          <w:szCs w:val="16"/>
          <w:lang w:val="bg-BG" w:eastAsia="ar-SA"/>
        </w:rPr>
      </w:pPr>
      <w:r>
        <w:rPr>
          <w:rFonts w:ascii="Arial" w:hAnsi="Arial"/>
          <w:noProof/>
          <w:sz w:val="16"/>
          <w:szCs w:val="16"/>
          <w:lang w:val="bg-BG" w:eastAsia="ar-SA"/>
        </w:rPr>
        <w:t>Следните обменни курсове са използвани за изготвяне на счетоводния баланс към 31 декември 2019 г. и 31 декември 2018 г.:</w:t>
      </w:r>
    </w:p>
    <w:p>
      <w:pPr>
        <w:suppressAutoHyphens/>
        <w:spacing w:before="60" w:after="60"/>
        <w:jc w:val="both"/>
        <w:rPr>
          <w:rFonts w:ascii="Arial" w:hAnsi="Arial"/>
          <w:noProof/>
          <w:sz w:val="16"/>
          <w:szCs w:val="16"/>
          <w:lang w:val="bg-BG" w:eastAsia="ar-SA"/>
        </w:rPr>
      </w:pPr>
    </w:p>
    <w:tbl>
      <w:tblPr>
        <w:tblStyle w:val="CDMRange210"/>
        <w:tblW w:w="9882" w:type="dxa"/>
        <w:tblLayout w:type="fixed"/>
        <w:tblLook w:val="0600" w:firstRow="0" w:lastRow="0" w:firstColumn="0" w:lastColumn="0" w:noHBand="1" w:noVBand="1"/>
      </w:tblPr>
      <w:tblGrid>
        <w:gridCol w:w="5382"/>
        <w:gridCol w:w="2250"/>
        <w:gridCol w:w="2250"/>
      </w:tblGrid>
      <w:tr>
        <w:trPr>
          <w:trHeight w:val="441"/>
        </w:trPr>
        <w:tc>
          <w:tcPr>
            <w:tcW w:w="5382"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22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 декември 2019 г.</w:t>
            </w:r>
          </w:p>
        </w:tc>
        <w:tc>
          <w:tcPr>
            <w:tcW w:w="22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 декември 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Валути, различни от тези на държавите членки</w:t>
            </w:r>
          </w:p>
        </w:tc>
        <w:tc>
          <w:tcPr>
            <w:tcW w:w="225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225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Ботсванска пула (BWP)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11,8376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12,2038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Доминиканско песо (DOP)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59,3644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57,4037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Фиджийски долар (FJD)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2,4045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2,4104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Хаитянски гурд (HTG)</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100,99</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Ямайски долар (JMD)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147,6966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144,081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Кенийски шилинг (KES)</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113,63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116,24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Мавританска угия (MRU)</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42,2135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41,1660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Маврицийска рупия (MUR)</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40,63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Мозамбикски метикал (MZN)</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68,64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Нигерийска найра (NGN)</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343,45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351,05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Руандски франк (RWF)</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1051,12</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1020,10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Танзанийски шилинг (TZS)</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2573,66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2624,33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Угандски шилинг (UGX)</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4108</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Щатски долар (USD)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1,1234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CFA франк (XAF/XOF)</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655,957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655,957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Южноафрикански ранд (ZAR)</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15,7773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16,4594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8"/>
        </w:trPr>
        <w:tc>
          <w:tcPr>
            <w:tcW w:w="5382"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Замбийска квача (ZMW)</w:t>
            </w:r>
          </w:p>
        </w:tc>
        <w:tc>
          <w:tcPr>
            <w:tcW w:w="2250"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15,7894</w:t>
            </w:r>
          </w:p>
        </w:tc>
        <w:tc>
          <w:tcPr>
            <w:tcW w:w="2250"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13,6077</w:t>
            </w:r>
          </w:p>
        </w:tc>
      </w:tr>
    </w:tbl>
    <w:p>
      <w:pPr>
        <w:pageBreakBefore/>
        <w:numPr>
          <w:ilvl w:val="2"/>
          <w:numId w:val="101"/>
        </w:numPr>
        <w:tabs>
          <w:tab w:val="right" w:pos="-2700"/>
        </w:tabs>
        <w:suppressAutoHyphens/>
        <w:spacing w:before="60"/>
        <w:jc w:val="both"/>
        <w:rPr>
          <w:rFonts w:ascii="Arial" w:hAnsi="Arial"/>
          <w:b/>
          <w:noProof/>
          <w:sz w:val="16"/>
          <w:szCs w:val="16"/>
          <w:lang w:val="bg-BG" w:eastAsia="ar-SA"/>
        </w:rPr>
      </w:pPr>
      <w:r>
        <w:rPr>
          <w:rFonts w:ascii="Arial" w:hAnsi="Arial"/>
          <w:b/>
          <w:noProof/>
          <w:sz w:val="16"/>
          <w:szCs w:val="16"/>
          <w:lang w:val="bg-BG" w:eastAsia="ar-SA"/>
        </w:rPr>
        <w:t>Ценови риск на собствения капитал</w:t>
      </w:r>
    </w:p>
    <w:p>
      <w:pPr>
        <w:tabs>
          <w:tab w:val="right" w:pos="-2700"/>
          <w:tab w:val="left" w:pos="426"/>
        </w:tabs>
        <w:suppressAutoHyphens/>
        <w:spacing w:after="60"/>
        <w:jc w:val="both"/>
        <w:rPr>
          <w:rFonts w:ascii="Arial" w:hAnsi="Arial"/>
          <w:noProof/>
          <w:sz w:val="16"/>
          <w:szCs w:val="16"/>
          <w:lang w:eastAsia="ar-SA"/>
        </w:rPr>
      </w:pPr>
      <w:r>
        <w:rPr>
          <w:rFonts w:ascii="Arial" w:hAnsi="Arial"/>
          <w:noProof/>
          <w:sz w:val="16"/>
          <w:szCs w:val="16"/>
          <w:lang w:eastAsia="ar-SA"/>
        </w:rPr>
        <w:t>12</w:t>
      </w:r>
      <w:r>
        <w:rPr>
          <w:rFonts w:ascii="Arial" w:hAnsi="Arial"/>
          <w:noProof/>
          <w:sz w:val="16"/>
          <w:szCs w:val="16"/>
          <w:lang w:eastAsia="ar-SA"/>
        </w:rPr>
        <w:tab/>
      </w: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Ценовият риск на собствения капитал е рискът справедливата стойност на капиталовите инвестиции да намалее в резултат на промени в нивата на цените на акциите и/или стойността на капиталовите инвестиции.</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Механизмът е изложен на ценови риск на собствения капитал по отношение на своите инвестиции в преки дялови участия и фондове за рисков капитал.</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Стойността на некотираните капиталови позиции не е непосредствено и постоянно достъпна за целите на наблюдението и контрола. За тези позиции най-добрите налични данни включват цените, определени въз основа на всички съответни методи за остойностяване.</w:t>
      </w:r>
    </w:p>
    <w:p>
      <w:pPr>
        <w:suppressAutoHyphens/>
        <w:spacing w:before="60" w:after="60"/>
        <w:jc w:val="both"/>
        <w:rPr>
          <w:rFonts w:ascii="Arial" w:hAnsi="Arial"/>
          <w:noProof/>
          <w:sz w:val="16"/>
          <w:szCs w:val="16"/>
          <w:lang w:val="bg-BG" w:eastAsia="ar-SA"/>
        </w:rPr>
      </w:pPr>
    </w:p>
    <w:p>
      <w:pPr>
        <w:suppressAutoHyphens/>
        <w:spacing w:before="60" w:after="60"/>
        <w:jc w:val="both"/>
        <w:rPr>
          <w:rFonts w:ascii="Arial" w:hAnsi="Arial"/>
          <w:noProof/>
          <w:sz w:val="16"/>
          <w:szCs w:val="16"/>
          <w:lang w:val="bg-BG" w:eastAsia="ar-SA"/>
        </w:rPr>
      </w:pPr>
      <w:r>
        <w:rPr>
          <w:rFonts w:ascii="Arial" w:hAnsi="Arial"/>
          <w:noProof/>
          <w:sz w:val="16"/>
          <w:szCs w:val="16"/>
          <w:lang w:val="bg-BG" w:eastAsia="ar-SA"/>
        </w:rPr>
        <w:t>Въздействието върху ресурсите на вносителите на механизма (като резултат от промяна в справедливата стойност на портфейла с капиталови инструменти), дължащо се на промяна с +/-10 % на стойността на отделните преки капиталови и рискови капиталови инвестиции при постоянни други променливи, е 62,0 милиона евро, съответно -62,0 милиона евро, към 31 декември 2019 г. (56,7 милиона евро, съответно -56,7 милиона евро, към 31 декември 2018 г.).</w:t>
      </w:r>
    </w:p>
    <w:p>
      <w:pPr>
        <w:suppressAutoHyphens/>
        <w:spacing w:before="60" w:after="60"/>
        <w:jc w:val="both"/>
        <w:rPr>
          <w:rFonts w:ascii="Arial" w:hAnsi="Arial"/>
          <w:noProof/>
          <w:sz w:val="16"/>
          <w:szCs w:val="16"/>
          <w:lang w:val="bg-BG" w:eastAsia="ar-SA"/>
        </w:rPr>
        <w:sectPr>
          <w:headerReference w:type="even" r:id="rId401"/>
          <w:headerReference w:type="default" r:id="rId402"/>
          <w:footerReference w:type="even" r:id="rId403"/>
          <w:footerReference w:type="default" r:id="rId404"/>
          <w:headerReference w:type="first" r:id="rId405"/>
          <w:footerReference w:type="first" r:id="rId406"/>
          <w:pgSz w:w="11907" w:h="16840" w:code="9"/>
          <w:pgMar w:top="1134" w:right="1134" w:bottom="1134" w:left="1134" w:header="709" w:footer="709" w:gutter="0"/>
          <w:pgBorders>
            <w:top w:val="nil"/>
            <w:left w:val="nil"/>
            <w:bottom w:val="nil"/>
            <w:right w:val="nil"/>
          </w:pgBorders>
          <w:cols w:space="720"/>
          <w:docGrid w:linePitch="360"/>
        </w:sectPr>
      </w:pPr>
      <w:r>
        <w:rPr>
          <w:noProof/>
          <w:lang w:val="bg-BG" w:eastAsia="ar-SA"/>
        </w:rPr>
        <w:t xml:space="preserve"> </w:t>
      </w:r>
    </w:p>
    <w:p>
      <w:pPr>
        <w:tabs>
          <w:tab w:val="center" w:pos="426"/>
          <w:tab w:val="left" w:pos="2694"/>
          <w:tab w:val="right" w:pos="8640"/>
        </w:tabs>
        <w:suppressAutoHyphens/>
        <w:spacing w:before="120" w:after="120" w:line="360" w:lineRule="auto"/>
        <w:jc w:val="both"/>
        <w:rPr>
          <w:rFonts w:ascii="Arial" w:eastAsia="Calibri" w:hAnsi="Arial" w:cs="Arial"/>
          <w:b/>
          <w:noProof/>
          <w:sz w:val="20"/>
          <w:lang w:val="bg-BG" w:eastAsia="ar-SA"/>
        </w:rPr>
      </w:pPr>
      <w:r>
        <w:rPr>
          <w:rFonts w:ascii="Arial" w:eastAsia="Calibri" w:hAnsi="Arial" w:cs="Arial"/>
          <w:b/>
          <w:noProof/>
          <w:sz w:val="20"/>
          <w:lang w:val="bg-BG" w:eastAsia="ar-SA"/>
        </w:rPr>
        <w:t>1</w:t>
      </w:r>
      <w:r>
        <w:rPr>
          <w:rFonts w:ascii="Arial" w:eastAsia="Calibri" w:hAnsi="Arial" w:cs="Arial"/>
          <w:b/>
          <w:noProof/>
          <w:sz w:val="20"/>
          <w:lang w:val="bg-BG" w:eastAsia="ar-SA"/>
        </w:rPr>
        <w:tab/>
        <w:t>4</w:t>
      </w:r>
      <w:r>
        <w:rPr>
          <w:rFonts w:ascii="Arial" w:eastAsia="Calibri" w:hAnsi="Arial" w:cs="Arial"/>
          <w:b/>
          <w:noProof/>
          <w:sz w:val="20"/>
          <w:lang w:val="bg-BG" w:eastAsia="ar-SA"/>
        </w:rPr>
        <w:tab/>
        <w:t>Справедливи стойности на финансовите инструменти</w:t>
      </w:r>
    </w:p>
    <w:p>
      <w:pPr>
        <w:numPr>
          <w:ilvl w:val="1"/>
          <w:numId w:val="103"/>
        </w:numPr>
        <w:tabs>
          <w:tab w:val="right" w:pos="-2700"/>
          <w:tab w:val="right" w:pos="720"/>
        </w:tabs>
        <w:suppressAutoHyphens/>
        <w:jc w:val="both"/>
        <w:rPr>
          <w:rFonts w:ascii="Arial" w:hAnsi="Arial"/>
          <w:b/>
          <w:noProof/>
          <w:sz w:val="16"/>
          <w:szCs w:val="16"/>
          <w:bdr w:val="none" w:sz="0" w:space="0" w:color="auto" w:frame="1"/>
          <w:lang w:val="bg-BG" w:eastAsia="ar-SA"/>
        </w:rPr>
      </w:pPr>
      <w:r>
        <w:rPr>
          <w:rFonts w:ascii="Arial" w:hAnsi="Arial"/>
          <w:b/>
          <w:noProof/>
          <w:sz w:val="16"/>
          <w:szCs w:val="16"/>
          <w:bdr w:val="none" w:sz="0" w:space="0" w:color="auto" w:frame="1"/>
          <w:lang w:val="bg-BG" w:eastAsia="ar-SA"/>
        </w:rPr>
        <w:t>Счетоводни класификации и справедливи стойности</w:t>
      </w:r>
    </w:p>
    <w:p>
      <w:pPr>
        <w:tabs>
          <w:tab w:val="right" w:pos="-2700"/>
          <w:tab w:val="right" w:pos="720"/>
        </w:tabs>
        <w:suppressAutoHyphens/>
        <w:ind w:left="360"/>
        <w:jc w:val="both"/>
        <w:rPr>
          <w:rFonts w:ascii="Arial" w:hAnsi="Arial"/>
          <w:b/>
          <w:noProof/>
          <w:sz w:val="16"/>
          <w:szCs w:val="16"/>
          <w:bdr w:val="none" w:sz="0" w:space="0" w:color="auto" w:frame="1"/>
          <w:lang w:val="bg-BG" w:eastAsia="ar-SA"/>
        </w:rPr>
      </w:pPr>
    </w:p>
    <w:p>
      <w:pPr>
        <w:numPr>
          <w:ilvl w:val="0"/>
          <w:numId w:val="104"/>
        </w:numPr>
        <w:tabs>
          <w:tab w:val="right" w:pos="-2700"/>
          <w:tab w:val="left" w:pos="567"/>
        </w:tabs>
        <w:suppressAutoHyphens/>
        <w:spacing w:before="60" w:after="120" w:line="276" w:lineRule="auto"/>
        <w:ind w:left="0" w:firstLine="0"/>
        <w:jc w:val="both"/>
        <w:rPr>
          <w:rFonts w:ascii="Arial" w:eastAsia="Calibri" w:hAnsi="Arial" w:cs="Arial"/>
          <w:noProof/>
          <w:sz w:val="16"/>
          <w:lang w:val="bg-BG" w:eastAsia="ar-SA"/>
        </w:rPr>
      </w:pPr>
      <w:r>
        <w:rPr>
          <w:rFonts w:ascii="Arial" w:eastAsia="Calibri" w:hAnsi="Arial" w:cs="Arial"/>
          <w:noProof/>
          <w:sz w:val="16"/>
          <w:szCs w:val="16"/>
          <w:lang w:val="bg-BG" w:eastAsia="ar-SA"/>
        </w:rPr>
        <w:t>Следната таблица показва балансовите стойности и справедливите стойности на финансовите активи и пасиви, включително техните нива в йерархията на справедливите стойности. Това не включва информация за справедливата стойност на финансовите активи и пасиви, които не са отчетени по справедлива стойност, ако балансовата стойност е разумно приближение на справедливата стойност.</w:t>
      </w:r>
    </w:p>
    <w:tbl>
      <w:tblPr>
        <w:tblStyle w:val="CDMRange111"/>
        <w:tblW w:w="9710" w:type="dxa"/>
        <w:tblLayout w:type="fixed"/>
        <w:tblLook w:val="0600" w:firstRow="0" w:lastRow="0" w:firstColumn="0" w:lastColumn="0" w:noHBand="1" w:noVBand="1"/>
      </w:tblPr>
      <w:tblGrid>
        <w:gridCol w:w="2587"/>
        <w:gridCol w:w="718"/>
        <w:gridCol w:w="711"/>
        <w:gridCol w:w="805"/>
        <w:gridCol w:w="688"/>
        <w:gridCol w:w="741"/>
        <w:gridCol w:w="805"/>
        <w:gridCol w:w="6"/>
        <w:gridCol w:w="99"/>
        <w:gridCol w:w="6"/>
        <w:gridCol w:w="630"/>
        <w:gridCol w:w="636"/>
        <w:gridCol w:w="636"/>
        <w:gridCol w:w="636"/>
        <w:gridCol w:w="6"/>
      </w:tblGrid>
      <w:tr>
        <w:trPr>
          <w:trHeight w:val="223"/>
        </w:trPr>
        <w:tc>
          <w:tcPr>
            <w:tcW w:w="2587"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2019 г.</w:t>
            </w:r>
          </w:p>
        </w:tc>
        <w:tc>
          <w:tcPr>
            <w:tcW w:w="4474" w:type="dxa"/>
            <w:gridSpan w:val="7"/>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Балансова стойност</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c>
          <w:tcPr>
            <w:tcW w:w="2544" w:type="dxa"/>
            <w:gridSpan w:val="5"/>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Справедлива стойност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752"/>
        </w:trPr>
        <w:tc>
          <w:tcPr>
            <w:tcW w:w="2587"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Дериватни финансови инструменти</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Акции и други ценни книжа с променлива доходност</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Пари, заеми и аванси</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Касови финансови активи</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Други финансови пасиви</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1</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2</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3</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8"/>
        </w:trPr>
        <w:tc>
          <w:tcPr>
            <w:tcW w:w="2587"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активи, задължително оценени по FVTPL</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Дериватни финансови инструменти </w:t>
            </w:r>
          </w:p>
        </w:tc>
        <w:tc>
          <w:tcPr>
            <w:tcW w:w="718"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14,184</w:t>
            </w:r>
          </w:p>
        </w:tc>
        <w:tc>
          <w:tcPr>
            <w:tcW w:w="711"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14,184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14,184</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14,184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Фонд за рисков капитал </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504,694</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504,694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362</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504,332</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504,694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Преки капиталови инвестиции</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115,234</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115,234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15,255</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99,979</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115,234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аванси</w:t>
            </w:r>
          </w:p>
        </w:tc>
        <w:tc>
          <w:tcPr>
            <w:tcW w:w="718"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21,702</w:t>
            </w:r>
          </w:p>
        </w:tc>
        <w:tc>
          <w:tcPr>
            <w:tcW w:w="688"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21,702</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21,702</w:t>
            </w:r>
          </w:p>
        </w:tc>
        <w:tc>
          <w:tcPr>
            <w:tcW w:w="636"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активи, задължително оценени по FVTPL</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14,184</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619,928</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21,702</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655,814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15,617</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35,886</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604,311</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655,814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активи, оценени по АС</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Пари и парични еквиваленти</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837,777</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837,777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аванси</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sz w:val="16"/>
                <w:szCs w:val="16"/>
                <w:lang w:val="bg-BG"/>
              </w:rPr>
              <w:t>1,496,973</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sz w:val="16"/>
                <w:szCs w:val="16"/>
                <w:lang w:val="bg-BG"/>
              </w:rPr>
              <w:t>1,496,973</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1,699,057</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1,699,057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Вземания от вносителите</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86,330</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86,330</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Касови финансови активи</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330,587</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330,587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144,097</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186,083</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330,180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активи</w:t>
            </w:r>
          </w:p>
        </w:tc>
        <w:tc>
          <w:tcPr>
            <w:tcW w:w="718"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88"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активи, оценени по АС</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bCs/>
                <w:noProof/>
                <w:sz w:val="16"/>
                <w:szCs w:val="16"/>
                <w:lang w:val="bg-BG"/>
              </w:rPr>
              <w:t>2,421,080</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330,587</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2,751,667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144,097</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1,885,140</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bCs/>
                <w:noProof/>
                <w:sz w:val="16"/>
                <w:szCs w:val="16"/>
                <w:lang w:val="bg-BG"/>
              </w:rPr>
              <w:t>2,029,237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финансови активи </w:t>
            </w:r>
          </w:p>
        </w:tc>
        <w:tc>
          <w:tcPr>
            <w:tcW w:w="718"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14,184</w:t>
            </w:r>
          </w:p>
        </w:tc>
        <w:tc>
          <w:tcPr>
            <w:tcW w:w="711"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619,928</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bCs/>
                <w:noProof/>
                <w:sz w:val="16"/>
                <w:szCs w:val="16"/>
                <w:lang w:val="bg-BG"/>
              </w:rPr>
              <w:t>2,442,782</w:t>
            </w:r>
          </w:p>
        </w:tc>
        <w:tc>
          <w:tcPr>
            <w:tcW w:w="688"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330,587</w:t>
            </w:r>
          </w:p>
        </w:tc>
        <w:tc>
          <w:tcPr>
            <w:tcW w:w="741"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3,407487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718"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11"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05"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88"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41"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05"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8"/>
        </w:trPr>
        <w:tc>
          <w:tcPr>
            <w:tcW w:w="2587"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пасиви, оценени по FVTPL</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Дериватни финансови инструменти</w:t>
            </w:r>
          </w:p>
        </w:tc>
        <w:tc>
          <w:tcPr>
            <w:tcW w:w="718"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-191</w:t>
            </w:r>
          </w:p>
        </w:tc>
        <w:tc>
          <w:tcPr>
            <w:tcW w:w="711"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88"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-191</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-191</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36"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пасиви, оценени по FVTPL</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-191</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-191</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-191</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 пасив, оценен по АС:</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Провизии за издадени гаранции</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-628</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Провизии за кредитни ангажименти</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-37,269</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-37,269</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Дължими суми на трети страни</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-147,438</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-147 438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пасиви</w:t>
            </w:r>
          </w:p>
        </w:tc>
        <w:tc>
          <w:tcPr>
            <w:tcW w:w="718"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1"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88"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41"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-2,353</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-2,353</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пасиви, оценени по АС</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-187,688</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-187,688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пасиви</w:t>
            </w:r>
          </w:p>
        </w:tc>
        <w:tc>
          <w:tcPr>
            <w:tcW w:w="718"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-191</w:t>
            </w:r>
          </w:p>
        </w:tc>
        <w:tc>
          <w:tcPr>
            <w:tcW w:w="711"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688"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41"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-187,688</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-187,879</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bl>
    <w:p>
      <w:pPr>
        <w:pageBreakBefore/>
        <w:tabs>
          <w:tab w:val="center" w:pos="4320"/>
          <w:tab w:val="right" w:pos="8640"/>
        </w:tabs>
        <w:suppressAutoHyphens/>
        <w:spacing w:before="120" w:after="120" w:line="360" w:lineRule="auto"/>
        <w:ind w:left="432" w:hanging="432"/>
        <w:jc w:val="both"/>
        <w:rPr>
          <w:rFonts w:ascii="Arial" w:hAnsi="Arial"/>
          <w:b/>
          <w:noProof/>
          <w:sz w:val="20"/>
          <w:lang w:val="bg-BG" w:eastAsia="ar-SA"/>
        </w:rPr>
      </w:pPr>
      <w:r>
        <w:rPr>
          <w:rFonts w:ascii="Arial" w:hAnsi="Arial"/>
          <w:b/>
          <w:noProof/>
          <w:sz w:val="20"/>
          <w:lang w:val="bg-BG" w:eastAsia="ar-SA"/>
        </w:rPr>
        <w:t>4</w:t>
      </w:r>
      <w:r>
        <w:rPr>
          <w:rFonts w:ascii="Arial" w:hAnsi="Arial"/>
          <w:b/>
          <w:noProof/>
          <w:sz w:val="20"/>
          <w:lang w:val="bg-BG" w:eastAsia="ar-SA"/>
        </w:rPr>
        <w:tab/>
        <w:t>Справедливи стойности на финансовите инструменти (продължение)</w:t>
      </w:r>
    </w:p>
    <w:p>
      <w:pPr>
        <w:tabs>
          <w:tab w:val="right" w:pos="-2700"/>
          <w:tab w:val="left" w:pos="426"/>
          <w:tab w:val="right" w:pos="720"/>
        </w:tabs>
        <w:suppressAutoHyphens/>
        <w:jc w:val="both"/>
        <w:rPr>
          <w:rFonts w:ascii="Arial" w:hAnsi="Arial"/>
          <w:b/>
          <w:noProof/>
          <w:sz w:val="16"/>
          <w:szCs w:val="16"/>
          <w:bdr w:val="none" w:sz="0" w:space="0" w:color="auto" w:frame="1"/>
          <w:lang w:val="bg-BG" w:eastAsia="ar-SA"/>
        </w:rPr>
      </w:pPr>
      <w:r>
        <w:rPr>
          <w:rFonts w:ascii="Arial" w:hAnsi="Arial"/>
          <w:b/>
          <w:noProof/>
          <w:sz w:val="16"/>
          <w:szCs w:val="16"/>
          <w:bdr w:val="none" w:sz="0" w:space="0" w:color="auto" w:frame="1"/>
          <w:lang w:val="bg-BG" w:eastAsia="ar-SA"/>
        </w:rPr>
        <w:t>4.1</w:t>
      </w:r>
      <w:r>
        <w:rPr>
          <w:rFonts w:ascii="Arial" w:hAnsi="Arial"/>
          <w:b/>
          <w:noProof/>
          <w:sz w:val="16"/>
          <w:szCs w:val="16"/>
          <w:bdr w:val="none" w:sz="0" w:space="0" w:color="auto" w:frame="1"/>
          <w:lang w:val="bg-BG" w:eastAsia="ar-SA"/>
        </w:rPr>
        <w:tab/>
        <w:t>Счетоводна класификация и справедливи стойности (продължение)</w:t>
      </w:r>
    </w:p>
    <w:p>
      <w:pPr>
        <w:tabs>
          <w:tab w:val="right" w:pos="-2700"/>
          <w:tab w:val="right" w:pos="720"/>
        </w:tabs>
        <w:suppressAutoHyphens/>
        <w:jc w:val="both"/>
        <w:rPr>
          <w:rFonts w:ascii="Arial" w:hAnsi="Arial"/>
          <w:noProof/>
          <w:sz w:val="16"/>
          <w:szCs w:val="16"/>
          <w:lang w:val="bg-BG" w:eastAsia="ar-SA"/>
        </w:rPr>
      </w:pPr>
    </w:p>
    <w:tbl>
      <w:tblPr>
        <w:tblStyle w:val="CDMRange211"/>
        <w:tblW w:w="9584" w:type="dxa"/>
        <w:tblLayout w:type="fixed"/>
        <w:tblLook w:val="0600" w:firstRow="0" w:lastRow="0" w:firstColumn="0" w:lastColumn="0" w:noHBand="1" w:noVBand="1"/>
      </w:tblPr>
      <w:tblGrid>
        <w:gridCol w:w="2315"/>
        <w:gridCol w:w="752"/>
        <w:gridCol w:w="708"/>
        <w:gridCol w:w="822"/>
        <w:gridCol w:w="703"/>
        <w:gridCol w:w="757"/>
        <w:gridCol w:w="823"/>
        <w:gridCol w:w="108"/>
        <w:gridCol w:w="649"/>
        <w:gridCol w:w="649"/>
        <w:gridCol w:w="649"/>
        <w:gridCol w:w="649"/>
      </w:tblGrid>
      <w:tr>
        <w:trPr>
          <w:trHeight w:val="258"/>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2018 г.</w:t>
            </w:r>
          </w:p>
        </w:tc>
        <w:tc>
          <w:tcPr>
            <w:tcW w:w="456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Балансова стойност</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c>
          <w:tcPr>
            <w:tcW w:w="2596" w:type="dxa"/>
            <w:gridSpan w:val="4"/>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Справедлива стойност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8"/>
        </w:trPr>
        <w:tc>
          <w:tcPr>
            <w:tcW w:w="231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Дериватни финансови инструменти</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Акции и други ценни книжа с променлива доходност</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Пари, заеми и вземания</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Касови финансови активи</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Други финансови пасиви</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1</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2</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Ниво 3</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активи, задължително оценени по FVTPL</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Дериватни финансови инструменти </w:t>
            </w:r>
          </w:p>
        </w:tc>
        <w:tc>
          <w:tcPr>
            <w:tcW w:w="752"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9,873</w:t>
            </w:r>
          </w:p>
        </w:tc>
        <w:tc>
          <w:tcPr>
            <w:tcW w:w="708"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3"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9,873</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9,873</w:t>
            </w: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Фондове за рисков капитал</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467,152</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467,152</w:t>
            </w:r>
          </w:p>
        </w:tc>
        <w:tc>
          <w:tcPr>
            <w:tcW w:w="108" w:type="dxa"/>
            <w:tcBorders>
              <w:top w:val="nil"/>
              <w:left w:val="nil"/>
              <w:bottom w:val="nil"/>
              <w:right w:val="nil"/>
              <w:tl2br w:val="nil"/>
              <w:tr2bl w:val="nil"/>
            </w:tcBorders>
            <w:shd w:val="clear" w:color="FFFFFF" w:fill="FFFFFF"/>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467,152</w:t>
            </w: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467,152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Преки капиталови инвестиции</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100,140</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100,140</w:t>
            </w:r>
          </w:p>
        </w:tc>
        <w:tc>
          <w:tcPr>
            <w:tcW w:w="108" w:type="dxa"/>
            <w:tcBorders>
              <w:top w:val="nil"/>
              <w:left w:val="nil"/>
              <w:bottom w:val="nil"/>
              <w:right w:val="nil"/>
              <w:tl2br w:val="nil"/>
              <w:tr2bl w:val="nil"/>
            </w:tcBorders>
            <w:shd w:val="clear" w:color="FFFFFF" w:fill="FFFFFF"/>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16,675</w:t>
            </w: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83,465</w:t>
            </w:r>
          </w:p>
        </w:tc>
        <w:tc>
          <w:tcPr>
            <w:tcW w:w="649"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аванси</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 xml:space="preserve"> 720</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 xml:space="preserve"> 720</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single" w:sz="4" w:space="0" w:color="000000"/>
              <w:right w:val="nil"/>
              <w:tl2br w:val="nil"/>
              <w:tr2bl w:val="nil"/>
            </w:tcBorders>
            <w:shd w:val="clear" w:color="FFFFFF" w:fill="FFFFFF"/>
            <w:tcMar>
              <w:left w:w="0" w:type="dxa"/>
              <w:right w:w="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720</w:t>
            </w:r>
          </w:p>
        </w:tc>
        <w:tc>
          <w:tcPr>
            <w:tcW w:w="649" w:type="dxa"/>
            <w:tcBorders>
              <w:top w:val="nil"/>
              <w:left w:val="nil"/>
              <w:bottom w:val="single" w:sz="4" w:space="0" w:color="000000"/>
              <w:right w:val="nil"/>
              <w:tl2br w:val="nil"/>
              <w:tr2bl w:val="nil"/>
            </w:tcBorders>
            <w:shd w:val="clear" w:color="FFFFFF" w:fill="FFFFFF"/>
            <w:tcMar>
              <w:left w:w="0" w:type="dxa"/>
              <w:right w:w="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single" w:sz="4" w:space="0" w:color="000000"/>
              <w:right w:val="nil"/>
              <w:tl2br w:val="nil"/>
              <w:tr2bl w:val="nil"/>
            </w:tcBorders>
            <w:shd w:val="clear" w:color="FFFFFF" w:fill="FFFFFF"/>
            <w:tcMar>
              <w:left w:w="0" w:type="dxa"/>
              <w:right w:w="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активи, задължително оценени по FVTPL</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9,873</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567,292</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720</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577,885</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16,675</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10,593</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550,617</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577,885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активи, оценени по АС</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Пари и парични еквиваленти</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573,708</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573,708</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nil"/>
              <w:right w:val="nil"/>
              <w:tl2br w:val="nil"/>
              <w:tr2bl w:val="nil"/>
            </w:tcBorders>
            <w:shd w:val="clear" w:color="FFFFFF" w:fill="FFFFFF"/>
            <w:tcMar>
              <w:left w:w="0" w:type="dxa"/>
              <w:right w:w="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FFFFFF" w:fill="FFFFFF"/>
            <w:tcMar>
              <w:left w:w="0" w:type="dxa"/>
              <w:right w:w="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FFFFFF" w:fill="FFFFFF"/>
            <w:tcMar>
              <w:left w:w="0" w:type="dxa"/>
              <w:right w:w="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FFFFFF" w:fill="FFFFFF"/>
            <w:tcMar>
              <w:left w:w="0" w:type="dxa"/>
              <w:right w:w="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аванси</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1,540,271</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1,540,271</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1,760,576</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1,760,576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Вземания от вносителите</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100,000</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100,000</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Касови финансови активи</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335,140</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335,140</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191,475</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145,061</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336,536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активи</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171</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171</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активи, оценени по АС</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2,214,150</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335,140</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2,549,290</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191,475</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1,905,637</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2,097,112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финансови активи </w:t>
            </w:r>
          </w:p>
        </w:tc>
        <w:tc>
          <w:tcPr>
            <w:tcW w:w="752"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9,873</w:t>
            </w:r>
          </w:p>
        </w:tc>
        <w:tc>
          <w:tcPr>
            <w:tcW w:w="708"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567,292</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2,214,870</w:t>
            </w:r>
          </w:p>
        </w:tc>
        <w:tc>
          <w:tcPr>
            <w:tcW w:w="703"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335,140</w:t>
            </w:r>
          </w:p>
        </w:tc>
        <w:tc>
          <w:tcPr>
            <w:tcW w:w="757"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3,127,175</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16"/>
                <w:lang w:val="bg-BG"/>
              </w:rPr>
            </w:pPr>
          </w:p>
        </w:tc>
        <w:tc>
          <w:tcPr>
            <w:tcW w:w="752"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08"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22"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03"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57"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22"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8"/>
        </w:trPr>
        <w:tc>
          <w:tcPr>
            <w:tcW w:w="231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пасиви, оценени по FVTPL</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Дериватни финансови инструменти</w:t>
            </w:r>
          </w:p>
        </w:tc>
        <w:tc>
          <w:tcPr>
            <w:tcW w:w="752"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-8,493</w:t>
            </w:r>
          </w:p>
        </w:tc>
        <w:tc>
          <w:tcPr>
            <w:tcW w:w="708"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3"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-8,493</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-8,493</w:t>
            </w: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пасиви, оценени по FVTPL</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-8,493</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-8,493</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-8,493</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Финансови пасиви, оценени по АС:</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Провизии за издадени гаранции</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-793</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-793</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Провизии за кредитни ангажименти</w:t>
            </w:r>
          </w:p>
        </w:tc>
        <w:tc>
          <w:tcPr>
            <w:tcW w:w="752" w:type="dxa"/>
            <w:tcBorders>
              <w:top w:val="nil"/>
              <w:left w:val="nil"/>
              <w:bottom w:val="nil"/>
              <w:right w:val="nil"/>
              <w:tl2br w:val="nil"/>
              <w:tr2bl w:val="nil"/>
            </w:tcBorders>
            <w:shd w:val="clear" w:color="FFFFFF" w:fill="FFFFFF"/>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nil"/>
              <w:right w:val="nil"/>
              <w:tl2br w:val="nil"/>
              <w:tr2bl w:val="nil"/>
            </w:tcBorders>
            <w:shd w:val="clear" w:color="FFFFFF" w:fill="FFFFFF"/>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FFFFFF" w:fill="FFFFFF"/>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3" w:type="dxa"/>
            <w:tcBorders>
              <w:top w:val="nil"/>
              <w:left w:val="nil"/>
              <w:bottom w:val="nil"/>
              <w:right w:val="nil"/>
              <w:tl2br w:val="nil"/>
              <w:tr2bl w:val="nil"/>
            </w:tcBorders>
            <w:shd w:val="clear" w:color="FFFFFF" w:fill="FFFFFF"/>
            <w:noWrap/>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-23,822</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-23,822</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Дължими суми на трети страни</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-143,813</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-143,813</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 пасиви</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8"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-2,493</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-2,493</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финансови пасиви, оценени по АС</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-170,921</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-170,921</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Общо финансови пасиви </w:t>
            </w:r>
          </w:p>
        </w:tc>
        <w:tc>
          <w:tcPr>
            <w:tcW w:w="752"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-8,493</w:t>
            </w:r>
          </w:p>
        </w:tc>
        <w:tc>
          <w:tcPr>
            <w:tcW w:w="708"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03"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57"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-170,921</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-179,414</w:t>
            </w:r>
          </w:p>
        </w:tc>
        <w:tc>
          <w:tcPr>
            <w:tcW w:w="108"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2315"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52"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08"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822"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03"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57"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822"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08"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bl>
    <w:p>
      <w:pPr>
        <w:rPr>
          <w:noProof/>
          <w:lang w:val="bg-BG"/>
        </w:rPr>
        <w:sectPr>
          <w:headerReference w:type="even" r:id="rId407"/>
          <w:headerReference w:type="default" r:id="rId408"/>
          <w:footerReference w:type="even" r:id="rId409"/>
          <w:footerReference w:type="default" r:id="rId410"/>
          <w:headerReference w:type="first" r:id="rId411"/>
          <w:footerReference w:type="first" r:id="rId412"/>
          <w:type w:val="continuous"/>
          <w:pgSz w:w="11907" w:h="16840" w:code="9"/>
          <w:pgMar w:top="1134" w:right="1134" w:bottom="1134" w:left="1134" w:header="720" w:footer="720" w:gutter="0"/>
          <w:pgBorders>
            <w:top w:val="nil"/>
            <w:left w:val="nil"/>
            <w:bottom w:val="nil"/>
            <w:right w:val="nil"/>
          </w:pgBorders>
          <w:cols w:space="720"/>
          <w:docGrid w:linePitch="360"/>
        </w:sectPr>
      </w:pPr>
    </w:p>
    <w:p>
      <w:pPr>
        <w:numPr>
          <w:ilvl w:val="1"/>
          <w:numId w:val="103"/>
        </w:numPr>
        <w:tabs>
          <w:tab w:val="right" w:pos="-2700"/>
          <w:tab w:val="right" w:pos="720"/>
        </w:tabs>
        <w:suppressAutoHyphens/>
        <w:jc w:val="both"/>
        <w:rPr>
          <w:rFonts w:ascii="Arial" w:hAnsi="Arial"/>
          <w:b/>
          <w:noProof/>
          <w:sz w:val="16"/>
          <w:szCs w:val="16"/>
          <w:bdr w:val="none" w:sz="0" w:space="0" w:color="auto" w:frame="1"/>
          <w:lang w:val="bg-BG" w:eastAsia="ar-SA"/>
        </w:rPr>
      </w:pPr>
      <w:r>
        <w:rPr>
          <w:rFonts w:ascii="Arial" w:hAnsi="Arial"/>
          <w:b/>
          <w:noProof/>
          <w:sz w:val="16"/>
          <w:szCs w:val="16"/>
          <w:bdr w:val="none" w:sz="0" w:space="0" w:color="auto" w:frame="1"/>
          <w:lang w:val="bg-BG" w:eastAsia="ar-SA"/>
        </w:rPr>
        <w:t>Измерване на справедливите стойности</w:t>
      </w:r>
    </w:p>
    <w:p>
      <w:pPr>
        <w:tabs>
          <w:tab w:val="right" w:pos="-2700"/>
          <w:tab w:val="right" w:pos="720"/>
          <w:tab w:val="left" w:pos="1134"/>
        </w:tabs>
        <w:suppressAutoHyphens/>
        <w:spacing w:before="60" w:after="60"/>
        <w:ind w:left="680"/>
        <w:jc w:val="both"/>
        <w:rPr>
          <w:rFonts w:ascii="Arial" w:hAnsi="Arial"/>
          <w:noProof/>
          <w:sz w:val="16"/>
          <w:szCs w:val="16"/>
          <w:lang w:val="bg-BG" w:eastAsia="ar-SA"/>
        </w:rPr>
      </w:pPr>
      <w:r>
        <w:rPr>
          <w:rFonts w:ascii="Arial" w:hAnsi="Arial"/>
          <w:noProof/>
          <w:sz w:val="16"/>
          <w:szCs w:val="16"/>
          <w:lang w:val="bg-BG" w:eastAsia="ar-SA"/>
        </w:rPr>
        <w:t>4.1</w:t>
      </w:r>
      <w:r>
        <w:rPr>
          <w:rFonts w:ascii="Arial" w:hAnsi="Arial"/>
          <w:noProof/>
          <w:sz w:val="16"/>
          <w:szCs w:val="16"/>
          <w:lang w:val="bg-BG" w:eastAsia="ar-SA"/>
        </w:rPr>
        <w:tab/>
      </w:r>
    </w:p>
    <w:p>
      <w:pPr>
        <w:numPr>
          <w:ilvl w:val="2"/>
          <w:numId w:val="103"/>
        </w:numPr>
        <w:tabs>
          <w:tab w:val="right" w:pos="-2700"/>
        </w:tabs>
        <w:suppressAutoHyphens/>
        <w:ind w:left="851" w:hanging="851"/>
        <w:jc w:val="both"/>
        <w:rPr>
          <w:rFonts w:ascii="Arial" w:hAnsi="Arial"/>
          <w:b/>
          <w:noProof/>
          <w:sz w:val="16"/>
          <w:szCs w:val="16"/>
          <w:lang w:val="bg-BG" w:eastAsia="ar-SA"/>
        </w:rPr>
      </w:pPr>
      <w:r>
        <w:rPr>
          <w:rFonts w:ascii="Arial" w:hAnsi="Arial"/>
          <w:b/>
          <w:noProof/>
          <w:sz w:val="16"/>
          <w:szCs w:val="16"/>
          <w:lang w:val="bg-BG" w:eastAsia="ar-SA"/>
        </w:rPr>
        <w:t>Методи за остойностяване и значими ненаблюдаеми данни</w:t>
      </w:r>
    </w:p>
    <w:p>
      <w:pPr>
        <w:spacing w:after="60"/>
        <w:jc w:val="both"/>
        <w:rPr>
          <w:rFonts w:ascii="Arial" w:hAnsi="Arial"/>
          <w:noProof/>
          <w:sz w:val="16"/>
          <w:szCs w:val="16"/>
          <w:lang w:val="bg-BG" w:eastAsia="ar-SA"/>
        </w:rPr>
      </w:pPr>
    </w:p>
    <w:p>
      <w:pPr>
        <w:suppressAutoHyphens/>
        <w:jc w:val="both"/>
        <w:rPr>
          <w:rFonts w:ascii="Arial" w:hAnsi="Arial"/>
          <w:noProof/>
          <w:sz w:val="16"/>
          <w:szCs w:val="16"/>
          <w:lang w:val="bg-BG" w:eastAsia="ar-SA"/>
        </w:rPr>
      </w:pPr>
      <w:r>
        <w:rPr>
          <w:rFonts w:ascii="Arial" w:hAnsi="Arial"/>
          <w:noProof/>
          <w:sz w:val="16"/>
          <w:szCs w:val="16"/>
          <w:lang w:val="bg-BG" w:eastAsia="ar-SA"/>
        </w:rPr>
        <w:t>Таблицата по-долу представя информация за методите за остойностяване и значимите ненаблюдаеми данни, използвани при оценяването на финансови инструменти, категоризирани в нива 2 и 3 от йерархията на справедливите стойности:</w:t>
      </w:r>
    </w:p>
    <w:p>
      <w:pPr>
        <w:suppressAutoHyphens/>
        <w:spacing w:before="60" w:after="60"/>
        <w:rPr>
          <w:rFonts w:ascii="Arial" w:hAnsi="Arial"/>
          <w:noProof/>
          <w:sz w:val="16"/>
          <w:szCs w:val="16"/>
          <w:lang w:val="bg-BG" w:eastAsia="ar-SA"/>
        </w:rPr>
      </w:pPr>
    </w:p>
    <w:tbl>
      <w:tblPr>
        <w:tblW w:w="10015" w:type="dxa"/>
        <w:tblInd w:w="-90" w:type="dxa"/>
        <w:tblLook w:val="0000" w:firstRow="0" w:lastRow="0" w:firstColumn="0" w:lastColumn="0" w:noHBand="0" w:noVBand="0"/>
      </w:tblPr>
      <w:tblGrid>
        <w:gridCol w:w="1269"/>
        <w:gridCol w:w="3736"/>
        <w:gridCol w:w="2912"/>
        <w:gridCol w:w="2098"/>
      </w:tblGrid>
      <w:tr>
        <w:trPr>
          <w:trHeight w:val="450"/>
        </w:trPr>
        <w:tc>
          <w:tcPr>
            <w:tcW w:w="1269" w:type="dxa"/>
            <w:tcBorders>
              <w:top w:val="single" w:sz="4" w:space="0" w:color="auto"/>
              <w:left w:val="nil"/>
              <w:bottom w:val="single" w:sz="4" w:space="0" w:color="auto"/>
              <w:right w:val="nil"/>
            </w:tcBorders>
            <w:shd w:val="clear" w:color="auto" w:fill="auto"/>
            <w:noWrap/>
            <w:vAlign w:val="bottom"/>
          </w:tcPr>
          <w:p>
            <w:pPr>
              <w:rPr>
                <w:rFonts w:ascii="Arial" w:hAnsi="Arial"/>
                <w:b/>
                <w:bCs/>
                <w:noProof/>
                <w:sz w:val="16"/>
                <w:szCs w:val="16"/>
                <w:lang w:val="bg-BG"/>
              </w:rPr>
            </w:pPr>
          </w:p>
        </w:tc>
        <w:tc>
          <w:tcPr>
            <w:tcW w:w="3736" w:type="dxa"/>
            <w:tcBorders>
              <w:top w:val="single" w:sz="4" w:space="0" w:color="auto"/>
              <w:left w:val="nil"/>
              <w:bottom w:val="single" w:sz="4" w:space="0" w:color="auto"/>
              <w:right w:val="nil"/>
            </w:tcBorders>
            <w:shd w:val="clear" w:color="auto" w:fill="auto"/>
            <w:noWrap/>
            <w:vAlign w:val="bottom"/>
          </w:tcPr>
          <w:p>
            <w:pPr>
              <w:rPr>
                <w:rFonts w:ascii="Arial" w:hAnsi="Arial"/>
                <w:b/>
                <w:bCs/>
                <w:noProof/>
                <w:sz w:val="16"/>
                <w:szCs w:val="16"/>
                <w:lang w:val="bg-BG" w:eastAsia="ar-SA"/>
              </w:rPr>
            </w:pPr>
            <w:r>
              <w:rPr>
                <w:rFonts w:ascii="Arial" w:hAnsi="Arial"/>
                <w:b/>
                <w:bCs/>
                <w:noProof/>
                <w:sz w:val="16"/>
                <w:szCs w:val="16"/>
                <w:lang w:val="bg-BG" w:eastAsia="ar-SA"/>
              </w:rPr>
              <w:t>Метод за остойностяване</w:t>
            </w:r>
          </w:p>
        </w:tc>
        <w:tc>
          <w:tcPr>
            <w:tcW w:w="2912" w:type="dxa"/>
            <w:tcBorders>
              <w:top w:val="single" w:sz="4" w:space="0" w:color="auto"/>
              <w:left w:val="nil"/>
              <w:bottom w:val="single" w:sz="4" w:space="0" w:color="auto"/>
              <w:right w:val="nil"/>
            </w:tcBorders>
            <w:shd w:val="clear" w:color="auto" w:fill="auto"/>
            <w:noWrap/>
            <w:vAlign w:val="bottom"/>
          </w:tcPr>
          <w:p>
            <w:pPr>
              <w:rPr>
                <w:rFonts w:ascii="Arial" w:hAnsi="Arial"/>
                <w:b/>
                <w:bCs/>
                <w:noProof/>
                <w:sz w:val="16"/>
                <w:szCs w:val="16"/>
                <w:lang w:val="bg-BG" w:eastAsia="ar-SA"/>
              </w:rPr>
            </w:pPr>
            <w:r>
              <w:rPr>
                <w:rFonts w:ascii="Arial" w:hAnsi="Arial"/>
                <w:b/>
                <w:bCs/>
                <w:noProof/>
                <w:sz w:val="16"/>
                <w:szCs w:val="16"/>
                <w:lang w:val="bg-BG" w:eastAsia="ar-SA"/>
              </w:rPr>
              <w:t>Значими ненаблюдаеми данни</w:t>
            </w:r>
          </w:p>
        </w:tc>
        <w:tc>
          <w:tcPr>
            <w:tcW w:w="2098" w:type="dxa"/>
            <w:tcBorders>
              <w:top w:val="single" w:sz="4" w:space="0" w:color="auto"/>
              <w:left w:val="nil"/>
              <w:bottom w:val="single" w:sz="4" w:space="0" w:color="auto"/>
              <w:right w:val="nil"/>
            </w:tcBorders>
            <w:shd w:val="clear" w:color="auto" w:fill="auto"/>
            <w:noWrap/>
            <w:vAlign w:val="bottom"/>
          </w:tcPr>
          <w:p>
            <w:pPr>
              <w:rPr>
                <w:rFonts w:ascii="Arial" w:hAnsi="Arial"/>
                <w:b/>
                <w:bCs/>
                <w:noProof/>
                <w:sz w:val="16"/>
                <w:szCs w:val="16"/>
                <w:lang w:val="bg-BG" w:eastAsia="ar-SA"/>
              </w:rPr>
            </w:pPr>
            <w:r>
              <w:rPr>
                <w:rFonts w:ascii="Arial" w:hAnsi="Arial"/>
                <w:b/>
                <w:bCs/>
                <w:noProof/>
                <w:sz w:val="16"/>
                <w:szCs w:val="16"/>
                <w:lang w:val="bg-BG" w:eastAsia="ar-SA"/>
              </w:rPr>
              <w:t>Връзка между ненаблюдаемите данни и измерването на справедливата стойност</w:t>
            </w:r>
          </w:p>
        </w:tc>
      </w:tr>
      <w:tr>
        <w:trPr>
          <w:trHeight w:val="155"/>
        </w:trPr>
        <w:tc>
          <w:tcPr>
            <w:tcW w:w="5005" w:type="dxa"/>
            <w:gridSpan w:val="2"/>
            <w:tcBorders>
              <w:top w:val="nil"/>
              <w:left w:val="nil"/>
              <w:right w:val="nil"/>
            </w:tcBorders>
            <w:shd w:val="clear" w:color="auto" w:fill="auto"/>
            <w:noWrap/>
          </w:tcPr>
          <w:p>
            <w:pPr>
              <w:rPr>
                <w:rFonts w:ascii="Arial" w:hAnsi="Arial"/>
                <w:noProof/>
                <w:sz w:val="16"/>
                <w:szCs w:val="16"/>
                <w:lang w:val="bg-BG" w:eastAsia="ar-SA"/>
              </w:rPr>
            </w:pPr>
            <w:r>
              <w:rPr>
                <w:rFonts w:ascii="Arial" w:hAnsi="Arial"/>
                <w:b/>
                <w:bCs/>
                <w:noProof/>
                <w:sz w:val="16"/>
                <w:szCs w:val="16"/>
                <w:lang w:val="bg-BG" w:eastAsia="ar-SA"/>
              </w:rPr>
              <w:t>Финансови инструменти, отчетени по справедлива стойност</w:t>
            </w:r>
          </w:p>
        </w:tc>
        <w:tc>
          <w:tcPr>
            <w:tcW w:w="2912" w:type="dxa"/>
            <w:tcBorders>
              <w:top w:val="nil"/>
              <w:left w:val="nil"/>
              <w:right w:val="nil"/>
            </w:tcBorders>
            <w:shd w:val="clear" w:color="auto" w:fill="auto"/>
            <w:noWrap/>
          </w:tcPr>
          <w:p>
            <w:pPr>
              <w:rPr>
                <w:rFonts w:ascii="Arial" w:hAnsi="Arial"/>
                <w:noProof/>
                <w:sz w:val="16"/>
                <w:szCs w:val="16"/>
                <w:lang w:val="bg-BG"/>
              </w:rPr>
            </w:pPr>
          </w:p>
        </w:tc>
        <w:tc>
          <w:tcPr>
            <w:tcW w:w="2098" w:type="dxa"/>
            <w:tcBorders>
              <w:top w:val="nil"/>
              <w:left w:val="nil"/>
              <w:right w:val="nil"/>
            </w:tcBorders>
            <w:shd w:val="clear" w:color="auto" w:fill="auto"/>
            <w:noWrap/>
          </w:tcPr>
          <w:p>
            <w:pPr>
              <w:rPr>
                <w:rFonts w:ascii="Arial" w:hAnsi="Arial"/>
                <w:noProof/>
                <w:sz w:val="16"/>
                <w:szCs w:val="16"/>
                <w:lang w:val="bg-BG"/>
              </w:rPr>
            </w:pPr>
          </w:p>
        </w:tc>
      </w:tr>
      <w:tr>
        <w:trPr>
          <w:trHeight w:val="130"/>
        </w:trPr>
        <w:tc>
          <w:tcPr>
            <w:tcW w:w="1269" w:type="dxa"/>
            <w:tcBorders>
              <w:top w:val="nil"/>
              <w:left w:val="nil"/>
              <w:right w:val="nil"/>
            </w:tcBorders>
            <w:shd w:val="clear" w:color="auto" w:fill="auto"/>
            <w:noWrap/>
          </w:tcPr>
          <w:p>
            <w:pPr>
              <w:rPr>
                <w:rFonts w:ascii="Arial" w:hAnsi="Arial"/>
                <w:noProof/>
                <w:sz w:val="16"/>
                <w:szCs w:val="16"/>
                <w:lang w:val="bg-BG"/>
              </w:rPr>
            </w:pPr>
          </w:p>
        </w:tc>
        <w:tc>
          <w:tcPr>
            <w:tcW w:w="3736" w:type="dxa"/>
            <w:tcBorders>
              <w:top w:val="nil"/>
              <w:left w:val="nil"/>
              <w:right w:val="nil"/>
            </w:tcBorders>
            <w:shd w:val="clear" w:color="auto" w:fill="auto"/>
            <w:noWrap/>
          </w:tcPr>
          <w:p>
            <w:pPr>
              <w:jc w:val="both"/>
              <w:rPr>
                <w:rFonts w:ascii="Arial" w:hAnsi="Arial"/>
                <w:noProof/>
                <w:sz w:val="16"/>
                <w:szCs w:val="16"/>
                <w:lang w:val="bg-BG"/>
              </w:rPr>
            </w:pPr>
          </w:p>
        </w:tc>
        <w:tc>
          <w:tcPr>
            <w:tcW w:w="2912" w:type="dxa"/>
            <w:tcBorders>
              <w:top w:val="nil"/>
              <w:left w:val="nil"/>
              <w:right w:val="nil"/>
            </w:tcBorders>
            <w:shd w:val="clear" w:color="auto" w:fill="auto"/>
            <w:noWrap/>
          </w:tcPr>
          <w:p>
            <w:pPr>
              <w:jc w:val="both"/>
              <w:rPr>
                <w:rFonts w:ascii="Arial" w:hAnsi="Arial"/>
                <w:noProof/>
                <w:sz w:val="16"/>
                <w:szCs w:val="16"/>
                <w:lang w:val="bg-BG"/>
              </w:rPr>
            </w:pPr>
          </w:p>
        </w:tc>
        <w:tc>
          <w:tcPr>
            <w:tcW w:w="2098" w:type="dxa"/>
            <w:tcBorders>
              <w:top w:val="nil"/>
              <w:left w:val="nil"/>
              <w:right w:val="nil"/>
            </w:tcBorders>
            <w:shd w:val="clear" w:color="auto" w:fill="auto"/>
            <w:noWrap/>
          </w:tcPr>
          <w:p>
            <w:pPr>
              <w:jc w:val="both"/>
              <w:rPr>
                <w:rFonts w:ascii="Arial" w:hAnsi="Arial"/>
                <w:noProof/>
                <w:sz w:val="16"/>
                <w:szCs w:val="16"/>
                <w:lang w:val="bg-BG"/>
              </w:rPr>
            </w:pPr>
          </w:p>
        </w:tc>
      </w:tr>
      <w:tr>
        <w:trPr>
          <w:trHeight w:val="282"/>
        </w:trPr>
        <w:tc>
          <w:tcPr>
            <w:tcW w:w="1269" w:type="dxa"/>
            <w:tcBorders>
              <w:top w:val="nil"/>
              <w:left w:val="nil"/>
              <w:right w:val="nil"/>
            </w:tcBorders>
            <w:shd w:val="clear" w:color="auto" w:fill="auto"/>
            <w:noWrap/>
          </w:tcPr>
          <w:p>
            <w:pPr>
              <w:rPr>
                <w:rFonts w:ascii="Arial" w:hAnsi="Arial"/>
                <w:noProof/>
                <w:sz w:val="16"/>
                <w:szCs w:val="16"/>
                <w:lang w:val="bg-BG" w:eastAsia="ar-SA"/>
              </w:rPr>
            </w:pPr>
            <w:r>
              <w:rPr>
                <w:rFonts w:ascii="Arial" w:hAnsi="Arial"/>
                <w:noProof/>
                <w:sz w:val="16"/>
                <w:szCs w:val="16"/>
                <w:lang w:val="bg-BG" w:eastAsia="ar-SA"/>
              </w:rPr>
              <w:t>Дериватни финансови инструменти</w:t>
            </w:r>
          </w:p>
        </w:tc>
        <w:tc>
          <w:tcPr>
            <w:tcW w:w="3736" w:type="dxa"/>
            <w:tcBorders>
              <w:top w:val="nil"/>
              <w:left w:val="nil"/>
              <w:right w:val="nil"/>
            </w:tcBorders>
            <w:shd w:val="clear" w:color="auto" w:fill="auto"/>
            <w:noWrap/>
          </w:tcPr>
          <w:p>
            <w:pPr>
              <w:jc w:val="both"/>
              <w:rPr>
                <w:rFonts w:ascii="Arial" w:hAnsi="Arial"/>
                <w:noProof/>
                <w:sz w:val="16"/>
                <w:szCs w:val="16"/>
                <w:lang w:val="bg-BG" w:eastAsia="ar-SA"/>
              </w:rPr>
            </w:pPr>
            <w:r>
              <w:rPr>
                <w:rFonts w:ascii="Arial" w:hAnsi="Arial"/>
                <w:noProof/>
                <w:sz w:val="16"/>
                <w:szCs w:val="16"/>
                <w:lang w:val="bg-BG" w:eastAsia="ar-SA"/>
              </w:rPr>
              <w:t>Сконтиран паричен поток: Бъдещите парични потоци се изчисляват въз основа на форуърдни обменни/лихвени проценти (от наблюдаеми форуърдни валутни курсове и криви на доходността в края на отчетния период) и договорни форуърдни/лихвени проценти, сконтирани с процент, който отразява кредитния риск на различните контрагенти.</w:t>
            </w:r>
          </w:p>
        </w:tc>
        <w:tc>
          <w:tcPr>
            <w:tcW w:w="2912" w:type="dxa"/>
            <w:tcBorders>
              <w:top w:val="nil"/>
              <w:left w:val="nil"/>
              <w:right w:val="nil"/>
            </w:tcBorders>
            <w:shd w:val="clear" w:color="auto" w:fill="auto"/>
            <w:noWrap/>
          </w:tcPr>
          <w:p>
            <w:pPr>
              <w:jc w:val="both"/>
              <w:rPr>
                <w:rFonts w:ascii="Arial" w:hAnsi="Arial"/>
                <w:noProof/>
                <w:sz w:val="16"/>
                <w:szCs w:val="16"/>
                <w:lang w:val="bg-BG" w:eastAsia="ar-SA"/>
              </w:rPr>
            </w:pPr>
            <w:r>
              <w:rPr>
                <w:rFonts w:ascii="Arial" w:hAnsi="Arial"/>
                <w:noProof/>
                <w:sz w:val="16"/>
                <w:szCs w:val="16"/>
                <w:lang w:val="bg-BG" w:eastAsia="ar-SA"/>
              </w:rPr>
              <w:t>Не е приложимо.</w:t>
            </w:r>
          </w:p>
        </w:tc>
        <w:tc>
          <w:tcPr>
            <w:tcW w:w="2098" w:type="dxa"/>
            <w:tcBorders>
              <w:top w:val="nil"/>
              <w:left w:val="nil"/>
              <w:right w:val="nil"/>
            </w:tcBorders>
            <w:shd w:val="clear" w:color="auto" w:fill="auto"/>
            <w:noWrap/>
          </w:tcPr>
          <w:p>
            <w:pPr>
              <w:jc w:val="both"/>
              <w:rPr>
                <w:rFonts w:ascii="Arial" w:hAnsi="Arial"/>
                <w:noProof/>
                <w:sz w:val="16"/>
                <w:szCs w:val="16"/>
                <w:lang w:val="bg-BG" w:eastAsia="ar-SA"/>
              </w:rPr>
            </w:pPr>
            <w:r>
              <w:rPr>
                <w:rFonts w:ascii="Arial" w:hAnsi="Arial"/>
                <w:noProof/>
                <w:sz w:val="16"/>
                <w:szCs w:val="16"/>
                <w:lang w:val="bg-BG" w:eastAsia="ar-SA"/>
              </w:rPr>
              <w:t>Не е приложимо.</w:t>
            </w:r>
          </w:p>
        </w:tc>
      </w:tr>
      <w:tr>
        <w:trPr>
          <w:trHeight w:val="178"/>
        </w:trPr>
        <w:tc>
          <w:tcPr>
            <w:tcW w:w="1269" w:type="dxa"/>
            <w:tcBorders>
              <w:left w:val="nil"/>
              <w:right w:val="nil"/>
            </w:tcBorders>
            <w:shd w:val="clear" w:color="auto" w:fill="auto"/>
            <w:noWrap/>
          </w:tcPr>
          <w:p>
            <w:pPr>
              <w:rPr>
                <w:rFonts w:ascii="Arial" w:hAnsi="Arial"/>
                <w:noProof/>
                <w:sz w:val="16"/>
                <w:szCs w:val="16"/>
                <w:lang w:val="bg-BG"/>
              </w:rPr>
            </w:pPr>
          </w:p>
        </w:tc>
        <w:tc>
          <w:tcPr>
            <w:tcW w:w="3736" w:type="dxa"/>
            <w:tcBorders>
              <w:left w:val="nil"/>
              <w:right w:val="nil"/>
            </w:tcBorders>
            <w:shd w:val="clear" w:color="auto" w:fill="auto"/>
            <w:noWrap/>
          </w:tcPr>
          <w:p>
            <w:pPr>
              <w:jc w:val="both"/>
              <w:rPr>
                <w:rFonts w:ascii="Arial" w:hAnsi="Arial"/>
                <w:noProof/>
                <w:sz w:val="16"/>
                <w:szCs w:val="16"/>
                <w:lang w:val="bg-BG"/>
              </w:rPr>
            </w:pPr>
          </w:p>
        </w:tc>
        <w:tc>
          <w:tcPr>
            <w:tcW w:w="2912" w:type="dxa"/>
            <w:tcBorders>
              <w:left w:val="nil"/>
              <w:right w:val="nil"/>
            </w:tcBorders>
            <w:shd w:val="clear" w:color="auto" w:fill="auto"/>
            <w:noWrap/>
          </w:tcPr>
          <w:p>
            <w:pPr>
              <w:suppressAutoHyphens/>
              <w:jc w:val="both"/>
              <w:rPr>
                <w:rFonts w:ascii="Arial" w:hAnsi="Arial"/>
                <w:noProof/>
                <w:sz w:val="16"/>
                <w:szCs w:val="16"/>
                <w:lang w:val="bg-BG"/>
              </w:rPr>
            </w:pPr>
          </w:p>
        </w:tc>
        <w:tc>
          <w:tcPr>
            <w:tcW w:w="2098" w:type="dxa"/>
            <w:tcBorders>
              <w:left w:val="nil"/>
              <w:right w:val="nil"/>
            </w:tcBorders>
            <w:shd w:val="clear" w:color="auto" w:fill="auto"/>
            <w:noWrap/>
          </w:tcPr>
          <w:p>
            <w:pPr>
              <w:ind w:left="360"/>
              <w:contextualSpacing/>
              <w:jc w:val="both"/>
              <w:rPr>
                <w:rFonts w:ascii="Arial" w:hAnsi="Arial"/>
                <w:noProof/>
                <w:sz w:val="16"/>
                <w:szCs w:val="16"/>
                <w:lang w:val="bg-BG"/>
              </w:rPr>
            </w:pPr>
          </w:p>
        </w:tc>
      </w:tr>
      <w:tr>
        <w:trPr>
          <w:trHeight w:val="282"/>
        </w:trPr>
        <w:tc>
          <w:tcPr>
            <w:tcW w:w="1269" w:type="dxa"/>
            <w:tcBorders>
              <w:left w:val="nil"/>
              <w:right w:val="nil"/>
            </w:tcBorders>
            <w:shd w:val="clear" w:color="auto" w:fill="auto"/>
            <w:noWrap/>
          </w:tcPr>
          <w:p>
            <w:pPr>
              <w:rPr>
                <w:rFonts w:ascii="Arial" w:hAnsi="Arial"/>
                <w:bCs/>
                <w:noProof/>
                <w:sz w:val="16"/>
                <w:szCs w:val="16"/>
                <w:lang w:val="bg-BG" w:eastAsia="ar-SA"/>
              </w:rPr>
            </w:pPr>
            <w:r>
              <w:rPr>
                <w:rFonts w:ascii="Arial" w:hAnsi="Arial"/>
                <w:noProof/>
                <w:sz w:val="16"/>
                <w:szCs w:val="16"/>
                <w:lang w:val="bg-BG" w:eastAsia="ar-SA"/>
              </w:rPr>
              <w:t>Фондове за рисков капитал</w:t>
            </w:r>
          </w:p>
        </w:tc>
        <w:tc>
          <w:tcPr>
            <w:tcW w:w="3736" w:type="dxa"/>
            <w:tcBorders>
              <w:left w:val="nil"/>
              <w:right w:val="nil"/>
            </w:tcBorders>
            <w:shd w:val="clear" w:color="auto" w:fill="auto"/>
            <w:noWrap/>
          </w:tcPr>
          <w:p>
            <w:pPr>
              <w:jc w:val="both"/>
              <w:rPr>
                <w:rFonts w:ascii="Arial" w:hAnsi="Arial"/>
                <w:noProof/>
                <w:sz w:val="16"/>
                <w:szCs w:val="16"/>
                <w:lang w:val="bg-BG" w:eastAsia="ar-SA"/>
              </w:rPr>
            </w:pPr>
            <w:r>
              <w:rPr>
                <w:rFonts w:ascii="Arial" w:hAnsi="Arial"/>
                <w:noProof/>
                <w:sz w:val="16"/>
                <w:szCs w:val="16"/>
                <w:lang w:val="bg-BG" w:eastAsia="ar-SA"/>
              </w:rPr>
              <w:t>Метод на коригираните нетни активи: Справедливата стойност се определя, като се приложи или процентното дялово участие на механизма в съответното дружество към нетната стойност на активите, отразена в последния отчет, коригиран спрямо паричните потоци, или, доколкото е възможно, точната стойност на дела към същата дата, посочена от съответния управител на фонда. С цел да се покрие периодът между последната налична нетна стойност на активите (НСА) и отчитането в края на годината, се провежда следваща процедура за преглед и, ако е необходимо, се коригира докладваната НСА.</w:t>
            </w:r>
          </w:p>
        </w:tc>
        <w:tc>
          <w:tcPr>
            <w:tcW w:w="2912" w:type="dxa"/>
            <w:tcBorders>
              <w:left w:val="nil"/>
              <w:right w:val="nil"/>
            </w:tcBorders>
            <w:shd w:val="clear" w:color="auto" w:fill="auto"/>
            <w:noWrap/>
          </w:tcPr>
          <w:p>
            <w:pPr>
              <w:suppressAutoHyphens/>
              <w:jc w:val="both"/>
              <w:rPr>
                <w:rFonts w:ascii="Arial" w:hAnsi="Arial"/>
                <w:noProof/>
                <w:sz w:val="16"/>
                <w:szCs w:val="16"/>
                <w:lang w:val="bg-BG" w:eastAsia="ar-SA"/>
              </w:rPr>
            </w:pPr>
            <w:r>
              <w:rPr>
                <w:rFonts w:ascii="Arial" w:hAnsi="Arial"/>
                <w:noProof/>
                <w:sz w:val="16"/>
                <w:szCs w:val="16"/>
                <w:lang w:val="bg-BG" w:eastAsia="ar-SA"/>
              </w:rPr>
              <w:t>Коригиране за изтеклото време между последната отчетна дата на фондовете за рисков капитал (ФРК) и датата на измерване, като се вземат предвид: оперативните разходи и управленските такси, последващите изменения в справедливата стойност на съответните активи на ФРК, допълнителни пасиви, пазарни промени или други промени в икономическите условия.</w:t>
            </w:r>
          </w:p>
          <w:p>
            <w:pPr>
              <w:ind w:left="360"/>
              <w:contextualSpacing/>
              <w:jc w:val="both"/>
              <w:rPr>
                <w:rFonts w:ascii="Arial" w:hAnsi="Arial"/>
                <w:noProof/>
                <w:sz w:val="16"/>
                <w:szCs w:val="16"/>
                <w:lang w:val="bg-BG"/>
              </w:rPr>
            </w:pPr>
          </w:p>
        </w:tc>
        <w:tc>
          <w:tcPr>
            <w:tcW w:w="2098" w:type="dxa"/>
            <w:tcBorders>
              <w:left w:val="nil"/>
              <w:right w:val="nil"/>
            </w:tcBorders>
            <w:shd w:val="clear" w:color="auto" w:fill="auto"/>
            <w:noWrap/>
          </w:tcPr>
          <w:p>
            <w:pPr>
              <w:suppressAutoHyphens/>
              <w:jc w:val="both"/>
              <w:rPr>
                <w:rFonts w:ascii="Arial" w:hAnsi="Arial"/>
                <w:b/>
                <w:noProof/>
                <w:sz w:val="16"/>
                <w:szCs w:val="16"/>
                <w:lang w:val="bg-BG" w:eastAsia="ar-SA"/>
              </w:rPr>
            </w:pPr>
            <w:r>
              <w:rPr>
                <w:rFonts w:ascii="Arial" w:hAnsi="Arial"/>
                <w:noProof/>
                <w:sz w:val="16"/>
                <w:szCs w:val="16"/>
                <w:lang w:val="bg-BG" w:eastAsia="ar-SA"/>
              </w:rPr>
              <w:t>Колкото по-дълъг е периодът между датата на измерване на справедливата стойност и последната отчетна дата на ФРК, толкова по-голяма е корекцията за изтеклото време.</w:t>
            </w:r>
          </w:p>
        </w:tc>
      </w:tr>
      <w:tr>
        <w:trPr>
          <w:trHeight w:val="180"/>
        </w:trPr>
        <w:tc>
          <w:tcPr>
            <w:tcW w:w="1269" w:type="dxa"/>
            <w:tcBorders>
              <w:left w:val="nil"/>
              <w:bottom w:val="nil"/>
              <w:right w:val="nil"/>
            </w:tcBorders>
            <w:shd w:val="clear" w:color="auto" w:fill="auto"/>
            <w:noWrap/>
          </w:tcPr>
          <w:p>
            <w:pPr>
              <w:rPr>
                <w:rFonts w:ascii="Arial" w:hAnsi="Arial"/>
                <w:noProof/>
                <w:sz w:val="16"/>
                <w:szCs w:val="16"/>
                <w:lang w:val="bg-BG"/>
              </w:rPr>
            </w:pPr>
          </w:p>
        </w:tc>
        <w:tc>
          <w:tcPr>
            <w:tcW w:w="3736" w:type="dxa"/>
            <w:tcBorders>
              <w:left w:val="nil"/>
              <w:bottom w:val="nil"/>
              <w:right w:val="nil"/>
            </w:tcBorders>
            <w:shd w:val="clear" w:color="auto" w:fill="auto"/>
            <w:noWrap/>
          </w:tcPr>
          <w:p>
            <w:pPr>
              <w:rPr>
                <w:rFonts w:ascii="Arial" w:hAnsi="Arial"/>
                <w:bCs/>
                <w:noProof/>
                <w:sz w:val="16"/>
                <w:szCs w:val="16"/>
                <w:lang w:val="bg-BG"/>
              </w:rPr>
            </w:pPr>
          </w:p>
        </w:tc>
        <w:tc>
          <w:tcPr>
            <w:tcW w:w="2912" w:type="dxa"/>
            <w:tcBorders>
              <w:left w:val="nil"/>
              <w:bottom w:val="nil"/>
              <w:right w:val="nil"/>
            </w:tcBorders>
            <w:shd w:val="clear" w:color="auto" w:fill="auto"/>
            <w:noWrap/>
          </w:tcPr>
          <w:p>
            <w:pPr>
              <w:rPr>
                <w:rFonts w:ascii="Arial" w:hAnsi="Arial"/>
                <w:bCs/>
                <w:noProof/>
                <w:sz w:val="16"/>
                <w:szCs w:val="16"/>
                <w:lang w:val="bg-BG"/>
              </w:rPr>
            </w:pPr>
          </w:p>
        </w:tc>
        <w:tc>
          <w:tcPr>
            <w:tcW w:w="2098" w:type="dxa"/>
            <w:tcBorders>
              <w:left w:val="nil"/>
              <w:bottom w:val="nil"/>
              <w:right w:val="nil"/>
            </w:tcBorders>
            <w:shd w:val="clear" w:color="auto" w:fill="auto"/>
            <w:noWrap/>
          </w:tcPr>
          <w:p>
            <w:pPr>
              <w:rPr>
                <w:rFonts w:ascii="Arial" w:hAnsi="Arial"/>
                <w:bCs/>
                <w:noProof/>
                <w:sz w:val="16"/>
                <w:szCs w:val="16"/>
                <w:lang w:val="bg-BG"/>
              </w:rPr>
            </w:pPr>
          </w:p>
        </w:tc>
      </w:tr>
      <w:tr>
        <w:trPr>
          <w:trHeight w:val="282"/>
        </w:trPr>
        <w:tc>
          <w:tcPr>
            <w:tcW w:w="1269" w:type="dxa"/>
            <w:tcBorders>
              <w:left w:val="nil"/>
              <w:bottom w:val="nil"/>
              <w:right w:val="nil"/>
            </w:tcBorders>
            <w:shd w:val="clear" w:color="auto" w:fill="auto"/>
            <w:noWrap/>
          </w:tcPr>
          <w:p>
            <w:pPr>
              <w:rPr>
                <w:rFonts w:ascii="Arial" w:hAnsi="Arial"/>
                <w:bCs/>
                <w:noProof/>
                <w:sz w:val="16"/>
                <w:szCs w:val="16"/>
                <w:lang w:val="bg-BG" w:eastAsia="ar-SA"/>
              </w:rPr>
            </w:pPr>
            <w:r>
              <w:rPr>
                <w:rFonts w:ascii="Arial" w:hAnsi="Arial"/>
                <w:noProof/>
                <w:sz w:val="16"/>
                <w:szCs w:val="16"/>
                <w:lang w:val="bg-BG" w:eastAsia="ar-SA"/>
              </w:rPr>
              <w:t>Преки капиталови инвестиции</w:t>
            </w:r>
          </w:p>
        </w:tc>
        <w:tc>
          <w:tcPr>
            <w:tcW w:w="3736" w:type="dxa"/>
            <w:tcBorders>
              <w:left w:val="nil"/>
              <w:bottom w:val="nil"/>
              <w:right w:val="nil"/>
            </w:tcBorders>
            <w:shd w:val="clear" w:color="auto" w:fill="auto"/>
            <w:noWrap/>
          </w:tcPr>
          <w:p>
            <w:pPr>
              <w:rPr>
                <w:rFonts w:ascii="Arial" w:hAnsi="Arial"/>
                <w:bCs/>
                <w:noProof/>
                <w:sz w:val="16"/>
                <w:szCs w:val="16"/>
                <w:lang w:val="bg-BG" w:eastAsia="ar-SA"/>
              </w:rPr>
            </w:pPr>
            <w:r>
              <w:rPr>
                <w:rFonts w:ascii="Arial" w:hAnsi="Arial"/>
                <w:bCs/>
                <w:noProof/>
                <w:sz w:val="16"/>
                <w:szCs w:val="16"/>
                <w:lang w:val="bg-BG" w:eastAsia="ar-SA"/>
              </w:rPr>
              <w:t>Коригирани нетни активи.</w:t>
            </w:r>
          </w:p>
        </w:tc>
        <w:tc>
          <w:tcPr>
            <w:tcW w:w="2912" w:type="dxa"/>
            <w:tcBorders>
              <w:left w:val="nil"/>
              <w:bottom w:val="nil"/>
              <w:right w:val="nil"/>
            </w:tcBorders>
            <w:shd w:val="clear" w:color="auto" w:fill="auto"/>
            <w:noWrap/>
          </w:tcPr>
          <w:p>
            <w:pPr>
              <w:suppressAutoHyphens/>
              <w:jc w:val="both"/>
              <w:rPr>
                <w:rFonts w:ascii="Arial" w:hAnsi="Arial"/>
                <w:bCs/>
                <w:noProof/>
                <w:sz w:val="16"/>
                <w:szCs w:val="16"/>
                <w:lang w:val="bg-BG" w:eastAsia="ar-SA"/>
              </w:rPr>
            </w:pPr>
            <w:r>
              <w:rPr>
                <w:rFonts w:ascii="Arial" w:hAnsi="Arial"/>
                <w:noProof/>
                <w:sz w:val="16"/>
                <w:szCs w:val="16"/>
                <w:lang w:val="bg-BG" w:eastAsia="ar-SA"/>
              </w:rPr>
              <w:t>Коригиране за изтеклото време между последната отчетна дата на предприятията, в които се инвестира, и датата на измерване, като се вземат предвид: оперативните разходи, последващите изменения в справедливата стойност на съответните активи на предприятията, в които се инвестира, допълнителни пасиви, пазарни промени или други промени в икономическите условия, увеличение на капитала, продажба/промяна на контрола.</w:t>
            </w:r>
          </w:p>
          <w:p>
            <w:pPr>
              <w:suppressAutoHyphens/>
              <w:jc w:val="both"/>
              <w:rPr>
                <w:rFonts w:ascii="Arial" w:hAnsi="Arial"/>
                <w:bCs/>
                <w:noProof/>
                <w:sz w:val="16"/>
                <w:szCs w:val="16"/>
                <w:lang w:val="bg-BG"/>
              </w:rPr>
            </w:pPr>
          </w:p>
          <w:p>
            <w:pPr>
              <w:suppressAutoHyphens/>
              <w:jc w:val="both"/>
              <w:rPr>
                <w:rFonts w:ascii="Arial" w:hAnsi="Arial"/>
                <w:b/>
                <w:noProof/>
                <w:sz w:val="16"/>
                <w:szCs w:val="16"/>
                <w:lang w:val="bg-BG" w:eastAsia="ar-SA"/>
              </w:rPr>
            </w:pPr>
            <w:r>
              <w:rPr>
                <w:rFonts w:ascii="Arial" w:hAnsi="Arial"/>
                <w:noProof/>
                <w:sz w:val="16"/>
                <w:szCs w:val="16"/>
                <w:lang w:val="bg-BG" w:eastAsia="ar-SA"/>
              </w:rPr>
              <w:t>Отстъпка от 5 до 30 % за липса на пазарна реализируемост (ликвидност), определена чрез позоваване на цените на предишни сделки за подобни ценни книжа в държавата/региона.</w:t>
            </w:r>
          </w:p>
        </w:tc>
        <w:tc>
          <w:tcPr>
            <w:tcW w:w="2098" w:type="dxa"/>
            <w:tcBorders>
              <w:left w:val="nil"/>
              <w:bottom w:val="nil"/>
              <w:right w:val="nil"/>
            </w:tcBorders>
            <w:shd w:val="clear" w:color="auto" w:fill="auto"/>
            <w:noWrap/>
          </w:tcPr>
          <w:p>
            <w:pPr>
              <w:suppressAutoHyphens/>
              <w:jc w:val="both"/>
              <w:rPr>
                <w:rFonts w:ascii="Arial" w:hAnsi="Arial"/>
                <w:noProof/>
                <w:sz w:val="16"/>
                <w:szCs w:val="16"/>
                <w:lang w:val="bg-BG" w:eastAsia="ar-SA"/>
              </w:rPr>
            </w:pPr>
            <w:r>
              <w:rPr>
                <w:rFonts w:ascii="Arial" w:hAnsi="Arial"/>
                <w:noProof/>
                <w:sz w:val="16"/>
                <w:szCs w:val="16"/>
                <w:lang w:val="bg-BG" w:eastAsia="ar-SA"/>
              </w:rPr>
              <w:t>Колкото по-голяма е отстъпката за пазарна реализируемост, толкова по-ниска е справедливата стойност.</w:t>
            </w:r>
          </w:p>
        </w:tc>
      </w:tr>
      <w:tr>
        <w:trPr>
          <w:trHeight w:val="138"/>
        </w:trPr>
        <w:tc>
          <w:tcPr>
            <w:tcW w:w="1269" w:type="dxa"/>
            <w:tcBorders>
              <w:left w:val="nil"/>
              <w:right w:val="nil"/>
            </w:tcBorders>
            <w:shd w:val="clear" w:color="auto" w:fill="auto"/>
            <w:noWrap/>
          </w:tcPr>
          <w:p>
            <w:pPr>
              <w:rPr>
                <w:rFonts w:ascii="Arial" w:hAnsi="Arial"/>
                <w:noProof/>
                <w:sz w:val="16"/>
                <w:szCs w:val="16"/>
                <w:lang w:val="bg-BG"/>
              </w:rPr>
            </w:pPr>
          </w:p>
        </w:tc>
        <w:tc>
          <w:tcPr>
            <w:tcW w:w="3736" w:type="dxa"/>
            <w:tcBorders>
              <w:left w:val="nil"/>
              <w:right w:val="nil"/>
            </w:tcBorders>
            <w:shd w:val="clear" w:color="auto" w:fill="auto"/>
            <w:noWrap/>
          </w:tcPr>
          <w:p>
            <w:pPr>
              <w:rPr>
                <w:rFonts w:ascii="Arial" w:hAnsi="Arial"/>
                <w:bCs/>
                <w:noProof/>
                <w:sz w:val="16"/>
                <w:szCs w:val="16"/>
                <w:lang w:val="bg-BG"/>
              </w:rPr>
            </w:pPr>
          </w:p>
        </w:tc>
        <w:tc>
          <w:tcPr>
            <w:tcW w:w="2912" w:type="dxa"/>
            <w:tcBorders>
              <w:left w:val="nil"/>
              <w:right w:val="nil"/>
            </w:tcBorders>
            <w:shd w:val="clear" w:color="auto" w:fill="auto"/>
            <w:noWrap/>
          </w:tcPr>
          <w:p>
            <w:pPr>
              <w:suppressAutoHyphens/>
              <w:jc w:val="both"/>
              <w:rPr>
                <w:rFonts w:ascii="Arial" w:hAnsi="Arial"/>
                <w:noProof/>
                <w:sz w:val="16"/>
                <w:szCs w:val="16"/>
                <w:lang w:val="bg-BG"/>
              </w:rPr>
            </w:pPr>
          </w:p>
        </w:tc>
        <w:tc>
          <w:tcPr>
            <w:tcW w:w="2098" w:type="dxa"/>
            <w:tcBorders>
              <w:left w:val="nil"/>
              <w:right w:val="nil"/>
            </w:tcBorders>
            <w:shd w:val="clear" w:color="auto" w:fill="auto"/>
            <w:noWrap/>
          </w:tcPr>
          <w:p>
            <w:pPr>
              <w:rPr>
                <w:rFonts w:ascii="Arial" w:hAnsi="Arial"/>
                <w:noProof/>
                <w:sz w:val="16"/>
                <w:szCs w:val="16"/>
                <w:lang w:val="bg-BG"/>
              </w:rPr>
            </w:pPr>
          </w:p>
        </w:tc>
      </w:tr>
      <w:tr>
        <w:trPr>
          <w:trHeight w:val="282"/>
        </w:trPr>
        <w:tc>
          <w:tcPr>
            <w:tcW w:w="1269" w:type="dxa"/>
            <w:tcBorders>
              <w:left w:val="nil"/>
              <w:right w:val="nil"/>
            </w:tcBorders>
            <w:shd w:val="clear" w:color="auto" w:fill="auto"/>
            <w:noWrap/>
          </w:tcPr>
          <w:p>
            <w:pPr>
              <w:rPr>
                <w:rFonts w:ascii="Arial" w:hAnsi="Arial"/>
                <w:noProof/>
                <w:sz w:val="16"/>
                <w:szCs w:val="16"/>
                <w:lang w:val="bg-BG" w:eastAsia="ar-SA"/>
              </w:rPr>
            </w:pPr>
            <w:r>
              <w:rPr>
                <w:rFonts w:ascii="Arial" w:hAnsi="Arial"/>
                <w:noProof/>
                <w:sz w:val="16"/>
                <w:szCs w:val="16"/>
                <w:lang w:val="bg-BG" w:eastAsia="ar-SA"/>
              </w:rPr>
              <w:t>Заеми, отчетени по справедлива стойност (ПСОФ)</w:t>
            </w:r>
          </w:p>
        </w:tc>
        <w:tc>
          <w:tcPr>
            <w:tcW w:w="3736" w:type="dxa"/>
            <w:tcBorders>
              <w:left w:val="nil"/>
              <w:right w:val="nil"/>
            </w:tcBorders>
            <w:shd w:val="clear" w:color="auto" w:fill="auto"/>
            <w:noWrap/>
          </w:tcPr>
          <w:p>
            <w:pPr>
              <w:suppressAutoHyphens/>
              <w:jc w:val="both"/>
              <w:rPr>
                <w:rFonts w:ascii="Arial" w:hAnsi="Arial" w:cs="Arial"/>
                <w:noProof/>
                <w:sz w:val="16"/>
                <w:szCs w:val="16"/>
                <w:lang w:val="bg-BG" w:eastAsia="ar-SA"/>
              </w:rPr>
            </w:pPr>
            <w:r>
              <w:rPr>
                <w:rFonts w:ascii="Arial" w:hAnsi="Arial"/>
                <w:noProof/>
                <w:sz w:val="16"/>
                <w:szCs w:val="16"/>
                <w:lang w:val="bg-BG" w:eastAsia="ar-SA"/>
              </w:rPr>
              <w:t xml:space="preserve">За заемополучатели, които са действащи предприятия: Дисконтиран паричен поток с използване на договорни/очаквани бъдещи парични потоци, дисконтирани с подходящ, коригиран спрямо риска дисконтов процент, който отчита присъщия на заема риск (включително кредитния риск на заемополучателя). Дисконтовият процент се сравнява/оценява със съответна пазарна референтна стойност. </w:t>
            </w:r>
          </w:p>
          <w:p>
            <w:pPr>
              <w:suppressAutoHyphens/>
              <w:jc w:val="both"/>
              <w:rPr>
                <w:rFonts w:ascii="Arial" w:hAnsi="Arial" w:cs="Arial"/>
                <w:noProof/>
                <w:sz w:val="16"/>
                <w:szCs w:val="16"/>
                <w:lang w:val="bg-BG"/>
              </w:rPr>
            </w:pPr>
          </w:p>
          <w:p>
            <w:pPr>
              <w:rPr>
                <w:rFonts w:ascii="Arial" w:hAnsi="Arial"/>
                <w:bCs/>
                <w:noProof/>
                <w:sz w:val="16"/>
                <w:szCs w:val="16"/>
                <w:lang w:val="bg-BG" w:eastAsia="ar-SA"/>
              </w:rPr>
            </w:pPr>
            <w:r>
              <w:rPr>
                <w:rFonts w:ascii="Arial" w:hAnsi="Arial"/>
                <w:noProof/>
                <w:sz w:val="16"/>
                <w:szCs w:val="16"/>
                <w:lang w:val="bg-BG" w:eastAsia="ar-SA"/>
              </w:rPr>
              <w:t>За заемополучатели, които не са действащи предприятия: Подход на нетните активи (подход на ликвидационната стойност).</w:t>
            </w:r>
          </w:p>
        </w:tc>
        <w:tc>
          <w:tcPr>
            <w:tcW w:w="2912" w:type="dxa"/>
            <w:tcBorders>
              <w:left w:val="nil"/>
              <w:right w:val="nil"/>
            </w:tcBorders>
            <w:shd w:val="clear" w:color="auto" w:fill="auto"/>
            <w:noWrap/>
          </w:tcPr>
          <w:p>
            <w:pPr>
              <w:suppressAutoHyphens/>
              <w:jc w:val="both"/>
              <w:rPr>
                <w:rFonts w:ascii="Arial" w:hAnsi="Arial"/>
                <w:noProof/>
                <w:sz w:val="16"/>
                <w:szCs w:val="16"/>
                <w:lang w:val="bg-BG" w:eastAsia="ar-SA"/>
              </w:rPr>
            </w:pPr>
            <w:r>
              <w:rPr>
                <w:rFonts w:ascii="Arial" w:hAnsi="Arial"/>
                <w:noProof/>
                <w:sz w:val="16"/>
                <w:szCs w:val="16"/>
                <w:lang w:val="bg-BG" w:eastAsia="ar-SA"/>
              </w:rPr>
              <w:t>Компонентите на дисконтовия процент отразяват кредитния риск на заемополучателя в сравнение с безрисковите пазарни лихвени проценти.</w:t>
            </w:r>
          </w:p>
        </w:tc>
        <w:tc>
          <w:tcPr>
            <w:tcW w:w="2098" w:type="dxa"/>
            <w:tcBorders>
              <w:left w:val="nil"/>
              <w:right w:val="nil"/>
            </w:tcBorders>
            <w:shd w:val="clear" w:color="auto" w:fill="auto"/>
            <w:noWrap/>
          </w:tcPr>
          <w:p>
            <w:pPr>
              <w:suppressAutoHyphens/>
              <w:jc w:val="both"/>
              <w:rPr>
                <w:rFonts w:ascii="Arial" w:hAnsi="Arial"/>
                <w:b/>
                <w:noProof/>
                <w:sz w:val="16"/>
                <w:szCs w:val="16"/>
                <w:lang w:val="bg-BG" w:eastAsia="ar-SA"/>
              </w:rPr>
            </w:pPr>
            <w:r>
              <w:rPr>
                <w:rFonts w:ascii="Arial" w:hAnsi="Arial"/>
                <w:noProof/>
                <w:sz w:val="16"/>
                <w:szCs w:val="16"/>
                <w:lang w:val="bg-BG" w:eastAsia="ar-SA"/>
              </w:rPr>
              <w:t>Колкото по-голям е дисконтовият процент, толкова по-ниска е справедливата стойност.</w:t>
            </w:r>
          </w:p>
        </w:tc>
      </w:tr>
      <w:tr>
        <w:trPr>
          <w:trHeight w:val="167"/>
        </w:trPr>
        <w:tc>
          <w:tcPr>
            <w:tcW w:w="1269" w:type="dxa"/>
            <w:tcBorders>
              <w:top w:val="nil"/>
              <w:left w:val="nil"/>
              <w:right w:val="nil"/>
            </w:tcBorders>
            <w:shd w:val="clear" w:color="auto" w:fill="auto"/>
            <w:noWrap/>
          </w:tcPr>
          <w:p>
            <w:pPr>
              <w:rPr>
                <w:rFonts w:ascii="Arial" w:hAnsi="Arial"/>
                <w:b/>
                <w:noProof/>
                <w:sz w:val="16"/>
                <w:szCs w:val="16"/>
                <w:lang w:val="bg-BG"/>
              </w:rPr>
            </w:pPr>
          </w:p>
        </w:tc>
        <w:tc>
          <w:tcPr>
            <w:tcW w:w="3736" w:type="dxa"/>
            <w:tcBorders>
              <w:top w:val="nil"/>
              <w:left w:val="nil"/>
              <w:right w:val="nil"/>
            </w:tcBorders>
            <w:shd w:val="clear" w:color="auto" w:fill="auto"/>
            <w:noWrap/>
          </w:tcPr>
          <w:p>
            <w:pPr>
              <w:rPr>
                <w:rFonts w:ascii="Arial" w:hAnsi="Arial"/>
                <w:noProof/>
                <w:sz w:val="16"/>
                <w:szCs w:val="16"/>
                <w:lang w:val="bg-BG"/>
              </w:rPr>
            </w:pPr>
          </w:p>
        </w:tc>
        <w:tc>
          <w:tcPr>
            <w:tcW w:w="2912" w:type="dxa"/>
            <w:tcBorders>
              <w:top w:val="nil"/>
              <w:left w:val="nil"/>
              <w:right w:val="nil"/>
            </w:tcBorders>
            <w:shd w:val="clear" w:color="auto" w:fill="auto"/>
            <w:noWrap/>
          </w:tcPr>
          <w:p>
            <w:pPr>
              <w:rPr>
                <w:rFonts w:ascii="Arial" w:hAnsi="Arial"/>
                <w:noProof/>
                <w:sz w:val="16"/>
                <w:szCs w:val="16"/>
                <w:lang w:val="bg-BG"/>
              </w:rPr>
            </w:pPr>
          </w:p>
        </w:tc>
        <w:tc>
          <w:tcPr>
            <w:tcW w:w="2098" w:type="dxa"/>
            <w:tcBorders>
              <w:top w:val="nil"/>
              <w:left w:val="nil"/>
              <w:right w:val="nil"/>
            </w:tcBorders>
            <w:shd w:val="clear" w:color="auto" w:fill="auto"/>
            <w:noWrap/>
          </w:tcPr>
          <w:p>
            <w:pPr>
              <w:rPr>
                <w:rFonts w:ascii="Arial" w:hAnsi="Arial"/>
                <w:noProof/>
                <w:sz w:val="16"/>
                <w:szCs w:val="16"/>
                <w:lang w:val="bg-BG"/>
              </w:rPr>
            </w:pPr>
          </w:p>
        </w:tc>
      </w:tr>
    </w:tbl>
    <w:p>
      <w:pPr>
        <w:rPr>
          <w:noProof/>
          <w:lang w:val="bg-BG"/>
        </w:rPr>
      </w:pPr>
      <w:r>
        <w:rPr>
          <w:noProof/>
          <w:lang w:val="bg-BG"/>
        </w:rPr>
        <w:br w:type="page"/>
      </w:r>
    </w:p>
    <w:p>
      <w:pPr>
        <w:tabs>
          <w:tab w:val="right" w:pos="-2700"/>
          <w:tab w:val="left" w:pos="426"/>
          <w:tab w:val="left" w:pos="709"/>
        </w:tabs>
        <w:suppressAutoHyphens/>
        <w:jc w:val="both"/>
        <w:rPr>
          <w:rFonts w:ascii="Arial" w:hAnsi="Arial"/>
          <w:b/>
          <w:noProof/>
          <w:sz w:val="16"/>
          <w:szCs w:val="16"/>
          <w:lang w:val="bg-BG" w:eastAsia="ar-SA"/>
        </w:rPr>
      </w:pPr>
      <w:r>
        <w:rPr>
          <w:rFonts w:ascii="Arial" w:hAnsi="Arial"/>
          <w:b/>
          <w:noProof/>
          <w:sz w:val="16"/>
          <w:szCs w:val="16"/>
          <w:lang w:val="bg-BG" w:eastAsia="ar-SA"/>
        </w:rPr>
        <w:t>4.2</w:t>
      </w:r>
      <w:r>
        <w:rPr>
          <w:rFonts w:ascii="Arial" w:hAnsi="Arial"/>
          <w:b/>
          <w:noProof/>
          <w:sz w:val="16"/>
          <w:szCs w:val="16"/>
          <w:lang w:val="bg-BG" w:eastAsia="ar-SA"/>
        </w:rPr>
        <w:tab/>
        <w:t>4.2.1</w:t>
      </w:r>
      <w:r>
        <w:rPr>
          <w:rFonts w:ascii="Arial" w:hAnsi="Arial"/>
          <w:b/>
          <w:noProof/>
          <w:sz w:val="16"/>
          <w:szCs w:val="16"/>
          <w:lang w:val="bg-BG" w:eastAsia="ar-SA"/>
        </w:rPr>
        <w:tab/>
        <w:t>Методи за остойностяване и значими ненаблюдаеми данни (продължение)</w:t>
      </w:r>
    </w:p>
    <w:p>
      <w:pPr>
        <w:suppressAutoHyphens/>
        <w:spacing w:before="60" w:after="60"/>
        <w:jc w:val="both"/>
        <w:rPr>
          <w:rFonts w:ascii="Arial" w:hAnsi="Arial"/>
          <w:iCs/>
          <w:noProof/>
          <w:sz w:val="16"/>
          <w:szCs w:val="16"/>
          <w:lang w:val="bg-BG" w:eastAsia="ar-SA"/>
        </w:rPr>
      </w:pPr>
    </w:p>
    <w:tbl>
      <w:tblPr>
        <w:tblW w:w="10015" w:type="dxa"/>
        <w:tblInd w:w="-90" w:type="dxa"/>
        <w:tblLook w:val="0000" w:firstRow="0" w:lastRow="0" w:firstColumn="0" w:lastColumn="0" w:noHBand="0" w:noVBand="0"/>
      </w:tblPr>
      <w:tblGrid>
        <w:gridCol w:w="1269"/>
        <w:gridCol w:w="3736"/>
        <w:gridCol w:w="2912"/>
        <w:gridCol w:w="2098"/>
      </w:tblGrid>
      <w:tr>
        <w:trPr>
          <w:trHeight w:val="450"/>
        </w:trPr>
        <w:tc>
          <w:tcPr>
            <w:tcW w:w="1269" w:type="dxa"/>
            <w:tcBorders>
              <w:top w:val="single" w:sz="4" w:space="0" w:color="auto"/>
              <w:left w:val="nil"/>
              <w:bottom w:val="single" w:sz="4" w:space="0" w:color="auto"/>
              <w:right w:val="nil"/>
            </w:tcBorders>
            <w:shd w:val="clear" w:color="auto" w:fill="auto"/>
            <w:noWrap/>
            <w:vAlign w:val="bottom"/>
          </w:tcPr>
          <w:p>
            <w:pPr>
              <w:rPr>
                <w:rFonts w:ascii="Arial" w:hAnsi="Arial"/>
                <w:b/>
                <w:bCs/>
                <w:noProof/>
                <w:sz w:val="16"/>
                <w:szCs w:val="16"/>
                <w:lang w:val="bg-BG"/>
              </w:rPr>
            </w:pPr>
          </w:p>
        </w:tc>
        <w:tc>
          <w:tcPr>
            <w:tcW w:w="3736" w:type="dxa"/>
            <w:tcBorders>
              <w:top w:val="single" w:sz="4" w:space="0" w:color="auto"/>
              <w:left w:val="nil"/>
              <w:bottom w:val="single" w:sz="4" w:space="0" w:color="auto"/>
              <w:right w:val="nil"/>
            </w:tcBorders>
            <w:shd w:val="clear" w:color="auto" w:fill="auto"/>
            <w:noWrap/>
            <w:vAlign w:val="bottom"/>
          </w:tcPr>
          <w:p>
            <w:pPr>
              <w:rPr>
                <w:rFonts w:ascii="Arial" w:hAnsi="Arial"/>
                <w:b/>
                <w:bCs/>
                <w:noProof/>
                <w:sz w:val="16"/>
                <w:szCs w:val="16"/>
                <w:lang w:val="bg-BG" w:eastAsia="ar-SA"/>
              </w:rPr>
            </w:pPr>
            <w:r>
              <w:rPr>
                <w:rFonts w:ascii="Arial" w:hAnsi="Arial"/>
                <w:b/>
                <w:bCs/>
                <w:noProof/>
                <w:sz w:val="16"/>
                <w:szCs w:val="16"/>
                <w:lang w:val="bg-BG" w:eastAsia="ar-SA"/>
              </w:rPr>
              <w:t>Метод за остойностяване</w:t>
            </w:r>
          </w:p>
        </w:tc>
        <w:tc>
          <w:tcPr>
            <w:tcW w:w="2912" w:type="dxa"/>
            <w:tcBorders>
              <w:top w:val="single" w:sz="4" w:space="0" w:color="auto"/>
              <w:left w:val="nil"/>
              <w:bottom w:val="single" w:sz="4" w:space="0" w:color="auto"/>
              <w:right w:val="nil"/>
            </w:tcBorders>
            <w:shd w:val="clear" w:color="auto" w:fill="auto"/>
            <w:noWrap/>
            <w:vAlign w:val="bottom"/>
          </w:tcPr>
          <w:p>
            <w:pPr>
              <w:rPr>
                <w:rFonts w:ascii="Arial" w:hAnsi="Arial"/>
                <w:b/>
                <w:bCs/>
                <w:noProof/>
                <w:sz w:val="16"/>
                <w:szCs w:val="16"/>
                <w:lang w:val="bg-BG" w:eastAsia="ar-SA"/>
              </w:rPr>
            </w:pPr>
            <w:r>
              <w:rPr>
                <w:rFonts w:ascii="Arial" w:hAnsi="Arial"/>
                <w:b/>
                <w:bCs/>
                <w:noProof/>
                <w:sz w:val="16"/>
                <w:szCs w:val="16"/>
                <w:lang w:val="bg-BG" w:eastAsia="ar-SA"/>
              </w:rPr>
              <w:t>Значими ненаблюдаеми данни</w:t>
            </w:r>
          </w:p>
        </w:tc>
        <w:tc>
          <w:tcPr>
            <w:tcW w:w="2098" w:type="dxa"/>
            <w:tcBorders>
              <w:top w:val="single" w:sz="4" w:space="0" w:color="auto"/>
              <w:left w:val="nil"/>
              <w:bottom w:val="single" w:sz="4" w:space="0" w:color="auto"/>
              <w:right w:val="nil"/>
            </w:tcBorders>
            <w:shd w:val="clear" w:color="auto" w:fill="auto"/>
            <w:noWrap/>
            <w:vAlign w:val="bottom"/>
          </w:tcPr>
          <w:p>
            <w:pPr>
              <w:rPr>
                <w:rFonts w:ascii="Arial" w:hAnsi="Arial"/>
                <w:b/>
                <w:bCs/>
                <w:noProof/>
                <w:sz w:val="16"/>
                <w:szCs w:val="16"/>
                <w:lang w:val="bg-BG" w:eastAsia="ar-SA"/>
              </w:rPr>
            </w:pPr>
            <w:r>
              <w:rPr>
                <w:rFonts w:ascii="Arial" w:hAnsi="Arial"/>
                <w:b/>
                <w:bCs/>
                <w:noProof/>
                <w:sz w:val="16"/>
                <w:szCs w:val="16"/>
                <w:lang w:val="bg-BG" w:eastAsia="ar-SA"/>
              </w:rPr>
              <w:t>Връзка между ненаблюдаемите данни и измерването на справедливата стойност</w:t>
            </w:r>
          </w:p>
        </w:tc>
      </w:tr>
      <w:tr>
        <w:trPr>
          <w:trHeight w:val="79"/>
        </w:trPr>
        <w:tc>
          <w:tcPr>
            <w:tcW w:w="5005" w:type="dxa"/>
            <w:gridSpan w:val="2"/>
            <w:tcBorders>
              <w:top w:val="single" w:sz="4" w:space="0" w:color="auto"/>
              <w:left w:val="nil"/>
              <w:bottom w:val="nil"/>
              <w:right w:val="nil"/>
            </w:tcBorders>
            <w:shd w:val="clear" w:color="auto" w:fill="auto"/>
            <w:noWrap/>
          </w:tcPr>
          <w:p>
            <w:pPr>
              <w:rPr>
                <w:rFonts w:ascii="Arial" w:hAnsi="Arial"/>
                <w:noProof/>
                <w:sz w:val="16"/>
                <w:szCs w:val="16"/>
                <w:lang w:val="bg-BG" w:eastAsia="ar-SA"/>
              </w:rPr>
            </w:pPr>
            <w:r>
              <w:rPr>
                <w:rFonts w:ascii="Arial" w:hAnsi="Arial"/>
                <w:b/>
                <w:bCs/>
                <w:noProof/>
                <w:sz w:val="16"/>
                <w:szCs w:val="16"/>
                <w:lang w:val="bg-BG" w:eastAsia="ar-SA"/>
              </w:rPr>
              <w:t>Финансови инструменти, не отчетени по справедлива стойност</w:t>
            </w:r>
          </w:p>
        </w:tc>
        <w:tc>
          <w:tcPr>
            <w:tcW w:w="2912" w:type="dxa"/>
            <w:tcBorders>
              <w:top w:val="single" w:sz="4" w:space="0" w:color="auto"/>
              <w:left w:val="nil"/>
              <w:bottom w:val="nil"/>
              <w:right w:val="nil"/>
            </w:tcBorders>
            <w:shd w:val="clear" w:color="auto" w:fill="auto"/>
            <w:noWrap/>
          </w:tcPr>
          <w:p>
            <w:pPr>
              <w:rPr>
                <w:rFonts w:ascii="Arial" w:hAnsi="Arial"/>
                <w:noProof/>
                <w:sz w:val="16"/>
                <w:szCs w:val="16"/>
                <w:lang w:val="bg-BG"/>
              </w:rPr>
            </w:pPr>
          </w:p>
        </w:tc>
        <w:tc>
          <w:tcPr>
            <w:tcW w:w="2098" w:type="dxa"/>
            <w:tcBorders>
              <w:top w:val="single" w:sz="4" w:space="0" w:color="auto"/>
              <w:left w:val="nil"/>
              <w:bottom w:val="nil"/>
              <w:right w:val="nil"/>
            </w:tcBorders>
            <w:shd w:val="clear" w:color="auto" w:fill="auto"/>
            <w:noWrap/>
          </w:tcPr>
          <w:p>
            <w:pPr>
              <w:rPr>
                <w:rFonts w:ascii="Arial" w:hAnsi="Arial"/>
                <w:noProof/>
                <w:sz w:val="16"/>
                <w:szCs w:val="16"/>
                <w:lang w:val="bg-BG"/>
              </w:rPr>
            </w:pPr>
          </w:p>
        </w:tc>
      </w:tr>
      <w:tr>
        <w:trPr>
          <w:trHeight w:val="161"/>
        </w:trPr>
        <w:tc>
          <w:tcPr>
            <w:tcW w:w="1269" w:type="dxa"/>
            <w:tcBorders>
              <w:top w:val="nil"/>
              <w:left w:val="nil"/>
              <w:bottom w:val="nil"/>
              <w:right w:val="nil"/>
            </w:tcBorders>
            <w:shd w:val="clear" w:color="auto" w:fill="auto"/>
            <w:noWrap/>
          </w:tcPr>
          <w:p>
            <w:pPr>
              <w:rPr>
                <w:rFonts w:ascii="Arial" w:hAnsi="Arial"/>
                <w:noProof/>
                <w:sz w:val="16"/>
                <w:szCs w:val="16"/>
                <w:lang w:val="bg-BG"/>
              </w:rPr>
            </w:pPr>
          </w:p>
        </w:tc>
        <w:tc>
          <w:tcPr>
            <w:tcW w:w="3736" w:type="dxa"/>
            <w:tcBorders>
              <w:top w:val="nil"/>
              <w:left w:val="nil"/>
              <w:bottom w:val="nil"/>
              <w:right w:val="nil"/>
            </w:tcBorders>
            <w:shd w:val="clear" w:color="auto" w:fill="auto"/>
            <w:noWrap/>
          </w:tcPr>
          <w:p>
            <w:pPr>
              <w:jc w:val="both"/>
              <w:rPr>
                <w:rFonts w:ascii="Arial" w:hAnsi="Arial"/>
                <w:noProof/>
                <w:sz w:val="16"/>
                <w:szCs w:val="16"/>
                <w:lang w:val="bg-BG"/>
              </w:rPr>
            </w:pPr>
          </w:p>
        </w:tc>
        <w:tc>
          <w:tcPr>
            <w:tcW w:w="2912" w:type="dxa"/>
            <w:tcBorders>
              <w:top w:val="nil"/>
              <w:left w:val="nil"/>
              <w:bottom w:val="nil"/>
              <w:right w:val="nil"/>
            </w:tcBorders>
            <w:shd w:val="clear" w:color="auto" w:fill="auto"/>
            <w:noWrap/>
          </w:tcPr>
          <w:p>
            <w:pPr>
              <w:rPr>
                <w:rFonts w:ascii="Arial" w:hAnsi="Arial"/>
                <w:noProof/>
                <w:sz w:val="16"/>
                <w:szCs w:val="16"/>
                <w:lang w:val="bg-BG"/>
              </w:rPr>
            </w:pPr>
          </w:p>
        </w:tc>
        <w:tc>
          <w:tcPr>
            <w:tcW w:w="2098" w:type="dxa"/>
            <w:tcBorders>
              <w:top w:val="nil"/>
              <w:left w:val="nil"/>
              <w:bottom w:val="nil"/>
              <w:right w:val="nil"/>
            </w:tcBorders>
            <w:shd w:val="clear" w:color="auto" w:fill="auto"/>
            <w:noWrap/>
          </w:tcPr>
          <w:p>
            <w:pPr>
              <w:rPr>
                <w:rFonts w:ascii="Arial" w:hAnsi="Arial"/>
                <w:noProof/>
                <w:sz w:val="16"/>
                <w:szCs w:val="16"/>
                <w:lang w:val="bg-BG"/>
              </w:rPr>
            </w:pPr>
          </w:p>
        </w:tc>
      </w:tr>
      <w:tr>
        <w:trPr>
          <w:trHeight w:val="282"/>
        </w:trPr>
        <w:tc>
          <w:tcPr>
            <w:tcW w:w="1269" w:type="dxa"/>
            <w:tcBorders>
              <w:top w:val="nil"/>
              <w:left w:val="nil"/>
              <w:bottom w:val="nil"/>
              <w:right w:val="nil"/>
            </w:tcBorders>
            <w:shd w:val="clear" w:color="auto" w:fill="auto"/>
            <w:noWrap/>
          </w:tcPr>
          <w:p>
            <w:pPr>
              <w:rPr>
                <w:rFonts w:ascii="Arial" w:hAnsi="Arial"/>
                <w:noProof/>
                <w:sz w:val="16"/>
                <w:szCs w:val="16"/>
                <w:lang w:val="bg-BG" w:eastAsia="ar-SA"/>
              </w:rPr>
            </w:pPr>
            <w:r>
              <w:rPr>
                <w:rFonts w:ascii="Arial" w:hAnsi="Arial"/>
                <w:noProof/>
                <w:sz w:val="16"/>
                <w:szCs w:val="16"/>
                <w:lang w:val="bg-BG" w:eastAsia="ar-SA"/>
              </w:rPr>
              <w:t>Заеми и аванси</w:t>
            </w:r>
          </w:p>
        </w:tc>
        <w:tc>
          <w:tcPr>
            <w:tcW w:w="3736" w:type="dxa"/>
            <w:tcBorders>
              <w:top w:val="nil"/>
              <w:left w:val="nil"/>
              <w:bottom w:val="nil"/>
              <w:right w:val="nil"/>
            </w:tcBorders>
            <w:shd w:val="clear" w:color="auto" w:fill="auto"/>
            <w:noWrap/>
          </w:tcPr>
          <w:p>
            <w:pPr>
              <w:jc w:val="both"/>
              <w:rPr>
                <w:rFonts w:ascii="Arial" w:hAnsi="Arial"/>
                <w:bCs/>
                <w:noProof/>
                <w:sz w:val="16"/>
                <w:szCs w:val="16"/>
                <w:lang w:val="bg-BG" w:eastAsia="ar-SA"/>
              </w:rPr>
            </w:pPr>
            <w:r>
              <w:rPr>
                <w:rFonts w:ascii="Arial" w:hAnsi="Arial"/>
                <w:noProof/>
                <w:sz w:val="16"/>
                <w:szCs w:val="16"/>
                <w:lang w:val="bg-BG" w:eastAsia="ar-SA"/>
              </w:rPr>
              <w:t>Сконтирани парични потоци: Моделът за остойностяване използва договорните парични потоци, които са обусловени от липсата на неизпълнение от страна на длъжника и не отчитат стойността на гаранциите или сценариите за предсрочно плащане.</w:t>
            </w:r>
            <w:r>
              <w:rPr>
                <w:rFonts w:ascii="Arial" w:hAnsi="Arial"/>
                <w:bCs/>
                <w:noProof/>
                <w:sz w:val="16"/>
                <w:szCs w:val="16"/>
                <w:lang w:val="bg-BG" w:eastAsia="ar-SA"/>
              </w:rPr>
              <w:t xml:space="preserve"> За да се изчисли нетната настояща стойност (ННС) на заемите, моделът взема сконтирането на договорните парични потоци на всеки заем с помощта на коригирана пазарна дисконтова крива. ННС на отделните заеми след това се коригира, за да се вземе под внимание съответната очаквана загуба. След това резултатите се сумират, за да се получи справедливата стойност на заемите и авансите.</w:t>
            </w:r>
          </w:p>
        </w:tc>
        <w:tc>
          <w:tcPr>
            <w:tcW w:w="2912" w:type="dxa"/>
            <w:tcBorders>
              <w:top w:val="nil"/>
              <w:left w:val="nil"/>
              <w:bottom w:val="nil"/>
              <w:right w:val="nil"/>
            </w:tcBorders>
            <w:shd w:val="clear" w:color="auto" w:fill="auto"/>
            <w:noWrap/>
          </w:tcPr>
          <w:p>
            <w:pPr>
              <w:rPr>
                <w:rFonts w:ascii="Arial" w:hAnsi="Arial"/>
                <w:noProof/>
                <w:sz w:val="16"/>
                <w:szCs w:val="16"/>
                <w:lang w:val="bg-BG" w:eastAsia="ar-SA"/>
              </w:rPr>
            </w:pPr>
            <w:r>
              <w:rPr>
                <w:rFonts w:ascii="Arial" w:hAnsi="Arial"/>
                <w:noProof/>
                <w:sz w:val="16"/>
                <w:szCs w:val="16"/>
                <w:lang w:val="bg-BG" w:eastAsia="ar-SA"/>
              </w:rPr>
              <w:t>Не е приложимо.</w:t>
            </w:r>
          </w:p>
        </w:tc>
        <w:tc>
          <w:tcPr>
            <w:tcW w:w="2098" w:type="dxa"/>
            <w:tcBorders>
              <w:top w:val="nil"/>
              <w:left w:val="nil"/>
              <w:bottom w:val="nil"/>
              <w:right w:val="nil"/>
            </w:tcBorders>
            <w:shd w:val="clear" w:color="auto" w:fill="auto"/>
            <w:noWrap/>
          </w:tcPr>
          <w:p>
            <w:pPr>
              <w:rPr>
                <w:rFonts w:ascii="Arial" w:hAnsi="Arial"/>
                <w:noProof/>
                <w:sz w:val="16"/>
                <w:szCs w:val="16"/>
                <w:lang w:val="bg-BG" w:eastAsia="ar-SA"/>
              </w:rPr>
            </w:pPr>
            <w:r>
              <w:rPr>
                <w:rFonts w:ascii="Arial" w:hAnsi="Arial"/>
                <w:noProof/>
                <w:sz w:val="16"/>
                <w:szCs w:val="16"/>
                <w:lang w:val="bg-BG" w:eastAsia="ar-SA"/>
              </w:rPr>
              <w:t>Не е приложимо.</w:t>
            </w:r>
          </w:p>
        </w:tc>
      </w:tr>
      <w:tr>
        <w:trPr>
          <w:trHeight w:val="93"/>
        </w:trPr>
        <w:tc>
          <w:tcPr>
            <w:tcW w:w="1269" w:type="dxa"/>
            <w:tcBorders>
              <w:top w:val="nil"/>
              <w:left w:val="nil"/>
              <w:bottom w:val="nil"/>
              <w:right w:val="nil"/>
            </w:tcBorders>
            <w:shd w:val="clear" w:color="auto" w:fill="auto"/>
            <w:noWrap/>
          </w:tcPr>
          <w:p>
            <w:pPr>
              <w:rPr>
                <w:rFonts w:ascii="Arial" w:hAnsi="Arial"/>
                <w:noProof/>
                <w:sz w:val="16"/>
                <w:szCs w:val="16"/>
                <w:lang w:val="bg-BG"/>
              </w:rPr>
            </w:pPr>
          </w:p>
        </w:tc>
        <w:tc>
          <w:tcPr>
            <w:tcW w:w="3736" w:type="dxa"/>
            <w:tcBorders>
              <w:top w:val="nil"/>
              <w:left w:val="nil"/>
              <w:bottom w:val="nil"/>
              <w:right w:val="nil"/>
            </w:tcBorders>
            <w:shd w:val="clear" w:color="auto" w:fill="auto"/>
            <w:noWrap/>
          </w:tcPr>
          <w:p>
            <w:pPr>
              <w:jc w:val="both"/>
              <w:rPr>
                <w:rFonts w:ascii="Arial" w:hAnsi="Arial"/>
                <w:noProof/>
                <w:sz w:val="16"/>
                <w:szCs w:val="16"/>
                <w:lang w:val="bg-BG"/>
              </w:rPr>
            </w:pPr>
          </w:p>
        </w:tc>
        <w:tc>
          <w:tcPr>
            <w:tcW w:w="2912" w:type="dxa"/>
            <w:tcBorders>
              <w:top w:val="nil"/>
              <w:left w:val="nil"/>
              <w:bottom w:val="nil"/>
              <w:right w:val="nil"/>
            </w:tcBorders>
            <w:shd w:val="clear" w:color="auto" w:fill="auto"/>
            <w:noWrap/>
          </w:tcPr>
          <w:p>
            <w:pPr>
              <w:rPr>
                <w:rFonts w:ascii="Arial" w:hAnsi="Arial"/>
                <w:noProof/>
                <w:sz w:val="16"/>
                <w:szCs w:val="16"/>
                <w:lang w:val="bg-BG"/>
              </w:rPr>
            </w:pPr>
          </w:p>
        </w:tc>
        <w:tc>
          <w:tcPr>
            <w:tcW w:w="2098" w:type="dxa"/>
            <w:tcBorders>
              <w:top w:val="nil"/>
              <w:left w:val="nil"/>
              <w:bottom w:val="nil"/>
              <w:right w:val="nil"/>
            </w:tcBorders>
            <w:shd w:val="clear" w:color="auto" w:fill="auto"/>
            <w:noWrap/>
          </w:tcPr>
          <w:p>
            <w:pPr>
              <w:rPr>
                <w:rFonts w:ascii="Arial" w:hAnsi="Arial"/>
                <w:noProof/>
                <w:sz w:val="16"/>
                <w:szCs w:val="16"/>
                <w:lang w:val="bg-BG"/>
              </w:rPr>
            </w:pPr>
          </w:p>
        </w:tc>
      </w:tr>
      <w:tr>
        <w:trPr>
          <w:trHeight w:val="465"/>
        </w:trPr>
        <w:tc>
          <w:tcPr>
            <w:tcW w:w="1269" w:type="dxa"/>
            <w:tcBorders>
              <w:top w:val="nil"/>
              <w:left w:val="nil"/>
              <w:bottom w:val="nil"/>
              <w:right w:val="nil"/>
            </w:tcBorders>
            <w:shd w:val="clear" w:color="auto" w:fill="auto"/>
            <w:noWrap/>
          </w:tcPr>
          <w:p>
            <w:pPr>
              <w:rPr>
                <w:rFonts w:ascii="Arial" w:hAnsi="Arial"/>
                <w:noProof/>
                <w:sz w:val="16"/>
                <w:szCs w:val="16"/>
                <w:lang w:val="bg-BG" w:eastAsia="ar-SA"/>
              </w:rPr>
            </w:pPr>
            <w:r>
              <w:rPr>
                <w:rFonts w:ascii="Arial" w:hAnsi="Arial"/>
                <w:noProof/>
                <w:sz w:val="16"/>
                <w:szCs w:val="16"/>
                <w:lang w:val="bg-BG" w:eastAsia="ar-SA"/>
              </w:rPr>
              <w:t>Касови финансови активи</w:t>
            </w:r>
          </w:p>
          <w:p>
            <w:pPr>
              <w:rPr>
                <w:rFonts w:ascii="Arial" w:hAnsi="Arial"/>
                <w:noProof/>
                <w:sz w:val="16"/>
                <w:szCs w:val="16"/>
                <w:lang w:val="bg-BG"/>
              </w:rPr>
            </w:pPr>
          </w:p>
        </w:tc>
        <w:tc>
          <w:tcPr>
            <w:tcW w:w="3736" w:type="dxa"/>
            <w:tcBorders>
              <w:top w:val="nil"/>
              <w:left w:val="nil"/>
              <w:bottom w:val="nil"/>
              <w:right w:val="nil"/>
            </w:tcBorders>
            <w:shd w:val="clear" w:color="auto" w:fill="auto"/>
            <w:noWrap/>
          </w:tcPr>
          <w:p>
            <w:pPr>
              <w:rPr>
                <w:rFonts w:ascii="Arial" w:hAnsi="Arial"/>
                <w:noProof/>
                <w:sz w:val="16"/>
                <w:szCs w:val="16"/>
                <w:lang w:val="bg-BG" w:eastAsia="ar-SA"/>
              </w:rPr>
            </w:pPr>
            <w:r>
              <w:rPr>
                <w:rFonts w:ascii="Arial" w:hAnsi="Arial"/>
                <w:noProof/>
                <w:sz w:val="16"/>
                <w:szCs w:val="16"/>
                <w:lang w:val="bg-BG" w:eastAsia="ar-SA"/>
              </w:rPr>
              <w:t>Сконтирани парични потоци.</w:t>
            </w:r>
          </w:p>
        </w:tc>
        <w:tc>
          <w:tcPr>
            <w:tcW w:w="2912" w:type="dxa"/>
            <w:tcBorders>
              <w:top w:val="nil"/>
              <w:left w:val="nil"/>
              <w:bottom w:val="nil"/>
              <w:right w:val="nil"/>
            </w:tcBorders>
            <w:shd w:val="clear" w:color="auto" w:fill="auto"/>
            <w:noWrap/>
          </w:tcPr>
          <w:p>
            <w:pPr>
              <w:rPr>
                <w:rFonts w:ascii="Arial" w:hAnsi="Arial"/>
                <w:noProof/>
                <w:sz w:val="16"/>
                <w:szCs w:val="16"/>
                <w:lang w:val="bg-BG" w:eastAsia="ar-SA"/>
              </w:rPr>
            </w:pPr>
            <w:r>
              <w:rPr>
                <w:rFonts w:ascii="Arial" w:hAnsi="Arial"/>
                <w:noProof/>
                <w:sz w:val="16"/>
                <w:szCs w:val="16"/>
                <w:lang w:val="bg-BG" w:eastAsia="ar-SA"/>
              </w:rPr>
              <w:t>Не е приложимо.</w:t>
            </w:r>
          </w:p>
        </w:tc>
        <w:tc>
          <w:tcPr>
            <w:tcW w:w="2098" w:type="dxa"/>
            <w:tcBorders>
              <w:top w:val="nil"/>
              <w:left w:val="nil"/>
              <w:bottom w:val="nil"/>
              <w:right w:val="nil"/>
            </w:tcBorders>
            <w:shd w:val="clear" w:color="auto" w:fill="auto"/>
            <w:noWrap/>
          </w:tcPr>
          <w:p>
            <w:pPr>
              <w:rPr>
                <w:rFonts w:ascii="Arial" w:hAnsi="Arial"/>
                <w:noProof/>
                <w:sz w:val="16"/>
                <w:szCs w:val="16"/>
                <w:lang w:val="bg-BG" w:eastAsia="ar-SA"/>
              </w:rPr>
            </w:pPr>
            <w:r>
              <w:rPr>
                <w:rFonts w:ascii="Arial" w:hAnsi="Arial"/>
                <w:noProof/>
                <w:sz w:val="16"/>
                <w:szCs w:val="16"/>
                <w:lang w:val="bg-BG" w:eastAsia="ar-SA"/>
              </w:rPr>
              <w:t>Не е приложимо.</w:t>
            </w:r>
          </w:p>
        </w:tc>
      </w:tr>
    </w:tbl>
    <w:p>
      <w:pPr>
        <w:rPr>
          <w:rFonts w:ascii="Arial" w:hAnsi="Arial"/>
          <w:iCs/>
          <w:noProof/>
          <w:sz w:val="16"/>
          <w:szCs w:val="16"/>
          <w:lang w:val="bg-BG" w:eastAsia="ar-SA"/>
        </w:rPr>
      </w:pPr>
    </w:p>
    <w:p>
      <w:pPr>
        <w:suppressAutoHyphens/>
        <w:jc w:val="both"/>
        <w:rPr>
          <w:rFonts w:ascii="Arial" w:hAnsi="Arial"/>
          <w:iCs/>
          <w:noProof/>
          <w:sz w:val="16"/>
          <w:szCs w:val="16"/>
          <w:lang w:val="bg-BG" w:eastAsia="ar-SA"/>
        </w:rPr>
      </w:pPr>
      <w:r>
        <w:rPr>
          <w:rFonts w:ascii="Arial" w:hAnsi="Arial"/>
          <w:iCs/>
          <w:noProof/>
          <w:sz w:val="16"/>
          <w:szCs w:val="16"/>
          <w:lang w:val="bg-BG" w:eastAsia="ar-SA"/>
        </w:rPr>
        <w:t>С прилагането на МСФО 13 корекциите на оценката са включени в справедливата стойност на дериватите към 31 декември 2019 г. и 31 декември 2018 г., а именно:</w:t>
      </w:r>
    </w:p>
    <w:p>
      <w:pPr>
        <w:suppressAutoHyphens/>
        <w:spacing w:before="60"/>
        <w:jc w:val="both"/>
        <w:rPr>
          <w:rFonts w:ascii="Arial" w:hAnsi="Arial"/>
          <w:iCs/>
          <w:noProof/>
          <w:sz w:val="16"/>
          <w:szCs w:val="16"/>
          <w:lang w:val="bg-BG" w:eastAsia="ar-SA"/>
        </w:rPr>
      </w:pPr>
    </w:p>
    <w:p>
      <w:pPr>
        <w:numPr>
          <w:ilvl w:val="0"/>
          <w:numId w:val="105"/>
        </w:numPr>
        <w:suppressAutoHyphens/>
        <w:contextualSpacing/>
        <w:jc w:val="both"/>
        <w:rPr>
          <w:rFonts w:ascii="Arial" w:hAnsi="Arial"/>
          <w:iCs/>
          <w:noProof/>
          <w:sz w:val="16"/>
          <w:szCs w:val="16"/>
          <w:lang w:val="bg-BG" w:eastAsia="ar-SA"/>
        </w:rPr>
      </w:pPr>
      <w:r>
        <w:rPr>
          <w:rFonts w:ascii="Arial" w:hAnsi="Arial"/>
          <w:iCs/>
          <w:noProof/>
          <w:sz w:val="16"/>
          <w:szCs w:val="16"/>
          <w:lang w:val="bg-BG" w:eastAsia="ar-SA"/>
        </w:rPr>
        <w:t xml:space="preserve">Корекции на кредитната оценка, отразяващи кредитния риск от контрагента по сделките с деривати, в размер на -32,8 хиляди евро към 31 декември 2019 г. и -37,4 хиляди евро към 31 декември 2018 г. </w:t>
      </w:r>
    </w:p>
    <w:p>
      <w:pPr>
        <w:numPr>
          <w:ilvl w:val="0"/>
          <w:numId w:val="105"/>
        </w:numPr>
        <w:suppressAutoHyphens/>
        <w:contextualSpacing/>
        <w:jc w:val="both"/>
        <w:rPr>
          <w:rFonts w:ascii="Arial" w:hAnsi="Arial"/>
          <w:iCs/>
          <w:noProof/>
          <w:sz w:val="16"/>
          <w:szCs w:val="16"/>
          <w:lang w:val="bg-BG" w:eastAsia="ar-SA"/>
        </w:rPr>
      </w:pPr>
      <w:r>
        <w:rPr>
          <w:rFonts w:ascii="Arial" w:hAnsi="Arial"/>
          <w:iCs/>
          <w:noProof/>
          <w:sz w:val="16"/>
          <w:szCs w:val="16"/>
          <w:lang w:val="bg-BG" w:eastAsia="ar-SA"/>
        </w:rPr>
        <w:t xml:space="preserve">Корекции на дебитната оценка, отразяващи собствения кредитен риск по сделките с деривати, в размер на +28,7 хиляди евро към 31 декември 2019 г. и +15,1 хиляди евро към 31 декември 2018 г. </w:t>
      </w:r>
    </w:p>
    <w:p>
      <w:pPr>
        <w:suppressAutoHyphens/>
        <w:spacing w:before="60" w:after="60"/>
        <w:rPr>
          <w:rFonts w:ascii="Arial" w:hAnsi="Arial"/>
          <w:noProof/>
          <w:sz w:val="16"/>
          <w:szCs w:val="16"/>
          <w:lang w:val="bg-BG" w:eastAsia="ar-SA"/>
        </w:rPr>
      </w:pPr>
      <w:r>
        <w:rPr>
          <w:noProof/>
          <w:lang w:val="bg-BG" w:eastAsia="ar-SA"/>
        </w:rPr>
        <w:t xml:space="preserve"> </w:t>
      </w:r>
    </w:p>
    <w:p>
      <w:pPr>
        <w:numPr>
          <w:ilvl w:val="2"/>
          <w:numId w:val="103"/>
        </w:numPr>
        <w:tabs>
          <w:tab w:val="right" w:pos="-2700"/>
        </w:tabs>
        <w:suppressAutoHyphens/>
        <w:ind w:left="851" w:hanging="851"/>
        <w:jc w:val="both"/>
        <w:rPr>
          <w:rFonts w:ascii="Arial" w:hAnsi="Arial"/>
          <w:b/>
          <w:noProof/>
          <w:sz w:val="16"/>
          <w:szCs w:val="16"/>
          <w:lang w:val="bg-BG" w:eastAsia="ar-SA"/>
        </w:rPr>
      </w:pPr>
      <w:r>
        <w:rPr>
          <w:rFonts w:ascii="Arial" w:hAnsi="Arial"/>
          <w:b/>
          <w:noProof/>
          <w:sz w:val="16"/>
          <w:szCs w:val="16"/>
          <w:lang w:val="bg-BG" w:eastAsia="ar-SA"/>
        </w:rPr>
        <w:t>Трансфери между ниво 1 и 2</w:t>
      </w:r>
    </w:p>
    <w:p>
      <w:pPr>
        <w:suppressAutoHyphens/>
        <w:spacing w:after="60"/>
        <w:jc w:val="both"/>
        <w:rPr>
          <w:rFonts w:ascii="Arial" w:hAnsi="Arial"/>
          <w:iCs/>
          <w:noProof/>
          <w:sz w:val="16"/>
          <w:szCs w:val="16"/>
          <w:lang w:val="bg-BG" w:eastAsia="ar-SA"/>
        </w:rPr>
      </w:pPr>
    </w:p>
    <w:p>
      <w:pPr>
        <w:suppressAutoHyphens/>
        <w:jc w:val="both"/>
        <w:rPr>
          <w:rFonts w:ascii="Arial" w:hAnsi="Arial"/>
          <w:iCs/>
          <w:noProof/>
          <w:sz w:val="16"/>
          <w:szCs w:val="16"/>
          <w:lang w:val="bg-BG" w:eastAsia="ar-SA"/>
        </w:rPr>
      </w:pPr>
      <w:r>
        <w:rPr>
          <w:rFonts w:ascii="Arial" w:hAnsi="Arial"/>
          <w:iCs/>
          <w:noProof/>
          <w:sz w:val="16"/>
          <w:szCs w:val="16"/>
          <w:lang w:val="bg-BG" w:eastAsia="ar-SA"/>
        </w:rPr>
        <w:t>Политиката на механизма е да признае прехвърляне между нива от датата на събитието или изменението на обстоятелствата, породили прехвърлянето.</w:t>
      </w:r>
    </w:p>
    <w:p>
      <w:pPr>
        <w:suppressAutoHyphens/>
        <w:spacing w:before="60" w:after="60"/>
        <w:jc w:val="both"/>
        <w:rPr>
          <w:rFonts w:ascii="Arial" w:hAnsi="Arial"/>
          <w:iCs/>
          <w:noProof/>
          <w:sz w:val="16"/>
          <w:szCs w:val="16"/>
          <w:lang w:val="bg-BG" w:eastAsia="ar-SA"/>
        </w:rPr>
      </w:pPr>
    </w:p>
    <w:p>
      <w:pPr>
        <w:suppressAutoHyphens/>
        <w:jc w:val="both"/>
        <w:rPr>
          <w:rFonts w:ascii="Arial" w:hAnsi="Arial"/>
          <w:iCs/>
          <w:noProof/>
          <w:sz w:val="16"/>
          <w:szCs w:val="16"/>
          <w:lang w:val="bg-BG" w:eastAsia="ar-SA"/>
        </w:rPr>
      </w:pPr>
      <w:r>
        <w:rPr>
          <w:rFonts w:ascii="Arial" w:hAnsi="Arial"/>
          <w:iCs/>
          <w:noProof/>
          <w:sz w:val="16"/>
          <w:szCs w:val="16"/>
          <w:lang w:val="bg-BG" w:eastAsia="ar-SA"/>
        </w:rPr>
        <w:t>През 2019 г. и 2018 г. механизмът не е извършвал трансфери от ниво 1 към ниво 2 или от ниво 2 към ниво 1 от йерархията на справедливите стойности.</w:t>
      </w:r>
    </w:p>
    <w:p>
      <w:pPr>
        <w:suppressAutoHyphens/>
        <w:spacing w:before="60" w:after="60"/>
        <w:rPr>
          <w:rFonts w:ascii="Arial" w:hAnsi="Arial"/>
          <w:noProof/>
          <w:sz w:val="16"/>
          <w:szCs w:val="16"/>
          <w:lang w:val="bg-BG" w:eastAsia="ar-SA"/>
        </w:rPr>
      </w:pPr>
    </w:p>
    <w:p>
      <w:pPr>
        <w:rPr>
          <w:rFonts w:ascii="Arial" w:hAnsi="Arial"/>
          <w:b/>
          <w:noProof/>
          <w:sz w:val="16"/>
          <w:lang w:val="bg-BG"/>
        </w:rPr>
      </w:pPr>
      <w:r>
        <w:rPr>
          <w:noProof/>
          <w:lang w:val="bg-BG"/>
        </w:rPr>
        <w:br w:type="page"/>
      </w:r>
    </w:p>
    <w:p>
      <w:pPr>
        <w:numPr>
          <w:ilvl w:val="2"/>
          <w:numId w:val="103"/>
        </w:numPr>
        <w:tabs>
          <w:tab w:val="right" w:pos="-2700"/>
        </w:tabs>
        <w:suppressAutoHyphens/>
        <w:ind w:left="851" w:hanging="851"/>
        <w:jc w:val="both"/>
        <w:rPr>
          <w:rFonts w:ascii="Arial" w:hAnsi="Arial"/>
          <w:b/>
          <w:noProof/>
          <w:sz w:val="16"/>
          <w:szCs w:val="16"/>
          <w:lang w:val="bg-BG" w:eastAsia="ar-SA"/>
        </w:rPr>
      </w:pPr>
      <w:r>
        <w:rPr>
          <w:rFonts w:ascii="Arial" w:hAnsi="Arial"/>
          <w:b/>
          <w:noProof/>
          <w:sz w:val="16"/>
          <w:szCs w:val="16"/>
          <w:lang w:val="bg-BG" w:eastAsia="ar-SA"/>
        </w:rPr>
        <w:t>Ниво 3 справедливи стойности</w:t>
      </w:r>
    </w:p>
    <w:p>
      <w:pPr>
        <w:suppressAutoHyphens/>
        <w:spacing w:after="60"/>
        <w:rPr>
          <w:rFonts w:ascii="Arial" w:hAnsi="Arial"/>
          <w:noProof/>
          <w:sz w:val="16"/>
          <w:szCs w:val="16"/>
          <w:lang w:val="bg-BG" w:eastAsia="ar-SA"/>
        </w:rPr>
      </w:pPr>
    </w:p>
    <w:p>
      <w:pPr>
        <w:suppressAutoHyphens/>
        <w:rPr>
          <w:rFonts w:ascii="Arial" w:hAnsi="Arial"/>
          <w:b/>
          <w:bCs/>
          <w:noProof/>
          <w:sz w:val="16"/>
          <w:szCs w:val="16"/>
          <w:lang w:val="bg-BG" w:eastAsia="ar-SA"/>
        </w:rPr>
      </w:pPr>
      <w:r>
        <w:rPr>
          <w:rFonts w:ascii="Arial" w:hAnsi="Arial"/>
          <w:b/>
          <w:bCs/>
          <w:noProof/>
          <w:sz w:val="16"/>
          <w:szCs w:val="16"/>
          <w:lang w:val="bg-BG" w:eastAsia="ar-SA"/>
        </w:rPr>
        <w:t>Равнение на справедливите стойности на ниво 3</w:t>
      </w:r>
    </w:p>
    <w:p>
      <w:pPr>
        <w:suppressAutoHyphens/>
        <w:rPr>
          <w:rFonts w:ascii="Arial" w:hAnsi="Arial"/>
          <w:b/>
          <w:bCs/>
          <w:noProof/>
          <w:sz w:val="16"/>
          <w:szCs w:val="16"/>
          <w:lang w:val="bg-BG"/>
        </w:rPr>
      </w:pPr>
    </w:p>
    <w:p>
      <w:pPr>
        <w:suppressAutoHyphens/>
        <w:spacing w:before="60" w:after="60"/>
        <w:rPr>
          <w:rFonts w:ascii="Arial" w:hAnsi="Arial"/>
          <w:noProof/>
          <w:sz w:val="16"/>
          <w:szCs w:val="16"/>
          <w:lang w:val="bg-BG" w:eastAsia="ar-SA"/>
        </w:rPr>
      </w:pPr>
      <w:r>
        <w:rPr>
          <w:rFonts w:ascii="Arial" w:hAnsi="Arial"/>
          <w:noProof/>
          <w:sz w:val="16"/>
          <w:szCs w:val="16"/>
          <w:lang w:val="bg-BG" w:eastAsia="ar-SA"/>
        </w:rPr>
        <w:t>Следните таблици представят промените в инструментите от ниво 3 за годината, приключила на 31 декември 2019 г. и 31 декември 2018 г.:</w:t>
      </w:r>
    </w:p>
    <w:p>
      <w:pPr>
        <w:suppressAutoHyphens/>
        <w:spacing w:after="60"/>
        <w:rPr>
          <w:rFonts w:ascii="Arial" w:hAnsi="Arial"/>
          <w:noProof/>
          <w:sz w:val="16"/>
          <w:szCs w:val="16"/>
          <w:lang w:val="bg-BG" w:eastAsia="ar-SA"/>
        </w:rPr>
      </w:pPr>
      <w:r>
        <w:rPr>
          <w:noProof/>
          <w:lang w:val="bg-BG" w:eastAsia="ar-SA"/>
        </w:rPr>
        <w:t xml:space="preserve"> </w:t>
      </w:r>
    </w:p>
    <w:tbl>
      <w:tblPr>
        <w:tblStyle w:val="CDMRange112"/>
        <w:tblW w:w="9975" w:type="dxa"/>
        <w:tblLayout w:type="fixed"/>
        <w:tblLook w:val="0600" w:firstRow="0" w:lastRow="0" w:firstColumn="0" w:lastColumn="0" w:noHBand="1" w:noVBand="1"/>
      </w:tblPr>
      <w:tblGrid>
        <w:gridCol w:w="8475"/>
        <w:gridCol w:w="1500"/>
      </w:tblGrid>
      <w:tr>
        <w:trPr>
          <w:trHeight w:val="675"/>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Акции и други ценни книжа с променлива доходност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1 януари 2019 г.</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550,617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Печалби или загуби, включени в печалбата или загубата:</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нетeн реализиран резултат от акции и други ценни книжа с променлива доходност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 нетна промяна в справедливата стойност на акции и други ценни книжа с променлива доходност </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17,666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19,374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106,943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Възстановявания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-79,435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31 декември 2019 г.</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604,311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8475"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Акции и други ценни книжа с променлива доходност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1 януари 2018 г.</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473,081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Печалби или загуби, включени в печалбата или загубата:</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нетeн реализиран резултат от акции и други ценни книжа с променлива доходност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-10,622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нетна промяна в справедливата стойност на акции и други ценни книжа с променлива доходност</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-13,411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-24,033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Възстановявания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31 декември 2018 г.</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550,617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475" w:type="dxa"/>
            <w:tcBorders>
              <w:top w:val="nil"/>
              <w:left w:val="nil"/>
              <w:bottom w:val="nil"/>
              <w:right w:val="nil"/>
              <w:tl2br w:val="nil"/>
              <w:tr2bl w:val="nil"/>
            </w:tcBorders>
            <w:shd w:val="clear" w:color="auto" w:fill="auto"/>
            <w:noWrap/>
            <w:tcMar>
              <w:left w:w="0" w:type="dxa"/>
              <w:right w:w="0" w:type="dxa"/>
            </w:tcMar>
            <w:vAlign w:val="center"/>
          </w:tcPr>
          <w:p>
            <w:pPr>
              <w:rPr>
                <w:rFonts w:ascii="Arial" w:eastAsia="Calibri" w:hAnsi="Arial"/>
                <w:noProof/>
                <w:color w:val="000000"/>
                <w:sz w:val="16"/>
                <w:lang w:val="bg-BG"/>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rPr>
                <w:rFonts w:ascii="Calibri" w:eastAsia="Calibri" w:hAnsi="Calibri" w:cs="Calibri"/>
                <w:noProof/>
                <w:color w:val="000000"/>
                <w:sz w:val="22"/>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91"/>
        </w:trPr>
        <w:tc>
          <w:tcPr>
            <w:tcW w:w="8475" w:type="dxa"/>
            <w:tcBorders>
              <w:top w:val="nil"/>
              <w:left w:val="nil"/>
              <w:bottom w:val="nil"/>
              <w:right w:val="nil"/>
              <w:tl2br w:val="nil"/>
              <w:tr2bl w:val="nil"/>
            </w:tcBorders>
            <w:shd w:val="clear" w:color="auto" w:fill="auto"/>
            <w:noWrap/>
            <w:tcMar>
              <w:left w:w="40" w:type="dxa"/>
              <w:right w:w="40" w:type="dxa"/>
            </w:tcMar>
            <w:vAlign w:val="center"/>
          </w:tcPr>
          <w:p>
            <w:pPr>
              <w:jc w:val="both"/>
              <w:rPr>
                <w:rFonts w:ascii="Arial" w:eastAsia="Arial" w:hAnsi="Arial" w:cs="Arial"/>
                <w:noProof/>
                <w:color w:val="000000"/>
                <w:sz w:val="16"/>
                <w:lang w:val="bg-BG"/>
              </w:rPr>
            </w:pPr>
            <w:r>
              <w:rPr>
                <w:rFonts w:ascii="Arial" w:hAnsi="Arial"/>
                <w:noProof/>
                <w:color w:val="000000"/>
                <w:sz w:val="16"/>
                <w:lang w:val="bg-BG"/>
              </w:rPr>
              <w:t>През 2019 г. и 2018 г. механизмът не е извършвал трансфери от или към ниво 3 от йерархията на справедливите стойности.</w:t>
            </w: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rPr>
                <w:rFonts w:ascii="Calibri" w:eastAsia="Calibri" w:hAnsi="Calibri" w:cs="Calibri"/>
                <w:noProof/>
                <w:color w:val="000000"/>
                <w:sz w:val="22"/>
                <w:lang w:val="bg-BG"/>
              </w:rPr>
            </w:pPr>
          </w:p>
        </w:tc>
      </w:tr>
    </w:tbl>
    <w:p>
      <w:pPr>
        <w:pBdr>
          <w:top w:val="nil"/>
          <w:left w:val="nil"/>
          <w:bottom w:val="nil"/>
          <w:right w:val="nil"/>
          <w:between w:val="nil"/>
          <w:bar w:val="nil"/>
        </w:pBdr>
        <w:rPr>
          <w:noProof/>
          <w:bdr w:val="nil"/>
        </w:rPr>
      </w:pPr>
    </w:p>
    <w:p>
      <w:pPr>
        <w:rPr>
          <w:rFonts w:ascii="Arial" w:hAnsi="Arial"/>
          <w:b/>
          <w:noProof/>
          <w:sz w:val="20"/>
          <w:bdr w:val="nil"/>
          <w:lang w:val="bg-BG"/>
        </w:rPr>
      </w:pPr>
      <w:r>
        <w:rPr>
          <w:noProof/>
          <w:lang w:val="bg-BG"/>
        </w:rPr>
        <w:br w:type="page"/>
      </w:r>
    </w:p>
    <w:p>
      <w:pPr>
        <w:pBdr>
          <w:top w:val="nil"/>
          <w:left w:val="nil"/>
          <w:bottom w:val="nil"/>
          <w:right w:val="nil"/>
          <w:between w:val="nil"/>
          <w:bar w:val="nil"/>
        </w:pBdr>
        <w:spacing w:after="120"/>
        <w:rPr>
          <w:noProof/>
          <w:bdr w:val="nil"/>
          <w:lang w:val="bg-BG"/>
        </w:rPr>
      </w:pPr>
      <w:r>
        <w:rPr>
          <w:rFonts w:ascii="Arial" w:hAnsi="Arial"/>
          <w:b/>
          <w:noProof/>
          <w:sz w:val="20"/>
          <w:bdr w:val="nil"/>
          <w:lang w:val="bg-BG"/>
        </w:rPr>
        <w:t>5</w:t>
      </w:r>
      <w:r>
        <w:rPr>
          <w:rFonts w:ascii="Arial" w:hAnsi="Arial"/>
          <w:b/>
          <w:noProof/>
          <w:sz w:val="20"/>
          <w:bdr w:val="nil"/>
          <w:lang w:val="bg-BG"/>
        </w:rPr>
        <w:tab/>
        <w:t>Пари и парични еквиваленти</w:t>
      </w:r>
    </w:p>
    <w:p>
      <w:pPr>
        <w:pBdr>
          <w:top w:val="nil"/>
          <w:left w:val="nil"/>
          <w:bottom w:val="nil"/>
          <w:right w:val="nil"/>
          <w:between w:val="nil"/>
          <w:bar w:val="nil"/>
        </w:pBdr>
        <w:spacing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szCs w:val="16"/>
          <w:bdr w:val="nil"/>
          <w:lang w:val="bg-BG"/>
        </w:rPr>
        <w:t>Парите и паричните еквиваленти се състоят от:</w:t>
      </w:r>
    </w:p>
    <w:p>
      <w:pPr>
        <w:pBdr>
          <w:top w:val="nil"/>
          <w:left w:val="nil"/>
          <w:bottom w:val="nil"/>
          <w:right w:val="nil"/>
          <w:between w:val="nil"/>
          <w:bar w:val="nil"/>
        </w:pBdr>
        <w:spacing w:before="60" w:after="60"/>
        <w:jc w:val="both"/>
        <w:rPr>
          <w:rFonts w:ascii="Arial" w:hAnsi="Arial"/>
          <w:noProof/>
          <w:sz w:val="16"/>
          <w:szCs w:val="16"/>
          <w:bdr w:val="nil"/>
          <w:lang w:val="bg-BG"/>
        </w:rPr>
      </w:pPr>
      <w:r>
        <w:rPr>
          <w:noProof/>
          <w:lang w:val="bg-BG"/>
        </w:rPr>
        <w:t xml:space="preserve"> </w:t>
      </w:r>
    </w:p>
    <w:tbl>
      <w:tblPr>
        <w:tblStyle w:val="CDMRange212"/>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Касова наличност</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72,166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51,936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Срочни депозити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622,991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521,882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Търговски ценни книжа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142,823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Пари и парични еквиваленти в отчета за паричните потоци</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837,980</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573,818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Начислена лихва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Пари и парични еквиваленти в отчета за финансовото състояние</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837,777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573,708</w:t>
            </w:r>
          </w:p>
        </w:tc>
      </w:tr>
    </w:tbl>
    <w:p>
      <w:pPr>
        <w:numPr>
          <w:ilvl w:val="0"/>
          <w:numId w:val="108"/>
        </w:numPr>
        <w:pBdr>
          <w:top w:val="nil"/>
          <w:left w:val="nil"/>
          <w:bottom w:val="nil"/>
          <w:right w:val="nil"/>
          <w:between w:val="nil"/>
          <w:bar w:val="nil"/>
        </w:pBdr>
        <w:tabs>
          <w:tab w:val="center" w:pos="4320"/>
          <w:tab w:val="right" w:pos="8640"/>
        </w:tabs>
        <w:suppressAutoHyphens/>
        <w:spacing w:before="60" w:after="60"/>
        <w:ind w:left="431" w:hanging="431"/>
        <w:jc w:val="both"/>
        <w:rPr>
          <w:rFonts w:ascii="Arial" w:hAnsi="Arial"/>
          <w:b/>
          <w:noProof/>
          <w:sz w:val="16"/>
          <w:szCs w:val="16"/>
          <w:bdr w:val="nil"/>
          <w:lang w:eastAsia="ar-SA"/>
        </w:rPr>
      </w:pPr>
    </w:p>
    <w:p>
      <w:pPr>
        <w:numPr>
          <w:ilvl w:val="0"/>
          <w:numId w:val="108"/>
        </w:num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lang w:val="bg-BG" w:eastAsia="ar-SA"/>
        </w:rPr>
      </w:pPr>
      <w:r>
        <w:rPr>
          <w:rFonts w:ascii="Arial" w:hAnsi="Arial"/>
          <w:b/>
          <w:noProof/>
          <w:sz w:val="20"/>
          <w:bdr w:val="nil"/>
          <w:lang w:val="bg-BG" w:eastAsia="ar-SA"/>
        </w:rPr>
        <w:t>6</w:t>
      </w:r>
      <w:r>
        <w:rPr>
          <w:rFonts w:ascii="Arial" w:hAnsi="Arial"/>
          <w:b/>
          <w:noProof/>
          <w:sz w:val="20"/>
          <w:bdr w:val="nil"/>
          <w:lang w:val="bg-BG" w:eastAsia="ar-SA"/>
        </w:rPr>
        <w:tab/>
        <w:t xml:space="preserve">Дериватни финансови инструменти </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szCs w:val="16"/>
          <w:bdr w:val="nil"/>
          <w:lang w:val="bg-BG"/>
        </w:rPr>
        <w:t>Основните компоненти на дериватните финансови инструменти, класифицирани като държани за търгуване, са както следва:</w:t>
      </w:r>
    </w:p>
    <w:p>
      <w:pPr>
        <w:pBdr>
          <w:top w:val="nil"/>
          <w:left w:val="nil"/>
          <w:bottom w:val="nil"/>
          <w:right w:val="nil"/>
          <w:between w:val="nil"/>
          <w:bar w:val="nil"/>
        </w:pBdr>
        <w:spacing w:before="60" w:after="60"/>
        <w:jc w:val="both"/>
        <w:rPr>
          <w:rFonts w:ascii="Arial" w:hAnsi="Arial"/>
          <w:noProof/>
          <w:sz w:val="16"/>
          <w:szCs w:val="16"/>
          <w:bdr w:val="nil"/>
          <w:lang w:val="bg-BG"/>
        </w:rPr>
      </w:pPr>
      <w:r>
        <w:rPr>
          <w:noProof/>
          <w:lang w:val="bg-BG"/>
        </w:rPr>
        <w:t xml:space="preserve"> </w:t>
      </w:r>
    </w:p>
    <w:tbl>
      <w:tblPr>
        <w:tblStyle w:val="CDMRange113"/>
        <w:tblW w:w="9975" w:type="dxa"/>
        <w:tblLayout w:type="fixed"/>
        <w:tblLook w:val="0600" w:firstRow="0" w:lastRow="0" w:firstColumn="0" w:lastColumn="0" w:noHBand="1" w:noVBand="1"/>
      </w:tblPr>
      <w:tblGrid>
        <w:gridCol w:w="5475"/>
        <w:gridCol w:w="1500"/>
        <w:gridCol w:w="1500"/>
        <w:gridCol w:w="1500"/>
      </w:tblGrid>
      <w:tr>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2019 г.</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Справедлива стойност</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Условна стойност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Активи</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Пасиви</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Кръстосани валутни суапове</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24,181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Валутни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1,545,000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дериватни финансови инструменти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14,184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1,569,181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54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Към 31 декември 2018 г.</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Справедлива стойност</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center"/>
              <w:rPr>
                <w:rFonts w:ascii="Arial" w:eastAsia="Arial" w:hAnsi="Arial" w:cs="Arial"/>
                <w:b/>
                <w:noProof/>
                <w:color w:val="000000"/>
                <w:sz w:val="16"/>
                <w:lang w:val="bg-BG"/>
              </w:rPr>
            </w:pPr>
            <w:r>
              <w:rPr>
                <w:rFonts w:ascii="Arial" w:hAnsi="Arial"/>
                <w:b/>
                <w:noProof/>
                <w:color w:val="000000"/>
                <w:sz w:val="16"/>
                <w:lang w:val="bg-BG"/>
              </w:rPr>
              <w:t>Условна стойност</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Активи</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Пасиви</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jc w:val="center"/>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Кръстосани валутно-лихвени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Валутни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8,879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-7,828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1,460,608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дериватни финансови инструменти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9,873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-8,493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1,494,323</w:t>
            </w:r>
          </w:p>
        </w:tc>
      </w:tr>
    </w:tbl>
    <w:p>
      <w:pPr>
        <w:pageBreakBefore/>
        <w:tabs>
          <w:tab w:val="center" w:pos="4320"/>
          <w:tab w:val="right" w:pos="8640"/>
        </w:tabs>
        <w:suppressAutoHyphens/>
        <w:spacing w:before="120" w:after="120"/>
        <w:ind w:left="431" w:hanging="431"/>
        <w:jc w:val="both"/>
        <w:rPr>
          <w:rFonts w:ascii="Arial" w:hAnsi="Arial"/>
          <w:b/>
          <w:noProof/>
          <w:sz w:val="20"/>
          <w:lang w:val="bg-BG" w:eastAsia="ar-SA"/>
        </w:rPr>
      </w:pPr>
      <w:r>
        <w:rPr>
          <w:rFonts w:ascii="Arial" w:hAnsi="Arial"/>
          <w:b/>
          <w:noProof/>
          <w:sz w:val="20"/>
          <w:lang w:val="bg-BG" w:eastAsia="ar-SA"/>
        </w:rPr>
        <w:t>7</w:t>
      </w:r>
      <w:r>
        <w:rPr>
          <w:rFonts w:ascii="Arial" w:hAnsi="Arial"/>
          <w:b/>
          <w:noProof/>
          <w:sz w:val="20"/>
          <w:lang w:val="bg-BG" w:eastAsia="ar-SA"/>
        </w:rPr>
        <w:tab/>
        <w:t>Заеми и аванси</w:t>
      </w:r>
    </w:p>
    <w:p>
      <w:pPr>
        <w:numPr>
          <w:ilvl w:val="0"/>
          <w:numId w:val="107"/>
        </w:numPr>
        <w:spacing w:before="60" w:after="60"/>
        <w:ind w:left="360"/>
        <w:contextualSpacing/>
        <w:jc w:val="both"/>
        <w:rPr>
          <w:rFonts w:ascii="Arial" w:hAnsi="Arial"/>
          <w:noProof/>
          <w:sz w:val="16"/>
          <w:szCs w:val="16"/>
          <w:bdr w:val="none" w:sz="0" w:space="0" w:color="auto" w:frame="1"/>
          <w:lang w:val="bg-BG" w:eastAsia="ar-SA"/>
        </w:rPr>
      </w:pPr>
      <w:r>
        <w:rPr>
          <w:rFonts w:ascii="Arial" w:hAnsi="Arial"/>
          <w:b/>
          <w:noProof/>
          <w:sz w:val="20"/>
          <w:bdr w:val="none" w:sz="0" w:space="0" w:color="auto" w:frame="1"/>
          <w:lang w:val="bg-BG" w:eastAsia="ar-SA"/>
        </w:rPr>
        <w:t>Заеми и аванси</w:t>
      </w:r>
    </w:p>
    <w:p>
      <w:pPr>
        <w:spacing w:before="60" w:after="60"/>
        <w:ind w:left="360"/>
        <w:contextualSpacing/>
        <w:jc w:val="both"/>
        <w:rPr>
          <w:rFonts w:ascii="Arial" w:hAnsi="Arial"/>
          <w:noProof/>
          <w:sz w:val="16"/>
          <w:szCs w:val="16"/>
          <w:bdr w:val="none" w:sz="0" w:space="0" w:color="auto" w:frame="1"/>
          <w:lang w:val="bg-BG" w:eastAsia="ar-SA"/>
        </w:rPr>
      </w:pPr>
    </w:p>
    <w:p>
      <w:pPr>
        <w:spacing w:before="60" w:after="60"/>
        <w:jc w:val="both"/>
        <w:rPr>
          <w:rFonts w:ascii="Arial" w:hAnsi="Arial"/>
          <w:noProof/>
          <w:sz w:val="16"/>
          <w:szCs w:val="16"/>
          <w:lang w:val="bg-BG" w:eastAsia="ar-SA"/>
        </w:rPr>
      </w:pPr>
      <w:r>
        <w:rPr>
          <w:rFonts w:ascii="Arial" w:hAnsi="Arial"/>
          <w:noProof/>
          <w:sz w:val="16"/>
          <w:szCs w:val="16"/>
          <w:bdr w:val="none" w:sz="0" w:space="0" w:color="auto" w:frame="1"/>
          <w:lang w:val="bg-BG" w:eastAsia="ar-SA"/>
        </w:rPr>
        <w:t xml:space="preserve">Следната таблица показва равнение от началното до крайното салдо на заемите и авансите по модела на обезценка на ОКЗ съгласно МСФО 9. </w:t>
      </w:r>
    </w:p>
    <w:p>
      <w:pPr>
        <w:spacing w:before="60" w:after="60"/>
        <w:jc w:val="both"/>
        <w:rPr>
          <w:rFonts w:ascii="Arial" w:hAnsi="Arial"/>
          <w:noProof/>
          <w:sz w:val="16"/>
          <w:szCs w:val="16"/>
          <w:lang w:val="bg-BG" w:eastAsia="ar-SA"/>
        </w:rPr>
      </w:pPr>
      <w:r>
        <w:rPr>
          <w:noProof/>
          <w:lang w:val="bg-BG" w:eastAsia="ar-SA"/>
        </w:rPr>
        <w:t xml:space="preserve"> </w:t>
      </w:r>
    </w:p>
    <w:tbl>
      <w:tblPr>
        <w:tblStyle w:val="CDMRange213"/>
        <w:tblW w:w="5000" w:type="pct"/>
        <w:tblLayout w:type="fixed"/>
        <w:tblLook w:val="0600" w:firstRow="0" w:lastRow="0" w:firstColumn="0" w:lastColumn="0" w:noHBand="1" w:noVBand="1"/>
      </w:tblPr>
      <w:tblGrid>
        <w:gridCol w:w="4676"/>
        <w:gridCol w:w="1009"/>
        <w:gridCol w:w="1104"/>
        <w:gridCol w:w="1155"/>
        <w:gridCol w:w="768"/>
        <w:gridCol w:w="1007"/>
      </w:tblGrid>
      <w:tr>
        <w:trPr>
          <w:trHeight w:val="420"/>
        </w:trPr>
        <w:tc>
          <w:tcPr>
            <w:tcW w:w="240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Общи заеми*</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Привилегировани заеми</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Подчинени заеми</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POCI</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Номинална стойност на заемите по АС към 1 януари 2019 г.</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1,051,317</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593,324</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60,717</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3,588</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1,708,946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164,308</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123,416</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287,724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Отписани задължения</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-278</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Възстановявания</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-206,517</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-113,100</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-34,496</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-354,113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Продажба на заеми</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-2,591</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на бизнес модела (ПСОФ)**</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-10,062</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-3,588</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15,041</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4,064</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1,493</w:t>
            </w:r>
          </w:p>
        </w:tc>
        <w:tc>
          <w:tcPr>
            <w:tcW w:w="395"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20,598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Номинална стойност на заемите по АС към 31 декември 2019 г.</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1,021,556</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597,364</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27,714</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1,646,634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40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6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9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39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 коректив за загуби към 1 януари 2019 г.</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-103,868</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-49,609</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-29,360</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-1,794</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-184,631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Нетни промени в 12-месечните ОКЗ </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5,164</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Нетни промени в ОКЗ през целия жизнен цикъл без кредитна обезценка</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-15,558</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2,559</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2,205</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-10,794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ОКЗ през целия жизнен цикъл с кредитна обезценка</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-4,397</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-47</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Корекция на ОКЗ през целия жизнен цикъл с кредитна обезценка </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21,811</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5,592</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27,403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Продажба на заеми</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2,591</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на бизнес модела (ПСОФ)**</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5,031</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1,794</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Отписани задължения</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278</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-1,911</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-368</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-559</w:t>
            </w:r>
          </w:p>
        </w:tc>
        <w:tc>
          <w:tcPr>
            <w:tcW w:w="395"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 коректив за загуби към 31 декември 2019 г.</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-96,166</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-36,650</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-27,714</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-160,530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568"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594"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95"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аванси по АС към 31 декември 2019 г.</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925,390</w:t>
            </w:r>
          </w:p>
        </w:tc>
        <w:tc>
          <w:tcPr>
            <w:tcW w:w="568"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560,714</w:t>
            </w:r>
          </w:p>
        </w:tc>
        <w:tc>
          <w:tcPr>
            <w:tcW w:w="594"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395"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1,486,104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406" w:type="pct"/>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19"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568" w:type="pct"/>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94" w:type="pct"/>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395" w:type="pct"/>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19" w:type="pct"/>
            <w:tcBorders>
              <w:top w:val="nil"/>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Номинална стойност на заемите по FVTPL към 1 януари 2019 г.</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1,800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23,461</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23,461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на бизнес модела (ПСОФ)**</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13,650</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Възстановявания</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-720</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-245</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Отписани задължения</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Номинална стойност на заемите по FVTPL към 31 декември 2019 г.</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36,858</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37,938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56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59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9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Корекция на справедливата стойност към 1 януари 2019 г.</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Нетна промяна на справедливата стойност</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-8,331</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на бизнес модела (ПСОФ)**</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-6,825</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-6,825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Корекция на справедливата стойност към 31 декември 2019 г.</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-15,156</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-16,236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568"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594"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395"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аванси по FVTPL към 31 декември 2019 г.</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68"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21,702</w:t>
            </w:r>
          </w:p>
        </w:tc>
        <w:tc>
          <w:tcPr>
            <w:tcW w:w="594"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395"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21,702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Амортизирана стойност</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-3,545</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-4,950</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Лихва</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10,451</w:t>
            </w:r>
          </w:p>
        </w:tc>
        <w:tc>
          <w:tcPr>
            <w:tcW w:w="568"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8,903</w:t>
            </w:r>
          </w:p>
        </w:tc>
        <w:tc>
          <w:tcPr>
            <w:tcW w:w="59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19,354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аванси към 31 декември 2019 г.</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932,296</w:t>
            </w:r>
          </w:p>
        </w:tc>
        <w:tc>
          <w:tcPr>
            <w:tcW w:w="568" w:type="pct"/>
            <w:tcBorders>
              <w:top w:val="nil"/>
              <w:left w:val="nil"/>
              <w:bottom w:val="nil"/>
              <w:right w:val="nil"/>
              <w:tl2br w:val="nil"/>
              <w:tr2bl w:val="nil"/>
            </w:tcBorders>
            <w:shd w:val="clear" w:color="auto"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-586,369</w:t>
            </w:r>
          </w:p>
        </w:tc>
        <w:tc>
          <w:tcPr>
            <w:tcW w:w="594" w:type="pct"/>
            <w:tcBorders>
              <w:top w:val="nil"/>
              <w:left w:val="nil"/>
              <w:bottom w:val="nil"/>
              <w:right w:val="nil"/>
              <w:tl2br w:val="nil"/>
              <w:tr2bl w:val="nil"/>
            </w:tcBorders>
            <w:shd w:val="clear" w:color="auto"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w:t>
            </w:r>
          </w:p>
        </w:tc>
        <w:tc>
          <w:tcPr>
            <w:tcW w:w="395"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1,518,675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2925" w:type="pct"/>
            <w:gridSpan w:val="2"/>
            <w:tcBorders>
              <w:top w:val="nil"/>
              <w:left w:val="nil"/>
              <w:bottom w:val="nil"/>
              <w:right w:val="nil"/>
              <w:tl2br w:val="nil"/>
              <w:tr2bl w:val="nil"/>
            </w:tcBorders>
            <w:shd w:val="clear" w:color="auto" w:fill="auto"/>
            <w:tcMar>
              <w:left w:w="0" w:type="dxa"/>
              <w:right w:w="0" w:type="dxa"/>
            </w:tcMar>
            <w:vAlign w:val="center"/>
          </w:tcPr>
          <w:p>
            <w:pPr>
              <w:rPr>
                <w:rFonts w:ascii="Arial" w:hAnsi="Arial" w:cs="Arial"/>
                <w:noProof/>
                <w:color w:val="000000"/>
                <w:sz w:val="16"/>
                <w:szCs w:val="16"/>
                <w:lang w:val="bg-BG"/>
              </w:rPr>
            </w:pPr>
            <w:r>
              <w:rPr>
                <w:rFonts w:ascii="Arial" w:hAnsi="Arial"/>
                <w:noProof/>
                <w:color w:val="000000"/>
                <w:sz w:val="16"/>
                <w:lang w:val="bg-BG"/>
              </w:rPr>
              <w:t>* Включително споразумения за представителство.</w:t>
            </w:r>
          </w:p>
        </w:tc>
        <w:tc>
          <w:tcPr>
            <w:tcW w:w="568"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94"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395"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19"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2925" w:type="pct"/>
            <w:gridSpan w:val="2"/>
            <w:tcBorders>
              <w:top w:val="nil"/>
              <w:left w:val="nil"/>
              <w:bottom w:val="nil"/>
              <w:right w:val="nil"/>
              <w:tl2br w:val="nil"/>
              <w:tr2bl w:val="nil"/>
            </w:tcBorders>
            <w:shd w:val="clear" w:color="auto" w:fill="auto"/>
            <w:tcMar>
              <w:left w:w="0" w:type="dxa"/>
              <w:right w:w="0" w:type="dxa"/>
            </w:tcMar>
            <w:vAlign w:val="center"/>
          </w:tcPr>
          <w:p>
            <w:pPr>
              <w:rPr>
                <w:rFonts w:ascii="Arial" w:hAnsi="Arial" w:cs="Arial"/>
                <w:noProof/>
                <w:color w:val="000000"/>
                <w:sz w:val="16"/>
                <w:szCs w:val="16"/>
                <w:lang w:val="bg-BG"/>
              </w:rPr>
            </w:pPr>
            <w:r>
              <w:rPr>
                <w:rFonts w:ascii="Arial" w:hAnsi="Arial"/>
                <w:noProof/>
                <w:color w:val="000000"/>
                <w:sz w:val="16"/>
                <w:szCs w:val="16"/>
                <w:lang w:val="bg-BG"/>
              </w:rPr>
              <w:t>** За подробности вж. бележка 24.</w:t>
            </w:r>
          </w:p>
        </w:tc>
        <w:tc>
          <w:tcPr>
            <w:tcW w:w="568"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94"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395"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19"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val="en-US" w:eastAsia="en-US"/>
        </w:rPr>
      </w:pPr>
    </w:p>
    <w:p>
      <w:pPr>
        <w:pageBreakBefore/>
        <w:numPr>
          <w:ilvl w:val="0"/>
          <w:numId w:val="108"/>
        </w:numPr>
        <w:pBdr>
          <w:top w:val="nil"/>
          <w:left w:val="nil"/>
          <w:bottom w:val="nil"/>
          <w:right w:val="nil"/>
          <w:between w:val="nil"/>
          <w:bar w:val="nil"/>
        </w:pBdr>
        <w:tabs>
          <w:tab w:val="center" w:pos="4320"/>
          <w:tab w:val="right" w:pos="8640"/>
        </w:tabs>
        <w:suppressAutoHyphens/>
        <w:spacing w:before="120" w:after="120"/>
        <w:jc w:val="both"/>
        <w:rPr>
          <w:rFonts w:ascii="Arial" w:eastAsia="Calibri" w:hAnsi="Arial"/>
          <w:b/>
          <w:noProof/>
          <w:sz w:val="22"/>
          <w:bdr w:val="nil"/>
          <w:lang w:val="bg-BG" w:eastAsia="ar-SA"/>
        </w:rPr>
      </w:pPr>
      <w:r>
        <w:rPr>
          <w:rFonts w:ascii="Arial" w:hAnsi="Arial"/>
          <w:b/>
          <w:noProof/>
          <w:sz w:val="22"/>
          <w:bdr w:val="nil"/>
          <w:lang w:val="bg-BG" w:eastAsia="ar-SA"/>
        </w:rPr>
        <w:t>7</w:t>
      </w:r>
      <w:r>
        <w:rPr>
          <w:rFonts w:ascii="Arial" w:hAnsi="Arial"/>
          <w:b/>
          <w:noProof/>
          <w:sz w:val="22"/>
          <w:bdr w:val="nil"/>
          <w:lang w:val="bg-BG" w:eastAsia="ar-SA"/>
        </w:rPr>
        <w:tab/>
        <w:t>Заеми и аванси (продължение)</w:t>
      </w:r>
    </w:p>
    <w:p>
      <w:pPr>
        <w:pBdr>
          <w:top w:val="nil"/>
          <w:left w:val="nil"/>
          <w:bottom w:val="nil"/>
          <w:right w:val="nil"/>
          <w:between w:val="nil"/>
          <w:bar w:val="nil"/>
        </w:pBdr>
        <w:rPr>
          <w:rFonts w:ascii="Calibri" w:eastAsia="Calibri" w:hAnsi="Calibri" w:cs="Arial"/>
          <w:noProof/>
          <w:sz w:val="22"/>
          <w:szCs w:val="22"/>
          <w:bdr w:val="nil"/>
          <w:lang w:val="bg-BG"/>
        </w:rPr>
      </w:pPr>
      <w:r>
        <w:rPr>
          <w:rFonts w:ascii="Arial" w:hAnsi="Arial"/>
          <w:b/>
          <w:noProof/>
          <w:sz w:val="20"/>
          <w:szCs w:val="22"/>
          <w:bdr w:val="nil"/>
          <w:lang w:val="bg-BG"/>
        </w:rPr>
        <w:t>7.1 Заеми и аванси (продължение)</w:t>
      </w:r>
    </w:p>
    <w:p>
      <w:pPr>
        <w:pBdr>
          <w:top w:val="nil"/>
          <w:left w:val="nil"/>
          <w:bottom w:val="nil"/>
          <w:right w:val="nil"/>
          <w:between w:val="nil"/>
          <w:bar w:val="nil"/>
        </w:pBdr>
        <w:spacing w:after="200" w:line="276" w:lineRule="auto"/>
        <w:rPr>
          <w:rFonts w:ascii="Calibri" w:eastAsia="Calibri" w:hAnsi="Calibri" w:cs="Arial"/>
          <w:noProof/>
          <w:sz w:val="2"/>
          <w:szCs w:val="22"/>
          <w:bdr w:val="nil"/>
          <w:lang w:val="en-US" w:eastAsia="en-US"/>
        </w:rPr>
      </w:pPr>
    </w:p>
    <w:tbl>
      <w:tblPr>
        <w:tblStyle w:val="CDMRange114"/>
        <w:tblW w:w="5000" w:type="pct"/>
        <w:tblLayout w:type="fixed"/>
        <w:tblLook w:val="0600" w:firstRow="0" w:lastRow="0" w:firstColumn="0" w:lastColumn="0" w:noHBand="1" w:noVBand="1"/>
      </w:tblPr>
      <w:tblGrid>
        <w:gridCol w:w="4579"/>
        <w:gridCol w:w="1017"/>
        <w:gridCol w:w="1001"/>
        <w:gridCol w:w="1122"/>
        <w:gridCol w:w="1001"/>
        <w:gridCol w:w="999"/>
      </w:tblGrid>
      <w:tr>
        <w:trPr>
          <w:trHeight w:val="42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Общи заеми*</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Привилегировани заеми</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Подчинени заеми</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POCI</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Номинална стойност на заемите по АС към 1 януари 2018 г.</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1,003,294</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687,499</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62 546</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1,753,339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203,352</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52,274</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3,588</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259,214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Отписани задължения</w:t>
            </w:r>
          </w:p>
        </w:tc>
        <w:tc>
          <w:tcPr>
            <w:tcW w:w="523"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Възстановявания</w:t>
            </w:r>
          </w:p>
        </w:tc>
        <w:tc>
          <w:tcPr>
            <w:tcW w:w="523"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-192,355</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-157,952</w:t>
            </w:r>
          </w:p>
        </w:tc>
        <w:tc>
          <w:tcPr>
            <w:tcW w:w="577"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-4,548</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-354,855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Капитализирана лихва</w:t>
            </w:r>
          </w:p>
        </w:tc>
        <w:tc>
          <w:tcPr>
            <w:tcW w:w="523"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523"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37,026</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11,503</w:t>
            </w:r>
          </w:p>
        </w:tc>
        <w:tc>
          <w:tcPr>
            <w:tcW w:w="577"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2,719</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51,248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Номинална стойност на заемите по АС към 31 декември 2018 г.</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1,051,317</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593,324</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60,717</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3,588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1,708,946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2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77"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 коректив за загуби към 1 януари 2018 г.</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-35,082</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-57,911</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-62,546</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-155,539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Нетни промени в 12-месечните ОКЗ </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-1,853</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288</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Нетни промени в ОКЗ през целия жизнен цикъл без кредитна обезценка</w:t>
            </w:r>
          </w:p>
        </w:tc>
        <w:tc>
          <w:tcPr>
            <w:tcW w:w="523"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4,696</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870</w:t>
            </w:r>
          </w:p>
        </w:tc>
        <w:tc>
          <w:tcPr>
            <w:tcW w:w="577"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-2,146</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ОКЗ през целия жизнен цикъл с кредитна обезценка</w:t>
            </w:r>
          </w:p>
        </w:tc>
        <w:tc>
          <w:tcPr>
            <w:tcW w:w="523"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-71,204</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-1,794</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-72,998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Корекция на ОКЗ през целия жизнен цикъл с кредитна обезценка </w:t>
            </w:r>
          </w:p>
        </w:tc>
        <w:tc>
          <w:tcPr>
            <w:tcW w:w="523"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2,214</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8,480</w:t>
            </w:r>
          </w:p>
        </w:tc>
        <w:tc>
          <w:tcPr>
            <w:tcW w:w="577"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37,678</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48,372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Отписани задължения</w:t>
            </w:r>
          </w:p>
        </w:tc>
        <w:tc>
          <w:tcPr>
            <w:tcW w:w="523"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523"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-2,639</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-1,336</w:t>
            </w:r>
          </w:p>
        </w:tc>
        <w:tc>
          <w:tcPr>
            <w:tcW w:w="577"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-2,346</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-6,321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Обезценка — коректив за загуби към 1 януари 2018 г.</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-103,868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-49,609</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-29,360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-1,794</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-184,631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23" w:type="pct"/>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77" w:type="pct"/>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аванси по АС към 31 декември 2018 г.</w:t>
            </w:r>
          </w:p>
        </w:tc>
        <w:tc>
          <w:tcPr>
            <w:tcW w:w="523"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947,449</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543,715</w:t>
            </w:r>
          </w:p>
        </w:tc>
        <w:tc>
          <w:tcPr>
            <w:tcW w:w="577"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31,357</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1,794</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1,524,315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523"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77"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Номинална стойност на заемите по FVTEPL към 1 януари 2018 г.</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1,800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523" w:type="pct"/>
            <w:tcBorders>
              <w:top w:val="single" w:sz="4" w:space="0" w:color="000000"/>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77" w:type="pct"/>
            <w:tcBorders>
              <w:top w:val="single" w:sz="4" w:space="0" w:color="000000"/>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Възстановявания</w:t>
            </w:r>
          </w:p>
        </w:tc>
        <w:tc>
          <w:tcPr>
            <w:tcW w:w="523" w:type="pct"/>
            <w:tcBorders>
              <w:top w:val="nil"/>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77" w:type="pct"/>
            <w:tcBorders>
              <w:top w:val="nil"/>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Отписани задължения</w:t>
            </w:r>
          </w:p>
        </w:tc>
        <w:tc>
          <w:tcPr>
            <w:tcW w:w="523" w:type="pct"/>
            <w:tcBorders>
              <w:top w:val="nil"/>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77" w:type="pct"/>
            <w:tcBorders>
              <w:top w:val="nil"/>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Разлики във валутните курсове </w:t>
            </w:r>
          </w:p>
        </w:tc>
        <w:tc>
          <w:tcPr>
            <w:tcW w:w="523" w:type="pct"/>
            <w:tcBorders>
              <w:top w:val="nil"/>
              <w:left w:val="nil"/>
              <w:bottom w:val="single" w:sz="4" w:space="0" w:color="000000"/>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77" w:type="pct"/>
            <w:tcBorders>
              <w:top w:val="nil"/>
              <w:left w:val="nil"/>
              <w:bottom w:val="single" w:sz="4" w:space="0" w:color="000000"/>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Номинална стойност на заемите по FVTEPL към 31 декември 2018 г.</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1,800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52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577"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Корекция на справедливата стойност към 1 януари 2018 г.</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Нетна промяна на справедливата стойност</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-702</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Корекция на справедливата стойност към 31 декември 2018 г.</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-1,080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523"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77"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аванси по FVTPL към 31 декември 2018 г.</w:t>
            </w:r>
          </w:p>
        </w:tc>
        <w:tc>
          <w:tcPr>
            <w:tcW w:w="523"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720</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77"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523"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Амортизирана стойност</w:t>
            </w:r>
          </w:p>
        </w:tc>
        <w:tc>
          <w:tcPr>
            <w:tcW w:w="523"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-3,550</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-3,109</w:t>
            </w:r>
          </w:p>
        </w:tc>
        <w:tc>
          <w:tcPr>
            <w:tcW w:w="577"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-6,648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Лихва</w:t>
            </w:r>
          </w:p>
        </w:tc>
        <w:tc>
          <w:tcPr>
            <w:tcW w:w="523"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12,330</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9,243</w:t>
            </w:r>
          </w:p>
        </w:tc>
        <w:tc>
          <w:tcPr>
            <w:tcW w:w="577"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1,031</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22,604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Заеми и аванси към 31 декември 2018 г.</w:t>
            </w:r>
          </w:p>
        </w:tc>
        <w:tc>
          <w:tcPr>
            <w:tcW w:w="523"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956,949</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549,849</w:t>
            </w:r>
          </w:p>
        </w:tc>
        <w:tc>
          <w:tcPr>
            <w:tcW w:w="577"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32,399</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1,794</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2356"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r>
              <w:rPr>
                <w:rFonts w:ascii="Arial" w:hAnsi="Arial"/>
                <w:noProof/>
                <w:color w:val="000000"/>
                <w:sz w:val="16"/>
                <w:lang w:val="bg-BG"/>
              </w:rPr>
              <w:t>* Включително споразумения за представителство.</w:t>
            </w:r>
          </w:p>
        </w:tc>
        <w:tc>
          <w:tcPr>
            <w:tcW w:w="523"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p>
        </w:tc>
        <w:tc>
          <w:tcPr>
            <w:tcW w:w="523"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val="en-US" w:eastAsia="en-US"/>
        </w:rPr>
      </w:pPr>
    </w:p>
    <w:p>
      <w:pPr>
        <w:rPr>
          <w:rFonts w:ascii="Calibri" w:eastAsia="Calibri" w:hAnsi="Calibri" w:cs="Arial"/>
          <w:noProof/>
          <w:sz w:val="22"/>
          <w:szCs w:val="22"/>
          <w:bdr w:val="nil"/>
          <w:lang w:val="bg-BG"/>
        </w:rPr>
      </w:pPr>
      <w:r>
        <w:rPr>
          <w:noProof/>
          <w:lang w:val="bg-BG"/>
        </w:rPr>
        <w:br w:type="page"/>
      </w:r>
    </w:p>
    <w:p>
      <w:pPr>
        <w:pBdr>
          <w:top w:val="nil"/>
          <w:left w:val="nil"/>
          <w:bottom w:val="nil"/>
          <w:right w:val="nil"/>
          <w:between w:val="nil"/>
          <w:bar w:val="nil"/>
        </w:pBdr>
        <w:rPr>
          <w:rFonts w:ascii="Arial" w:eastAsia="Calibri" w:hAnsi="Arial" w:cs="Arial"/>
          <w:b/>
          <w:noProof/>
          <w:sz w:val="20"/>
          <w:szCs w:val="22"/>
          <w:bdr w:val="nil"/>
          <w:lang w:val="bg-BG"/>
        </w:rPr>
      </w:pPr>
      <w:r>
        <w:rPr>
          <w:rFonts w:ascii="Arial" w:hAnsi="Arial"/>
          <w:b/>
          <w:noProof/>
          <w:sz w:val="20"/>
          <w:szCs w:val="22"/>
          <w:bdr w:val="nil"/>
          <w:lang w:val="bg-BG"/>
        </w:rPr>
        <w:t>7.2 Обезценка на заеми и аванси — корективи за загуби, без корекции</w:t>
      </w:r>
    </w:p>
    <w:p>
      <w:pPr>
        <w:suppressAutoHyphens/>
        <w:spacing w:after="60"/>
        <w:rPr>
          <w:noProof/>
          <w:lang w:val="bg-BG" w:eastAsia="ar-SA"/>
        </w:rPr>
      </w:pPr>
    </w:p>
    <w:tbl>
      <w:tblPr>
        <w:tblStyle w:val="CDMRange10"/>
        <w:tblW w:w="9975" w:type="dxa"/>
        <w:tblLayout w:type="fixed"/>
        <w:tblLook w:val="0600" w:firstRow="0" w:lastRow="0" w:firstColumn="0" w:lastColumn="0" w:noHBand="1" w:noVBand="1"/>
      </w:tblPr>
      <w:tblGrid>
        <w:gridCol w:w="3825"/>
        <w:gridCol w:w="1350"/>
        <w:gridCol w:w="1350"/>
        <w:gridCol w:w="1350"/>
        <w:gridCol w:w="1050"/>
        <w:gridCol w:w="1050"/>
      </w:tblGrid>
      <w:tr>
        <w:trPr>
          <w:trHeight w:hRule="exact" w:val="300"/>
        </w:trPr>
        <w:tc>
          <w:tcPr>
            <w:tcW w:w="382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suppressAutoHyphens/>
              <w:rPr>
                <w:rFonts w:ascii="Arial" w:eastAsia="Arial" w:hAnsi="Arial"/>
                <w:b/>
                <w:noProof/>
                <w:color w:val="000000"/>
                <w:sz w:val="16"/>
                <w:lang w:val="bg-BG" w:eastAsia="ar-SA"/>
              </w:rPr>
            </w:pPr>
          </w:p>
        </w:tc>
        <w:tc>
          <w:tcPr>
            <w:tcW w:w="6150" w:type="dxa"/>
            <w:gridSpan w:val="5"/>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suppressAutoHyphens/>
              <w:jc w:val="center"/>
              <w:rPr>
                <w:rFonts w:ascii="Arial" w:eastAsia="Arial" w:hAnsi="Arial"/>
                <w:b/>
                <w:noProof/>
                <w:color w:val="000000"/>
                <w:sz w:val="16"/>
                <w:lang w:val="bg-BG" w:eastAsia="ar-SA"/>
              </w:rPr>
            </w:pPr>
            <w:r>
              <w:rPr>
                <w:rFonts w:ascii="Arial" w:hAnsi="Arial"/>
                <w:b/>
                <w:noProof/>
                <w:color w:val="000000"/>
                <w:sz w:val="16"/>
                <w:lang w:val="bg-BG" w:eastAsia="ar-SA"/>
              </w:rPr>
              <w:t>2019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9"/>
        </w:trPr>
        <w:tc>
          <w:tcPr>
            <w:tcW w:w="3825"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rPr>
                <w:rFonts w:ascii="Arial" w:eastAsia="Arial" w:hAnsi="Arial"/>
                <w:b/>
                <w:noProof/>
                <w:color w:val="000000"/>
                <w:sz w:val="16"/>
                <w:lang w:val="bg-BG" w:eastAsia="ar-SA"/>
              </w:rPr>
            </w:pPr>
            <w:r>
              <w:rPr>
                <w:rFonts w:ascii="Arial" w:hAnsi="Arial"/>
                <w:b/>
                <w:noProof/>
                <w:color w:val="000000"/>
                <w:sz w:val="16"/>
                <w:lang w:val="bg-BG" w:eastAsia="ar-SA"/>
              </w:rPr>
              <w:t>В хиляди евро</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12-месечни ОКЗ</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ОКЗ през целия жизнен цикъл без кредитна обезценка</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ОКЗ през целия жизнен цикъл с кредитна обезценка</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POCI</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rPr>
                <w:rFonts w:ascii="Arial" w:eastAsia="Arial" w:hAnsi="Arial"/>
                <w:b/>
                <w:noProof/>
                <w:color w:val="000000"/>
                <w:sz w:val="16"/>
                <w:lang w:val="bg-BG" w:eastAsia="ar-SA"/>
              </w:rPr>
            </w:pPr>
            <w:r>
              <w:rPr>
                <w:rFonts w:ascii="Arial" w:hAnsi="Arial"/>
                <w:b/>
                <w:noProof/>
                <w:color w:val="000000"/>
                <w:sz w:val="16"/>
                <w:lang w:val="bg-BG" w:eastAsia="ar-SA"/>
              </w:rPr>
              <w:t>Заеми и аванси по АС</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suppressAutoHyphens/>
              <w:jc w:val="right"/>
              <w:rPr>
                <w:rFonts w:ascii="Arial" w:eastAsia="Arial" w:hAnsi="Arial"/>
                <w:b/>
                <w:noProof/>
                <w:color w:val="000000"/>
                <w:sz w:val="16"/>
                <w:lang w:val="bg-BG" w:eastAsia="ar-SA"/>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suppressAutoHyphens/>
              <w:jc w:val="right"/>
              <w:rPr>
                <w:rFonts w:ascii="Arial" w:eastAsia="Arial" w:hAnsi="Arial"/>
                <w:b/>
                <w:noProof/>
                <w:color w:val="000000"/>
                <w:sz w:val="16"/>
                <w:lang w:val="bg-BG" w:eastAsia="ar-SA"/>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suppressAutoHyphens/>
              <w:jc w:val="right"/>
              <w:rPr>
                <w:rFonts w:ascii="Arial" w:eastAsia="Arial" w:hAnsi="Arial"/>
                <w:b/>
                <w:noProof/>
                <w:color w:val="000000"/>
                <w:sz w:val="16"/>
                <w:lang w:val="bg-BG" w:eastAsia="ar-SA"/>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suppressAutoHyphens/>
              <w:jc w:val="right"/>
              <w:rPr>
                <w:rFonts w:ascii="Arial" w:eastAsia="Arial" w:hAnsi="Arial"/>
                <w:b/>
                <w:noProof/>
                <w:color w:val="000000"/>
                <w:sz w:val="16"/>
                <w:lang w:val="bg-BG" w:eastAsia="ar-SA"/>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suppressAutoHyphens/>
              <w:jc w:val="right"/>
              <w:rPr>
                <w:rFonts w:ascii="Arial" w:eastAsia="Arial" w:hAnsi="Arial"/>
                <w:b/>
                <w:noProof/>
                <w:color w:val="000000"/>
                <w:sz w:val="16"/>
                <w:lang w:val="bg-BG" w:eastAsia="ar-SA"/>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rPr>
                <w:rFonts w:ascii="Arial" w:eastAsia="Arial" w:hAnsi="Arial"/>
                <w:b/>
                <w:noProof/>
                <w:color w:val="000000"/>
                <w:sz w:val="16"/>
                <w:lang w:val="bg-BG" w:eastAsia="ar-SA"/>
              </w:rPr>
            </w:pPr>
            <w:r>
              <w:rPr>
                <w:rFonts w:ascii="Arial" w:hAnsi="Arial"/>
                <w:b/>
                <w:noProof/>
                <w:color w:val="000000"/>
                <w:sz w:val="16"/>
                <w:lang w:val="bg-BG" w:eastAsia="ar-SA"/>
              </w:rPr>
              <w:t>Салдо към 1 януари 2019 г.</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22,023</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27,342</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133,472</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1,794</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184,631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rPr>
                <w:rFonts w:ascii="Arial" w:eastAsia="Arial" w:hAnsi="Arial"/>
                <w:noProof/>
                <w:color w:val="000000"/>
                <w:sz w:val="16"/>
                <w:lang w:val="bg-BG" w:eastAsia="ar-SA"/>
              </w:rPr>
            </w:pPr>
            <w:r>
              <w:rPr>
                <w:rFonts w:ascii="Arial" w:hAnsi="Arial"/>
                <w:noProof/>
                <w:color w:val="000000"/>
                <w:sz w:val="16"/>
                <w:lang w:val="bg-BG" w:eastAsia="ar-SA"/>
              </w:rPr>
              <w:t>Трансфер към 12-месечни ОКЗ</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3,952</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3,952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7"/>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suppressAutoHyphens/>
              <w:rPr>
                <w:rFonts w:ascii="Arial" w:eastAsia="Arial" w:hAnsi="Arial"/>
                <w:noProof/>
                <w:color w:val="000000"/>
                <w:sz w:val="16"/>
                <w:lang w:val="bg-BG" w:eastAsia="ar-SA"/>
              </w:rPr>
            </w:pPr>
            <w:r>
              <w:rPr>
                <w:rFonts w:ascii="Arial" w:hAnsi="Arial"/>
                <w:noProof/>
                <w:color w:val="000000"/>
                <w:sz w:val="16"/>
                <w:lang w:val="bg-BG" w:eastAsia="ar-SA"/>
              </w:rPr>
              <w:t>Трансфер към ОКЗ през целия жизнен цикъл без кредитна обезценка</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-4,005</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25,150</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21,145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5"/>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suppressAutoHyphens/>
              <w:rPr>
                <w:rFonts w:ascii="Arial" w:eastAsia="Arial" w:hAnsi="Arial"/>
                <w:noProof/>
                <w:color w:val="000000"/>
                <w:sz w:val="16"/>
                <w:lang w:val="bg-BG" w:eastAsia="ar-SA"/>
              </w:rPr>
            </w:pPr>
            <w:r>
              <w:rPr>
                <w:rFonts w:ascii="Arial" w:hAnsi="Arial"/>
                <w:noProof/>
                <w:color w:val="000000"/>
                <w:sz w:val="16"/>
                <w:lang w:val="bg-BG" w:eastAsia="ar-SA"/>
              </w:rPr>
              <w:t>Трансфер към ОКЗ през целия жизнен цикъл с кредитна обезценка</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-46</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suppressAutoHyphens/>
              <w:rPr>
                <w:rFonts w:ascii="Arial" w:eastAsia="Arial" w:hAnsi="Arial"/>
                <w:noProof/>
                <w:color w:val="000000"/>
                <w:sz w:val="16"/>
                <w:lang w:val="bg-BG" w:eastAsia="ar-SA"/>
              </w:rPr>
            </w:pPr>
            <w:r>
              <w:rPr>
                <w:rFonts w:ascii="Arial" w:hAnsi="Arial"/>
                <w:noProof/>
                <w:color w:val="000000"/>
                <w:sz w:val="16"/>
                <w:lang w:val="bg-BG" w:eastAsia="ar-SA"/>
              </w:rPr>
              <w:t>Продажба на заеми</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-2,591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suppressAutoHyphens/>
              <w:rPr>
                <w:rFonts w:ascii="Arial" w:eastAsia="Arial" w:hAnsi="Arial"/>
                <w:noProof/>
                <w:color w:val="000000"/>
                <w:sz w:val="16"/>
                <w:lang w:val="bg-BG" w:eastAsia="ar-SA"/>
              </w:rPr>
            </w:pPr>
            <w:r>
              <w:rPr>
                <w:rFonts w:ascii="Arial" w:hAnsi="Arial"/>
                <w:noProof/>
                <w:color w:val="000000"/>
                <w:sz w:val="16"/>
                <w:lang w:val="bg-BG" w:eastAsia="ar-SA"/>
              </w:rPr>
              <w:t>Промяна на бизнес модела (ПСОФ)*</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-10</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-5,031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-1,794</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-6,835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suppressAutoHyphens/>
              <w:rPr>
                <w:rFonts w:ascii="Arial" w:eastAsia="Arial" w:hAnsi="Arial"/>
                <w:noProof/>
                <w:color w:val="000000"/>
                <w:sz w:val="16"/>
                <w:lang w:val="bg-BG" w:eastAsia="ar-SA"/>
              </w:rPr>
            </w:pPr>
            <w:r>
              <w:rPr>
                <w:rFonts w:ascii="Arial" w:hAnsi="Arial"/>
                <w:noProof/>
                <w:color w:val="000000"/>
                <w:sz w:val="16"/>
                <w:lang w:val="bg-BG" w:eastAsia="ar-SA"/>
              </w:rPr>
              <w:t>Финансови активи, които са отписани</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-129</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-10,049</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-10,178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suppressAutoHyphens/>
              <w:rPr>
                <w:rFonts w:ascii="Arial" w:eastAsia="Arial" w:hAnsi="Arial"/>
                <w:noProof/>
                <w:color w:val="000000"/>
                <w:sz w:val="16"/>
                <w:lang w:val="bg-BG" w:eastAsia="ar-SA"/>
              </w:rPr>
            </w:pPr>
            <w:r>
              <w:rPr>
                <w:rFonts w:ascii="Arial" w:hAnsi="Arial"/>
                <w:noProof/>
                <w:color w:val="000000"/>
                <w:sz w:val="16"/>
                <w:lang w:val="bg-BG" w:eastAsia="ar-SA"/>
              </w:rPr>
              <w:t>Отписвания</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-280</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suppressAutoHyphens/>
              <w:rPr>
                <w:rFonts w:ascii="Arial" w:eastAsia="Arial" w:hAnsi="Arial"/>
                <w:noProof/>
                <w:color w:val="000000"/>
                <w:sz w:val="16"/>
                <w:lang w:val="bg-BG" w:eastAsia="ar-SA"/>
              </w:rPr>
            </w:pPr>
            <w:r>
              <w:rPr>
                <w:rFonts w:ascii="Arial" w:hAnsi="Arial"/>
                <w:noProof/>
                <w:color w:val="000000"/>
                <w:sz w:val="16"/>
                <w:lang w:val="bg-BG" w:eastAsia="ar-SA"/>
              </w:rPr>
              <w:t xml:space="preserve">Разлики във валутните курсове </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247</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371</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2,221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2,839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FFFFFF" w:fill="BFBFBF"/>
            <w:noWrap/>
            <w:tcMar>
              <w:left w:w="40" w:type="dxa"/>
              <w:right w:w="40" w:type="dxa"/>
            </w:tcMar>
            <w:vAlign w:val="center"/>
          </w:tcPr>
          <w:p>
            <w:pPr>
              <w:suppressAutoHyphens/>
              <w:rPr>
                <w:rFonts w:ascii="Arial" w:eastAsia="Arial" w:hAnsi="Arial"/>
                <w:b/>
                <w:noProof/>
                <w:color w:val="000000"/>
                <w:sz w:val="16"/>
                <w:lang w:val="bg-BG" w:eastAsia="ar-SA"/>
              </w:rPr>
            </w:pPr>
            <w:r>
              <w:rPr>
                <w:rFonts w:ascii="Arial" w:hAnsi="Arial"/>
                <w:b/>
                <w:noProof/>
                <w:color w:val="000000"/>
                <w:sz w:val="16"/>
                <w:lang w:val="bg-BG" w:eastAsia="ar-SA"/>
              </w:rPr>
              <w:t>Салдо към 31 декември 2019 г.</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17,191</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38,509</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104,830</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160,530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3825" w:type="dxa"/>
            <w:tcBorders>
              <w:top w:val="nil"/>
              <w:left w:val="nil"/>
              <w:bottom w:val="nil"/>
              <w:right w:val="nil"/>
              <w:tl2br w:val="nil"/>
              <w:tr2bl w:val="nil"/>
            </w:tcBorders>
            <w:shd w:val="clear" w:color="auto" w:fill="auto"/>
            <w:noWrap/>
            <w:tcMar>
              <w:left w:w="0" w:type="dxa"/>
              <w:right w:w="0" w:type="dxa"/>
            </w:tcMar>
            <w:vAlign w:val="center"/>
          </w:tcPr>
          <w:p>
            <w:pPr>
              <w:suppressAutoHyphens/>
              <w:spacing w:before="40"/>
              <w:rPr>
                <w:rFonts w:cs="Calibri"/>
                <w:noProof/>
                <w:color w:val="000000"/>
                <w:sz w:val="22"/>
                <w:lang w:val="bg-BG" w:eastAsia="ar-SA"/>
              </w:rPr>
            </w:pPr>
            <w:r>
              <w:rPr>
                <w:rFonts w:ascii="Arial" w:hAnsi="Arial"/>
                <w:noProof/>
                <w:color w:val="000000"/>
                <w:sz w:val="16"/>
                <w:szCs w:val="16"/>
                <w:lang w:val="bg-BG" w:eastAsia="ar-SA"/>
              </w:rPr>
              <w:t>* За подробности вж. бележка 24.</w:t>
            </w: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suppressAutoHyphens/>
              <w:rPr>
                <w:rFonts w:cs="Calibri"/>
                <w:noProof/>
                <w:color w:val="000000"/>
                <w:sz w:val="22"/>
                <w:lang w:val="bg-BG" w:eastAsia="ar-SA"/>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suppressAutoHyphens/>
              <w:rPr>
                <w:rFonts w:cs="Calibri"/>
                <w:noProof/>
                <w:color w:val="000000"/>
                <w:sz w:val="22"/>
                <w:lang w:val="bg-BG" w:eastAsia="ar-SA"/>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suppressAutoHyphens/>
              <w:rPr>
                <w:rFonts w:cs="Calibri"/>
                <w:noProof/>
                <w:color w:val="000000"/>
                <w:sz w:val="22"/>
                <w:lang w:val="bg-BG" w:eastAsia="ar-SA"/>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suppressAutoHyphens/>
              <w:rPr>
                <w:rFonts w:cs="Calibri"/>
                <w:noProof/>
                <w:color w:val="000000"/>
                <w:sz w:val="22"/>
                <w:lang w:val="bg-BG" w:eastAsia="ar-SA"/>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suppressAutoHyphens/>
              <w:rPr>
                <w:rFonts w:cs="Calibri"/>
                <w:noProof/>
                <w:color w:val="000000"/>
                <w:sz w:val="22"/>
                <w:lang w:val="bg-BG" w:eastAsia="ar-SA"/>
              </w:rPr>
            </w:pPr>
          </w:p>
        </w:tc>
      </w:tr>
    </w:tbl>
    <w:p>
      <w:pPr>
        <w:rPr>
          <w:noProof/>
          <w:lang w:val="bg-BG"/>
        </w:rPr>
      </w:pPr>
    </w:p>
    <w:tbl>
      <w:tblPr>
        <w:tblStyle w:val="CDMRange10"/>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25"/>
        <w:gridCol w:w="1350"/>
        <w:gridCol w:w="1350"/>
        <w:gridCol w:w="1350"/>
        <w:gridCol w:w="1050"/>
        <w:gridCol w:w="1050"/>
      </w:tblGrid>
      <w:tr>
        <w:trPr>
          <w:trHeight w:hRule="exact" w:val="300"/>
        </w:trPr>
        <w:tc>
          <w:tcPr>
            <w:tcW w:w="382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suppressAutoHyphens/>
              <w:rPr>
                <w:rFonts w:ascii="Arial" w:hAnsi="Arial"/>
                <w:b/>
                <w:noProof/>
                <w:color w:val="000000"/>
                <w:sz w:val="16"/>
                <w:lang w:val="bg-BG" w:eastAsia="ar-SA"/>
              </w:rPr>
            </w:pPr>
          </w:p>
        </w:tc>
        <w:tc>
          <w:tcPr>
            <w:tcW w:w="6150" w:type="dxa"/>
            <w:gridSpan w:val="5"/>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suppressAutoHyphens/>
              <w:jc w:val="center"/>
              <w:rPr>
                <w:rFonts w:ascii="Arial" w:eastAsia="Arial" w:hAnsi="Arial"/>
                <w:b/>
                <w:noProof/>
                <w:color w:val="000000"/>
                <w:sz w:val="16"/>
                <w:lang w:val="bg-BG" w:eastAsia="ar-SA"/>
              </w:rPr>
            </w:pPr>
            <w:r>
              <w:rPr>
                <w:rFonts w:ascii="Arial" w:hAnsi="Arial"/>
                <w:b/>
                <w:noProof/>
                <w:color w:val="000000"/>
                <w:sz w:val="16"/>
                <w:lang w:val="bg-BG" w:eastAsia="ar-SA"/>
              </w:rPr>
              <w:t>2018 г.</w:t>
            </w:r>
          </w:p>
        </w:tc>
      </w:tr>
      <w:tr>
        <w:trPr>
          <w:trHeight w:val="675"/>
        </w:trPr>
        <w:tc>
          <w:tcPr>
            <w:tcW w:w="3825"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rPr>
                <w:rFonts w:ascii="Arial" w:eastAsia="Arial" w:hAnsi="Arial"/>
                <w:b/>
                <w:noProof/>
                <w:color w:val="000000"/>
                <w:sz w:val="16"/>
                <w:lang w:val="bg-BG" w:eastAsia="ar-SA"/>
              </w:rPr>
            </w:pPr>
            <w:r>
              <w:rPr>
                <w:rFonts w:ascii="Arial" w:hAnsi="Arial"/>
                <w:b/>
                <w:noProof/>
                <w:color w:val="000000"/>
                <w:sz w:val="16"/>
                <w:lang w:val="bg-BG" w:eastAsia="ar-SA"/>
              </w:rPr>
              <w:t>В хиляди евро</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12-месечни ОКЗ</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ОКЗ през целия жизнен цикъл без кредитна обезценка</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ОКЗ през целия жизнен цикъл с кредитна обезценка</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POCI</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Общо</w:t>
            </w:r>
          </w:p>
        </w:tc>
      </w:tr>
      <w:tr>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rPr>
                <w:rFonts w:ascii="Arial" w:eastAsia="Arial" w:hAnsi="Arial"/>
                <w:b/>
                <w:noProof/>
                <w:color w:val="000000"/>
                <w:sz w:val="16"/>
                <w:lang w:val="bg-BG" w:eastAsia="ar-SA"/>
              </w:rPr>
            </w:pPr>
            <w:r>
              <w:rPr>
                <w:rFonts w:ascii="Arial" w:hAnsi="Arial"/>
                <w:b/>
                <w:noProof/>
                <w:color w:val="000000"/>
                <w:sz w:val="16"/>
                <w:lang w:val="bg-BG" w:eastAsia="ar-SA"/>
              </w:rPr>
              <w:t>Заеми и аванси по АС</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uppressAutoHyphens/>
              <w:rPr>
                <w:rFonts w:ascii="Arial" w:eastAsia="Arial" w:hAnsi="Arial"/>
                <w:b/>
                <w:noProof/>
                <w:color w:val="000000"/>
                <w:sz w:val="16"/>
                <w:lang w:val="bg-BG" w:eastAsia="ar-SA"/>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uppressAutoHyphens/>
              <w:rPr>
                <w:rFonts w:ascii="Arial" w:eastAsia="Arial" w:hAnsi="Arial"/>
                <w:b/>
                <w:noProof/>
                <w:color w:val="000000"/>
                <w:sz w:val="16"/>
                <w:lang w:val="bg-BG" w:eastAsia="ar-SA"/>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uppressAutoHyphens/>
              <w:rPr>
                <w:rFonts w:ascii="Arial" w:eastAsia="Arial" w:hAnsi="Arial"/>
                <w:b/>
                <w:noProof/>
                <w:color w:val="000000"/>
                <w:sz w:val="16"/>
                <w:lang w:val="bg-BG" w:eastAsia="ar-SA"/>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uppressAutoHyphens/>
              <w:rPr>
                <w:rFonts w:ascii="Arial" w:eastAsia="Arial" w:hAnsi="Arial"/>
                <w:b/>
                <w:noProof/>
                <w:color w:val="000000"/>
                <w:sz w:val="16"/>
                <w:lang w:val="bg-BG" w:eastAsia="ar-SA"/>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suppressAutoHyphens/>
              <w:rPr>
                <w:rFonts w:ascii="Arial" w:eastAsia="Arial" w:hAnsi="Arial"/>
                <w:b/>
                <w:noProof/>
                <w:color w:val="000000"/>
                <w:sz w:val="16"/>
                <w:lang w:val="bg-BG" w:eastAsia="ar-SA"/>
              </w:rPr>
            </w:pPr>
          </w:p>
        </w:tc>
      </w:tr>
      <w:tr>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rPr>
                <w:rFonts w:ascii="Arial" w:eastAsia="Arial" w:hAnsi="Arial"/>
                <w:b/>
                <w:noProof/>
                <w:color w:val="000000"/>
                <w:sz w:val="16"/>
                <w:lang w:val="bg-BG" w:eastAsia="ar-SA"/>
              </w:rPr>
            </w:pPr>
            <w:r>
              <w:rPr>
                <w:rFonts w:ascii="Arial" w:hAnsi="Arial"/>
                <w:b/>
                <w:noProof/>
                <w:color w:val="000000"/>
                <w:sz w:val="16"/>
                <w:lang w:val="bg-BG" w:eastAsia="ar-SA"/>
              </w:rPr>
              <w:t>Салдо към 1 януари 2018 г.</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19,738</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29,975</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105,826</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155,539</w:t>
            </w:r>
          </w:p>
        </w:tc>
      </w:tr>
      <w:tr>
        <w:trPr>
          <w:trHeight w:hRule="exact" w:val="300"/>
        </w:trPr>
        <w:tc>
          <w:tcPr>
            <w:tcW w:w="382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rPr>
                <w:rFonts w:ascii="Arial" w:eastAsia="Arial" w:hAnsi="Arial"/>
                <w:noProof/>
                <w:color w:val="000000"/>
                <w:sz w:val="16"/>
                <w:lang w:val="bg-BG" w:eastAsia="ar-SA"/>
              </w:rPr>
            </w:pPr>
            <w:r>
              <w:rPr>
                <w:rFonts w:ascii="Arial" w:hAnsi="Arial"/>
                <w:noProof/>
                <w:color w:val="000000"/>
                <w:sz w:val="16"/>
                <w:lang w:val="bg-BG" w:eastAsia="ar-SA"/>
              </w:rPr>
              <w:t>Трансфер към 12-месечни ОКЗ</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2,285</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2,285</w:t>
            </w:r>
          </w:p>
        </w:tc>
      </w:tr>
      <w:tr>
        <w:trPr>
          <w:trHeight w:hRule="exact" w:val="427"/>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suppressAutoHyphens/>
              <w:rPr>
                <w:rFonts w:ascii="Arial" w:eastAsia="Arial" w:hAnsi="Arial"/>
                <w:noProof/>
                <w:color w:val="000000"/>
                <w:sz w:val="16"/>
                <w:lang w:val="bg-BG" w:eastAsia="ar-SA"/>
              </w:rPr>
            </w:pPr>
            <w:r>
              <w:rPr>
                <w:rFonts w:ascii="Arial" w:hAnsi="Arial"/>
                <w:noProof/>
                <w:color w:val="000000"/>
                <w:sz w:val="16"/>
                <w:lang w:val="bg-BG" w:eastAsia="ar-SA"/>
              </w:rPr>
              <w:t>Трансфер към ОКЗ през целия жизнен цикъл без кредитна обезценка</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-2,633</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-2,633</w:t>
            </w:r>
          </w:p>
        </w:tc>
      </w:tr>
      <w:tr>
        <w:trPr>
          <w:trHeight w:hRule="exact" w:val="558"/>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suppressAutoHyphens/>
              <w:rPr>
                <w:rFonts w:ascii="Arial" w:eastAsia="Arial" w:hAnsi="Arial"/>
                <w:noProof/>
                <w:color w:val="000000"/>
                <w:sz w:val="16"/>
                <w:lang w:val="bg-BG" w:eastAsia="ar-SA"/>
              </w:rPr>
            </w:pPr>
            <w:r>
              <w:rPr>
                <w:rFonts w:ascii="Arial" w:hAnsi="Arial"/>
                <w:noProof/>
                <w:color w:val="000000"/>
                <w:sz w:val="16"/>
                <w:lang w:val="bg-BG" w:eastAsia="ar-SA"/>
              </w:rPr>
              <w:t>Трансфер към ОКЗ през целия жизнен цикъл с кредитна обезценка</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27,646</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1,794</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suppressAutoHyphens/>
              <w:jc w:val="right"/>
              <w:rPr>
                <w:rFonts w:ascii="Arial" w:eastAsia="Arial" w:hAnsi="Arial"/>
                <w:noProof/>
                <w:color w:val="000000"/>
                <w:sz w:val="16"/>
                <w:lang w:val="bg-BG" w:eastAsia="ar-SA"/>
              </w:rPr>
            </w:pPr>
            <w:r>
              <w:rPr>
                <w:rFonts w:ascii="Arial" w:hAnsi="Arial"/>
                <w:noProof/>
                <w:color w:val="000000"/>
                <w:sz w:val="16"/>
                <w:lang w:val="bg-BG" w:eastAsia="ar-SA"/>
              </w:rPr>
              <w:t>29,440</w:t>
            </w:r>
          </w:p>
        </w:tc>
      </w:tr>
      <w:tr>
        <w:trPr>
          <w:trHeight w:hRule="exact" w:val="300"/>
        </w:trPr>
        <w:tc>
          <w:tcPr>
            <w:tcW w:w="3825" w:type="dxa"/>
            <w:tcBorders>
              <w:top w:val="nil"/>
              <w:left w:val="nil"/>
              <w:bottom w:val="nil"/>
              <w:right w:val="nil"/>
              <w:tl2br w:val="nil"/>
              <w:tr2bl w:val="nil"/>
            </w:tcBorders>
            <w:shd w:val="clear" w:color="FFFFFF" w:fill="BFBFBF"/>
            <w:noWrap/>
            <w:tcMar>
              <w:left w:w="40" w:type="dxa"/>
              <w:right w:w="40" w:type="dxa"/>
            </w:tcMar>
            <w:vAlign w:val="center"/>
          </w:tcPr>
          <w:p>
            <w:pPr>
              <w:suppressAutoHyphens/>
              <w:rPr>
                <w:rFonts w:ascii="Arial" w:eastAsia="Arial" w:hAnsi="Arial"/>
                <w:b/>
                <w:noProof/>
                <w:color w:val="000000"/>
                <w:sz w:val="16"/>
                <w:lang w:val="bg-BG" w:eastAsia="ar-SA"/>
              </w:rPr>
            </w:pPr>
            <w:r>
              <w:rPr>
                <w:rFonts w:ascii="Arial" w:hAnsi="Arial"/>
                <w:b/>
                <w:noProof/>
                <w:color w:val="000000"/>
                <w:sz w:val="16"/>
                <w:lang w:val="bg-BG" w:eastAsia="ar-SA"/>
              </w:rPr>
              <w:t>Салдо към 31 декември 2018 г.</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22,023</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27,342</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133,472</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1,794</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suppressAutoHyphens/>
              <w:jc w:val="right"/>
              <w:rPr>
                <w:rFonts w:ascii="Arial" w:eastAsia="Arial" w:hAnsi="Arial"/>
                <w:b/>
                <w:noProof/>
                <w:color w:val="000000"/>
                <w:sz w:val="16"/>
                <w:lang w:val="bg-BG" w:eastAsia="ar-SA"/>
              </w:rPr>
            </w:pPr>
            <w:r>
              <w:rPr>
                <w:rFonts w:ascii="Arial" w:hAnsi="Arial"/>
                <w:b/>
                <w:noProof/>
                <w:color w:val="000000"/>
                <w:sz w:val="16"/>
                <w:lang w:val="bg-BG" w:eastAsia="ar-SA"/>
              </w:rPr>
              <w:t>184,631</w:t>
            </w:r>
          </w:p>
        </w:tc>
      </w:tr>
    </w:tbl>
    <w:p>
      <w:pPr>
        <w:rPr>
          <w:noProof/>
          <w:lang w:val="en-US"/>
        </w:rPr>
      </w:pPr>
    </w:p>
    <w:p>
      <w:pPr>
        <w:pBdr>
          <w:top w:val="nil"/>
          <w:left w:val="nil"/>
          <w:bottom w:val="nil"/>
          <w:right w:val="nil"/>
          <w:between w:val="nil"/>
          <w:bar w:val="nil"/>
        </w:pBdr>
        <w:rPr>
          <w:rFonts w:ascii="Calibri" w:eastAsia="Calibri" w:hAnsi="Calibri" w:cs="Arial"/>
          <w:noProof/>
          <w:sz w:val="22"/>
          <w:szCs w:val="22"/>
          <w:bdr w:val="nil"/>
          <w:lang w:val="en-US" w:eastAsia="en-US"/>
        </w:rPr>
      </w:pPr>
    </w:p>
    <w:p>
      <w:pPr>
        <w:pageBreakBefore/>
        <w:numPr>
          <w:ilvl w:val="0"/>
          <w:numId w:val="108"/>
        </w:numPr>
        <w:pBdr>
          <w:top w:val="nil"/>
          <w:left w:val="nil"/>
          <w:bottom w:val="nil"/>
          <w:right w:val="nil"/>
          <w:between w:val="nil"/>
          <w:bar w:val="nil"/>
        </w:pBdr>
        <w:tabs>
          <w:tab w:val="center" w:pos="4320"/>
          <w:tab w:val="right" w:pos="8640"/>
        </w:tabs>
        <w:suppressAutoHyphens/>
        <w:spacing w:before="120" w:after="120"/>
        <w:jc w:val="both"/>
        <w:rPr>
          <w:rFonts w:ascii="Arial" w:hAnsi="Arial"/>
          <w:b/>
          <w:noProof/>
          <w:sz w:val="20"/>
          <w:bdr w:val="nil"/>
          <w:lang w:val="bg-BG" w:eastAsia="ar-SA"/>
        </w:rPr>
      </w:pPr>
      <w:r>
        <w:rPr>
          <w:rFonts w:ascii="Arial" w:hAnsi="Arial"/>
          <w:b/>
          <w:noProof/>
          <w:sz w:val="20"/>
          <w:bdr w:val="nil"/>
          <w:lang w:val="bg-BG" w:eastAsia="ar-SA"/>
        </w:rPr>
        <w:t>8</w:t>
      </w:r>
      <w:r>
        <w:rPr>
          <w:rFonts w:ascii="Arial" w:hAnsi="Arial"/>
          <w:b/>
          <w:noProof/>
          <w:sz w:val="20"/>
          <w:bdr w:val="nil"/>
          <w:lang w:val="bg-BG" w:eastAsia="ar-SA"/>
        </w:rPr>
        <w:tab/>
        <w:t>Акции и други ценни книжа с променлива доходност</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szCs w:val="16"/>
          <w:bdr w:val="nil"/>
          <w:lang w:val="bg-BG"/>
        </w:rPr>
        <w:t xml:space="preserve">Следната таблица показва равнение от началното до крайното салдо на капиталовите инвестиции: </w:t>
      </w:r>
    </w:p>
    <w:p>
      <w:pPr>
        <w:pBdr>
          <w:top w:val="nil"/>
          <w:left w:val="nil"/>
          <w:bottom w:val="nil"/>
          <w:right w:val="nil"/>
          <w:between w:val="nil"/>
          <w:bar w:val="nil"/>
        </w:pBdr>
        <w:spacing w:before="60" w:after="60"/>
        <w:jc w:val="both"/>
        <w:rPr>
          <w:rFonts w:ascii="Arial" w:hAnsi="Arial"/>
          <w:noProof/>
          <w:sz w:val="16"/>
          <w:szCs w:val="16"/>
          <w:bdr w:val="nil"/>
          <w:lang w:val="bg-BG"/>
        </w:rPr>
      </w:pPr>
      <w:r>
        <w:rPr>
          <w:noProof/>
          <w:lang w:val="bg-BG"/>
        </w:rPr>
        <w:t xml:space="preserve"> </w:t>
      </w:r>
    </w:p>
    <w:tbl>
      <w:tblPr>
        <w:tblStyle w:val="CDMRange115"/>
        <w:tblW w:w="9690" w:type="dxa"/>
        <w:tblLayout w:type="fixed"/>
        <w:tblLook w:val="0600" w:firstRow="0" w:lastRow="0" w:firstColumn="0" w:lastColumn="0" w:noHBand="1" w:noVBand="1"/>
      </w:tblPr>
      <w:tblGrid>
        <w:gridCol w:w="5925"/>
        <w:gridCol w:w="1425"/>
        <w:gridCol w:w="1260"/>
        <w:gridCol w:w="1080"/>
      </w:tblGrid>
      <w:tr>
        <w:trPr>
          <w:trHeight w:val="42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Фондове за рисков капитал</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Преки капиталови инвестиции</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Стойност към 1 януари 2019 г.</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421,593</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93,214</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514,807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90,972</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15,971</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106,943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Възстановени суми/продажби</w:t>
            </w:r>
          </w:p>
        </w:tc>
        <w:tc>
          <w:tcPr>
            <w:tcW w:w="14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-56,387</w:t>
            </w:r>
          </w:p>
        </w:tc>
        <w:tc>
          <w:tcPr>
            <w:tcW w:w="12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-13,361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-69,748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Разлики във валутните курсове </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6,126</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281</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6,407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noProof/>
                <w:color w:val="000000"/>
                <w:sz w:val="16"/>
                <w:lang w:val="bg-BG"/>
              </w:rPr>
            </w:pPr>
            <w:r>
              <w:rPr>
                <w:rFonts w:ascii="Arial" w:hAnsi="Arial"/>
                <w:b/>
                <w:noProof/>
                <w:color w:val="000000"/>
                <w:sz w:val="16"/>
                <w:lang w:val="bg-BG"/>
              </w:rPr>
              <w:t>Стойност към 31 декември 2019 г.</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noProof/>
                <w:color w:val="000000"/>
                <w:sz w:val="16"/>
                <w:lang w:val="bg-BG"/>
              </w:rPr>
            </w:pPr>
            <w:r>
              <w:rPr>
                <w:rFonts w:ascii="Arial" w:hAnsi="Arial"/>
                <w:b/>
                <w:noProof/>
                <w:color w:val="000000"/>
                <w:sz w:val="16"/>
                <w:lang w:val="bg-BG"/>
              </w:rPr>
              <w:t>462,304</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noProof/>
                <w:color w:val="000000"/>
                <w:sz w:val="16"/>
                <w:lang w:val="bg-BG"/>
              </w:rPr>
            </w:pPr>
            <w:r>
              <w:rPr>
                <w:rFonts w:ascii="Arial" w:hAnsi="Arial"/>
                <w:b/>
                <w:noProof/>
                <w:color w:val="000000"/>
                <w:sz w:val="16"/>
                <w:lang w:val="bg-BG"/>
              </w:rPr>
              <w:t>96,105</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noProof/>
                <w:color w:val="000000"/>
                <w:sz w:val="16"/>
                <w:lang w:val="bg-BG"/>
              </w:rPr>
            </w:pPr>
            <w:r>
              <w:rPr>
                <w:rFonts w:ascii="Arial" w:hAnsi="Arial"/>
                <w:b/>
                <w:noProof/>
                <w:color w:val="000000"/>
                <w:sz w:val="16"/>
                <w:lang w:val="bg-BG"/>
              </w:rPr>
              <w:t>558,409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14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2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noProof/>
                <w:color w:val="000000"/>
                <w:sz w:val="16"/>
                <w:lang w:val="bg-BG"/>
              </w:rPr>
            </w:pPr>
            <w:r>
              <w:rPr>
                <w:rFonts w:ascii="Arial" w:hAnsi="Arial"/>
                <w:b/>
                <w:noProof/>
                <w:color w:val="000000"/>
                <w:sz w:val="16"/>
                <w:lang w:val="bg-BG"/>
              </w:rPr>
              <w:t>Нереализирани печалби и загуби към 1 януари 2019 г.</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noProof/>
                <w:color w:val="000000"/>
                <w:sz w:val="16"/>
                <w:lang w:val="bg-BG"/>
              </w:rPr>
            </w:pPr>
            <w:r>
              <w:rPr>
                <w:rFonts w:ascii="Arial" w:hAnsi="Arial"/>
                <w:b/>
                <w:noProof/>
                <w:color w:val="000000"/>
                <w:sz w:val="16"/>
                <w:lang w:val="bg-BG"/>
              </w:rPr>
              <w:t>45,559</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noProof/>
                <w:color w:val="000000"/>
                <w:sz w:val="16"/>
                <w:lang w:val="bg-BG"/>
              </w:rPr>
            </w:pPr>
            <w:r>
              <w:rPr>
                <w:rFonts w:ascii="Arial" w:hAnsi="Arial"/>
                <w:b/>
                <w:noProof/>
                <w:color w:val="000000"/>
                <w:sz w:val="16"/>
                <w:lang w:val="bg-BG"/>
              </w:rPr>
              <w:t>6,926</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noProof/>
                <w:color w:val="000000"/>
                <w:sz w:val="16"/>
                <w:lang w:val="bg-BG"/>
              </w:rPr>
            </w:pPr>
            <w:r>
              <w:rPr>
                <w:rFonts w:ascii="Arial" w:hAnsi="Arial"/>
                <w:b/>
                <w:noProof/>
                <w:color w:val="000000"/>
                <w:sz w:val="16"/>
                <w:lang w:val="bg-BG"/>
              </w:rPr>
              <w:t>52,485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Нетна промяна в нереализираните печалби и загуби</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-3,488</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12,117*</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319</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noProof/>
                <w:color w:val="000000"/>
                <w:sz w:val="16"/>
                <w:lang w:val="bg-BG"/>
              </w:rPr>
            </w:pPr>
            <w:r>
              <w:rPr>
                <w:rFonts w:ascii="Arial" w:hAnsi="Arial"/>
                <w:b/>
                <w:noProof/>
                <w:color w:val="000000"/>
                <w:sz w:val="16"/>
                <w:lang w:val="bg-BG"/>
              </w:rPr>
              <w:t>Нереализирани печалби и загуби към 31 декември 2019 г.</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noProof/>
                <w:color w:val="000000"/>
                <w:sz w:val="16"/>
                <w:lang w:val="bg-BG"/>
              </w:rPr>
            </w:pPr>
            <w:r>
              <w:rPr>
                <w:rFonts w:ascii="Arial" w:hAnsi="Arial"/>
                <w:b/>
                <w:noProof/>
                <w:color w:val="000000"/>
                <w:sz w:val="16"/>
                <w:lang w:val="bg-BG"/>
              </w:rPr>
              <w:t>42,390</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noProof/>
                <w:color w:val="000000"/>
                <w:sz w:val="16"/>
                <w:lang w:val="bg-BG"/>
              </w:rPr>
            </w:pPr>
            <w:r>
              <w:rPr>
                <w:rFonts w:ascii="Arial" w:hAnsi="Arial"/>
                <w:b/>
                <w:noProof/>
                <w:color w:val="000000"/>
                <w:sz w:val="16"/>
                <w:lang w:val="bg-BG"/>
              </w:rPr>
              <w:t>19,129</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noProof/>
                <w:color w:val="000000"/>
                <w:sz w:val="16"/>
                <w:lang w:val="bg-BG"/>
              </w:rPr>
            </w:pPr>
            <w:r>
              <w:rPr>
                <w:rFonts w:ascii="Arial" w:hAnsi="Arial"/>
                <w:b/>
                <w:noProof/>
                <w:color w:val="000000"/>
                <w:sz w:val="16"/>
                <w:lang w:val="bg-BG"/>
              </w:rPr>
              <w:t>61,519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1425" w:type="dxa"/>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1260" w:type="dxa"/>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Акции и други ценни книжа с променлива доходност към 31 декември 2019 г.</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504,694</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115,234</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619,928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690" w:type="dxa"/>
            <w:gridSpan w:val="4"/>
            <w:tcBorders>
              <w:top w:val="nil"/>
              <w:left w:val="nil"/>
              <w:bottom w:val="nil"/>
              <w:right w:val="nil"/>
              <w:tl2br w:val="nil"/>
              <w:tr2bl w:val="nil"/>
            </w:tcBorders>
            <w:shd w:val="clear" w:color="auto" w:fill="auto"/>
            <w:tcMar>
              <w:left w:w="40" w:type="dxa"/>
              <w:right w:w="40" w:type="dxa"/>
            </w:tcMar>
            <w:vAlign w:val="center"/>
          </w:tcPr>
          <w:p>
            <w:pPr>
              <w:spacing w:before="40"/>
              <w:jc w:val="both"/>
              <w:rPr>
                <w:rFonts w:ascii="Arial" w:eastAsia="Arial" w:hAnsi="Arial" w:cs="Arial"/>
                <w:b/>
                <w:noProof/>
                <w:color w:val="000000"/>
                <w:sz w:val="16"/>
                <w:lang w:val="bg-BG"/>
              </w:rPr>
            </w:pPr>
            <w:r>
              <w:rPr>
                <w:rFonts w:ascii="Arial" w:hAnsi="Arial"/>
                <w:noProof/>
                <w:color w:val="000000"/>
                <w:sz w:val="16"/>
                <w:lang w:val="bg-BG"/>
              </w:rPr>
              <w:t>* Включва неточност по отношение на справедливата оценка, извършена към 31 декември 2018 г., за сума от 5,853 хиляди евро, която бе коригирана през 2019 г. Като се изключи това, нетната промяна в нереализираните печалби и загуби би възлязла на 17,970 хиляди евро за финансовата 2019 година.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592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42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26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08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59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Фондове за рисков капитал</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Преки капиталови инвестиции</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Стойност към 1 януари 2018 г.</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356,086</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70,310</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426,396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Извършени плащания</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73,250</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22,184</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Възстановени суми/продажби</w:t>
            </w:r>
          </w:p>
        </w:tc>
        <w:tc>
          <w:tcPr>
            <w:tcW w:w="14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-21,681</w:t>
            </w:r>
          </w:p>
        </w:tc>
        <w:tc>
          <w:tcPr>
            <w:tcW w:w="12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-635</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-22,316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Разлики във валутните курсове </w:t>
            </w:r>
          </w:p>
        </w:tc>
        <w:tc>
          <w:tcPr>
            <w:tcW w:w="142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13,938</w:t>
            </w:r>
          </w:p>
        </w:tc>
        <w:tc>
          <w:tcPr>
            <w:tcW w:w="126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1,355</w:t>
            </w:r>
          </w:p>
        </w:tc>
        <w:tc>
          <w:tcPr>
            <w:tcW w:w="108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15,293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Стойност към 31 декември 2018 г.</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421,593</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93,214</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514,807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14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2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Нереализирани печалби и загуби към 1 януари 2018 г.</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64,018</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7,125</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71,143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Нетна промяна в нереализираните печалби и загуби</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-20,493</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-172</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Разлики във валутните курсове </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2,034</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Нереализирани печалби и загуби към 31 декември 2018 г.</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45,559</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6,926</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52,485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0" w:type="dxa"/>
              <w:right w:w="0" w:type="dxa"/>
            </w:tcMar>
            <w:vAlign w:val="center"/>
          </w:tcPr>
          <w:p>
            <w:pPr>
              <w:rPr>
                <w:rFonts w:ascii="Arial" w:eastAsia="Arial" w:hAnsi="Arial" w:cs="Arial"/>
                <w:b/>
                <w:noProof/>
                <w:color w:val="000000"/>
                <w:sz w:val="16"/>
                <w:lang w:val="bg-BG"/>
              </w:rPr>
            </w:pPr>
          </w:p>
        </w:tc>
        <w:tc>
          <w:tcPr>
            <w:tcW w:w="1425"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26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Акции и други ценни книжа с променлива доходност към 31 декември 2018 г.</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467,152</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100,140</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567,292</w:t>
            </w:r>
          </w:p>
        </w:tc>
      </w:tr>
    </w:tbl>
    <w:p>
      <w:pPr>
        <w:pageBreakBefore/>
        <w:numPr>
          <w:ilvl w:val="0"/>
          <w:numId w:val="108"/>
        </w:num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lang w:val="bg-BG" w:eastAsia="ar-SA"/>
        </w:rPr>
      </w:pPr>
      <w:r>
        <w:rPr>
          <w:rFonts w:ascii="Arial" w:hAnsi="Arial"/>
          <w:b/>
          <w:noProof/>
          <w:sz w:val="20"/>
          <w:bdr w:val="nil"/>
          <w:lang w:val="bg-BG" w:eastAsia="ar-SA"/>
        </w:rPr>
        <w:t>9</w:t>
      </w:r>
      <w:r>
        <w:rPr>
          <w:rFonts w:ascii="Arial" w:hAnsi="Arial"/>
          <w:b/>
          <w:noProof/>
          <w:sz w:val="20"/>
          <w:bdr w:val="nil"/>
          <w:lang w:val="bg-BG" w:eastAsia="ar-SA"/>
        </w:rPr>
        <w:tab/>
        <w:t xml:space="preserve">Вземания от вносителите </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szCs w:val="16"/>
          <w:bdr w:val="nil"/>
          <w:lang w:val="bg-BG"/>
        </w:rPr>
        <w:t>Вземанията в размер на 86 330 хиляди евро от вносителите се състоят изцяло от поискани, но неизплатени вноски на държавите членки.</w:t>
      </w:r>
    </w:p>
    <w:p>
      <w:pPr>
        <w:pBdr>
          <w:top w:val="nil"/>
          <w:left w:val="nil"/>
          <w:bottom w:val="nil"/>
          <w:right w:val="nil"/>
          <w:between w:val="nil"/>
          <w:bar w:val="nil"/>
        </w:pBdr>
        <w:spacing w:before="60" w:after="60"/>
        <w:jc w:val="both"/>
        <w:rPr>
          <w:rFonts w:ascii="Arial" w:hAnsi="Arial"/>
          <w:noProof/>
          <w:sz w:val="16"/>
          <w:bdr w:val="nil"/>
          <w:lang w:val="bg-BG"/>
        </w:rPr>
      </w:pPr>
      <w:r>
        <w:rPr>
          <w:noProof/>
          <w:lang w:val="bg-BG"/>
        </w:rPr>
        <w:t xml:space="preserve"> </w:t>
      </w:r>
    </w:p>
    <w:p>
      <w:pPr>
        <w:numPr>
          <w:ilvl w:val="0"/>
          <w:numId w:val="108"/>
        </w:num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lang w:val="bg-BG" w:eastAsia="ar-SA"/>
        </w:rPr>
      </w:pPr>
      <w:r>
        <w:rPr>
          <w:rFonts w:ascii="Arial" w:hAnsi="Arial"/>
          <w:b/>
          <w:noProof/>
          <w:sz w:val="20"/>
          <w:bdr w:val="nil"/>
          <w:lang w:val="bg-BG" w:eastAsia="ar-SA"/>
        </w:rPr>
        <w:t>10</w:t>
      </w:r>
      <w:r>
        <w:rPr>
          <w:rFonts w:ascii="Arial" w:hAnsi="Arial"/>
          <w:b/>
          <w:noProof/>
          <w:sz w:val="20"/>
          <w:bdr w:val="nil"/>
          <w:lang w:val="bg-BG" w:eastAsia="ar-SA"/>
        </w:rPr>
        <w:tab/>
        <w:t>Касови финансови активи</w:t>
      </w:r>
    </w:p>
    <w:p>
      <w:pPr>
        <w:pBdr>
          <w:top w:val="nil"/>
          <w:left w:val="nil"/>
          <w:bottom w:val="nil"/>
          <w:right w:val="nil"/>
          <w:between w:val="nil"/>
          <w:bar w:val="nil"/>
        </w:pBdr>
        <w:spacing w:before="60" w:after="60"/>
        <w:jc w:val="both"/>
        <w:rPr>
          <w:noProof/>
          <w:sz w:val="16"/>
          <w:szCs w:val="16"/>
          <w:bdr w:val="nil"/>
          <w:lang w:val="bg-BG"/>
        </w:rPr>
      </w:pPr>
    </w:p>
    <w:p>
      <w:pPr>
        <w:pBdr>
          <w:top w:val="nil"/>
          <w:left w:val="nil"/>
          <w:bottom w:val="nil"/>
          <w:right w:val="nil"/>
          <w:between w:val="nil"/>
          <w:bar w:val="nil"/>
        </w:pBdr>
        <w:spacing w:before="60" w:after="60"/>
        <w:jc w:val="both"/>
        <w:rPr>
          <w:noProof/>
          <w:sz w:val="16"/>
          <w:lang w:val="bg-BG"/>
        </w:rPr>
      </w:pPr>
      <w:r>
        <w:rPr>
          <w:rFonts w:ascii="Arial" w:hAnsi="Arial"/>
          <w:noProof/>
          <w:sz w:val="16"/>
          <w:szCs w:val="16"/>
          <w:bdr w:val="nil"/>
          <w:lang w:val="bg-BG"/>
        </w:rPr>
        <w:t xml:space="preserve">Касовият портфейл се състои от облигации, търгувани на фондовата борса, които имат остатъчен падеж, по-кратък от три месеца, към отчетната дата. Следната таблица показва движението по касовия портфейл: </w:t>
      </w:r>
      <w:r>
        <w:rPr>
          <w:noProof/>
          <w:sz w:val="16"/>
          <w:szCs w:val="16"/>
          <w:lang w:val="bg-BG"/>
        </w:rPr>
        <w:t xml:space="preserve"> </w:t>
      </w:r>
    </w:p>
    <w:p>
      <w:pPr>
        <w:pBdr>
          <w:top w:val="nil"/>
          <w:left w:val="nil"/>
          <w:bottom w:val="nil"/>
          <w:right w:val="nil"/>
          <w:between w:val="nil"/>
          <w:bar w:val="nil"/>
        </w:pBdr>
        <w:spacing w:before="60" w:after="60"/>
        <w:jc w:val="both"/>
        <w:rPr>
          <w:rFonts w:ascii="Arial" w:hAnsi="Arial" w:cs="Arial"/>
          <w:noProof/>
          <w:sz w:val="16"/>
          <w:lang w:val="bg-BG"/>
        </w:rPr>
      </w:pPr>
    </w:p>
    <w:tbl>
      <w:tblPr>
        <w:tblStyle w:val="CDMRange215"/>
        <w:tblW w:w="5000" w:type="pct"/>
        <w:tblLayout w:type="fixed"/>
        <w:tblLook w:val="0600" w:firstRow="0" w:lastRow="0" w:firstColumn="0" w:lastColumn="0" w:noHBand="1" w:noVBand="1"/>
      </w:tblPr>
      <w:tblGrid>
        <w:gridCol w:w="8223"/>
        <w:gridCol w:w="1456"/>
      </w:tblGrid>
      <w:tr>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752"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1 януари 2019 г.</w:t>
            </w:r>
          </w:p>
        </w:tc>
        <w:tc>
          <w:tcPr>
            <w:tcW w:w="752"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335,140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Придобивания</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2,948,021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Падежи</w:t>
            </w:r>
          </w:p>
        </w:tc>
        <w:tc>
          <w:tcPr>
            <w:tcW w:w="752"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-2,952,905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амортизацията на ажио/дизажио</w:t>
            </w:r>
          </w:p>
        </w:tc>
        <w:tc>
          <w:tcPr>
            <w:tcW w:w="752"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Промяна в начислената лихва </w:t>
            </w:r>
          </w:p>
        </w:tc>
        <w:tc>
          <w:tcPr>
            <w:tcW w:w="752"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31 декември 2019 г.</w:t>
            </w:r>
          </w:p>
        </w:tc>
        <w:tc>
          <w:tcPr>
            <w:tcW w:w="752"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330,587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4248"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52"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4248" w:type="pct"/>
            <w:tcBorders>
              <w:top w:val="single" w:sz="4"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752"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1 януари 2018 г.</w:t>
            </w:r>
          </w:p>
        </w:tc>
        <w:tc>
          <w:tcPr>
            <w:tcW w:w="752" w:type="pct"/>
            <w:tcBorders>
              <w:top w:val="nil"/>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144,382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Придобивания</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2,219,062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Падежи </w:t>
            </w:r>
          </w:p>
        </w:tc>
        <w:tc>
          <w:tcPr>
            <w:tcW w:w="752"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-2,026,659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Промяна в амортизацията на ажио/дизажио</w:t>
            </w:r>
          </w:p>
        </w:tc>
        <w:tc>
          <w:tcPr>
            <w:tcW w:w="752"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 xml:space="preserve">Промяна в начислената лихва </w:t>
            </w:r>
          </w:p>
        </w:tc>
        <w:tc>
          <w:tcPr>
            <w:tcW w:w="752"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FFFFFF" w:fill="BFBFBF"/>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31 декември 2018 г.</w:t>
            </w:r>
          </w:p>
        </w:tc>
        <w:tc>
          <w:tcPr>
            <w:tcW w:w="752" w:type="pct"/>
            <w:tcBorders>
              <w:top w:val="nil"/>
              <w:left w:val="nil"/>
              <w:bottom w:val="nil"/>
              <w:right w:val="nil"/>
              <w:tl2br w:val="nil"/>
              <w:tr2bl w:val="nil"/>
            </w:tcBorders>
            <w:shd w:val="clear" w:color="FFFFFF" w:fill="BFBFBF"/>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335,140</w:t>
            </w:r>
          </w:p>
        </w:tc>
      </w:tr>
    </w:tbl>
    <w:p>
      <w:pPr>
        <w:pBdr>
          <w:top w:val="nil"/>
          <w:left w:val="nil"/>
          <w:bottom w:val="nil"/>
          <w:right w:val="nil"/>
          <w:between w:val="nil"/>
          <w:bar w:val="nil"/>
        </w:pBdr>
        <w:spacing w:before="60" w:after="60"/>
        <w:rPr>
          <w:rFonts w:ascii="Arial" w:hAnsi="Arial"/>
          <w:noProof/>
          <w:sz w:val="16"/>
          <w:bdr w:val="nil"/>
          <w:lang w:val="bg-BG"/>
        </w:rPr>
      </w:pPr>
    </w:p>
    <w:p>
      <w:pPr>
        <w:numPr>
          <w:ilvl w:val="0"/>
          <w:numId w:val="108"/>
        </w:num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lang w:val="bg-BG" w:eastAsia="ar-SA"/>
        </w:rPr>
      </w:pPr>
      <w:r>
        <w:rPr>
          <w:rFonts w:ascii="Arial" w:hAnsi="Arial"/>
          <w:b/>
          <w:noProof/>
          <w:sz w:val="20"/>
          <w:bdr w:val="nil"/>
          <w:lang w:val="bg-BG" w:eastAsia="ar-SA"/>
        </w:rPr>
        <w:t>11</w:t>
      </w:r>
      <w:r>
        <w:rPr>
          <w:rFonts w:ascii="Arial" w:hAnsi="Arial"/>
          <w:b/>
          <w:noProof/>
          <w:sz w:val="20"/>
          <w:bdr w:val="nil"/>
          <w:lang w:val="bg-BG" w:eastAsia="ar-SA"/>
        </w:rPr>
        <w:tab/>
        <w:t>Други активи</w:t>
      </w:r>
    </w:p>
    <w:p>
      <w:pPr>
        <w:pBdr>
          <w:top w:val="nil"/>
          <w:left w:val="nil"/>
          <w:bottom w:val="nil"/>
          <w:right w:val="nil"/>
          <w:between w:val="nil"/>
          <w:bar w:val="nil"/>
        </w:pBdr>
        <w:spacing w:before="60" w:after="60"/>
        <w:jc w:val="both"/>
        <w:rPr>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szCs w:val="16"/>
          <w:bdr w:val="nil"/>
          <w:lang w:val="bg-BG"/>
        </w:rPr>
        <w:t>Основните компоненти на другите активи са следните:</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Style w:val="CDMRange116"/>
        <w:tblW w:w="5000" w:type="pct"/>
        <w:tblLayout w:type="fixed"/>
        <w:tblLook w:val="0600" w:firstRow="0" w:lastRow="0" w:firstColumn="0" w:lastColumn="0" w:noHBand="1" w:noVBand="1"/>
      </w:tblPr>
      <w:tblGrid>
        <w:gridCol w:w="6795"/>
        <w:gridCol w:w="1462"/>
        <w:gridCol w:w="1462"/>
      </w:tblGrid>
      <w:tr>
        <w:trPr>
          <w:trHeight w:val="250"/>
        </w:trPr>
        <w:tc>
          <w:tcPr>
            <w:tcW w:w="3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single" w:sz="4" w:space="0" w:color="auto"/>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Финансови гаранции</w:t>
            </w:r>
          </w:p>
        </w:tc>
        <w:tc>
          <w:tcPr>
            <w:tcW w:w="752" w:type="pct"/>
            <w:tcBorders>
              <w:top w:val="single" w:sz="4"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52" w:type="pct"/>
            <w:tcBorders>
              <w:top w:val="single" w:sz="4" w:space="0" w:color="auto"/>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други активи</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171</w:t>
            </w:r>
          </w:p>
        </w:tc>
      </w:tr>
    </w:tbl>
    <w:p>
      <w:pPr>
        <w:pBdr>
          <w:top w:val="nil"/>
          <w:left w:val="nil"/>
          <w:bottom w:val="nil"/>
          <w:right w:val="nil"/>
          <w:between w:val="nil"/>
          <w:bar w:val="nil"/>
        </w:pBdr>
        <w:rPr>
          <w:rFonts w:ascii="Arial" w:hAnsi="Arial"/>
          <w:noProof/>
          <w:sz w:val="16"/>
          <w:bdr w:val="nil"/>
          <w:lang w:val="bg-BG"/>
        </w:rPr>
      </w:pPr>
    </w:p>
    <w:p>
      <w:pPr>
        <w:numPr>
          <w:ilvl w:val="0"/>
          <w:numId w:val="108"/>
        </w:num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lang w:val="bg-BG" w:eastAsia="ar-SA"/>
        </w:rPr>
      </w:pPr>
      <w:r>
        <w:rPr>
          <w:rFonts w:ascii="Arial" w:hAnsi="Arial"/>
          <w:b/>
          <w:noProof/>
          <w:sz w:val="20"/>
          <w:bdr w:val="nil"/>
          <w:lang w:val="bg-BG" w:eastAsia="ar-SA"/>
        </w:rPr>
        <w:t>12    Приходи за бъдещи периоди</w:t>
      </w:r>
    </w:p>
    <w:p>
      <w:pPr>
        <w:pBdr>
          <w:top w:val="nil"/>
          <w:left w:val="nil"/>
          <w:bottom w:val="nil"/>
          <w:right w:val="nil"/>
          <w:between w:val="nil"/>
          <w:bar w:val="nil"/>
        </w:pBdr>
        <w:spacing w:before="60" w:after="60"/>
        <w:jc w:val="both"/>
        <w:rPr>
          <w:rFonts w:ascii="Arial" w:hAnsi="Arial"/>
          <w:b/>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szCs w:val="16"/>
          <w:bdr w:val="nil"/>
          <w:lang w:val="bg-BG"/>
        </w:rPr>
        <w:t>Основните компоненти на приходите за бъдещи периоди са следните:</w:t>
      </w:r>
    </w:p>
    <w:p>
      <w:pPr>
        <w:pBdr>
          <w:top w:val="nil"/>
          <w:left w:val="nil"/>
          <w:bottom w:val="nil"/>
          <w:right w:val="nil"/>
          <w:between w:val="nil"/>
          <w:bar w:val="nil"/>
        </w:pBdr>
        <w:spacing w:after="60"/>
        <w:rPr>
          <w:rFonts w:ascii="Arial" w:hAnsi="Arial"/>
          <w:b/>
          <w:noProof/>
          <w:sz w:val="16"/>
          <w:szCs w:val="16"/>
          <w:bdr w:val="nil"/>
          <w:lang w:val="bg-BG"/>
        </w:rPr>
      </w:pPr>
      <w:r>
        <w:rPr>
          <w:noProof/>
          <w:lang w:val="bg-BG"/>
        </w:rPr>
        <w:t xml:space="preserve"> </w:t>
      </w:r>
    </w:p>
    <w:tbl>
      <w:tblPr>
        <w:tblStyle w:val="CDMRange216"/>
        <w:tblW w:w="5000" w:type="pct"/>
        <w:tblLayout w:type="fixed"/>
        <w:tblLook w:val="0600" w:firstRow="0" w:lastRow="0" w:firstColumn="0" w:lastColumn="0" w:noHBand="1" w:noVBand="1"/>
      </w:tblPr>
      <w:tblGrid>
        <w:gridCol w:w="6795"/>
        <w:gridCol w:w="1462"/>
        <w:gridCol w:w="1462"/>
      </w:tblGrid>
      <w:tr>
        <w:trPr>
          <w:trHeight w:val="250"/>
        </w:trPr>
        <w:tc>
          <w:tcPr>
            <w:tcW w:w="3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Отложени лихвени субсидии</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32,085</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32,658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Отложени комисионни за заеми и аванси</w:t>
            </w:r>
          </w:p>
        </w:tc>
        <w:tc>
          <w:tcPr>
            <w:tcW w:w="752"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481</w:t>
            </w:r>
          </w:p>
        </w:tc>
        <w:tc>
          <w:tcPr>
            <w:tcW w:w="752"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приходи за бъдещи периоди</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32,566</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33,764</w:t>
            </w:r>
          </w:p>
        </w:tc>
      </w:tr>
    </w:tbl>
    <w:p>
      <w:pPr>
        <w:pBdr>
          <w:top w:val="nil"/>
          <w:left w:val="nil"/>
          <w:bottom w:val="nil"/>
          <w:right w:val="nil"/>
          <w:between w:val="nil"/>
          <w:bar w:val="nil"/>
        </w:pBdr>
        <w:spacing w:before="60" w:after="60"/>
        <w:jc w:val="both"/>
        <w:rPr>
          <w:noProof/>
          <w:bdr w:val="nil"/>
          <w:lang w:val="bg-BG"/>
        </w:rPr>
      </w:pPr>
    </w:p>
    <w:p>
      <w:pPr>
        <w:pageBreakBefore/>
        <w:numPr>
          <w:ilvl w:val="0"/>
          <w:numId w:val="108"/>
        </w:numPr>
        <w:pBdr>
          <w:top w:val="nil"/>
          <w:left w:val="nil"/>
          <w:bottom w:val="nil"/>
          <w:right w:val="nil"/>
          <w:between w:val="nil"/>
          <w:bar w:val="nil"/>
        </w:pBdr>
        <w:tabs>
          <w:tab w:val="center" w:pos="4320"/>
          <w:tab w:val="right" w:pos="8640"/>
        </w:tabs>
        <w:suppressAutoHyphens/>
        <w:spacing w:before="120" w:after="120"/>
        <w:jc w:val="both"/>
        <w:rPr>
          <w:rFonts w:ascii="Arial" w:hAnsi="Arial"/>
          <w:b/>
          <w:noProof/>
          <w:sz w:val="20"/>
          <w:bdr w:val="nil"/>
          <w:lang w:val="bg-BG" w:eastAsia="ar-SA"/>
        </w:rPr>
      </w:pPr>
      <w:r>
        <w:rPr>
          <w:rFonts w:ascii="Arial" w:hAnsi="Arial"/>
          <w:b/>
          <w:noProof/>
          <w:sz w:val="20"/>
          <w:bdr w:val="nil"/>
          <w:lang w:val="bg-BG" w:eastAsia="ar-SA"/>
        </w:rPr>
        <w:t>13</w:t>
      </w:r>
      <w:r>
        <w:rPr>
          <w:rFonts w:ascii="Arial" w:hAnsi="Arial"/>
          <w:b/>
          <w:noProof/>
          <w:sz w:val="20"/>
          <w:bdr w:val="nil"/>
          <w:lang w:val="bg-BG" w:eastAsia="ar-SA"/>
        </w:rPr>
        <w:tab/>
        <w:t>Провизии за издадени гаранции, без корекции</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szCs w:val="16"/>
          <w:bdr w:val="nil"/>
          <w:lang w:val="bg-BG"/>
        </w:rPr>
        <w:t>Следните таблици показват равнение от началното до крайното салдо на провизиите за финансови гаранции по модела на ОКЗ съгласно МСФО 9:</w:t>
      </w:r>
    </w:p>
    <w:p>
      <w:pPr>
        <w:pBdr>
          <w:top w:val="nil"/>
          <w:left w:val="nil"/>
          <w:bottom w:val="nil"/>
          <w:right w:val="nil"/>
          <w:between w:val="nil"/>
          <w:bar w:val="nil"/>
        </w:pBdr>
        <w:spacing w:before="60" w:after="60"/>
        <w:jc w:val="both"/>
        <w:rPr>
          <w:rFonts w:ascii="Arial" w:hAnsi="Arial"/>
          <w:noProof/>
          <w:sz w:val="16"/>
          <w:szCs w:val="16"/>
          <w:bdr w:val="nil"/>
          <w:lang w:val="bg-BG"/>
        </w:rPr>
      </w:pPr>
      <w:r>
        <w:rPr>
          <w:noProof/>
          <w:lang w:val="bg-BG"/>
        </w:rPr>
        <w:t xml:space="preserve"> </w:t>
      </w:r>
    </w:p>
    <w:tbl>
      <w:tblPr>
        <w:tblStyle w:val="CDMRange117"/>
        <w:tblW w:w="5000" w:type="pct"/>
        <w:tblLayout w:type="fixed"/>
        <w:tblLook w:val="0600" w:firstRow="0" w:lastRow="0" w:firstColumn="0" w:lastColumn="0" w:noHBand="1" w:noVBand="1"/>
      </w:tblPr>
      <w:tblGrid>
        <w:gridCol w:w="4149"/>
        <w:gridCol w:w="1382"/>
        <w:gridCol w:w="1382"/>
        <w:gridCol w:w="1382"/>
        <w:gridCol w:w="1384"/>
      </w:tblGrid>
      <w:tr>
        <w:trPr>
          <w:trHeight w:hRule="exact" w:val="250"/>
        </w:trPr>
        <w:tc>
          <w:tcPr>
            <w:tcW w:w="21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2857"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jc w:val="center"/>
              <w:rPr>
                <w:rFonts w:ascii="Arial" w:eastAsia="Arial" w:hAnsi="Arial" w:cs="Arial"/>
                <w:b/>
                <w:noProof/>
                <w:color w:val="000000"/>
                <w:sz w:val="16"/>
                <w:lang w:val="bg-BG"/>
              </w:rPr>
            </w:pPr>
            <w:r>
              <w:rPr>
                <w:rFonts w:ascii="Arial" w:hAnsi="Arial"/>
                <w:b/>
                <w:noProof/>
                <w:color w:val="000000"/>
                <w:sz w:val="16"/>
                <w:lang w:val="bg-BG"/>
              </w:rPr>
              <w:t>2019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143" w:type="pct"/>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714"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12-месечни ОКЗ</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ОКЗ през целия жизнен цикъл без кредитна обезценка</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ОКЗ през целия жизнен цикъл с кредитна обезценка</w:t>
            </w:r>
          </w:p>
        </w:tc>
        <w:tc>
          <w:tcPr>
            <w:tcW w:w="71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Издадени гаранции </w:t>
            </w: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7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1 януари</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94</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699</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Трансфер към 12-месечни ОКЗ</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534</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Трансфер към ОКЗ през целия жизнен цикъл без кредитна обезценка</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Трансфер към ОКЗ през целия жизнен цикъл с кредитна обезценка</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Гаранции, които са отписани</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-588</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-588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Искания за задействане на гаранции</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Амортизация на авансови такси</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-71</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Салдо към 31 декември </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628</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15"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5"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5"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2857"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jc w:val="center"/>
              <w:rPr>
                <w:rFonts w:ascii="Arial" w:eastAsia="Arial" w:hAnsi="Arial" w:cs="Arial"/>
                <w:b/>
                <w:noProof/>
                <w:color w:val="000000"/>
                <w:sz w:val="16"/>
                <w:lang w:val="bg-BG"/>
              </w:rPr>
            </w:pPr>
            <w:r>
              <w:rPr>
                <w:rFonts w:ascii="Arial" w:hAnsi="Arial"/>
                <w:b/>
                <w:noProof/>
                <w:color w:val="000000"/>
                <w:sz w:val="16"/>
                <w:lang w:val="bg-BG"/>
              </w:rPr>
              <w:t>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143" w:type="pct"/>
            <w:tcBorders>
              <w:top w:val="nil"/>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714"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12-месечни ОКЗ</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ОКЗ през целия жизнен цикъл без кредитна обезценка</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ОКЗ през целия жизнен цикъл с кредитна обезценка</w:t>
            </w:r>
          </w:p>
        </w:tc>
        <w:tc>
          <w:tcPr>
            <w:tcW w:w="71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 xml:space="preserve">Издадени гаранции </w:t>
            </w: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c>
          <w:tcPr>
            <w:tcW w:w="7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1 януари</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484</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Трансфер към 12-месечни ОКЗ</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94</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Трансфер към ОКЗ през целия жизнен цикъл без кредитна обезценка</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391</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Трансфер към ОКЗ през целия жизнен цикъл с кредитна обезценка</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Гаранции, които са отписани</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sz w:val="16"/>
                <w:szCs w:val="16"/>
                <w:lang w:val="bg-BG"/>
              </w:rPr>
              <w:t>Искания за задействане на гаранции</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Амортизация на авансови такси</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-128</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Разлики във валутните курсове</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w:t>
            </w:r>
          </w:p>
        </w:tc>
        <w:tc>
          <w:tcPr>
            <w:tcW w:w="714"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Салдо към 31 декември</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94</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699</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w:t>
            </w:r>
          </w:p>
        </w:tc>
        <w:tc>
          <w:tcPr>
            <w:tcW w:w="715" w:type="pct"/>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143"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715" w:type="pct"/>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bl>
    <w:p>
      <w:pPr>
        <w:pBdr>
          <w:top w:val="nil"/>
          <w:left w:val="nil"/>
          <w:bottom w:val="nil"/>
          <w:right w:val="nil"/>
          <w:between w:val="nil"/>
          <w:bar w:val="nil"/>
        </w:pBdr>
        <w:rPr>
          <w:noProof/>
          <w:bdr w:val="nil"/>
          <w:lang w:val="bg-BG"/>
        </w:rPr>
      </w:pPr>
    </w:p>
    <w:p>
      <w:pPr>
        <w:rPr>
          <w:noProof/>
          <w:bdr w:val="nil"/>
          <w:lang w:val="bg-BG"/>
        </w:rPr>
      </w:pPr>
      <w:r>
        <w:rPr>
          <w:noProof/>
          <w:lang w:val="bg-BG"/>
        </w:rPr>
        <w:br w:type="page"/>
      </w:r>
    </w:p>
    <w:p>
      <w:pPr>
        <w:numPr>
          <w:ilvl w:val="0"/>
          <w:numId w:val="108"/>
        </w:numPr>
        <w:pBdr>
          <w:top w:val="nil"/>
          <w:left w:val="nil"/>
          <w:bottom w:val="nil"/>
          <w:right w:val="nil"/>
          <w:between w:val="nil"/>
          <w:bar w:val="nil"/>
        </w:pBdr>
        <w:tabs>
          <w:tab w:val="center" w:pos="4320"/>
          <w:tab w:val="right" w:pos="8640"/>
        </w:tabs>
        <w:suppressAutoHyphens/>
        <w:spacing w:before="120" w:after="120" w:line="186" w:lineRule="exact"/>
        <w:ind w:left="431" w:hanging="431"/>
        <w:jc w:val="both"/>
        <w:rPr>
          <w:rFonts w:ascii="Arial" w:hAnsi="Arial" w:cs="Arial"/>
          <w:b/>
          <w:noProof/>
          <w:sz w:val="20"/>
          <w:szCs w:val="20"/>
          <w:bdr w:val="nil"/>
          <w:lang w:val="bg-BG" w:eastAsia="ar-SA"/>
        </w:rPr>
      </w:pPr>
      <w:r>
        <w:rPr>
          <w:rFonts w:ascii="Arial" w:hAnsi="Arial"/>
          <w:b/>
          <w:noProof/>
          <w:sz w:val="20"/>
          <w:szCs w:val="20"/>
          <w:bdr w:val="nil"/>
          <w:lang w:val="bg-BG" w:eastAsia="ar-SA"/>
        </w:rPr>
        <w:t>14</w:t>
      </w:r>
      <w:r>
        <w:rPr>
          <w:rFonts w:ascii="Arial" w:hAnsi="Arial"/>
          <w:b/>
          <w:noProof/>
          <w:sz w:val="20"/>
          <w:szCs w:val="20"/>
          <w:bdr w:val="nil"/>
          <w:lang w:val="bg-BG" w:eastAsia="ar-SA"/>
        </w:rPr>
        <w:tab/>
        <w:t>Провизии за кредитни ангажименти, без корекции</w:t>
      </w:r>
    </w:p>
    <w:p>
      <w:pPr>
        <w:numPr>
          <w:ilvl w:val="0"/>
          <w:numId w:val="108"/>
        </w:numPr>
        <w:pBdr>
          <w:top w:val="nil"/>
          <w:left w:val="nil"/>
          <w:bottom w:val="nil"/>
          <w:right w:val="nil"/>
          <w:between w:val="nil"/>
          <w:bar w:val="nil"/>
        </w:pBdr>
        <w:tabs>
          <w:tab w:val="center" w:pos="4320"/>
          <w:tab w:val="right" w:pos="8640"/>
        </w:tabs>
        <w:suppressAutoHyphens/>
        <w:spacing w:before="60" w:after="60" w:line="186" w:lineRule="exact"/>
        <w:ind w:left="431" w:hanging="431"/>
        <w:jc w:val="both"/>
        <w:rPr>
          <w:rFonts w:ascii="Arial" w:hAnsi="Arial"/>
          <w:b/>
          <w:noProof/>
          <w:sz w:val="16"/>
          <w:szCs w:val="20"/>
          <w:bdr w:val="nil"/>
          <w:lang w:val="bg-BG" w:eastAsia="ar-SA"/>
        </w:rPr>
      </w:pPr>
    </w:p>
    <w:p>
      <w:pPr>
        <w:pBdr>
          <w:top w:val="nil"/>
          <w:left w:val="nil"/>
          <w:bottom w:val="nil"/>
          <w:right w:val="nil"/>
          <w:between w:val="nil"/>
          <w:bar w:val="nil"/>
        </w:pBdr>
        <w:spacing w:after="240" w:line="186" w:lineRule="exact"/>
        <w:jc w:val="both"/>
        <w:rPr>
          <w:rFonts w:ascii="Arial" w:hAnsi="Arial"/>
          <w:noProof/>
          <w:sz w:val="16"/>
          <w:szCs w:val="16"/>
          <w:bdr w:val="nil"/>
          <w:lang w:val="bg-BG"/>
        </w:rPr>
      </w:pPr>
      <w:r>
        <w:rPr>
          <w:rFonts w:ascii="Arial" w:hAnsi="Arial"/>
          <w:noProof/>
          <w:sz w:val="16"/>
          <w:szCs w:val="16"/>
          <w:bdr w:val="nil"/>
          <w:lang w:val="bg-BG"/>
        </w:rPr>
        <w:t>Следната таблица показва равнение от началното до крайното салдо на коректива за загуби по непредоставени заеми (кредитни ангажименти) по модела на ОКЗ съгласно МСФО 9:</w:t>
      </w:r>
    </w:p>
    <w:tbl>
      <w:tblPr>
        <w:tblStyle w:val="CDMRange217"/>
        <w:tblW w:w="5000" w:type="pct"/>
        <w:tblLayout w:type="fixed"/>
        <w:tblLook w:val="0600" w:firstRow="0" w:lastRow="0" w:firstColumn="0" w:lastColumn="0" w:noHBand="1" w:noVBand="1"/>
      </w:tblPr>
      <w:tblGrid>
        <w:gridCol w:w="3629"/>
        <w:gridCol w:w="1512"/>
        <w:gridCol w:w="1512"/>
        <w:gridCol w:w="1512"/>
        <w:gridCol w:w="1514"/>
      </w:tblGrid>
      <w:tr>
        <w:trPr>
          <w:trHeight w:hRule="exact" w:val="249"/>
        </w:trPr>
        <w:tc>
          <w:tcPr>
            <w:tcW w:w="187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spacing w:line="186" w:lineRule="exact"/>
              <w:rPr>
                <w:rFonts w:ascii="Arial" w:eastAsia="Arial" w:hAnsi="Arial" w:cs="Arial"/>
                <w:noProof/>
                <w:color w:val="000000"/>
                <w:sz w:val="20"/>
                <w:lang w:val="bg-BG"/>
              </w:rPr>
            </w:pPr>
          </w:p>
        </w:tc>
        <w:tc>
          <w:tcPr>
            <w:tcW w:w="3125"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spacing w:line="186" w:lineRule="exact"/>
              <w:jc w:val="center"/>
              <w:rPr>
                <w:rFonts w:ascii="Arial" w:eastAsia="Arial" w:hAnsi="Arial" w:cs="Arial"/>
                <w:b/>
                <w:noProof/>
                <w:color w:val="000000"/>
                <w:sz w:val="16"/>
                <w:lang w:val="bg-BG"/>
              </w:rPr>
            </w:pPr>
            <w:r>
              <w:rPr>
                <w:rFonts w:ascii="Arial" w:hAnsi="Arial"/>
                <w:b/>
                <w:noProof/>
                <w:color w:val="000000"/>
                <w:sz w:val="16"/>
                <w:lang w:val="bg-BG"/>
              </w:rPr>
              <w:t>2019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875" w:type="pct"/>
            <w:tcBorders>
              <w:top w:val="nil"/>
              <w:left w:val="nil"/>
              <w:bottom w:val="single" w:sz="4" w:space="0" w:color="000000"/>
              <w:right w:val="nil"/>
              <w:tl2br w:val="nil"/>
              <w:tr2bl w:val="nil"/>
            </w:tcBorders>
            <w:shd w:val="clear" w:color="auto" w:fill="auto"/>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781"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12-месечни ОКЗ</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 xml:space="preserve">ОКЗ през целия жизнен цикъл без кредитна обезценка </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ОКЗ през целия жизнен цикъл с кредитна обезценка</w:t>
            </w:r>
          </w:p>
        </w:tc>
        <w:tc>
          <w:tcPr>
            <w:tcW w:w="782"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Кредитни ангажименти</w:t>
            </w: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spacing w:line="186" w:lineRule="exact"/>
              <w:jc w:val="right"/>
              <w:rPr>
                <w:rFonts w:ascii="Arial" w:eastAsia="Arial" w:hAnsi="Arial" w:cs="Arial"/>
                <w:b/>
                <w:noProof/>
                <w:color w:val="000000"/>
                <w:sz w:val="16"/>
                <w:lang w:val="bg-BG"/>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spacing w:line="186" w:lineRule="exact"/>
              <w:jc w:val="right"/>
              <w:rPr>
                <w:rFonts w:ascii="Arial" w:eastAsia="Arial" w:hAnsi="Arial" w:cs="Arial"/>
                <w:b/>
                <w:noProof/>
                <w:color w:val="000000"/>
                <w:sz w:val="16"/>
                <w:lang w:val="bg-BG"/>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spacing w:line="186" w:lineRule="exact"/>
              <w:jc w:val="right"/>
              <w:rPr>
                <w:rFonts w:ascii="Arial" w:eastAsia="Arial" w:hAnsi="Arial" w:cs="Arial"/>
                <w:b/>
                <w:noProof/>
                <w:color w:val="000000"/>
                <w:sz w:val="16"/>
                <w:lang w:val="bg-BG"/>
              </w:rPr>
            </w:pPr>
          </w:p>
        </w:tc>
        <w:tc>
          <w:tcPr>
            <w:tcW w:w="782"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spacing w:line="186" w:lineRule="exact"/>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Салдо към 1 януари</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7,225</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16,597</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w:t>
            </w:r>
          </w:p>
        </w:tc>
        <w:tc>
          <w:tcPr>
            <w:tcW w:w="782"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23,822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Трансфер към 12-месечни ОКЗ</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1,669</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9,983</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2" w:type="pct"/>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11,652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Трансфер към ОКЗ през целия жизнен цикъл без кредитна обезценка</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-836</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15,138*</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14,302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Трансфер към ОКЗ през целия жизнен цикъл с кредитна обезценка</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Нетно оценяване на коректива за загуби</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696</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773</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1,469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Промяна на бизнес модела (ПСОФ)**</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-2,974</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-1,387</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-4,361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Финансови активи, които са отписани</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-1,960</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-7,858</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-9,818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 xml:space="preserve">Разлики във валутните курсове </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123</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80</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203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FFFFFF" w:fill="C0C0C0"/>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Салдо към 31 декември</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3,943</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33,326</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w:t>
            </w:r>
          </w:p>
        </w:tc>
        <w:tc>
          <w:tcPr>
            <w:tcW w:w="782" w:type="pct"/>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37,269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7"/>
        </w:trPr>
        <w:tc>
          <w:tcPr>
            <w:tcW w:w="5000" w:type="pct"/>
            <w:gridSpan w:val="5"/>
            <w:tcBorders>
              <w:top w:val="nil"/>
              <w:left w:val="nil"/>
              <w:bottom w:val="nil"/>
              <w:right w:val="nil"/>
              <w:tl2br w:val="nil"/>
              <w:tr2bl w:val="nil"/>
            </w:tcBorders>
            <w:shd w:val="clear" w:color="auto" w:fill="auto"/>
            <w:noWrap/>
            <w:tcMar>
              <w:left w:w="0" w:type="dxa"/>
              <w:right w:w="0" w:type="dxa"/>
            </w:tcMar>
            <w:vAlign w:val="bottom"/>
          </w:tcPr>
          <w:p>
            <w:pPr>
              <w:spacing w:before="40" w:line="186" w:lineRule="exact"/>
              <w:jc w:val="both"/>
              <w:rPr>
                <w:rFonts w:ascii="Arial" w:eastAsia="Arial" w:hAnsi="Arial"/>
                <w:noProof/>
                <w:color w:val="000000"/>
                <w:sz w:val="16"/>
                <w:lang w:val="bg-BG"/>
              </w:rPr>
            </w:pPr>
            <w:r>
              <w:rPr>
                <w:rFonts w:ascii="Arial" w:hAnsi="Arial"/>
                <w:noProof/>
                <w:color w:val="000000"/>
                <w:sz w:val="16"/>
                <w:lang w:val="bg-BG"/>
              </w:rPr>
              <w:t>* Методиката за оценка на провизиите за кредитните ангажименти към 31 декември 2019 г. беше променена за кредитните ангажименти на етап 2 и по такъв начин, че механизмът не приложи кредитните конверсионни коефициенти в изчислението. Тази промяна доведе до допълнителни ОКЗ в размер на 7,7 милиона евро.</w:t>
            </w:r>
          </w:p>
          <w:p>
            <w:pPr>
              <w:spacing w:before="40" w:line="186" w:lineRule="exact"/>
              <w:jc w:val="both"/>
              <w:rPr>
                <w:rFonts w:ascii="Arial" w:eastAsia="Arial" w:hAnsi="Arial" w:cs="Arial"/>
                <w:noProof/>
                <w:color w:val="000000"/>
                <w:sz w:val="16"/>
                <w:lang w:val="bg-BG"/>
              </w:rPr>
            </w:pPr>
            <w:r>
              <w:rPr>
                <w:rFonts w:ascii="Arial" w:hAnsi="Arial"/>
                <w:noProof/>
                <w:color w:val="000000"/>
                <w:sz w:val="16"/>
                <w:lang w:val="bg-BG"/>
              </w:rPr>
              <w:t>** За подробности вж. бележка 24.</w:t>
            </w:r>
          </w:p>
          <w:p>
            <w:pPr>
              <w:spacing w:line="186" w:lineRule="exact"/>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9"/>
        </w:trPr>
        <w:tc>
          <w:tcPr>
            <w:tcW w:w="5000" w:type="pct"/>
            <w:gridSpan w:val="5"/>
            <w:tcBorders>
              <w:top w:val="nil"/>
              <w:left w:val="nil"/>
              <w:bottom w:val="nil"/>
              <w:right w:val="nil"/>
              <w:tl2br w:val="nil"/>
              <w:tr2bl w:val="nil"/>
            </w:tcBorders>
            <w:shd w:val="clear" w:color="auto" w:fill="auto"/>
            <w:noWrap/>
            <w:tcMar>
              <w:left w:w="0" w:type="dxa"/>
              <w:right w:w="0" w:type="dxa"/>
            </w:tcMar>
            <w:vAlign w:val="bottom"/>
          </w:tcPr>
          <w:p>
            <w:pPr>
              <w:spacing w:line="186" w:lineRule="exact"/>
              <w:rPr>
                <w:rFonts w:ascii="Arial" w:eastAsia="Arial" w:hAnsi="Arial" w:cs="Arial"/>
                <w:noProof/>
                <w:color w:val="000000"/>
                <w:sz w:val="14"/>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9"/>
        </w:trPr>
        <w:tc>
          <w:tcPr>
            <w:tcW w:w="187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spacing w:line="186" w:lineRule="exact"/>
              <w:rPr>
                <w:rFonts w:ascii="Arial" w:eastAsia="Arial" w:hAnsi="Arial" w:cs="Arial"/>
                <w:noProof/>
                <w:color w:val="000000"/>
                <w:sz w:val="14"/>
                <w:lang w:val="bg-BG"/>
              </w:rPr>
            </w:pPr>
          </w:p>
        </w:tc>
        <w:tc>
          <w:tcPr>
            <w:tcW w:w="3125"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spacing w:line="186" w:lineRule="exact"/>
              <w:jc w:val="center"/>
              <w:rPr>
                <w:rFonts w:ascii="Arial" w:eastAsia="Arial" w:hAnsi="Arial" w:cs="Arial"/>
                <w:b/>
                <w:noProof/>
                <w:color w:val="000000"/>
                <w:sz w:val="16"/>
                <w:lang w:val="bg-BG"/>
              </w:rPr>
            </w:pPr>
            <w:r>
              <w:rPr>
                <w:rFonts w:ascii="Arial" w:hAnsi="Arial"/>
                <w:b/>
                <w:noProof/>
                <w:color w:val="000000"/>
                <w:sz w:val="16"/>
                <w:lang w:val="bg-BG"/>
              </w:rPr>
              <w:t>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875" w:type="pct"/>
            <w:tcBorders>
              <w:top w:val="nil"/>
              <w:left w:val="nil"/>
              <w:bottom w:val="single" w:sz="4" w:space="0" w:color="000000"/>
              <w:right w:val="nil"/>
              <w:tl2br w:val="nil"/>
              <w:tr2bl w:val="nil"/>
            </w:tcBorders>
            <w:shd w:val="clear" w:color="auto" w:fill="auto"/>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781"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12-месечни ОКЗ</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ОКЗ през целия жизнен цикъл без кредитна обезценка</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ОКЗ през целия жизнен цикъл с кредитна обезценка</w:t>
            </w:r>
          </w:p>
        </w:tc>
        <w:tc>
          <w:tcPr>
            <w:tcW w:w="782"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Общо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Кредитни ангажименти</w:t>
            </w: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spacing w:line="186" w:lineRule="exact"/>
              <w:jc w:val="right"/>
              <w:rPr>
                <w:rFonts w:ascii="Arial" w:eastAsia="Arial" w:hAnsi="Arial" w:cs="Arial"/>
                <w:b/>
                <w:noProof/>
                <w:color w:val="000000"/>
                <w:sz w:val="16"/>
                <w:lang w:val="bg-BG"/>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spacing w:line="186" w:lineRule="exact"/>
              <w:jc w:val="right"/>
              <w:rPr>
                <w:rFonts w:ascii="Arial" w:eastAsia="Arial" w:hAnsi="Arial" w:cs="Arial"/>
                <w:b/>
                <w:noProof/>
                <w:color w:val="000000"/>
                <w:sz w:val="16"/>
                <w:lang w:val="bg-BG"/>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spacing w:line="186" w:lineRule="exact"/>
              <w:jc w:val="right"/>
              <w:rPr>
                <w:rFonts w:ascii="Arial" w:eastAsia="Arial" w:hAnsi="Arial" w:cs="Arial"/>
                <w:b/>
                <w:noProof/>
                <w:color w:val="000000"/>
                <w:sz w:val="16"/>
                <w:lang w:val="bg-BG"/>
              </w:rPr>
            </w:pPr>
          </w:p>
        </w:tc>
        <w:tc>
          <w:tcPr>
            <w:tcW w:w="782"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spacing w:line="186" w:lineRule="exact"/>
              <w:jc w:val="righ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Салдо към 1 януари</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1,993</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2,163</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w:t>
            </w:r>
          </w:p>
        </w:tc>
        <w:tc>
          <w:tcPr>
            <w:tcW w:w="78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4,156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Трансфер към 12-месечни ОКЗ</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5,192</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2" w:type="pct"/>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5,192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Трансфер към ОКЗ през целия жизнен цикъл без кредитна обезценка</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14,420</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14,420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Трансфер към ОКЗ през целия жизнен цикъл с кредитна обезценка</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 xml:space="preserve">Разлики във валутните курсове </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40</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14</w:t>
            </w:r>
          </w:p>
        </w:tc>
        <w:tc>
          <w:tcPr>
            <w:tcW w:w="781"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FFFFFF" w:fill="C0C0C0"/>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Салдо към 31 декември</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7,225</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16,597</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w:t>
            </w:r>
          </w:p>
        </w:tc>
        <w:tc>
          <w:tcPr>
            <w:tcW w:w="782" w:type="pct"/>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23,822</w:t>
            </w:r>
          </w:p>
        </w:tc>
      </w:tr>
    </w:tbl>
    <w:p>
      <w:pPr>
        <w:numPr>
          <w:ilvl w:val="0"/>
          <w:numId w:val="108"/>
        </w:numPr>
        <w:pBdr>
          <w:top w:val="nil"/>
          <w:left w:val="nil"/>
          <w:bottom w:val="nil"/>
          <w:right w:val="nil"/>
          <w:between w:val="nil"/>
          <w:bar w:val="nil"/>
        </w:pBdr>
        <w:tabs>
          <w:tab w:val="center" w:pos="4320"/>
          <w:tab w:val="right" w:pos="8640"/>
        </w:tabs>
        <w:suppressAutoHyphens/>
        <w:spacing w:before="60" w:after="60" w:line="186" w:lineRule="exact"/>
        <w:ind w:left="431" w:hanging="431"/>
        <w:jc w:val="both"/>
        <w:rPr>
          <w:rFonts w:ascii="Arial" w:hAnsi="Arial"/>
          <w:b/>
          <w:noProof/>
          <w:sz w:val="16"/>
          <w:bdr w:val="nil"/>
          <w:lang w:val="bg-BG" w:eastAsia="ar-SA"/>
        </w:rPr>
      </w:pPr>
    </w:p>
    <w:p>
      <w:pPr>
        <w:numPr>
          <w:ilvl w:val="0"/>
          <w:numId w:val="108"/>
        </w:numPr>
        <w:pBdr>
          <w:top w:val="nil"/>
          <w:left w:val="nil"/>
          <w:bottom w:val="nil"/>
          <w:right w:val="nil"/>
          <w:between w:val="nil"/>
          <w:bar w:val="nil"/>
        </w:pBdr>
        <w:tabs>
          <w:tab w:val="center" w:pos="4320"/>
          <w:tab w:val="right" w:pos="8640"/>
        </w:tabs>
        <w:suppressAutoHyphens/>
        <w:spacing w:before="120" w:after="120" w:line="186" w:lineRule="exact"/>
        <w:ind w:left="431" w:hanging="431"/>
        <w:jc w:val="both"/>
        <w:rPr>
          <w:rFonts w:ascii="Arial" w:hAnsi="Arial"/>
          <w:b/>
          <w:noProof/>
          <w:sz w:val="20"/>
          <w:bdr w:val="nil"/>
          <w:lang w:val="bg-BG" w:eastAsia="ar-SA"/>
        </w:rPr>
      </w:pPr>
      <w:r>
        <w:rPr>
          <w:rFonts w:ascii="Arial" w:hAnsi="Arial"/>
          <w:b/>
          <w:noProof/>
          <w:sz w:val="20"/>
          <w:bdr w:val="nil"/>
          <w:lang w:val="bg-BG" w:eastAsia="ar-SA"/>
        </w:rPr>
        <w:t>15</w:t>
      </w:r>
      <w:r>
        <w:rPr>
          <w:rFonts w:ascii="Arial" w:hAnsi="Arial"/>
          <w:b/>
          <w:noProof/>
          <w:sz w:val="20"/>
          <w:bdr w:val="nil"/>
          <w:lang w:val="bg-BG" w:eastAsia="ar-SA"/>
        </w:rPr>
        <w:tab/>
        <w:t xml:space="preserve">Дължими суми на трети страни </w:t>
      </w:r>
    </w:p>
    <w:p>
      <w:pPr>
        <w:numPr>
          <w:ilvl w:val="0"/>
          <w:numId w:val="108"/>
        </w:numPr>
        <w:pBdr>
          <w:top w:val="nil"/>
          <w:left w:val="nil"/>
          <w:bottom w:val="nil"/>
          <w:right w:val="nil"/>
          <w:between w:val="nil"/>
          <w:bar w:val="nil"/>
        </w:pBdr>
        <w:tabs>
          <w:tab w:val="center" w:pos="4320"/>
          <w:tab w:val="right" w:pos="8640"/>
        </w:tabs>
        <w:suppressAutoHyphens/>
        <w:spacing w:before="60" w:after="60" w:line="186" w:lineRule="exact"/>
        <w:ind w:left="431" w:hanging="431"/>
        <w:jc w:val="both"/>
        <w:rPr>
          <w:rFonts w:ascii="Arial" w:hAnsi="Arial"/>
          <w:b/>
          <w:noProof/>
          <w:sz w:val="16"/>
          <w:bdr w:val="nil"/>
          <w:lang w:eastAsia="ar-SA"/>
        </w:rPr>
      </w:pPr>
    </w:p>
    <w:p>
      <w:pPr>
        <w:pBdr>
          <w:top w:val="nil"/>
          <w:left w:val="nil"/>
          <w:bottom w:val="nil"/>
          <w:right w:val="nil"/>
          <w:between w:val="nil"/>
          <w:bar w:val="nil"/>
        </w:pBdr>
        <w:spacing w:before="60" w:after="60" w:line="186" w:lineRule="exact"/>
        <w:jc w:val="both"/>
        <w:rPr>
          <w:rFonts w:ascii="Arial" w:hAnsi="Arial"/>
          <w:noProof/>
          <w:sz w:val="16"/>
          <w:szCs w:val="16"/>
          <w:bdr w:val="nil"/>
          <w:lang w:val="bg-BG"/>
        </w:rPr>
      </w:pPr>
      <w:r>
        <w:rPr>
          <w:rFonts w:ascii="Arial" w:hAnsi="Arial"/>
          <w:noProof/>
          <w:sz w:val="16"/>
          <w:szCs w:val="16"/>
          <w:bdr w:val="nil"/>
          <w:lang w:val="bg-BG"/>
        </w:rPr>
        <w:t>Основните компоненти на дължимите суми на трети страни са следните:</w:t>
      </w:r>
    </w:p>
    <w:p>
      <w:pPr>
        <w:pBdr>
          <w:top w:val="nil"/>
          <w:left w:val="nil"/>
          <w:bottom w:val="nil"/>
          <w:right w:val="nil"/>
          <w:between w:val="nil"/>
          <w:bar w:val="nil"/>
        </w:pBdr>
        <w:spacing w:before="60" w:after="60" w:line="186" w:lineRule="exact"/>
        <w:jc w:val="both"/>
        <w:rPr>
          <w:rFonts w:ascii="Arial" w:hAnsi="Arial"/>
          <w:noProof/>
          <w:sz w:val="16"/>
          <w:szCs w:val="16"/>
          <w:bdr w:val="nil"/>
          <w:lang w:val="bg-BG"/>
        </w:rPr>
      </w:pPr>
      <w:r>
        <w:rPr>
          <w:noProof/>
          <w:lang w:val="bg-BG"/>
        </w:rPr>
        <w:t xml:space="preserve"> </w:t>
      </w:r>
    </w:p>
    <w:tbl>
      <w:tblPr>
        <w:tblStyle w:val="CDMRange118"/>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Нетни общи административни разходи, платими на ЕИБ</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50,009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47,799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Други суми, платими на ЕИБ</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Още неизплатени лихвени субсидии и техническа помощ, дължими на държавите членки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97,398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95,960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Общо дължими суми на трети страни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147,438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143,813</w:t>
            </w:r>
          </w:p>
        </w:tc>
      </w:tr>
    </w:tbl>
    <w:p>
      <w:pPr>
        <w:pBdr>
          <w:top w:val="nil"/>
          <w:left w:val="nil"/>
          <w:bottom w:val="nil"/>
          <w:right w:val="nil"/>
          <w:between w:val="nil"/>
          <w:bar w:val="nil"/>
        </w:pBdr>
        <w:spacing w:line="186" w:lineRule="exact"/>
        <w:rPr>
          <w:rFonts w:ascii="Arial" w:hAnsi="Arial"/>
          <w:noProof/>
          <w:sz w:val="16"/>
          <w:bdr w:val="nil"/>
          <w:lang w:val="bg-BG"/>
        </w:rPr>
      </w:pPr>
    </w:p>
    <w:p>
      <w:pPr>
        <w:numPr>
          <w:ilvl w:val="0"/>
          <w:numId w:val="108"/>
        </w:numPr>
        <w:pBdr>
          <w:top w:val="nil"/>
          <w:left w:val="nil"/>
          <w:bottom w:val="nil"/>
          <w:right w:val="nil"/>
          <w:between w:val="nil"/>
          <w:bar w:val="nil"/>
        </w:pBdr>
        <w:tabs>
          <w:tab w:val="center" w:pos="4320"/>
          <w:tab w:val="right" w:pos="8640"/>
        </w:tabs>
        <w:suppressAutoHyphens/>
        <w:spacing w:before="120" w:after="120" w:line="186" w:lineRule="exact"/>
        <w:ind w:left="431" w:hanging="431"/>
        <w:jc w:val="both"/>
        <w:rPr>
          <w:rFonts w:ascii="Arial" w:hAnsi="Arial"/>
          <w:b/>
          <w:noProof/>
          <w:sz w:val="20"/>
          <w:bdr w:val="nil"/>
          <w:lang w:val="bg-BG" w:eastAsia="ar-SA"/>
        </w:rPr>
      </w:pPr>
      <w:r>
        <w:rPr>
          <w:rFonts w:ascii="Arial" w:hAnsi="Arial"/>
          <w:b/>
          <w:noProof/>
          <w:sz w:val="20"/>
          <w:bdr w:val="nil"/>
          <w:lang w:val="bg-BG" w:eastAsia="ar-SA"/>
        </w:rPr>
        <w:t>16</w:t>
      </w:r>
      <w:r>
        <w:rPr>
          <w:rFonts w:ascii="Arial" w:hAnsi="Arial"/>
          <w:b/>
          <w:noProof/>
          <w:sz w:val="20"/>
          <w:bdr w:val="nil"/>
          <w:lang w:val="bg-BG" w:eastAsia="ar-SA"/>
        </w:rPr>
        <w:tab/>
        <w:t>Други пасиви</w:t>
      </w:r>
    </w:p>
    <w:p>
      <w:pPr>
        <w:numPr>
          <w:ilvl w:val="0"/>
          <w:numId w:val="108"/>
        </w:numPr>
        <w:pBdr>
          <w:top w:val="nil"/>
          <w:left w:val="nil"/>
          <w:bottom w:val="nil"/>
          <w:right w:val="nil"/>
          <w:between w:val="nil"/>
          <w:bar w:val="nil"/>
        </w:pBdr>
        <w:tabs>
          <w:tab w:val="center" w:pos="4320"/>
          <w:tab w:val="right" w:pos="8640"/>
        </w:tabs>
        <w:suppressAutoHyphens/>
        <w:spacing w:before="60" w:after="60" w:line="186" w:lineRule="exact"/>
        <w:ind w:left="431" w:hanging="431"/>
        <w:jc w:val="both"/>
        <w:rPr>
          <w:rFonts w:ascii="Arial" w:hAnsi="Arial"/>
          <w:b/>
          <w:noProof/>
          <w:sz w:val="16"/>
          <w:szCs w:val="16"/>
          <w:bdr w:val="nil"/>
          <w:lang w:val="bg-BG" w:eastAsia="ar-SA"/>
        </w:rPr>
      </w:pPr>
    </w:p>
    <w:p>
      <w:pPr>
        <w:pBdr>
          <w:top w:val="nil"/>
          <w:left w:val="nil"/>
          <w:bottom w:val="nil"/>
          <w:right w:val="nil"/>
          <w:between w:val="nil"/>
          <w:bar w:val="nil"/>
        </w:pBdr>
        <w:spacing w:before="60" w:after="60" w:line="186" w:lineRule="exact"/>
        <w:jc w:val="both"/>
        <w:rPr>
          <w:rFonts w:ascii="Arial" w:hAnsi="Arial"/>
          <w:noProof/>
          <w:sz w:val="16"/>
          <w:szCs w:val="16"/>
          <w:bdr w:val="nil"/>
          <w:lang w:val="bg-BG"/>
        </w:rPr>
      </w:pPr>
      <w:r>
        <w:rPr>
          <w:rFonts w:ascii="Arial" w:hAnsi="Arial"/>
          <w:noProof/>
          <w:sz w:val="16"/>
          <w:szCs w:val="16"/>
          <w:bdr w:val="nil"/>
          <w:lang w:val="bg-BG"/>
        </w:rPr>
        <w:t>Основните компоненти на другите пасиви са следните:</w:t>
      </w:r>
    </w:p>
    <w:p>
      <w:pPr>
        <w:pBdr>
          <w:top w:val="nil"/>
          <w:left w:val="nil"/>
          <w:bottom w:val="nil"/>
          <w:right w:val="nil"/>
          <w:between w:val="nil"/>
          <w:bar w:val="nil"/>
        </w:pBdr>
        <w:spacing w:before="60" w:after="60" w:line="186" w:lineRule="exact"/>
        <w:jc w:val="both"/>
        <w:rPr>
          <w:rFonts w:ascii="Arial" w:hAnsi="Arial"/>
          <w:noProof/>
          <w:sz w:val="16"/>
          <w:szCs w:val="16"/>
          <w:bdr w:val="nil"/>
          <w:lang w:val="bg-BG"/>
        </w:rPr>
      </w:pPr>
      <w:r>
        <w:rPr>
          <w:noProof/>
          <w:sz w:val="16"/>
          <w:szCs w:val="16"/>
          <w:lang w:val="bg-BG"/>
        </w:rPr>
        <w:t xml:space="preserve"> </w:t>
      </w:r>
    </w:p>
    <w:tbl>
      <w:tblPr>
        <w:tblStyle w:val="CDMRange218"/>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 xml:space="preserve">Погасявания на заеми, получени авансово </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1,961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2,124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Приходи за бъдещи периоди от лихвени субсидии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339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369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spacing w:line="186" w:lineRule="exact"/>
              <w:rPr>
                <w:rFonts w:ascii="Arial" w:eastAsia="Arial" w:hAnsi="Arial" w:cs="Arial"/>
                <w:noProof/>
                <w:color w:val="000000"/>
                <w:sz w:val="16"/>
                <w:lang w:val="bg-BG"/>
              </w:rPr>
            </w:pPr>
            <w:r>
              <w:rPr>
                <w:rFonts w:ascii="Arial" w:hAnsi="Arial"/>
                <w:noProof/>
                <w:color w:val="000000"/>
                <w:sz w:val="16"/>
                <w:lang w:val="bg-BG"/>
              </w:rPr>
              <w:t>Искания за финансова гаранция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spacing w:line="186" w:lineRule="exact"/>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spacing w:line="186" w:lineRule="exact"/>
              <w:rPr>
                <w:rFonts w:ascii="Arial" w:eastAsia="Arial" w:hAnsi="Arial" w:cs="Arial"/>
                <w:b/>
                <w:noProof/>
                <w:color w:val="000000"/>
                <w:sz w:val="16"/>
                <w:lang w:val="bg-BG"/>
              </w:rPr>
            </w:pPr>
            <w:r>
              <w:rPr>
                <w:rFonts w:ascii="Arial" w:hAnsi="Arial"/>
                <w:b/>
                <w:noProof/>
                <w:color w:val="000000"/>
                <w:sz w:val="16"/>
                <w:lang w:val="bg-BG"/>
              </w:rPr>
              <w:t>Общо други пасиви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2,353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spacing w:line="186" w:lineRule="exact"/>
              <w:jc w:val="right"/>
              <w:rPr>
                <w:rFonts w:ascii="Arial" w:eastAsia="Arial" w:hAnsi="Arial" w:cs="Arial"/>
                <w:b/>
                <w:noProof/>
                <w:color w:val="000000"/>
                <w:sz w:val="16"/>
                <w:lang w:val="bg-BG"/>
              </w:rPr>
            </w:pPr>
            <w:r>
              <w:rPr>
                <w:rFonts w:ascii="Arial" w:hAnsi="Arial"/>
                <w:b/>
                <w:noProof/>
                <w:color w:val="000000"/>
                <w:sz w:val="16"/>
                <w:lang w:val="bg-BG"/>
              </w:rPr>
              <w:t>2,493</w:t>
            </w:r>
          </w:p>
        </w:tc>
      </w:tr>
    </w:tbl>
    <w:p>
      <w:pPr>
        <w:pageBreakBefore/>
        <w:numPr>
          <w:ilvl w:val="0"/>
          <w:numId w:val="108"/>
        </w:num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lang w:val="bg-BG" w:eastAsia="ar-SA"/>
        </w:rPr>
      </w:pPr>
      <w:r>
        <w:rPr>
          <w:rFonts w:ascii="Arial" w:hAnsi="Arial"/>
          <w:b/>
          <w:noProof/>
          <w:sz w:val="20"/>
          <w:bdr w:val="nil"/>
          <w:lang w:val="bg-BG" w:eastAsia="ar-SA"/>
        </w:rPr>
        <w:t>17</w:t>
      </w:r>
      <w:r>
        <w:rPr>
          <w:rFonts w:ascii="Arial" w:hAnsi="Arial"/>
          <w:b/>
          <w:noProof/>
          <w:sz w:val="20"/>
          <w:bdr w:val="nil"/>
          <w:lang w:val="bg-BG" w:eastAsia="ar-SA"/>
        </w:rPr>
        <w:tab/>
        <w:t>Поискана вноска от държавите членки (в хиляди евро)</w:t>
      </w:r>
    </w:p>
    <w:p>
      <w:pPr>
        <w:numPr>
          <w:ilvl w:val="0"/>
          <w:numId w:val="108"/>
        </w:numPr>
        <w:pBdr>
          <w:top w:val="nil"/>
          <w:left w:val="nil"/>
          <w:bottom w:val="nil"/>
          <w:right w:val="nil"/>
          <w:between w:val="nil"/>
          <w:bar w:val="nil"/>
        </w:pBdr>
        <w:tabs>
          <w:tab w:val="center" w:pos="4320"/>
          <w:tab w:val="right" w:pos="8640"/>
        </w:tabs>
        <w:suppressAutoHyphens/>
        <w:spacing w:before="120" w:after="120"/>
        <w:jc w:val="both"/>
        <w:rPr>
          <w:rFonts w:ascii="Arial" w:hAnsi="Arial"/>
          <w:b/>
          <w:noProof/>
          <w:sz w:val="16"/>
          <w:szCs w:val="16"/>
          <w:bdr w:val="nil"/>
          <w:lang w:val="bg-BG" w:eastAsia="ar-SA"/>
        </w:rPr>
      </w:pPr>
      <w:r>
        <w:rPr>
          <w:rFonts w:ascii="Arial" w:hAnsi="Arial"/>
          <w:b/>
          <w:noProof/>
          <w:sz w:val="20"/>
          <w:lang w:val="bg-BG" w:eastAsia="ar-SA"/>
        </w:rPr>
        <w:t xml:space="preserve"> </w:t>
      </w:r>
    </w:p>
    <w:tbl>
      <w:tblPr>
        <w:tblStyle w:val="CDMRange119"/>
        <w:tblW w:w="9975" w:type="dxa"/>
        <w:tblLayout w:type="fixed"/>
        <w:tblLook w:val="0600" w:firstRow="0" w:lastRow="0" w:firstColumn="0" w:lastColumn="0" w:noHBand="1" w:noVBand="1"/>
      </w:tblPr>
      <w:tblGrid>
        <w:gridCol w:w="3975"/>
        <w:gridCol w:w="1500"/>
        <w:gridCol w:w="1500"/>
        <w:gridCol w:w="1500"/>
        <w:gridCol w:w="1500"/>
      </w:tblGrid>
      <w:tr>
        <w:trPr>
          <w:trHeight w:val="84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Държави членки</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Вноска за механизма</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Вноска за лихвени субсидии и техническа помощ</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Общо</w:t>
            </w:r>
          </w:p>
          <w:p>
            <w:pPr>
              <w:jc w:val="right"/>
              <w:rPr>
                <w:rFonts w:ascii="Arial" w:eastAsia="Arial" w:hAnsi="Arial" w:cs="Arial"/>
                <w:b/>
                <w:noProof/>
                <w:color w:val="000000"/>
                <w:sz w:val="16"/>
                <w:lang w:val="bg-BG"/>
              </w:rPr>
            </w:pPr>
            <w:r>
              <w:rPr>
                <w:rFonts w:ascii="Arial" w:hAnsi="Arial"/>
                <w:b/>
                <w:noProof/>
                <w:color w:val="000000"/>
                <w:sz w:val="16"/>
                <w:lang w:val="bg-BG"/>
              </w:rPr>
              <w:t>внесени</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Поискани и неизплатени*</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Австрия</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76,442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9,592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86,034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Белгия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112,757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14,105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126,862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България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Кипър</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Чешка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5,865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62,220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7,875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Естония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Финландия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43,821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5,655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49,476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Франция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677,756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81,837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759,593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Германия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667,065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82,766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749,831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20,500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Гърция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39,090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44,414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Унгария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6,325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Ирландия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21,034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24,109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Италия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374,974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48,883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423,857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12,860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Латвия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Литва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Люксембург</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8,422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9,487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Малта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Нидерландия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151,510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170,650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Полша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11,830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14,950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Португалия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30,418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4,154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34,572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Румъния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3,367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Словакия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2,415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Словения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1,638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Испания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191,564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27,231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218,795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Швеция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81,090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10,499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91,589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2,740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Обединено кралство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395,895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53,802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449,697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към 31 декември 2019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2,967,000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383,691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3,350,691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86,330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към 31 декември 2018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2,697,000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353,691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3,050,691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100,000</w:t>
            </w:r>
          </w:p>
        </w:tc>
      </w:tr>
    </w:tbl>
    <w:p>
      <w:pPr>
        <w:pBdr>
          <w:top w:val="nil"/>
          <w:left w:val="nil"/>
          <w:bottom w:val="nil"/>
          <w:right w:val="nil"/>
          <w:between w:val="nil"/>
          <w:bar w:val="nil"/>
        </w:pBdr>
        <w:spacing w:before="40"/>
        <w:jc w:val="both"/>
        <w:rPr>
          <w:rFonts w:ascii="Arial" w:hAnsi="Arial"/>
          <w:noProof/>
          <w:sz w:val="16"/>
          <w:szCs w:val="16"/>
          <w:bdr w:val="nil"/>
          <w:lang w:val="bg-BG"/>
        </w:rPr>
      </w:pPr>
      <w:r>
        <w:rPr>
          <w:rFonts w:ascii="Arial" w:hAnsi="Arial"/>
          <w:noProof/>
          <w:sz w:val="16"/>
          <w:szCs w:val="16"/>
          <w:bdr w:val="nil"/>
          <w:lang w:val="bg-BG"/>
        </w:rPr>
        <w:t xml:space="preserve">* На 24 октомври 2019 г. Съветът определи размера на финансовите вноски, които всяка държава членка трябва да плати до 21 януари 2020 г. Към 31 декември 2019 г. не са били изплатени 86 330 EUR. </w:t>
      </w:r>
    </w:p>
    <w:p>
      <w:pPr>
        <w:rPr>
          <w:rFonts w:ascii="Arial" w:hAnsi="Arial"/>
          <w:noProof/>
          <w:sz w:val="16"/>
          <w:szCs w:val="16"/>
          <w:bdr w:val="nil"/>
          <w:lang w:val="bg-BG"/>
        </w:rPr>
      </w:pPr>
      <w:r>
        <w:rPr>
          <w:noProof/>
          <w:lang w:val="bg-BG"/>
        </w:rPr>
        <w:br w:type="page"/>
      </w:r>
    </w:p>
    <w:p>
      <w:pPr>
        <w:numPr>
          <w:ilvl w:val="0"/>
          <w:numId w:val="108"/>
        </w:numPr>
        <w:pBdr>
          <w:top w:val="nil"/>
          <w:left w:val="nil"/>
          <w:bottom w:val="nil"/>
          <w:right w:val="nil"/>
          <w:between w:val="nil"/>
          <w:bar w:val="nil"/>
        </w:pBdr>
        <w:tabs>
          <w:tab w:val="center" w:pos="4320"/>
          <w:tab w:val="right" w:pos="8640"/>
        </w:tabs>
        <w:suppressAutoHyphens/>
        <w:spacing w:before="120" w:after="120"/>
        <w:jc w:val="both"/>
        <w:rPr>
          <w:rFonts w:ascii="Arial" w:hAnsi="Arial"/>
          <w:b/>
          <w:noProof/>
          <w:sz w:val="20"/>
          <w:bdr w:val="nil"/>
          <w:lang w:val="bg-BG" w:eastAsia="ar-SA"/>
        </w:rPr>
      </w:pPr>
      <w:r>
        <w:rPr>
          <w:rFonts w:ascii="Arial" w:hAnsi="Arial"/>
          <w:b/>
          <w:noProof/>
          <w:sz w:val="20"/>
          <w:bdr w:val="nil"/>
          <w:lang w:val="bg-BG" w:eastAsia="ar-SA"/>
        </w:rPr>
        <w:t>18</w:t>
      </w:r>
      <w:r>
        <w:rPr>
          <w:rFonts w:ascii="Arial" w:hAnsi="Arial"/>
          <w:b/>
          <w:noProof/>
          <w:sz w:val="20"/>
          <w:bdr w:val="nil"/>
          <w:lang w:val="bg-BG" w:eastAsia="ar-SA"/>
        </w:rPr>
        <w:tab/>
        <w:t>Поети задължения и условни пасиви</w:t>
      </w:r>
    </w:p>
    <w:p>
      <w:pPr>
        <w:pBdr>
          <w:top w:val="nil"/>
          <w:left w:val="nil"/>
          <w:bottom w:val="nil"/>
          <w:right w:val="nil"/>
          <w:between w:val="nil"/>
          <w:bar w:val="nil"/>
        </w:pBdr>
        <w:spacing w:before="60" w:after="60"/>
        <w:jc w:val="both"/>
        <w:rPr>
          <w:rFonts w:ascii="Arial" w:hAnsi="Arial"/>
          <w:noProof/>
          <w:sz w:val="16"/>
          <w:szCs w:val="16"/>
          <w:bdr w:val="nil"/>
          <w:lang w:val="bg-BG"/>
        </w:rPr>
      </w:pPr>
      <w:r>
        <w:rPr>
          <w:noProof/>
          <w:lang w:val="bg-BG"/>
        </w:rPr>
        <w:t xml:space="preserve"> </w:t>
      </w:r>
    </w:p>
    <w:tbl>
      <w:tblPr>
        <w:tblStyle w:val="CDMRange219"/>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31.12.2019 г.</w:t>
            </w:r>
          </w:p>
        </w:tc>
        <w:tc>
          <w:tcPr>
            <w:tcW w:w="1500"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i/>
                <w:noProof/>
                <w:color w:val="000000"/>
                <w:sz w:val="16"/>
                <w:lang w:val="bg-BG"/>
              </w:rPr>
            </w:pPr>
            <w:r>
              <w:rPr>
                <w:rFonts w:ascii="Arial" w:hAnsi="Arial"/>
                <w:b/>
                <w:i/>
                <w:noProof/>
                <w:color w:val="000000"/>
                <w:sz w:val="16"/>
                <w:lang w:val="bg-BG"/>
              </w:rPr>
              <w:t>Поети задължения</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pPr>
              <w:rPr>
                <w:noProof/>
                <w:color w:val="000000"/>
                <w:sz w:val="20"/>
                <w:lang w:val="bg-BG"/>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Неизплатени заеми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1,357,320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1,283,931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Неизплатено задължение по отношение на акции и други ценни книжа с променлива доходност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405,920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347,167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200,013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субсидии и техническа помощ</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455,671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457,328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b/>
                <w:i/>
                <w:noProof/>
                <w:color w:val="000000"/>
                <w:sz w:val="16"/>
                <w:lang w:val="bg-BG"/>
              </w:rPr>
            </w:pPr>
            <w:r>
              <w:rPr>
                <w:rFonts w:ascii="Arial" w:hAnsi="Arial"/>
                <w:b/>
                <w:i/>
                <w:noProof/>
                <w:color w:val="000000"/>
                <w:sz w:val="16"/>
                <w:lang w:val="bg-BG"/>
              </w:rPr>
              <w:t>Условни пасиви</w:t>
            </w: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Подписани неиздадени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1,359,818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1,553,668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rPr>
                <w:noProof/>
                <w:color w:val="000000"/>
                <w:sz w:val="20"/>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jc w:val="right"/>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rPr>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поети задължения и условни пасиви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3,778,742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3,644,894</w:t>
            </w:r>
          </w:p>
        </w:tc>
      </w:tr>
    </w:tbl>
    <w:p>
      <w:pPr>
        <w:pBdr>
          <w:top w:val="nil"/>
          <w:left w:val="nil"/>
          <w:bottom w:val="nil"/>
          <w:right w:val="nil"/>
          <w:between w:val="nil"/>
          <w:bar w:val="nil"/>
        </w:pBdr>
        <w:spacing w:before="60" w:after="60"/>
        <w:rPr>
          <w:rFonts w:ascii="Arial" w:hAnsi="Arial"/>
          <w:noProof/>
          <w:sz w:val="16"/>
          <w:bdr w:val="nil"/>
          <w:lang w:val="bg-BG"/>
        </w:rPr>
      </w:pPr>
    </w:p>
    <w:p>
      <w:pPr>
        <w:numPr>
          <w:ilvl w:val="0"/>
          <w:numId w:val="108"/>
        </w:numPr>
        <w:pBdr>
          <w:top w:val="nil"/>
          <w:left w:val="nil"/>
          <w:bottom w:val="nil"/>
          <w:right w:val="nil"/>
          <w:between w:val="nil"/>
          <w:bar w:val="nil"/>
        </w:pBdr>
        <w:tabs>
          <w:tab w:val="center" w:pos="4320"/>
          <w:tab w:val="right" w:pos="8640"/>
        </w:tabs>
        <w:suppressAutoHyphens/>
        <w:spacing w:before="120" w:after="120"/>
        <w:jc w:val="both"/>
        <w:rPr>
          <w:rFonts w:ascii="Arial" w:hAnsi="Arial"/>
          <w:b/>
          <w:noProof/>
          <w:sz w:val="20"/>
          <w:bdr w:val="nil"/>
          <w:lang w:val="bg-BG" w:eastAsia="ar-SA"/>
        </w:rPr>
      </w:pPr>
      <w:r>
        <w:rPr>
          <w:rFonts w:ascii="Arial" w:hAnsi="Arial"/>
          <w:b/>
          <w:noProof/>
          <w:sz w:val="20"/>
          <w:bdr w:val="nil"/>
          <w:lang w:val="bg-BG" w:eastAsia="ar-SA"/>
        </w:rPr>
        <w:t>19</w:t>
      </w:r>
      <w:r>
        <w:rPr>
          <w:rFonts w:ascii="Arial" w:hAnsi="Arial"/>
          <w:b/>
          <w:noProof/>
          <w:sz w:val="20"/>
          <w:bdr w:val="nil"/>
          <w:lang w:val="bg-BG" w:eastAsia="ar-SA"/>
        </w:rPr>
        <w:tab/>
        <w:t>Лихви и други подобни приходи и разходи</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szCs w:val="16"/>
          <w:bdr w:val="nil"/>
          <w:lang w:val="bg-BG"/>
        </w:rPr>
        <w:t>Основните компоненти на приходите от лихви и други подобни приходи са следните:</w:t>
      </w:r>
    </w:p>
    <w:p>
      <w:pPr>
        <w:pBdr>
          <w:top w:val="nil"/>
          <w:left w:val="nil"/>
          <w:bottom w:val="nil"/>
          <w:right w:val="nil"/>
          <w:between w:val="nil"/>
          <w:bar w:val="nil"/>
        </w:pBdr>
        <w:spacing w:before="60" w:after="60"/>
        <w:jc w:val="both"/>
        <w:rPr>
          <w:rFonts w:ascii="Arial" w:hAnsi="Arial"/>
          <w:noProof/>
          <w:sz w:val="16"/>
          <w:szCs w:val="16"/>
          <w:bdr w:val="nil"/>
          <w:lang w:val="bg-BG"/>
        </w:rPr>
      </w:pPr>
      <w:r>
        <w:rPr>
          <w:noProof/>
          <w:lang w:val="bg-BG"/>
        </w:rPr>
        <w:t xml:space="preserve"> </w:t>
      </w:r>
    </w:p>
    <w:tbl>
      <w:tblPr>
        <w:tblStyle w:val="CDMRange120"/>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1.1.2019 г.</w:t>
            </w:r>
          </w:p>
          <w:p>
            <w:pPr>
              <w:jc w:val="right"/>
              <w:rPr>
                <w:rFonts w:ascii="Arial" w:eastAsia="Arial" w:hAnsi="Arial" w:cs="Arial"/>
                <w:b/>
                <w:noProof/>
                <w:color w:val="000000"/>
                <w:sz w:val="16"/>
                <w:lang w:val="bg-BG"/>
              </w:rPr>
            </w:pPr>
            <w:r>
              <w:rPr>
                <w:rFonts w:ascii="Arial" w:hAnsi="Arial"/>
                <w:b/>
                <w:noProof/>
                <w:color w:val="000000"/>
                <w:sz w:val="16"/>
                <w:lang w:val="bg-BG"/>
              </w:rPr>
              <w:t>До 31.12.2019 г.</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1.1.2018 г.</w:t>
            </w:r>
          </w:p>
          <w:p>
            <w:pPr>
              <w:jc w:val="right"/>
              <w:rPr>
                <w:rFonts w:ascii="Arial" w:eastAsia="Arial" w:hAnsi="Arial" w:cs="Arial"/>
                <w:b/>
                <w:noProof/>
                <w:color w:val="000000"/>
                <w:sz w:val="16"/>
                <w:lang w:val="bg-BG"/>
              </w:rPr>
            </w:pPr>
            <w:r>
              <w:rPr>
                <w:rFonts w:ascii="Arial" w:hAnsi="Arial"/>
                <w:b/>
                <w:noProof/>
                <w:color w:val="000000"/>
                <w:sz w:val="16"/>
                <w:lang w:val="bg-BG"/>
              </w:rPr>
              <w:t>до 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Заеми и аванси</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89,244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92,506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Лихвени субсидии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4,224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приходи от лихви и други подобни приходи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93,923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96,730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Основните компоненти на разходите за лихви и други подобни разходи са следните:</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1.1.2019 г.</w:t>
            </w:r>
          </w:p>
          <w:p>
            <w:pPr>
              <w:jc w:val="right"/>
              <w:rPr>
                <w:rFonts w:ascii="Arial" w:eastAsia="Arial" w:hAnsi="Arial" w:cs="Arial"/>
                <w:b/>
                <w:noProof/>
                <w:color w:val="000000"/>
                <w:sz w:val="16"/>
                <w:lang w:val="bg-BG"/>
              </w:rPr>
            </w:pPr>
            <w:r>
              <w:rPr>
                <w:rFonts w:ascii="Arial" w:hAnsi="Arial"/>
                <w:b/>
                <w:noProof/>
                <w:color w:val="000000"/>
                <w:sz w:val="16"/>
                <w:lang w:val="bg-BG"/>
              </w:rPr>
              <w:t>до 31.12.2019 г.</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1.1.2018 г.</w:t>
            </w:r>
          </w:p>
          <w:p>
            <w:pPr>
              <w:jc w:val="right"/>
              <w:rPr>
                <w:rFonts w:ascii="Arial" w:eastAsia="Arial" w:hAnsi="Arial" w:cs="Arial"/>
                <w:b/>
                <w:noProof/>
                <w:color w:val="000000"/>
                <w:sz w:val="16"/>
                <w:lang w:val="bg-BG"/>
              </w:rPr>
            </w:pPr>
            <w:r>
              <w:rPr>
                <w:rFonts w:ascii="Arial" w:hAnsi="Arial"/>
                <w:b/>
                <w:noProof/>
                <w:color w:val="000000"/>
                <w:sz w:val="16"/>
                <w:lang w:val="bg-BG"/>
              </w:rPr>
              <w:t>до 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Дериватни финансови инструменти</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Пари и парични еквиваленти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-654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Касови финансови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-1,965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разходи за лихви и други подобни разходи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-2,948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-2,539</w:t>
            </w:r>
          </w:p>
        </w:tc>
      </w:tr>
    </w:tbl>
    <w:p>
      <w:pPr>
        <w:numPr>
          <w:ilvl w:val="0"/>
          <w:numId w:val="108"/>
        </w:numPr>
        <w:pBdr>
          <w:top w:val="nil"/>
          <w:left w:val="nil"/>
          <w:bottom w:val="nil"/>
          <w:right w:val="nil"/>
          <w:between w:val="nil"/>
          <w:bar w:val="nil"/>
        </w:pBdr>
        <w:tabs>
          <w:tab w:val="center" w:pos="4320"/>
          <w:tab w:val="right" w:pos="8640"/>
        </w:tabs>
        <w:suppressAutoHyphens/>
        <w:spacing w:before="60" w:after="60"/>
        <w:ind w:left="431" w:hanging="431"/>
        <w:jc w:val="both"/>
        <w:rPr>
          <w:rFonts w:ascii="Arial" w:hAnsi="Arial"/>
          <w:b/>
          <w:noProof/>
          <w:sz w:val="18"/>
          <w:bdr w:val="nil"/>
          <w:lang w:val="bg-BG" w:eastAsia="ar-SA"/>
        </w:rPr>
      </w:pPr>
    </w:p>
    <w:p>
      <w:pPr>
        <w:numPr>
          <w:ilvl w:val="0"/>
          <w:numId w:val="108"/>
        </w:numPr>
        <w:pBdr>
          <w:top w:val="nil"/>
          <w:left w:val="nil"/>
          <w:bottom w:val="nil"/>
          <w:right w:val="nil"/>
          <w:between w:val="nil"/>
          <w:bar w:val="nil"/>
        </w:pBdr>
        <w:tabs>
          <w:tab w:val="center" w:pos="4320"/>
          <w:tab w:val="right" w:pos="8640"/>
        </w:tabs>
        <w:suppressAutoHyphens/>
        <w:spacing w:before="120" w:after="120"/>
        <w:jc w:val="both"/>
        <w:rPr>
          <w:rFonts w:ascii="Arial" w:hAnsi="Arial"/>
          <w:b/>
          <w:noProof/>
          <w:sz w:val="20"/>
          <w:bdr w:val="nil"/>
          <w:lang w:val="bg-BG" w:eastAsia="ar-SA"/>
        </w:rPr>
      </w:pPr>
      <w:r>
        <w:rPr>
          <w:rFonts w:ascii="Arial" w:hAnsi="Arial"/>
          <w:b/>
          <w:noProof/>
          <w:sz w:val="20"/>
          <w:bdr w:val="nil"/>
          <w:lang w:val="bg-BG" w:eastAsia="ar-SA"/>
        </w:rPr>
        <w:t>20</w:t>
      </w:r>
      <w:r>
        <w:rPr>
          <w:rFonts w:ascii="Arial" w:hAnsi="Arial"/>
          <w:b/>
          <w:noProof/>
          <w:sz w:val="20"/>
          <w:bdr w:val="nil"/>
          <w:lang w:val="bg-BG" w:eastAsia="ar-SA"/>
        </w:rPr>
        <w:tab/>
        <w:t xml:space="preserve">Приходи и разходи от такси и комисиони </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szCs w:val="16"/>
          <w:bdr w:val="nil"/>
          <w:lang w:val="bg-BG"/>
        </w:rPr>
        <w:t>Основните компоненти на приходите от такси и комисионни са, както следва:</w:t>
      </w:r>
    </w:p>
    <w:p>
      <w:pPr>
        <w:pBdr>
          <w:top w:val="nil"/>
          <w:left w:val="nil"/>
          <w:bottom w:val="nil"/>
          <w:right w:val="nil"/>
          <w:between w:val="nil"/>
          <w:bar w:val="nil"/>
        </w:pBdr>
        <w:spacing w:before="60" w:after="60"/>
        <w:jc w:val="both"/>
        <w:rPr>
          <w:rFonts w:ascii="Arial" w:hAnsi="Arial"/>
          <w:noProof/>
          <w:sz w:val="16"/>
          <w:szCs w:val="16"/>
          <w:bdr w:val="nil"/>
          <w:lang w:val="bg-BG"/>
        </w:rPr>
      </w:pPr>
      <w:r>
        <w:rPr>
          <w:noProof/>
          <w:lang w:val="bg-BG"/>
        </w:rPr>
        <w:t xml:space="preserve"> </w:t>
      </w:r>
    </w:p>
    <w:tbl>
      <w:tblPr>
        <w:tblStyle w:val="CDMRange220"/>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noWrap/>
            <w:tcMar>
              <w:left w:w="40" w:type="dxa"/>
              <w:right w:w="40" w:type="dxa"/>
            </w:tcMar>
            <w:vAlign w:val="bottom"/>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1.1.2019 г.</w:t>
            </w:r>
          </w:p>
          <w:p>
            <w:pPr>
              <w:jc w:val="right"/>
              <w:rPr>
                <w:rFonts w:ascii="Arial" w:eastAsia="Arial" w:hAnsi="Arial" w:cs="Arial"/>
                <w:b/>
                <w:noProof/>
                <w:color w:val="000000"/>
                <w:sz w:val="16"/>
                <w:lang w:val="bg-BG"/>
              </w:rPr>
            </w:pPr>
            <w:r>
              <w:rPr>
                <w:rFonts w:ascii="Arial" w:hAnsi="Arial"/>
                <w:b/>
                <w:noProof/>
                <w:color w:val="000000"/>
                <w:sz w:val="16"/>
                <w:lang w:val="bg-BG"/>
              </w:rPr>
              <w:t>до 31.12.2019 г.</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1.1.2018 г.</w:t>
            </w:r>
          </w:p>
          <w:p>
            <w:pPr>
              <w:jc w:val="right"/>
              <w:rPr>
                <w:rFonts w:ascii="Arial" w:eastAsia="Arial" w:hAnsi="Arial"/>
                <w:noProof/>
                <w:color w:val="000000"/>
                <w:sz w:val="16"/>
                <w:lang w:val="bg-BG"/>
              </w:rPr>
            </w:pPr>
            <w:r>
              <w:rPr>
                <w:rFonts w:ascii="Arial" w:hAnsi="Arial"/>
                <w:b/>
                <w:noProof/>
                <w:color w:val="000000"/>
                <w:sz w:val="16"/>
                <w:lang w:val="bg-BG"/>
              </w:rPr>
              <w:t>до 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Такси и комисионни за заеми и аванси</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4,399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Такси и комисионни за 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приходи от такси и комисионни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4,438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284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pPr>
              <w:rPr>
                <w:rFonts w:ascii="Arial" w:eastAsia="Arial" w:hAnsi="Arial" w:cs="Arial"/>
                <w:noProof/>
                <w:color w:val="000000"/>
                <w:sz w:val="16"/>
                <w:lang w:val="bg-BG"/>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Основният компонент на разходите за такси и комисионни е, както следва:</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rPr>
                <w:rFonts w:ascii="Arial" w:eastAsia="Arial" w:hAnsi="Arial" w:cs="Arial"/>
                <w:noProof/>
                <w:color w:val="000000"/>
                <w:sz w:val="20"/>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1.1.2019 г.</w:t>
            </w:r>
          </w:p>
          <w:p>
            <w:pPr>
              <w:jc w:val="right"/>
              <w:rPr>
                <w:rFonts w:ascii="Arial" w:eastAsia="Arial" w:hAnsi="Arial" w:cs="Arial"/>
                <w:b/>
                <w:noProof/>
                <w:color w:val="000000"/>
                <w:sz w:val="16"/>
                <w:lang w:val="bg-BG"/>
              </w:rPr>
            </w:pPr>
            <w:r>
              <w:rPr>
                <w:rFonts w:ascii="Arial" w:hAnsi="Arial"/>
                <w:b/>
                <w:noProof/>
                <w:color w:val="000000"/>
                <w:sz w:val="16"/>
                <w:lang w:val="bg-BG"/>
              </w:rPr>
              <w:t>до 31.12.2019 г.</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1.1.2018 г.</w:t>
            </w:r>
          </w:p>
          <w:p>
            <w:pPr>
              <w:jc w:val="right"/>
              <w:rPr>
                <w:rFonts w:ascii="Arial" w:eastAsia="Arial" w:hAnsi="Arial"/>
                <w:noProof/>
                <w:color w:val="000000"/>
                <w:sz w:val="16"/>
                <w:lang w:val="bg-BG"/>
              </w:rPr>
            </w:pPr>
            <w:r>
              <w:rPr>
                <w:rFonts w:ascii="Arial" w:hAnsi="Arial"/>
                <w:b/>
                <w:noProof/>
                <w:color w:val="000000"/>
                <w:sz w:val="16"/>
                <w:lang w:val="bg-BG"/>
              </w:rPr>
              <w:t>до 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Комисионна, платена на трети страни по отношение на акции и други ценни книжа с променлива доходност</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-721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 разходи за такси и комисионни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-721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-106</w:t>
            </w:r>
          </w:p>
        </w:tc>
      </w:tr>
    </w:tbl>
    <w:p>
      <w:pPr>
        <w:rPr>
          <w:rFonts w:ascii="Arial" w:hAnsi="Arial"/>
          <w:b/>
          <w:noProof/>
          <w:sz w:val="20"/>
          <w:bdr w:val="nil"/>
          <w:lang w:val="bg-BG"/>
        </w:rPr>
      </w:pPr>
      <w:r>
        <w:rPr>
          <w:noProof/>
          <w:lang w:val="bg-BG"/>
        </w:rPr>
        <w:br w:type="page"/>
      </w:r>
    </w:p>
    <w:p>
      <w:pPr>
        <w:numPr>
          <w:ilvl w:val="0"/>
          <w:numId w:val="108"/>
        </w:numPr>
        <w:pBdr>
          <w:top w:val="nil"/>
          <w:left w:val="nil"/>
          <w:bottom w:val="nil"/>
          <w:right w:val="nil"/>
          <w:between w:val="nil"/>
          <w:bar w:val="nil"/>
        </w:pBdr>
        <w:tabs>
          <w:tab w:val="center" w:pos="4320"/>
          <w:tab w:val="right" w:pos="8640"/>
        </w:tabs>
        <w:suppressAutoHyphens/>
        <w:spacing w:before="120" w:after="120"/>
        <w:jc w:val="both"/>
        <w:rPr>
          <w:rFonts w:ascii="Arial" w:hAnsi="Arial"/>
          <w:b/>
          <w:noProof/>
          <w:sz w:val="20"/>
          <w:bdr w:val="nil"/>
          <w:lang w:val="bg-BG" w:eastAsia="ar-SA"/>
        </w:rPr>
      </w:pPr>
      <w:r>
        <w:rPr>
          <w:rFonts w:ascii="Arial" w:hAnsi="Arial"/>
          <w:b/>
          <w:noProof/>
          <w:sz w:val="20"/>
          <w:bdr w:val="nil"/>
          <w:lang w:val="bg-BG" w:eastAsia="ar-SA"/>
        </w:rPr>
        <w:t>21</w:t>
      </w:r>
      <w:r>
        <w:rPr>
          <w:rFonts w:ascii="Arial" w:hAnsi="Arial"/>
          <w:b/>
          <w:noProof/>
          <w:sz w:val="20"/>
          <w:bdr w:val="nil"/>
          <w:lang w:val="bg-BG" w:eastAsia="ar-SA"/>
        </w:rPr>
        <w:tab/>
        <w:t>Нетен резултат от акции и други ценни книжа с променлива доходност</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szCs w:val="16"/>
          <w:bdr w:val="nil"/>
          <w:lang w:val="bg-BG"/>
        </w:rPr>
        <w:t>Основните компоненти на нетните реализирани печалби от акции и други ценни книжа с променлива доходност са следните:</w:t>
      </w:r>
    </w:p>
    <w:p>
      <w:pPr>
        <w:pBdr>
          <w:top w:val="nil"/>
          <w:left w:val="nil"/>
          <w:bottom w:val="nil"/>
          <w:right w:val="nil"/>
          <w:between w:val="nil"/>
          <w:bar w:val="nil"/>
        </w:pBdr>
        <w:spacing w:before="60" w:after="60"/>
        <w:jc w:val="both"/>
        <w:rPr>
          <w:rFonts w:ascii="Arial" w:hAnsi="Arial"/>
          <w:noProof/>
          <w:sz w:val="16"/>
          <w:szCs w:val="16"/>
          <w:bdr w:val="nil"/>
          <w:lang w:val="bg-BG"/>
        </w:rPr>
      </w:pPr>
      <w:r>
        <w:rPr>
          <w:noProof/>
          <w:lang w:val="bg-BG"/>
        </w:rPr>
        <w:t xml:space="preserve"> </w:t>
      </w:r>
    </w:p>
    <w:tbl>
      <w:tblPr>
        <w:tblStyle w:val="CDMRange121"/>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bottom"/>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1.1.2019 г.</w:t>
            </w:r>
          </w:p>
          <w:p>
            <w:pPr>
              <w:jc w:val="right"/>
              <w:rPr>
                <w:rFonts w:ascii="Arial" w:eastAsia="Arial" w:hAnsi="Arial" w:cs="Arial"/>
                <w:b/>
                <w:noProof/>
                <w:color w:val="000000"/>
                <w:sz w:val="16"/>
                <w:lang w:val="bg-BG"/>
              </w:rPr>
            </w:pPr>
            <w:r>
              <w:rPr>
                <w:rFonts w:ascii="Arial" w:hAnsi="Arial"/>
                <w:b/>
                <w:noProof/>
                <w:color w:val="000000"/>
                <w:sz w:val="16"/>
                <w:lang w:val="bg-BG"/>
              </w:rPr>
              <w:t>до 31.12.2019 г.</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1.1.2018 г.</w:t>
            </w:r>
          </w:p>
          <w:p>
            <w:pPr>
              <w:jc w:val="right"/>
              <w:rPr>
                <w:rFonts w:ascii="Arial" w:eastAsia="Arial" w:hAnsi="Arial" w:cs="Arial"/>
                <w:b/>
                <w:noProof/>
                <w:color w:val="000000"/>
                <w:sz w:val="16"/>
                <w:lang w:val="bg-BG"/>
              </w:rPr>
            </w:pPr>
            <w:r>
              <w:rPr>
                <w:rFonts w:ascii="Arial" w:hAnsi="Arial"/>
                <w:b/>
                <w:noProof/>
                <w:color w:val="000000"/>
                <w:sz w:val="16"/>
                <w:lang w:val="bg-BG"/>
              </w:rPr>
              <w:t>до 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Нетeн реализиран резултат от акции и други ценни книжа с променлива доходност</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-133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3,166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Приходи от дивиденти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1,408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7,320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Нетна промяна на справедливата стойност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8,629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-20,665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Нетен резултат от акции и други ценни книжа с променлива доходност</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9,904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-10,179</w:t>
            </w:r>
          </w:p>
        </w:tc>
      </w:tr>
    </w:tbl>
    <w:p>
      <w:pPr>
        <w:numPr>
          <w:ilvl w:val="0"/>
          <w:numId w:val="108"/>
        </w:numPr>
        <w:pBdr>
          <w:top w:val="nil"/>
          <w:left w:val="nil"/>
          <w:bottom w:val="nil"/>
          <w:right w:val="nil"/>
          <w:between w:val="nil"/>
          <w:bar w:val="nil"/>
        </w:pBdr>
        <w:tabs>
          <w:tab w:val="center" w:pos="4320"/>
          <w:tab w:val="right" w:pos="8640"/>
        </w:tabs>
        <w:suppressAutoHyphens/>
        <w:spacing w:before="120" w:after="120"/>
        <w:jc w:val="both"/>
        <w:rPr>
          <w:rFonts w:ascii="Arial" w:hAnsi="Arial"/>
          <w:b/>
          <w:noProof/>
          <w:sz w:val="16"/>
          <w:bdr w:val="nil"/>
          <w:lang w:val="bg-BG" w:eastAsia="ar-SA"/>
        </w:rPr>
      </w:pPr>
    </w:p>
    <w:p>
      <w:pPr>
        <w:numPr>
          <w:ilvl w:val="0"/>
          <w:numId w:val="108"/>
        </w:numPr>
        <w:pBdr>
          <w:top w:val="nil"/>
          <w:left w:val="nil"/>
          <w:bottom w:val="nil"/>
          <w:right w:val="nil"/>
          <w:between w:val="nil"/>
          <w:bar w:val="nil"/>
        </w:pBdr>
        <w:tabs>
          <w:tab w:val="center" w:pos="4320"/>
          <w:tab w:val="right" w:pos="8640"/>
        </w:tabs>
        <w:suppressAutoHyphens/>
        <w:spacing w:before="120" w:after="120"/>
        <w:ind w:left="431" w:hanging="431"/>
        <w:jc w:val="both"/>
        <w:rPr>
          <w:rFonts w:ascii="Arial" w:hAnsi="Arial"/>
          <w:b/>
          <w:noProof/>
          <w:sz w:val="20"/>
          <w:bdr w:val="nil"/>
          <w:lang w:val="bg-BG" w:eastAsia="ar-SA"/>
        </w:rPr>
      </w:pPr>
      <w:r>
        <w:rPr>
          <w:rFonts w:ascii="Arial" w:hAnsi="Arial"/>
          <w:b/>
          <w:noProof/>
          <w:sz w:val="20"/>
          <w:bdr w:val="nil"/>
          <w:lang w:val="bg-BG" w:eastAsia="ar-SA"/>
        </w:rPr>
        <w:t>22</w:t>
      </w:r>
      <w:r>
        <w:rPr>
          <w:rFonts w:ascii="Arial" w:hAnsi="Arial"/>
          <w:b/>
          <w:noProof/>
          <w:sz w:val="20"/>
          <w:bdr w:val="nil"/>
          <w:lang w:val="bg-BG" w:eastAsia="ar-SA"/>
        </w:rPr>
        <w:tab/>
        <w:t>Общи административни разходи</w:t>
      </w:r>
    </w:p>
    <w:p>
      <w:pPr>
        <w:pBdr>
          <w:top w:val="nil"/>
          <w:left w:val="nil"/>
          <w:bottom w:val="nil"/>
          <w:right w:val="nil"/>
          <w:between w:val="nil"/>
          <w:bar w:val="nil"/>
        </w:pBdr>
        <w:spacing w:before="60" w:after="60"/>
        <w:jc w:val="both"/>
        <w:rPr>
          <w:rFonts w:ascii="Arial" w:hAnsi="Arial"/>
          <w:noProof/>
          <w:sz w:val="16"/>
          <w:szCs w:val="16"/>
          <w:bdr w:val="nil"/>
          <w:lang w:val="bg-BG"/>
        </w:rPr>
      </w:pPr>
    </w:p>
    <w:p>
      <w:pPr>
        <w:pBdr>
          <w:top w:val="nil"/>
          <w:left w:val="nil"/>
          <w:bottom w:val="nil"/>
          <w:right w:val="nil"/>
          <w:between w:val="nil"/>
          <w:bar w:val="nil"/>
        </w:pBdr>
        <w:spacing w:before="60" w:after="60"/>
        <w:jc w:val="both"/>
        <w:rPr>
          <w:noProof/>
          <w:sz w:val="16"/>
          <w:szCs w:val="16"/>
          <w:lang w:val="bg-BG"/>
        </w:rPr>
      </w:pPr>
      <w:r>
        <w:rPr>
          <w:rFonts w:ascii="Arial" w:hAnsi="Arial"/>
          <w:noProof/>
          <w:sz w:val="16"/>
          <w:szCs w:val="16"/>
          <w:bdr w:val="nil"/>
          <w:lang w:val="bg-BG"/>
        </w:rPr>
        <w:t>Общите административни разходи представляват реалните разходи, направени от ЕИБ за управление на механизма, намалени с приходите, получени от редовните такси за извършване на оценка, пряко начислявани от ЕИБ на клиентите на механизма.</w:t>
      </w:r>
    </w:p>
    <w:p>
      <w:pPr>
        <w:pBdr>
          <w:top w:val="nil"/>
          <w:left w:val="nil"/>
          <w:bottom w:val="nil"/>
          <w:right w:val="nil"/>
          <w:between w:val="nil"/>
          <w:bar w:val="nil"/>
        </w:pBdr>
        <w:spacing w:before="60" w:after="60"/>
        <w:jc w:val="both"/>
        <w:rPr>
          <w:rFonts w:ascii="Arial" w:hAnsi="Arial"/>
          <w:noProof/>
          <w:sz w:val="16"/>
          <w:lang w:val="bg-BG"/>
        </w:rPr>
      </w:pPr>
    </w:p>
    <w:p>
      <w:pPr>
        <w:pBdr>
          <w:top w:val="nil"/>
          <w:left w:val="nil"/>
          <w:bottom w:val="nil"/>
          <w:right w:val="nil"/>
          <w:between w:val="nil"/>
          <w:bar w:val="nil"/>
        </w:pBdr>
        <w:spacing w:before="60" w:after="60"/>
        <w:jc w:val="both"/>
        <w:rPr>
          <w:rFonts w:ascii="Arial" w:hAnsi="Arial"/>
          <w:noProof/>
          <w:sz w:val="16"/>
          <w:szCs w:val="16"/>
          <w:bdr w:val="nil"/>
          <w:lang w:val="bg-BG"/>
        </w:rPr>
      </w:pPr>
      <w:r>
        <w:rPr>
          <w:rFonts w:ascii="Arial" w:hAnsi="Arial"/>
          <w:noProof/>
          <w:sz w:val="16"/>
          <w:szCs w:val="16"/>
          <w:bdr w:val="nil"/>
          <w:lang w:val="bg-BG"/>
        </w:rPr>
        <w:t>Основните компоненти на общите административни разходи са следните:</w:t>
      </w:r>
    </w:p>
    <w:p>
      <w:pPr>
        <w:pBdr>
          <w:top w:val="nil"/>
          <w:left w:val="nil"/>
          <w:bottom w:val="nil"/>
          <w:right w:val="nil"/>
          <w:between w:val="nil"/>
          <w:bar w:val="nil"/>
        </w:pBdr>
        <w:spacing w:before="60" w:after="60"/>
        <w:jc w:val="both"/>
        <w:rPr>
          <w:rFonts w:ascii="Arial" w:hAnsi="Arial"/>
          <w:noProof/>
          <w:sz w:val="16"/>
          <w:szCs w:val="16"/>
          <w:bdr w:val="nil"/>
          <w:lang w:val="bg-BG"/>
        </w:rPr>
      </w:pPr>
    </w:p>
    <w:tbl>
      <w:tblPr>
        <w:tblStyle w:val="CDMRange221"/>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 хиляди евро</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1.1.2019 г.</w:t>
            </w:r>
          </w:p>
          <w:p>
            <w:pPr>
              <w:jc w:val="right"/>
              <w:rPr>
                <w:rFonts w:ascii="Arial" w:eastAsia="Arial" w:hAnsi="Arial" w:cs="Arial"/>
                <w:b/>
                <w:noProof/>
                <w:color w:val="000000"/>
                <w:sz w:val="16"/>
                <w:lang w:val="bg-BG"/>
              </w:rPr>
            </w:pPr>
            <w:r>
              <w:rPr>
                <w:rFonts w:ascii="Arial" w:hAnsi="Arial"/>
                <w:b/>
                <w:noProof/>
                <w:color w:val="000000"/>
                <w:sz w:val="16"/>
                <w:lang w:val="bg-BG"/>
              </w:rPr>
              <w:t>до 31.12.2019 г.</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От 1.1.2018 г. до 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Реални разходи, направени от ЕИБ</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-52,982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-50,021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Приходи от такси за извършване на оценка, директно начислявани на клиентите на механизма</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2,973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2,222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 размер на общите административни разходи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-50,009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-47,799</w:t>
            </w:r>
          </w:p>
        </w:tc>
      </w:tr>
    </w:tbl>
    <w:p>
      <w:pPr>
        <w:pageBreakBefore/>
        <w:tabs>
          <w:tab w:val="center" w:pos="4320"/>
          <w:tab w:val="right" w:pos="8640"/>
        </w:tabs>
        <w:suppressAutoHyphens/>
        <w:spacing w:before="120" w:after="120"/>
        <w:ind w:left="432" w:hanging="432"/>
        <w:jc w:val="both"/>
        <w:rPr>
          <w:rFonts w:ascii="Arial" w:eastAsia="Calibri" w:hAnsi="Arial" w:cs="Arial"/>
          <w:b/>
          <w:noProof/>
          <w:sz w:val="20"/>
          <w:szCs w:val="20"/>
          <w:lang w:val="bg-BG" w:eastAsia="ar-SA"/>
        </w:rPr>
      </w:pPr>
      <w:r>
        <w:rPr>
          <w:rFonts w:ascii="Arial" w:eastAsia="Calibri" w:hAnsi="Arial" w:cs="Arial"/>
          <w:b/>
          <w:noProof/>
          <w:sz w:val="20"/>
          <w:lang w:val="bg-BG" w:eastAsia="ar-SA"/>
        </w:rPr>
        <w:t>23</w:t>
      </w:r>
      <w:r>
        <w:rPr>
          <w:rFonts w:ascii="Arial" w:eastAsia="Calibri" w:hAnsi="Arial" w:cs="Arial"/>
          <w:b/>
          <w:noProof/>
          <w:sz w:val="20"/>
          <w:lang w:val="bg-BG" w:eastAsia="ar-SA"/>
        </w:rPr>
        <w:tab/>
        <w:t>Участие в неконсолидирани структурирани предприятия (в хиляди евро)</w:t>
      </w:r>
    </w:p>
    <w:p>
      <w:pPr>
        <w:spacing w:before="60" w:after="60"/>
        <w:jc w:val="both"/>
        <w:rPr>
          <w:rFonts w:ascii="Calibri" w:eastAsia="Calibri" w:hAnsi="Calibri" w:cs="Arial"/>
          <w:noProof/>
          <w:sz w:val="16"/>
          <w:szCs w:val="16"/>
          <w:lang w:val="bg-BG" w:eastAsia="en-US"/>
        </w:rPr>
      </w:pPr>
    </w:p>
    <w:p>
      <w:pPr>
        <w:spacing w:before="60"/>
        <w:jc w:val="both"/>
        <w:rPr>
          <w:rFonts w:ascii="Arial" w:eastAsia="Calibri" w:hAnsi="Arial" w:cs="Arial"/>
          <w:i/>
          <w:noProof/>
          <w:sz w:val="16"/>
          <w:szCs w:val="16"/>
          <w:lang w:val="bg-BG" w:eastAsia="en-US"/>
        </w:rPr>
      </w:pPr>
      <w:r>
        <w:rPr>
          <w:rFonts w:ascii="Arial" w:eastAsia="Calibri" w:hAnsi="Arial" w:cs="Arial"/>
          <w:i/>
          <w:noProof/>
          <w:sz w:val="16"/>
          <w:szCs w:val="16"/>
          <w:lang w:val="bg-BG" w:eastAsia="en-US"/>
        </w:rPr>
        <w:t>Определение на структурирано предприятие</w:t>
      </w:r>
    </w:p>
    <w:p>
      <w:pPr>
        <w:spacing w:after="60"/>
        <w:jc w:val="both"/>
        <w:rPr>
          <w:rFonts w:ascii="Arial" w:eastAsia="Calibri" w:hAnsi="Arial" w:cs="Arial"/>
          <w:i/>
          <w:noProof/>
          <w:sz w:val="16"/>
          <w:szCs w:val="16"/>
          <w:lang w:val="bg-BG" w:eastAsia="en-US"/>
        </w:rPr>
      </w:pPr>
    </w:p>
    <w:p>
      <w:pPr>
        <w:spacing w:before="60" w:after="60"/>
        <w:jc w:val="both"/>
        <w:rPr>
          <w:rFonts w:ascii="Arial" w:eastAsia="Calibri" w:hAnsi="Arial" w:cs="Arial"/>
          <w:noProof/>
          <w:sz w:val="16"/>
          <w:szCs w:val="16"/>
          <w:lang w:val="bg-BG" w:eastAsia="en-US"/>
        </w:rPr>
      </w:pPr>
      <w:r>
        <w:rPr>
          <w:rFonts w:ascii="Arial" w:eastAsia="Calibri" w:hAnsi="Arial" w:cs="Arial"/>
          <w:noProof/>
          <w:sz w:val="16"/>
          <w:szCs w:val="16"/>
          <w:lang w:val="bg-BG" w:eastAsia="en-US"/>
        </w:rPr>
        <w:t>Структурирано предприятие е предприятие, чийто модел е такъв, че правата на глас или подобните права не са основен фактор при решаването на това кой има контрол над предприятието. В МСФО 12 се посочва, че структурираното предприятие често има някои или всички от следните характеристики:</w:t>
      </w:r>
    </w:p>
    <w:p>
      <w:pPr>
        <w:numPr>
          <w:ilvl w:val="0"/>
          <w:numId w:val="109"/>
        </w:numPr>
        <w:spacing w:before="60" w:after="60"/>
        <w:jc w:val="both"/>
        <w:rPr>
          <w:rFonts w:ascii="Arial" w:eastAsia="Calibri" w:hAnsi="Arial" w:cs="Arial"/>
          <w:noProof/>
          <w:sz w:val="16"/>
          <w:szCs w:val="16"/>
          <w:lang w:val="bg-BG" w:eastAsia="en-US"/>
        </w:rPr>
      </w:pPr>
      <w:r>
        <w:rPr>
          <w:rFonts w:ascii="Arial" w:eastAsia="Calibri" w:hAnsi="Arial" w:cs="Arial"/>
          <w:noProof/>
          <w:sz w:val="16"/>
          <w:szCs w:val="16"/>
          <w:lang w:val="bg-BG" w:eastAsia="en-US"/>
        </w:rPr>
        <w:t>ограничена дейност;</w:t>
      </w:r>
    </w:p>
    <w:p>
      <w:pPr>
        <w:numPr>
          <w:ilvl w:val="0"/>
          <w:numId w:val="109"/>
        </w:numPr>
        <w:spacing w:before="60" w:after="60"/>
        <w:jc w:val="both"/>
        <w:rPr>
          <w:rFonts w:ascii="Arial" w:eastAsia="Calibri" w:hAnsi="Arial" w:cs="Arial"/>
          <w:noProof/>
          <w:sz w:val="16"/>
          <w:szCs w:val="16"/>
          <w:lang w:val="bg-BG" w:eastAsia="en-US"/>
        </w:rPr>
      </w:pPr>
      <w:r>
        <w:rPr>
          <w:rFonts w:ascii="Arial" w:eastAsia="Calibri" w:hAnsi="Arial" w:cs="Arial"/>
          <w:noProof/>
          <w:sz w:val="16"/>
          <w:szCs w:val="16"/>
          <w:lang w:val="bg-BG" w:eastAsia="en-US"/>
        </w:rPr>
        <w:t>тясна и точно определена цел, като например за осъществяване на данъчно изгоден лизинг, извършване на научно-изследователска и развойна дейност, осигуряване на източник на капитал или финансиране на предприятието или предоставяне на инвестиционни възможности за инвеститорите чрез прехвърляне към тях на рискове и ползи, свързани с негови активи;</w:t>
      </w:r>
    </w:p>
    <w:p>
      <w:pPr>
        <w:numPr>
          <w:ilvl w:val="0"/>
          <w:numId w:val="109"/>
        </w:numPr>
        <w:spacing w:before="60" w:after="60"/>
        <w:jc w:val="both"/>
        <w:rPr>
          <w:rFonts w:ascii="Arial" w:eastAsia="Calibri" w:hAnsi="Arial" w:cs="Arial"/>
          <w:noProof/>
          <w:sz w:val="16"/>
          <w:szCs w:val="16"/>
          <w:lang w:val="bg-BG" w:eastAsia="en-US"/>
        </w:rPr>
      </w:pPr>
      <w:r>
        <w:rPr>
          <w:rFonts w:ascii="Arial" w:eastAsia="Calibri" w:hAnsi="Arial" w:cs="Arial"/>
          <w:noProof/>
          <w:sz w:val="16"/>
          <w:szCs w:val="16"/>
          <w:lang w:val="bg-BG" w:eastAsia="en-US"/>
        </w:rPr>
        <w:t>недостатъчен собствен капитал, за да му позволи да финансира дейността си без подчинена финансова подкрепа;</w:t>
      </w:r>
    </w:p>
    <w:p>
      <w:pPr>
        <w:numPr>
          <w:ilvl w:val="0"/>
          <w:numId w:val="109"/>
        </w:numPr>
        <w:spacing w:before="60" w:after="60"/>
        <w:jc w:val="both"/>
        <w:rPr>
          <w:rFonts w:ascii="Arial" w:eastAsia="Calibri" w:hAnsi="Arial" w:cs="Arial"/>
          <w:noProof/>
          <w:sz w:val="16"/>
          <w:szCs w:val="16"/>
          <w:lang w:val="bg-BG" w:eastAsia="en-US"/>
        </w:rPr>
      </w:pPr>
      <w:r>
        <w:rPr>
          <w:rFonts w:ascii="Arial" w:eastAsia="Calibri" w:hAnsi="Arial" w:cs="Arial"/>
          <w:noProof/>
          <w:sz w:val="16"/>
          <w:szCs w:val="16"/>
          <w:lang w:val="bg-BG" w:eastAsia="en-US"/>
        </w:rPr>
        <w:t>финансиране под формата на многобройни договорно свързани инструменти на инвеститори, които създават концентрации на кредитен или други рискове (траншове).</w:t>
      </w:r>
    </w:p>
    <w:p>
      <w:pPr>
        <w:spacing w:before="60" w:after="60"/>
        <w:jc w:val="both"/>
        <w:rPr>
          <w:rFonts w:ascii="Arial" w:eastAsia="Calibri" w:hAnsi="Arial" w:cs="Arial"/>
          <w:noProof/>
          <w:sz w:val="16"/>
          <w:szCs w:val="16"/>
          <w:lang w:val="bg-BG" w:eastAsia="en-US"/>
        </w:rPr>
      </w:pPr>
    </w:p>
    <w:p>
      <w:pPr>
        <w:spacing w:before="60"/>
        <w:jc w:val="both"/>
        <w:rPr>
          <w:rFonts w:ascii="Arial" w:eastAsia="Calibri" w:hAnsi="Arial" w:cs="Arial"/>
          <w:i/>
          <w:noProof/>
          <w:sz w:val="16"/>
          <w:szCs w:val="16"/>
          <w:lang w:val="bg-BG" w:eastAsia="en-US"/>
        </w:rPr>
      </w:pPr>
      <w:r>
        <w:rPr>
          <w:rFonts w:ascii="Arial" w:eastAsia="Calibri" w:hAnsi="Arial" w:cs="Arial"/>
          <w:i/>
          <w:noProof/>
          <w:sz w:val="16"/>
          <w:szCs w:val="16"/>
          <w:lang w:val="bg-BG" w:eastAsia="en-US"/>
        </w:rPr>
        <w:t>Неконсолидирани структурирани предприятия</w:t>
      </w:r>
    </w:p>
    <w:p>
      <w:pPr>
        <w:spacing w:after="60"/>
        <w:jc w:val="both"/>
        <w:rPr>
          <w:rFonts w:ascii="Arial" w:eastAsia="Calibri" w:hAnsi="Arial" w:cs="Arial"/>
          <w:i/>
          <w:noProof/>
          <w:sz w:val="16"/>
          <w:szCs w:val="16"/>
          <w:lang w:val="bg-BG" w:eastAsia="en-US"/>
        </w:rPr>
      </w:pPr>
    </w:p>
    <w:p>
      <w:pPr>
        <w:spacing w:before="60" w:after="60"/>
        <w:jc w:val="both"/>
        <w:rPr>
          <w:rFonts w:ascii="Arial" w:eastAsia="Calibri" w:hAnsi="Arial" w:cs="Arial"/>
          <w:noProof/>
          <w:sz w:val="16"/>
          <w:szCs w:val="16"/>
          <w:lang w:val="bg-BG" w:eastAsia="en-US"/>
        </w:rPr>
      </w:pPr>
      <w:r>
        <w:rPr>
          <w:rFonts w:ascii="Arial" w:eastAsia="Calibri" w:hAnsi="Arial" w:cs="Arial"/>
          <w:noProof/>
          <w:sz w:val="16"/>
          <w:szCs w:val="16"/>
          <w:lang w:val="bg-BG" w:eastAsia="en-US"/>
        </w:rPr>
        <w:t>Терминът „неконсолидирани структурирани предприятия“ се отнася до всички структурирани предприятия, които не са контролирани от механизма, и включва дялови участия в структурирани предприятия, които не са консолидирани.</w:t>
      </w:r>
    </w:p>
    <w:p>
      <w:pPr>
        <w:spacing w:before="60" w:after="60"/>
        <w:jc w:val="both"/>
        <w:rPr>
          <w:rFonts w:ascii="Arial" w:eastAsia="Calibri" w:hAnsi="Arial" w:cs="Arial"/>
          <w:i/>
          <w:noProof/>
          <w:sz w:val="16"/>
          <w:szCs w:val="16"/>
          <w:lang w:val="bg-BG" w:eastAsia="en-US"/>
        </w:rPr>
      </w:pPr>
    </w:p>
    <w:p>
      <w:pPr>
        <w:spacing w:before="60"/>
        <w:jc w:val="both"/>
        <w:rPr>
          <w:rFonts w:ascii="Arial" w:eastAsia="Calibri" w:hAnsi="Arial" w:cs="Arial"/>
          <w:i/>
          <w:noProof/>
          <w:sz w:val="16"/>
          <w:szCs w:val="16"/>
          <w:lang w:val="bg-BG" w:eastAsia="en-US"/>
        </w:rPr>
      </w:pPr>
      <w:r>
        <w:rPr>
          <w:rFonts w:ascii="Arial" w:eastAsia="Calibri" w:hAnsi="Arial" w:cs="Arial"/>
          <w:i/>
          <w:noProof/>
          <w:sz w:val="16"/>
          <w:szCs w:val="16"/>
          <w:lang w:val="bg-BG" w:eastAsia="en-US"/>
        </w:rPr>
        <w:t>Определение на дялови участия в структурирани предприятия:</w:t>
      </w:r>
    </w:p>
    <w:p>
      <w:pPr>
        <w:spacing w:after="60"/>
        <w:jc w:val="both"/>
        <w:rPr>
          <w:rFonts w:ascii="Arial" w:eastAsia="Calibri" w:hAnsi="Arial" w:cs="Arial"/>
          <w:noProof/>
          <w:sz w:val="16"/>
          <w:szCs w:val="16"/>
          <w:lang w:val="bg-BG" w:eastAsia="en-US"/>
        </w:rPr>
      </w:pPr>
    </w:p>
    <w:p>
      <w:pPr>
        <w:spacing w:before="60" w:after="60"/>
        <w:jc w:val="both"/>
        <w:rPr>
          <w:rFonts w:ascii="Arial" w:eastAsia="Calibri" w:hAnsi="Arial" w:cs="Arial"/>
          <w:noProof/>
          <w:sz w:val="16"/>
          <w:szCs w:val="16"/>
          <w:lang w:val="bg-BG" w:eastAsia="en-US"/>
        </w:rPr>
      </w:pPr>
      <w:r>
        <w:rPr>
          <w:rFonts w:ascii="Arial" w:eastAsia="Calibri" w:hAnsi="Arial" w:cs="Arial"/>
          <w:noProof/>
          <w:sz w:val="16"/>
          <w:szCs w:val="16"/>
          <w:lang w:val="bg-BG" w:eastAsia="en-US"/>
        </w:rPr>
        <w:t>Съгласно МСФО 12 „дялово участие“ най-общо включва всички договорни и извъндоговорни отношения, които излагат отчитащото се предприятие на променлива възвръщаемост в зависимост от резултатите от дейността на другото предприятие.   Примери за такива дялови участия са държането на капиталови участия и други форми на участия, като предоставянето на финансиране, подкрепа на ликвидността, кредитни подобрения, ангажименти и гаранции на другото предприятие. В МСФО 12 се посочва, че отчитащото се предприятие няма непременно дялово участие в друго предприятие само защото поддържа с него типично взаимоотношение клиент-доставчик.</w:t>
      </w:r>
    </w:p>
    <w:p>
      <w:pPr>
        <w:spacing w:before="60" w:after="60"/>
        <w:jc w:val="both"/>
        <w:rPr>
          <w:rFonts w:ascii="Arial" w:eastAsia="Calibri" w:hAnsi="Arial" w:cs="Arial"/>
          <w:noProof/>
          <w:sz w:val="16"/>
          <w:szCs w:val="16"/>
          <w:lang w:val="bg-BG" w:eastAsia="en-US"/>
        </w:rPr>
      </w:pPr>
    </w:p>
    <w:p>
      <w:pPr>
        <w:spacing w:before="60" w:after="60"/>
        <w:jc w:val="both"/>
        <w:rPr>
          <w:rFonts w:ascii="Arial" w:eastAsia="Calibri" w:hAnsi="Arial" w:cs="Arial"/>
          <w:noProof/>
          <w:sz w:val="16"/>
          <w:szCs w:val="16"/>
          <w:lang w:val="bg-BG" w:eastAsia="en-US"/>
        </w:rPr>
      </w:pPr>
      <w:r>
        <w:rPr>
          <w:rFonts w:ascii="Arial" w:eastAsia="Calibri" w:hAnsi="Arial" w:cs="Arial"/>
          <w:noProof/>
          <w:sz w:val="16"/>
          <w:szCs w:val="16"/>
          <w:lang w:val="bg-BG" w:eastAsia="en-US"/>
        </w:rPr>
        <w:t>В таблицата по-долу се описват видовете структурирани предприятия, които механизмът не консолидира, но, в които притежава дялово участие.</w:t>
      </w:r>
    </w:p>
    <w:p>
      <w:pPr>
        <w:spacing w:before="60" w:after="60"/>
        <w:jc w:val="both"/>
        <w:rPr>
          <w:rFonts w:ascii="Arial" w:eastAsia="Calibri" w:hAnsi="Arial" w:cs="Arial"/>
          <w:noProof/>
          <w:sz w:val="16"/>
          <w:szCs w:val="16"/>
          <w:lang w:val="bg-BG" w:eastAsia="en-US"/>
        </w:rPr>
      </w:pPr>
    </w:p>
    <w:tbl>
      <w:tblPr>
        <w:tblStyle w:val="TableGrid0"/>
        <w:tblW w:w="9923" w:type="dxa"/>
        <w:tblInd w:w="108" w:type="dxa"/>
        <w:tblBorders>
          <w:left w:val="nil"/>
          <w:right w:val="nil"/>
          <w:insideV w:val="nil"/>
        </w:tblBorders>
        <w:tblLook w:val="04A0" w:firstRow="1" w:lastRow="0" w:firstColumn="1" w:lastColumn="0" w:noHBand="0" w:noVBand="1"/>
      </w:tblPr>
      <w:tblGrid>
        <w:gridCol w:w="1571"/>
        <w:gridCol w:w="5520"/>
        <w:gridCol w:w="2832"/>
      </w:tblGrid>
      <w:tr>
        <w:tc>
          <w:tcPr>
            <w:tcW w:w="1560" w:type="dxa"/>
          </w:tcPr>
          <w:p>
            <w:pPr>
              <w:spacing w:before="60" w:after="60"/>
              <w:rPr>
                <w:rFonts w:ascii="Arial" w:hAnsi="Arial"/>
                <w:b/>
                <w:noProof/>
                <w:sz w:val="16"/>
                <w:szCs w:val="16"/>
                <w:lang w:val="bg-BG"/>
              </w:rPr>
            </w:pPr>
            <w:r>
              <w:rPr>
                <w:rFonts w:ascii="Arial" w:hAnsi="Arial"/>
                <w:b/>
                <w:noProof/>
                <w:sz w:val="16"/>
                <w:szCs w:val="16"/>
                <w:lang w:val="bg-BG"/>
              </w:rPr>
              <w:t>Вид на структурираното предприятие</w:t>
            </w:r>
          </w:p>
        </w:tc>
        <w:tc>
          <w:tcPr>
            <w:tcW w:w="5528" w:type="dxa"/>
          </w:tcPr>
          <w:p>
            <w:pPr>
              <w:spacing w:before="60" w:after="60"/>
              <w:jc w:val="both"/>
              <w:rPr>
                <w:rFonts w:ascii="Arial" w:hAnsi="Arial"/>
                <w:b/>
                <w:noProof/>
                <w:sz w:val="16"/>
                <w:szCs w:val="16"/>
                <w:lang w:val="bg-BG"/>
              </w:rPr>
            </w:pPr>
            <w:r>
              <w:rPr>
                <w:rFonts w:ascii="Arial" w:hAnsi="Arial"/>
                <w:b/>
                <w:noProof/>
                <w:sz w:val="16"/>
                <w:szCs w:val="16"/>
                <w:lang w:val="bg-BG"/>
              </w:rPr>
              <w:t>Естество и цел</w:t>
            </w:r>
          </w:p>
        </w:tc>
        <w:tc>
          <w:tcPr>
            <w:tcW w:w="2835" w:type="dxa"/>
          </w:tcPr>
          <w:p>
            <w:pPr>
              <w:spacing w:before="60" w:after="60"/>
              <w:jc w:val="both"/>
              <w:rPr>
                <w:rFonts w:ascii="Arial" w:hAnsi="Arial"/>
                <w:b/>
                <w:noProof/>
                <w:sz w:val="16"/>
                <w:szCs w:val="16"/>
                <w:lang w:val="bg-BG"/>
              </w:rPr>
            </w:pPr>
            <w:r>
              <w:rPr>
                <w:rFonts w:ascii="Arial" w:hAnsi="Arial"/>
                <w:b/>
                <w:noProof/>
                <w:sz w:val="16"/>
                <w:szCs w:val="16"/>
                <w:lang w:val="bg-BG"/>
              </w:rPr>
              <w:t>Дялово участие, държано от механизма</w:t>
            </w:r>
          </w:p>
        </w:tc>
      </w:tr>
      <w:tr>
        <w:tc>
          <w:tcPr>
            <w:tcW w:w="1560" w:type="dxa"/>
          </w:tcPr>
          <w:p>
            <w:pPr>
              <w:spacing w:before="60" w:after="60"/>
              <w:rPr>
                <w:rFonts w:ascii="Arial" w:hAnsi="Arial"/>
                <w:noProof/>
                <w:sz w:val="16"/>
                <w:szCs w:val="16"/>
                <w:lang w:val="bg-BG"/>
              </w:rPr>
            </w:pPr>
            <w:r>
              <w:rPr>
                <w:rFonts w:ascii="Arial" w:hAnsi="Arial"/>
                <w:noProof/>
                <w:sz w:val="16"/>
                <w:szCs w:val="16"/>
                <w:lang w:val="bg-BG"/>
              </w:rPr>
              <w:t>Финансиране на проекти — кредитиране на дружества със специално предназначение</w:t>
            </w:r>
          </w:p>
        </w:tc>
        <w:tc>
          <w:tcPr>
            <w:tcW w:w="5528" w:type="dxa"/>
          </w:tcPr>
          <w:p>
            <w:pPr>
              <w:spacing w:before="60" w:after="60"/>
              <w:jc w:val="both"/>
              <w:rPr>
                <w:rFonts w:ascii="Arial" w:hAnsi="Arial"/>
                <w:noProof/>
                <w:sz w:val="16"/>
                <w:szCs w:val="16"/>
                <w:lang w:val="bg-BG"/>
              </w:rPr>
            </w:pPr>
            <w:r>
              <w:rPr>
                <w:rFonts w:ascii="Arial" w:hAnsi="Arial"/>
                <w:noProof/>
                <w:sz w:val="16"/>
                <w:szCs w:val="16"/>
                <w:lang w:val="bg-BG"/>
              </w:rPr>
              <w:t>Операциите за финансиране на проекти са операции, при които за обслужването на своя дълг механизмът разчита на заемополучател, чийто единствен или основен източник на приходи се генерира от един или ограничен брой активи, финансирани от този дълг, или от други вече съществуващи активи, които са договорно обвързани с проекта. Операциите за финансиране на проекти често се финансират чрез дружества със специално предназначение.</w:t>
            </w:r>
          </w:p>
        </w:tc>
        <w:tc>
          <w:tcPr>
            <w:tcW w:w="2835" w:type="dxa"/>
          </w:tcPr>
          <w:p>
            <w:pPr>
              <w:spacing w:before="60" w:after="60"/>
              <w:jc w:val="both"/>
              <w:rPr>
                <w:rFonts w:ascii="Arial" w:hAnsi="Arial"/>
                <w:noProof/>
                <w:sz w:val="16"/>
                <w:szCs w:val="16"/>
                <w:lang w:val="bg-BG"/>
              </w:rPr>
            </w:pPr>
            <w:r>
              <w:rPr>
                <w:rFonts w:ascii="Arial" w:hAnsi="Arial"/>
                <w:noProof/>
                <w:sz w:val="16"/>
                <w:szCs w:val="16"/>
                <w:lang w:val="bg-BG"/>
              </w:rPr>
              <w:t>Нетни платени суми;</w:t>
            </w:r>
          </w:p>
          <w:p>
            <w:pPr>
              <w:spacing w:before="60" w:after="60"/>
              <w:jc w:val="both"/>
              <w:rPr>
                <w:rFonts w:ascii="Arial" w:hAnsi="Arial"/>
                <w:noProof/>
                <w:sz w:val="16"/>
                <w:szCs w:val="16"/>
                <w:lang w:val="bg-BG"/>
              </w:rPr>
            </w:pPr>
            <w:r>
              <w:rPr>
                <w:rFonts w:ascii="Arial" w:hAnsi="Arial"/>
                <w:noProof/>
                <w:sz w:val="16"/>
                <w:szCs w:val="16"/>
                <w:lang w:val="bg-BG"/>
              </w:rPr>
              <w:t>Приходи от лихви.</w:t>
            </w:r>
          </w:p>
        </w:tc>
      </w:tr>
      <w:tr>
        <w:tc>
          <w:tcPr>
            <w:tcW w:w="1560" w:type="dxa"/>
          </w:tcPr>
          <w:p>
            <w:pPr>
              <w:spacing w:before="60" w:after="60"/>
              <w:rPr>
                <w:rFonts w:ascii="Arial" w:hAnsi="Arial"/>
                <w:noProof/>
                <w:sz w:val="16"/>
                <w:szCs w:val="16"/>
                <w:lang w:val="bg-BG"/>
              </w:rPr>
            </w:pPr>
            <w:r>
              <w:rPr>
                <w:rFonts w:ascii="Arial" w:hAnsi="Arial"/>
                <w:noProof/>
                <w:sz w:val="16"/>
                <w:szCs w:val="16"/>
                <w:lang w:val="bg-BG"/>
              </w:rPr>
              <w:t>Операции с рисков капитал</w:t>
            </w:r>
          </w:p>
        </w:tc>
        <w:tc>
          <w:tcPr>
            <w:tcW w:w="5528" w:type="dxa"/>
          </w:tcPr>
          <w:p>
            <w:pPr>
              <w:spacing w:before="60" w:after="60"/>
              <w:jc w:val="both"/>
              <w:rPr>
                <w:rFonts w:ascii="Arial" w:hAnsi="Arial"/>
                <w:noProof/>
                <w:sz w:val="16"/>
                <w:szCs w:val="16"/>
                <w:lang w:val="bg-BG"/>
              </w:rPr>
            </w:pPr>
            <w:r>
              <w:rPr>
                <w:rFonts w:ascii="Arial" w:hAnsi="Arial"/>
                <w:noProof/>
                <w:sz w:val="16"/>
                <w:szCs w:val="16"/>
                <w:lang w:val="bg-BG"/>
              </w:rPr>
              <w:t>Механизмът финансира фондове за рисков капитал и инвестиционни фондове. Фондовете за рисков капитал и инвестиционните фондове обединяват и управляват парите на инвеститори, които търсят частни капиталови дялове в малки и средни предприятия с висок потенциал за растеж, и финансират инфраструктурни проекти.</w:t>
            </w:r>
          </w:p>
        </w:tc>
        <w:tc>
          <w:tcPr>
            <w:tcW w:w="2835" w:type="dxa"/>
          </w:tcPr>
          <w:p>
            <w:pPr>
              <w:spacing w:before="60" w:after="60"/>
              <w:jc w:val="both"/>
              <w:rPr>
                <w:rFonts w:ascii="Arial" w:hAnsi="Arial"/>
                <w:noProof/>
                <w:sz w:val="16"/>
                <w:szCs w:val="16"/>
                <w:lang w:val="bg-BG"/>
              </w:rPr>
            </w:pPr>
            <w:r>
              <w:rPr>
                <w:rFonts w:ascii="Arial" w:hAnsi="Arial"/>
                <w:noProof/>
                <w:sz w:val="16"/>
                <w:szCs w:val="16"/>
                <w:lang w:val="bg-BG"/>
              </w:rPr>
              <w:t>Инвестиции в единици/акции, емитирани от дружеството за рисков капитал;</w:t>
            </w:r>
          </w:p>
          <w:p>
            <w:pPr>
              <w:spacing w:before="60" w:after="60"/>
              <w:jc w:val="both"/>
              <w:rPr>
                <w:rFonts w:ascii="Arial" w:hAnsi="Arial"/>
                <w:noProof/>
                <w:sz w:val="16"/>
                <w:szCs w:val="16"/>
                <w:lang w:val="bg-BG"/>
              </w:rPr>
            </w:pPr>
            <w:r>
              <w:rPr>
                <w:rFonts w:ascii="Arial" w:hAnsi="Arial"/>
                <w:noProof/>
                <w:sz w:val="16"/>
                <w:szCs w:val="16"/>
                <w:lang w:val="bg-BG"/>
              </w:rPr>
              <w:t>Дивиденти, получени като приход от дивиденти.</w:t>
            </w:r>
          </w:p>
        </w:tc>
      </w:tr>
    </w:tbl>
    <w:p>
      <w:pPr>
        <w:spacing w:before="60" w:after="60"/>
        <w:jc w:val="both"/>
        <w:rPr>
          <w:rFonts w:ascii="Arial" w:eastAsia="Calibri" w:hAnsi="Arial" w:cs="Arial"/>
          <w:noProof/>
          <w:sz w:val="16"/>
          <w:szCs w:val="16"/>
          <w:lang w:val="bg-BG" w:eastAsia="en-US"/>
        </w:rPr>
      </w:pPr>
    </w:p>
    <w:p>
      <w:pPr>
        <w:spacing w:before="60" w:after="60"/>
        <w:jc w:val="both"/>
        <w:rPr>
          <w:rFonts w:ascii="Arial" w:eastAsia="Calibri" w:hAnsi="Arial" w:cs="Arial"/>
          <w:noProof/>
          <w:sz w:val="16"/>
          <w:szCs w:val="16"/>
          <w:lang w:val="bg-BG" w:eastAsia="en-US"/>
        </w:rPr>
      </w:pPr>
      <w:r>
        <w:rPr>
          <w:rFonts w:ascii="Arial" w:eastAsia="Calibri" w:hAnsi="Arial" w:cs="Arial"/>
          <w:noProof/>
          <w:sz w:val="16"/>
          <w:szCs w:val="16"/>
          <w:lang w:val="bg-BG" w:eastAsia="en-US"/>
        </w:rPr>
        <w:t xml:space="preserve">Таблицата по-долу показва балансовите стойности на неконсолидираните структурирани предприятия, в които механизмът има дялово участие към отчетната дата, както и максималната експозиция на механизма към загуба във връзка с тези предприятия. Максималната експозиция към загуба включва балансовите стойности и свързаните с тях неизплатени задължения. </w:t>
      </w:r>
    </w:p>
    <w:p>
      <w:pPr>
        <w:spacing w:before="60" w:after="60" w:line="276" w:lineRule="auto"/>
        <w:jc w:val="both"/>
        <w:rPr>
          <w:rFonts w:ascii="Arial" w:eastAsia="Calibri" w:hAnsi="Arial" w:cs="Arial"/>
          <w:noProof/>
          <w:sz w:val="16"/>
          <w:szCs w:val="16"/>
          <w:lang w:val="bg-BG" w:eastAsia="en-US"/>
        </w:rPr>
      </w:pPr>
      <w:r>
        <w:rPr>
          <w:rFonts w:ascii="Calibri" w:eastAsia="Calibri" w:hAnsi="Calibri" w:cs="Arial"/>
          <w:noProof/>
          <w:sz w:val="20"/>
          <w:szCs w:val="20"/>
          <w:lang w:val="bg-BG" w:eastAsia="en-US"/>
        </w:rPr>
        <w:t xml:space="preserve"> </w:t>
      </w:r>
    </w:p>
    <w:tbl>
      <w:tblPr>
        <w:tblStyle w:val="CDMRange122"/>
        <w:tblW w:w="9990" w:type="dxa"/>
        <w:tblLayout w:type="fixed"/>
        <w:tblLook w:val="0600" w:firstRow="0" w:lastRow="0" w:firstColumn="0" w:lastColumn="0" w:noHBand="1" w:noVBand="1"/>
      </w:tblPr>
      <w:tblGrid>
        <w:gridCol w:w="2295"/>
        <w:gridCol w:w="2295"/>
        <w:gridCol w:w="1350"/>
        <w:gridCol w:w="1350"/>
        <w:gridCol w:w="1350"/>
        <w:gridCol w:w="1350"/>
      </w:tblGrid>
      <w:tr>
        <w:trPr>
          <w:trHeight w:val="630"/>
        </w:trPr>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Вид на структурираното предприятие</w:t>
            </w:r>
          </w:p>
        </w:tc>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Текст</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Балансова стойност към 31.12.2019 г.</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Балансова стойност към 31.12.2018 г.</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Максимална експозиция към загуба към 31.12.2019 г.</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Максимална експозиция към загуба към 31.12.2018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Фондове за рисков капитал</w:t>
            </w:r>
          </w:p>
        </w:tc>
        <w:tc>
          <w:tcPr>
            <w:tcW w:w="2295" w:type="dxa"/>
            <w:tcBorders>
              <w:top w:val="nil"/>
              <w:left w:val="nil"/>
              <w:bottom w:val="nil"/>
              <w:right w:val="nil"/>
              <w:tl2br w:val="nil"/>
              <w:tr2bl w:val="nil"/>
            </w:tcBorders>
            <w:shd w:val="clear" w:color="auto" w:fill="auto"/>
            <w:tcMar>
              <w:left w:w="40" w:type="dxa"/>
              <w:right w:w="40" w:type="dxa"/>
            </w:tcMar>
            <w:vAlign w:val="center"/>
          </w:tcPr>
          <w:p>
            <w:pPr>
              <w:rPr>
                <w:rFonts w:ascii="Arial" w:eastAsia="Arial" w:hAnsi="Arial" w:cs="Arial"/>
                <w:noProof/>
                <w:color w:val="000000"/>
                <w:sz w:val="16"/>
                <w:lang w:val="bg-BG"/>
              </w:rPr>
            </w:pPr>
            <w:r>
              <w:rPr>
                <w:rFonts w:ascii="Arial" w:hAnsi="Arial"/>
                <w:noProof/>
                <w:color w:val="000000"/>
                <w:sz w:val="16"/>
                <w:lang w:val="bg-BG"/>
              </w:rPr>
              <w:t>Акции и други ценни книжа с променлива доходност</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504,332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467,152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834,955</w:t>
            </w:r>
          </w:p>
        </w:tc>
        <w:tc>
          <w:tcPr>
            <w:tcW w:w="1350"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lang w:val="bg-BG"/>
              </w:rPr>
            </w:pPr>
            <w:r>
              <w:rPr>
                <w:rFonts w:ascii="Arial" w:hAnsi="Arial"/>
                <w:noProof/>
                <w:color w:val="000000"/>
                <w:sz w:val="16"/>
                <w:lang w:val="bg-BG"/>
              </w:rPr>
              <w:t>797,775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295" w:type="dxa"/>
            <w:tcBorders>
              <w:top w:val="nil"/>
              <w:left w:val="nil"/>
              <w:bottom w:val="nil"/>
              <w:right w:val="nil"/>
              <w:tl2br w:val="nil"/>
              <w:tr2bl w:val="nil"/>
            </w:tcBorders>
            <w:shd w:val="clear" w:color="FFFFFF" w:fill="C0C0C0"/>
            <w:tcMar>
              <w:left w:w="40" w:type="dxa"/>
              <w:right w:w="40" w:type="dxa"/>
            </w:tcMar>
            <w:vAlign w:val="center"/>
          </w:tcPr>
          <w:p>
            <w:pPr>
              <w:rPr>
                <w:rFonts w:ascii="Arial" w:eastAsia="Arial" w:hAnsi="Arial" w:cs="Arial"/>
                <w:b/>
                <w:noProof/>
                <w:color w:val="000000"/>
                <w:sz w:val="16"/>
                <w:lang w:val="bg-BG"/>
              </w:rPr>
            </w:pPr>
            <w:r>
              <w:rPr>
                <w:rFonts w:ascii="Arial" w:hAnsi="Arial"/>
                <w:b/>
                <w:noProof/>
                <w:color w:val="000000"/>
                <w:sz w:val="16"/>
                <w:lang w:val="bg-BG"/>
              </w:rPr>
              <w:t>Общо</w:t>
            </w:r>
          </w:p>
        </w:tc>
        <w:tc>
          <w:tcPr>
            <w:tcW w:w="2295" w:type="dxa"/>
            <w:tcBorders>
              <w:top w:val="nil"/>
              <w:left w:val="nil"/>
              <w:bottom w:val="nil"/>
              <w:right w:val="nil"/>
              <w:tl2br w:val="nil"/>
              <w:tr2bl w:val="nil"/>
            </w:tcBorders>
            <w:shd w:val="clear" w:color="FFFFFF" w:fill="C0C0C0"/>
            <w:tcMar>
              <w:left w:w="0" w:type="dxa"/>
              <w:right w:w="0" w:type="dxa"/>
            </w:tcMar>
            <w:vAlign w:val="center"/>
          </w:tcPr>
          <w:p>
            <w:pPr>
              <w:rPr>
                <w:rFonts w:ascii="Arial" w:eastAsia="Arial" w:hAnsi="Arial" w:cs="Arial"/>
                <w:b/>
                <w:noProof/>
                <w:color w:val="000000"/>
                <w:sz w:val="16"/>
                <w:lang w:val="bg-BG"/>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504,332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467,152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834,955</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jc w:val="right"/>
              <w:rPr>
                <w:rFonts w:ascii="Arial" w:eastAsia="Arial" w:hAnsi="Arial" w:cs="Arial"/>
                <w:b/>
                <w:noProof/>
                <w:color w:val="000000"/>
                <w:sz w:val="16"/>
                <w:lang w:val="bg-BG"/>
              </w:rPr>
            </w:pPr>
            <w:r>
              <w:rPr>
                <w:rFonts w:ascii="Arial" w:hAnsi="Arial"/>
                <w:b/>
                <w:noProof/>
                <w:color w:val="000000"/>
                <w:sz w:val="16"/>
                <w:lang w:val="bg-BG"/>
              </w:rPr>
              <w:t>797,775</w:t>
            </w: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val="bg-BG"/>
        </w:rPr>
      </w:pPr>
      <w:r>
        <w:rPr>
          <w:rFonts w:ascii="Calibri" w:hAnsi="Calibri"/>
          <w:noProof/>
          <w:sz w:val="22"/>
          <w:szCs w:val="22"/>
          <w:bdr w:val="nil"/>
          <w:lang w:val="bg-BG"/>
        </w:rPr>
        <w:br/>
      </w:r>
      <w:r>
        <w:rPr>
          <w:rFonts w:ascii="Calibri" w:hAnsi="Calibri"/>
          <w:noProof/>
          <w:sz w:val="22"/>
          <w:szCs w:val="22"/>
          <w:bdr w:val="nil"/>
          <w:lang w:val="bg-BG"/>
        </w:rPr>
        <w:br w:type="page"/>
      </w:r>
    </w:p>
    <w:p>
      <w:pPr>
        <w:numPr>
          <w:ilvl w:val="0"/>
          <w:numId w:val="108"/>
        </w:numPr>
        <w:pBdr>
          <w:top w:val="nil"/>
          <w:left w:val="nil"/>
          <w:bottom w:val="nil"/>
          <w:right w:val="nil"/>
          <w:between w:val="nil"/>
          <w:bar w:val="nil"/>
        </w:pBdr>
        <w:tabs>
          <w:tab w:val="center" w:pos="4320"/>
          <w:tab w:val="right" w:pos="8640"/>
        </w:tabs>
        <w:suppressAutoHyphens/>
        <w:spacing w:before="120" w:after="120"/>
        <w:jc w:val="both"/>
        <w:rPr>
          <w:rFonts w:ascii="Arial" w:eastAsia="Calibri" w:hAnsi="Arial"/>
          <w:b/>
          <w:noProof/>
          <w:sz w:val="20"/>
          <w:szCs w:val="20"/>
          <w:bdr w:val="nil"/>
          <w:lang w:val="bg-BG" w:eastAsia="ar-SA"/>
        </w:rPr>
      </w:pPr>
      <w:r>
        <w:rPr>
          <w:rFonts w:ascii="Arial" w:hAnsi="Arial"/>
          <w:b/>
          <w:noProof/>
          <w:sz w:val="20"/>
          <w:szCs w:val="20"/>
          <w:bdr w:val="nil"/>
          <w:lang w:val="bg-BG" w:eastAsia="ar-SA"/>
        </w:rPr>
        <w:t>24</w:t>
      </w:r>
      <w:r>
        <w:rPr>
          <w:rFonts w:ascii="Arial" w:hAnsi="Arial"/>
          <w:b/>
          <w:noProof/>
          <w:sz w:val="20"/>
          <w:szCs w:val="20"/>
          <w:bdr w:val="nil"/>
          <w:lang w:val="bg-BG" w:eastAsia="ar-SA"/>
        </w:rPr>
        <w:tab/>
        <w:t>Пакет за социално и отговорно финансиране (в хиляди евро)</w:t>
      </w:r>
    </w:p>
    <w:p>
      <w:pPr>
        <w:pBdr>
          <w:top w:val="nil"/>
          <w:left w:val="nil"/>
          <w:bottom w:val="nil"/>
          <w:right w:val="nil"/>
          <w:between w:val="nil"/>
          <w:bar w:val="nil"/>
        </w:pBdr>
        <w:spacing w:before="60" w:after="60"/>
        <w:jc w:val="both"/>
        <w:rPr>
          <w:rFonts w:ascii="Calibri" w:eastAsia="Calibri" w:hAnsi="Calibri" w:cs="Arial"/>
          <w:noProof/>
          <w:sz w:val="16"/>
          <w:szCs w:val="16"/>
          <w:bdr w:val="nil"/>
          <w:lang w:val="bg-B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val="bg-BG"/>
        </w:rPr>
      </w:pPr>
      <w:r>
        <w:rPr>
          <w:rFonts w:ascii="Arial" w:hAnsi="Arial"/>
          <w:noProof/>
          <w:sz w:val="16"/>
          <w:szCs w:val="16"/>
          <w:bdr w:val="nil"/>
          <w:lang w:val="bg-BG"/>
        </w:rPr>
        <w:t xml:space="preserve">През юни 2013 г. Съветът на министрите АКТБ-ЕС одобри новия финансови протокол за 11-ия Европейски фонд за развитие (ЕФР), който обхваща периода 2014—2020 г. </w:t>
      </w:r>
    </w:p>
    <w:p>
      <w:pPr>
        <w:pBdr>
          <w:top w:val="nil"/>
          <w:left w:val="nil"/>
          <w:bottom w:val="nil"/>
          <w:right w:val="nil"/>
          <w:between w:val="nil"/>
          <w:bar w:val="nil"/>
        </w:pBdr>
        <w:spacing w:before="60" w:after="60"/>
        <w:jc w:val="both"/>
        <w:rPr>
          <w:rFonts w:ascii="Arial" w:eastAsia="Calibri" w:hAnsi="Arial" w:cs="Arial"/>
          <w:noProof/>
          <w:sz w:val="16"/>
          <w:szCs w:val="16"/>
          <w:bdr w:val="nil"/>
          <w:lang w:val="bg-B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val="bg-BG"/>
        </w:rPr>
      </w:pPr>
      <w:r>
        <w:rPr>
          <w:rFonts w:ascii="Arial" w:hAnsi="Arial"/>
          <w:noProof/>
          <w:sz w:val="16"/>
          <w:szCs w:val="16"/>
          <w:bdr w:val="nil"/>
          <w:lang w:val="bg-BG"/>
        </w:rPr>
        <w:t>Нова вноска в размер на 500 милиона евро беше договорена за Инвестиционния механизъм — така нареченото „социално и отговорно финансиране“ или „СОФ“, което дава възможност на механизма да подкрепя проекти с особено голямо въздействие върху развитието, като същевременно поема по-големи рискове, присъщи на тези инвестиции. Този пакет ще предостави нови възможности за засилване на заемите на механизма от частния сектор чрез инвестиции в следните инструменти:</w:t>
      </w:r>
    </w:p>
    <w:p>
      <w:pPr>
        <w:pBdr>
          <w:top w:val="nil"/>
          <w:left w:val="nil"/>
          <w:bottom w:val="nil"/>
          <w:right w:val="nil"/>
          <w:between w:val="nil"/>
          <w:bar w:val="nil"/>
        </w:pBdr>
        <w:spacing w:before="60" w:after="60"/>
        <w:jc w:val="both"/>
        <w:rPr>
          <w:rFonts w:ascii="Arial" w:eastAsia="Calibri" w:hAnsi="Arial" w:cs="Arial"/>
          <w:noProof/>
          <w:sz w:val="16"/>
          <w:szCs w:val="16"/>
          <w:bdr w:val="nil"/>
          <w:lang w:val="bg-B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val="bg-BG"/>
        </w:rPr>
      </w:pPr>
      <w:r>
        <w:rPr>
          <w:rFonts w:ascii="Arial" w:hAnsi="Arial"/>
          <w:b/>
          <w:noProof/>
          <w:sz w:val="16"/>
          <w:szCs w:val="16"/>
          <w:bdr w:val="nil"/>
          <w:lang w:val="bg-BG"/>
        </w:rPr>
        <w:t>Фондове за частни дялови инвестиции със социално въздействие</w:t>
      </w:r>
      <w:r>
        <w:rPr>
          <w:rFonts w:ascii="Arial" w:hAnsi="Arial"/>
          <w:noProof/>
          <w:sz w:val="16"/>
          <w:szCs w:val="16"/>
          <w:bdr w:val="nil"/>
          <w:lang w:val="bg-BG"/>
        </w:rPr>
        <w:t xml:space="preserve"> — насърчавани от нарастващия брой управители на фондове за частни капиталови инвестиции, които поставят облекчаването на социалните и екологичните проблеми в основата на своите инвестиции, но все пак се стремят към устойчивост както на фонда, така и на неговите инвестиционни дружества.</w:t>
      </w:r>
    </w:p>
    <w:p>
      <w:pPr>
        <w:pBdr>
          <w:top w:val="nil"/>
          <w:left w:val="nil"/>
          <w:bottom w:val="nil"/>
          <w:right w:val="nil"/>
          <w:between w:val="nil"/>
          <w:bar w:val="nil"/>
        </w:pBdr>
        <w:spacing w:before="60" w:after="60"/>
        <w:jc w:val="both"/>
        <w:rPr>
          <w:rFonts w:ascii="Arial" w:eastAsia="Calibri" w:hAnsi="Arial" w:cs="Arial"/>
          <w:noProof/>
          <w:sz w:val="16"/>
          <w:szCs w:val="16"/>
          <w:bdr w:val="nil"/>
          <w:lang w:val="bg-B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val="bg-BG"/>
        </w:rPr>
      </w:pPr>
      <w:r>
        <w:rPr>
          <w:rFonts w:ascii="Arial" w:hAnsi="Arial"/>
          <w:b/>
          <w:noProof/>
          <w:sz w:val="16"/>
          <w:szCs w:val="16"/>
          <w:bdr w:val="nil"/>
          <w:lang w:val="bg-BG"/>
        </w:rPr>
        <w:t>Заеми за финансови посредници</w:t>
      </w:r>
      <w:r>
        <w:rPr>
          <w:rFonts w:ascii="Arial" w:hAnsi="Arial"/>
          <w:noProof/>
          <w:sz w:val="16"/>
          <w:szCs w:val="16"/>
          <w:bdr w:val="nil"/>
          <w:lang w:val="bg-BG"/>
        </w:rPr>
        <w:t xml:space="preserve"> (напр. институции за микрофинансиране, местни банки и кредитни съюзи), работещи в страните от АКТБ, в които ЕИБ не може да осъществява финансиране — по-специално в местна валута — съгласно действащите насоки за кредитния риск, например поради високи държавни рискове, нестабилност на валутните курсове или липса на ценообразуващи референтни показатели. Основната цел на такива заеми e да се финансират проекти със значително въздействие върху развитието, особено в областта на подкрепата за микропредприятията и малките предприятия и селското стопанство, които по принцип не отговарят на изискванията за финансиране от Инвестиционния механизъм.</w:t>
      </w:r>
    </w:p>
    <w:p>
      <w:pPr>
        <w:pBdr>
          <w:top w:val="nil"/>
          <w:left w:val="nil"/>
          <w:bottom w:val="nil"/>
          <w:right w:val="nil"/>
          <w:between w:val="nil"/>
          <w:bar w:val="nil"/>
        </w:pBdr>
        <w:spacing w:before="60" w:after="60"/>
        <w:jc w:val="both"/>
        <w:rPr>
          <w:rFonts w:ascii="Arial" w:eastAsia="Calibri" w:hAnsi="Arial" w:cs="Arial"/>
          <w:b/>
          <w:noProof/>
          <w:sz w:val="16"/>
          <w:szCs w:val="16"/>
          <w:bdr w:val="nil"/>
          <w:lang w:val="bg-B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val="bg-BG"/>
        </w:rPr>
      </w:pPr>
      <w:r>
        <w:rPr>
          <w:rFonts w:ascii="Arial" w:hAnsi="Arial"/>
          <w:b/>
          <w:noProof/>
          <w:sz w:val="16"/>
          <w:szCs w:val="16"/>
          <w:bdr w:val="nil"/>
          <w:lang w:val="bg-BG"/>
        </w:rPr>
        <w:t>Инструменти за улесняване на споделянето на риска</w:t>
      </w:r>
      <w:r>
        <w:rPr>
          <w:rFonts w:ascii="Arial" w:hAnsi="Arial"/>
          <w:noProof/>
          <w:sz w:val="16"/>
          <w:szCs w:val="16"/>
          <w:bdr w:val="nil"/>
          <w:lang w:val="bg-BG"/>
        </w:rPr>
        <w:t>, които са под формата на гаранции за първа загуба („части за първа загуба“), улесняващи операциите на ЕИБ за споделяне на риска с местни финансови посредници (основно търговски банки) в полза на по-малко финансирани МСП и малки проекти, които отговарят на критериите за финансиране от Пакета за социално и отговорно финансиране в случаи, когато е установен пазарен недостиг по отношение на достъпа на МСП и малките проекти за финансиране. Частите за първа загуба ще бъдат структурирани като насрещна гаранция в полза на първостепенни гаранционни траншове, финансирани от ЕИБ — в рамките на Инвестиционния механизъм — и от други международни финансови институции/финансови институции за развитие, като по този начин се създава значителен ефект на лоста.</w:t>
      </w:r>
    </w:p>
    <w:p>
      <w:pPr>
        <w:pBdr>
          <w:top w:val="nil"/>
          <w:left w:val="nil"/>
          <w:bottom w:val="nil"/>
          <w:right w:val="nil"/>
          <w:between w:val="nil"/>
          <w:bar w:val="nil"/>
        </w:pBdr>
        <w:spacing w:before="60" w:after="60"/>
        <w:jc w:val="both"/>
        <w:rPr>
          <w:rFonts w:ascii="Arial" w:eastAsia="Calibri" w:hAnsi="Arial" w:cs="Arial"/>
          <w:noProof/>
          <w:sz w:val="16"/>
          <w:szCs w:val="16"/>
          <w:bdr w:val="nil"/>
          <w:lang w:val="bg-B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val="bg-BG"/>
        </w:rPr>
      </w:pPr>
      <w:r>
        <w:rPr>
          <w:rFonts w:ascii="Arial" w:hAnsi="Arial"/>
          <w:b/>
          <w:bCs/>
          <w:noProof/>
          <w:sz w:val="16"/>
          <w:szCs w:val="16"/>
          <w:bdr w:val="nil"/>
          <w:lang w:val="bg-BG"/>
        </w:rPr>
        <w:t>Пряко финансиране</w:t>
      </w:r>
      <w:r>
        <w:rPr>
          <w:rFonts w:ascii="Arial" w:hAnsi="Arial"/>
          <w:noProof/>
          <w:sz w:val="16"/>
          <w:szCs w:val="16"/>
          <w:bdr w:val="nil"/>
          <w:lang w:val="bg-BG"/>
        </w:rPr>
        <w:t xml:space="preserve"> посредством дългови инструменти (т.е. заеми) или капиталови инструменти в проекти със стабилни и опитни предприемачи и силно въздействие върху развитието, които обаче водят и до по-големи очаквания за загуби и затруднения за възстановяване на инвестициите (капиталови инструменти с по-висок от обичайния риск). ЕИБ прилага строги критерии за подбор и допустимост за този инструмент, тъй като тези проекти, независимо от силното им въздействие върху развитието, няма да бъдат в състояние да отговорят на приемливи финансови критерии (т.е. малки очаквания за възвръщаемост на инвестициите или компенсиране на загубите чрез лихви или капиталови печалби).</w:t>
      </w:r>
    </w:p>
    <w:p>
      <w:pPr>
        <w:pBdr>
          <w:top w:val="nil"/>
          <w:left w:val="nil"/>
          <w:bottom w:val="nil"/>
          <w:right w:val="nil"/>
          <w:between w:val="nil"/>
          <w:bar w:val="nil"/>
        </w:pBdr>
        <w:tabs>
          <w:tab w:val="left" w:pos="426"/>
        </w:tabs>
        <w:spacing w:before="60" w:after="60"/>
        <w:jc w:val="both"/>
        <w:rPr>
          <w:rFonts w:eastAsia="Calibri" w:cs="Arial"/>
          <w:noProof/>
          <w:sz w:val="16"/>
          <w:szCs w:val="16"/>
          <w:bdr w:val="nil"/>
          <w:lang w:val="bg-BG" w:eastAsia="en-US"/>
        </w:rPr>
      </w:pPr>
    </w:p>
    <w:p>
      <w:pPr>
        <w:pBdr>
          <w:top w:val="nil"/>
          <w:left w:val="nil"/>
          <w:bottom w:val="nil"/>
          <w:right w:val="nil"/>
          <w:between w:val="nil"/>
          <w:bar w:val="nil"/>
        </w:pBdr>
        <w:tabs>
          <w:tab w:val="left" w:pos="0"/>
        </w:tabs>
        <w:spacing w:before="60" w:after="60"/>
        <w:jc w:val="both"/>
        <w:rPr>
          <w:rFonts w:eastAsia="Calibri" w:cs="Arial"/>
          <w:noProof/>
          <w:sz w:val="16"/>
          <w:szCs w:val="16"/>
          <w:bdr w:val="nil"/>
          <w:lang w:val="bg-BG"/>
        </w:rPr>
      </w:pPr>
      <w:r>
        <w:rPr>
          <w:rFonts w:ascii="Arial" w:hAnsi="Arial"/>
          <w:noProof/>
          <w:sz w:val="16"/>
          <w:szCs w:val="16"/>
          <w:bdr w:val="nil"/>
          <w:lang w:val="bg-BG"/>
        </w:rPr>
        <w:t>Пакетът за социално и отговорно финансиране (ПСОФ) също така позволява диверсификация в нови сектори, като здравеопазването и образованието, селското стопанство и продоволствената сигурност, както и разработването на нови и иновативни инструменти за споделяне на риска.</w:t>
      </w:r>
    </w:p>
    <w:p>
      <w:pPr>
        <w:pBdr>
          <w:top w:val="nil"/>
          <w:left w:val="nil"/>
          <w:bottom w:val="nil"/>
          <w:right w:val="nil"/>
          <w:between w:val="nil"/>
          <w:bar w:val="nil"/>
        </w:pBdr>
        <w:tabs>
          <w:tab w:val="left" w:pos="0"/>
        </w:tabs>
        <w:spacing w:before="60" w:after="60"/>
        <w:jc w:val="both"/>
        <w:rPr>
          <w:rFonts w:eastAsia="Calibri" w:cs="Arial"/>
          <w:noProof/>
          <w:sz w:val="16"/>
          <w:szCs w:val="16"/>
          <w:bdr w:val="nil"/>
          <w:lang w:val="bg-BG" w:eastAsia="en-US"/>
        </w:rPr>
      </w:pPr>
    </w:p>
    <w:p>
      <w:pPr>
        <w:pBdr>
          <w:top w:val="nil"/>
          <w:left w:val="nil"/>
          <w:bottom w:val="nil"/>
          <w:right w:val="nil"/>
          <w:between w:val="nil"/>
          <w:bar w:val="nil"/>
        </w:pBdr>
        <w:tabs>
          <w:tab w:val="left" w:pos="0"/>
        </w:tabs>
        <w:spacing w:before="60" w:after="60"/>
        <w:jc w:val="both"/>
        <w:rPr>
          <w:rFonts w:ascii="Arial" w:eastAsia="Calibri" w:hAnsi="Arial" w:cs="Arial"/>
          <w:noProof/>
          <w:sz w:val="16"/>
          <w:szCs w:val="16"/>
          <w:bdr w:val="nil"/>
          <w:lang w:val="bg-BG"/>
        </w:rPr>
        <w:sectPr>
          <w:headerReference w:type="even" r:id="rId413"/>
          <w:headerReference w:type="default" r:id="rId414"/>
          <w:footerReference w:type="even" r:id="rId415"/>
          <w:footerReference w:type="default" r:id="rId416"/>
          <w:headerReference w:type="first" r:id="rId417"/>
          <w:footerReference w:type="first" r:id="rId418"/>
          <w:type w:val="continuous"/>
          <w:pgSz w:w="11907" w:h="16840" w:code="9"/>
          <w:pgMar w:top="765" w:right="1134" w:bottom="765" w:left="1134" w:header="709" w:footer="709" w:gutter="0"/>
          <w:pgBorders>
            <w:top w:val="nil"/>
            <w:left w:val="nil"/>
            <w:bottom w:val="nil"/>
            <w:right w:val="nil"/>
          </w:pgBorders>
          <w:cols w:space="720"/>
          <w:docGrid w:linePitch="360"/>
        </w:sectPr>
      </w:pPr>
      <w:r>
        <w:rPr>
          <w:rFonts w:ascii="Arial" w:hAnsi="Arial"/>
          <w:noProof/>
          <w:sz w:val="16"/>
          <w:szCs w:val="16"/>
          <w:bdr w:val="nil"/>
          <w:lang w:val="bg-BG"/>
        </w:rPr>
        <w:t>От финансова и счетоводна гледна точка ПСОФ е част от портфейла на Инвестиционния механизъм и се отчита в общите годишни финансови отчети на Инвестиционния механизъм.</w:t>
      </w:r>
    </w:p>
    <w:p>
      <w:pPr>
        <w:numPr>
          <w:ilvl w:val="0"/>
          <w:numId w:val="108"/>
        </w:numPr>
        <w:pBdr>
          <w:top w:val="nil"/>
          <w:left w:val="nil"/>
          <w:bottom w:val="nil"/>
          <w:right w:val="nil"/>
          <w:between w:val="nil"/>
          <w:bar w:val="nil"/>
        </w:pBdr>
        <w:tabs>
          <w:tab w:val="center" w:pos="4320"/>
          <w:tab w:val="right" w:pos="8640"/>
        </w:tabs>
        <w:suppressAutoHyphens/>
        <w:spacing w:before="120" w:after="120" w:line="160" w:lineRule="exact"/>
        <w:jc w:val="both"/>
        <w:rPr>
          <w:rFonts w:ascii="Arial" w:eastAsia="Calibri" w:hAnsi="Arial" w:cs="Arial"/>
          <w:noProof/>
          <w:sz w:val="16"/>
          <w:szCs w:val="16"/>
          <w:bdr w:val="nil"/>
          <w:lang w:val="bg-BG" w:eastAsia="ar-SA"/>
        </w:rPr>
      </w:pPr>
      <w:r>
        <w:rPr>
          <w:rFonts w:ascii="Arial" w:hAnsi="Arial"/>
          <w:noProof/>
          <w:sz w:val="16"/>
          <w:szCs w:val="16"/>
          <w:bdr w:val="nil"/>
          <w:lang w:val="bg-BG" w:eastAsia="ar-SA"/>
        </w:rPr>
        <w:t>Таблицата по-долу съдържа балансовите стойности и поетите като задължение, но неизплатени суми, по вид на актива:</w:t>
      </w:r>
    </w:p>
    <w:tbl>
      <w:tblPr>
        <w:tblStyle w:val="CDMRange222"/>
        <w:tblW w:w="9530" w:type="dxa"/>
        <w:tblLayout w:type="fixed"/>
        <w:tblLook w:val="0600" w:firstRow="0" w:lastRow="0" w:firstColumn="0" w:lastColumn="0" w:noHBand="1" w:noVBand="1"/>
      </w:tblPr>
      <w:tblGrid>
        <w:gridCol w:w="1474"/>
        <w:gridCol w:w="1495"/>
        <w:gridCol w:w="1443"/>
        <w:gridCol w:w="893"/>
        <w:gridCol w:w="126"/>
        <w:gridCol w:w="893"/>
        <w:gridCol w:w="126"/>
        <w:gridCol w:w="829"/>
        <w:gridCol w:w="190"/>
        <w:gridCol w:w="563"/>
        <w:gridCol w:w="456"/>
        <w:gridCol w:w="340"/>
        <w:gridCol w:w="679"/>
        <w:gridCol w:w="23"/>
      </w:tblGrid>
      <w:tr>
        <w:trPr>
          <w:gridAfter w:val="1"/>
          <w:wAfter w:w="23" w:type="dxa"/>
          <w:trHeight w:val="867"/>
        </w:trPr>
        <w:tc>
          <w:tcPr>
            <w:tcW w:w="1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rPr>
                <w:rFonts w:ascii="Arial" w:eastAsia="Arial" w:hAnsi="Arial" w:cs="Arial"/>
                <w:b/>
                <w:noProof/>
                <w:color w:val="000000"/>
                <w:sz w:val="16"/>
                <w:lang w:val="bg-BG"/>
              </w:rPr>
            </w:pPr>
            <w:r>
              <w:rPr>
                <w:rFonts w:ascii="Arial" w:hAnsi="Arial"/>
                <w:b/>
                <w:noProof/>
                <w:color w:val="000000"/>
                <w:sz w:val="16"/>
                <w:lang w:val="bg-BG"/>
              </w:rPr>
              <w:t>Вид инвестиции на ПСОФ</w:t>
            </w:r>
          </w:p>
        </w:tc>
        <w:tc>
          <w:tcPr>
            <w:tcW w:w="149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rPr>
                <w:rFonts w:ascii="Arial" w:eastAsia="Arial" w:hAnsi="Arial" w:cs="Arial"/>
                <w:b/>
                <w:noProof/>
                <w:color w:val="000000"/>
                <w:sz w:val="16"/>
                <w:lang w:val="bg-BG"/>
              </w:rPr>
            </w:pPr>
            <w:r>
              <w:rPr>
                <w:rFonts w:ascii="Arial" w:hAnsi="Arial"/>
                <w:b/>
                <w:noProof/>
                <w:color w:val="000000"/>
                <w:sz w:val="16"/>
                <w:lang w:val="bg-BG"/>
              </w:rPr>
              <w:t>Текст</w:t>
            </w:r>
          </w:p>
        </w:tc>
        <w:tc>
          <w:tcPr>
            <w:tcW w:w="144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rPr>
                <w:rFonts w:ascii="Arial" w:eastAsia="Arial" w:hAnsi="Arial" w:cs="Arial"/>
                <w:b/>
                <w:noProof/>
                <w:color w:val="000000"/>
                <w:sz w:val="16"/>
                <w:lang w:val="bg-BG"/>
              </w:rPr>
            </w:pPr>
            <w:r>
              <w:rPr>
                <w:rFonts w:ascii="Arial" w:hAnsi="Arial"/>
                <w:b/>
                <w:noProof/>
                <w:color w:val="000000"/>
                <w:sz w:val="16"/>
                <w:lang w:val="bg-BG"/>
              </w:rPr>
              <w:t>Оценяване</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Брутна балансова стойност към 31.12.2019 г.</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Коректив за загуби/Коригирана сума по справедлива стойност към 31.12.2019 г.</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Балансова стойност към 31.12.2019 г.</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Неизплатена сума към 31.12.2019 г.</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Коригирана сума задбалансови ОКЗ към 31.12.2019 г.</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Фондове за частни дялови инвестиции със социално въздействие</w:t>
            </w:r>
          </w:p>
        </w:tc>
        <w:tc>
          <w:tcPr>
            <w:tcW w:w="1496"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Акции и други ценни книжа с променлива доходност</w:t>
            </w:r>
          </w:p>
        </w:tc>
        <w:tc>
          <w:tcPr>
            <w:tcW w:w="1443"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FVTPL</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33,417</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-3,175</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30,242</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66,840</w:t>
            </w:r>
          </w:p>
        </w:tc>
        <w:tc>
          <w:tcPr>
            <w:tcW w:w="1019" w:type="dxa"/>
            <w:gridSpan w:val="2"/>
            <w:tcBorders>
              <w:top w:val="single" w:sz="4" w:space="0" w:color="000000"/>
              <w:left w:val="nil"/>
              <w:bottom w:val="nil"/>
              <w:right w:val="nil"/>
              <w:tl2br w:val="nil"/>
              <w:tr2bl w:val="nil"/>
            </w:tcBorders>
            <w:shd w:val="clear" w:color="auto" w:fill="auto"/>
            <w:tcMar>
              <w:left w:w="40" w:type="dxa"/>
              <w:right w:w="10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365"/>
        </w:trPr>
        <w:tc>
          <w:tcPr>
            <w:tcW w:w="1475"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Заеми за финансови посредници</w:t>
            </w:r>
          </w:p>
        </w:tc>
        <w:tc>
          <w:tcPr>
            <w:tcW w:w="1496"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 xml:space="preserve">Заеми и аванси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AC</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22,347</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-354</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21,993</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42,400</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-1,251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Инструменти за улесняване на споделянето на риска</w:t>
            </w:r>
          </w:p>
        </w:tc>
        <w:tc>
          <w:tcPr>
            <w:tcW w:w="1496"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Издадени гаранции</w:t>
            </w:r>
          </w:p>
        </w:tc>
        <w:tc>
          <w:tcPr>
            <w:tcW w:w="1443"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подход, който се основава на по-високо равнище*</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47,331</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Преки капиталови участия</w:t>
            </w:r>
          </w:p>
        </w:tc>
        <w:tc>
          <w:tcPr>
            <w:tcW w:w="1496"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Акции и други ценни книжа с променлива доходност</w:t>
            </w:r>
          </w:p>
        </w:tc>
        <w:tc>
          <w:tcPr>
            <w:tcW w:w="1443"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FVTPL</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58,643</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19,626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78,269</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14</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Операции по отпускане на преки заеми</w:t>
            </w:r>
          </w:p>
        </w:tc>
        <w:tc>
          <w:tcPr>
            <w:tcW w:w="1496"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 xml:space="preserve">Заеми и аванси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FVTPL</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37,136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-15,156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21,980</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75,700</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FFFFFF" w:fill="C0C0C0"/>
            <w:tcMar>
              <w:left w:w="40" w:type="dxa"/>
              <w:right w:w="40" w:type="dxa"/>
            </w:tcMar>
            <w:vAlign w:val="center"/>
          </w:tcPr>
          <w:p>
            <w:pPr>
              <w:spacing w:line="160" w:lineRule="exact"/>
              <w:rPr>
                <w:rFonts w:ascii="Arial" w:eastAsia="Arial" w:hAnsi="Arial" w:cs="Arial"/>
                <w:b/>
                <w:noProof/>
                <w:color w:val="000000"/>
                <w:sz w:val="16"/>
                <w:lang w:val="bg-BG"/>
              </w:rPr>
            </w:pPr>
            <w:r>
              <w:rPr>
                <w:rFonts w:ascii="Arial" w:hAnsi="Arial"/>
                <w:b/>
                <w:noProof/>
                <w:color w:val="000000"/>
                <w:sz w:val="16"/>
                <w:lang w:val="bg-BG"/>
              </w:rPr>
              <w:t>Общо</w:t>
            </w:r>
          </w:p>
        </w:tc>
        <w:tc>
          <w:tcPr>
            <w:tcW w:w="1496" w:type="dxa"/>
            <w:tcBorders>
              <w:top w:val="nil"/>
              <w:left w:val="nil"/>
              <w:bottom w:val="nil"/>
              <w:right w:val="nil"/>
              <w:tl2br w:val="nil"/>
              <w:tr2bl w:val="nil"/>
            </w:tcBorders>
            <w:shd w:val="clear" w:color="FFFFFF" w:fill="C0C0C0"/>
            <w:tcMar>
              <w:left w:w="0" w:type="dxa"/>
              <w:right w:w="0" w:type="dxa"/>
            </w:tcMar>
            <w:vAlign w:val="center"/>
          </w:tcPr>
          <w:p>
            <w:pPr>
              <w:spacing w:line="160" w:lineRule="exact"/>
              <w:rPr>
                <w:rFonts w:ascii="Arial" w:eastAsia="Arial" w:hAnsi="Arial" w:cs="Arial"/>
                <w:b/>
                <w:noProof/>
                <w:color w:val="000000"/>
                <w:sz w:val="16"/>
                <w:lang w:val="bg-BG"/>
              </w:rPr>
            </w:pPr>
          </w:p>
        </w:tc>
        <w:tc>
          <w:tcPr>
            <w:tcW w:w="1443" w:type="dxa"/>
            <w:tcBorders>
              <w:top w:val="nil"/>
              <w:left w:val="nil"/>
              <w:bottom w:val="nil"/>
              <w:right w:val="nil"/>
              <w:tl2br w:val="nil"/>
              <w:tr2bl w:val="nil"/>
            </w:tcBorders>
            <w:shd w:val="clear" w:color="FFFFFF" w:fill="C0C0C0"/>
            <w:tcMar>
              <w:left w:w="0" w:type="dxa"/>
              <w:right w:w="0" w:type="dxa"/>
            </w:tcMar>
            <w:vAlign w:val="center"/>
          </w:tcPr>
          <w:p>
            <w:pPr>
              <w:spacing w:line="160" w:lineRule="exact"/>
              <w:jc w:val="right"/>
              <w:rPr>
                <w:rFonts w:ascii="Arial" w:eastAsia="Arial" w:hAnsi="Arial" w:cs="Arial"/>
                <w:b/>
                <w:noProof/>
                <w:color w:val="000000"/>
                <w:sz w:val="16"/>
                <w:lang w:val="bg-BG"/>
              </w:rPr>
            </w:pP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151,543</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941</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152,484</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232,285</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-1,301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02" w:type="dxa"/>
          <w:trHeight w:hRule="exact" w:val="289"/>
        </w:trPr>
        <w:tc>
          <w:tcPr>
            <w:tcW w:w="5307" w:type="dxa"/>
            <w:gridSpan w:val="4"/>
            <w:tcBorders>
              <w:top w:val="nil"/>
              <w:left w:val="nil"/>
              <w:bottom w:val="nil"/>
              <w:right w:val="nil"/>
              <w:tl2br w:val="nil"/>
              <w:tr2bl w:val="nil"/>
            </w:tcBorders>
            <w:shd w:val="clear" w:color="auto" w:fill="auto"/>
            <w:noWrap/>
            <w:tcMar>
              <w:left w:w="40" w:type="dxa"/>
              <w:right w:w="40" w:type="dxa"/>
            </w:tcMar>
          </w:tcPr>
          <w:p>
            <w:pPr>
              <w:spacing w:before="40" w:line="160" w:lineRule="exact"/>
              <w:rPr>
                <w:rFonts w:ascii="Arial" w:eastAsia="Arial" w:hAnsi="Arial" w:cs="Arial"/>
                <w:noProof/>
                <w:color w:val="000000"/>
                <w:sz w:val="16"/>
                <w:lang w:val="bg-BG"/>
              </w:rPr>
            </w:pPr>
            <w:r>
              <w:rPr>
                <w:rFonts w:ascii="Arial" w:hAnsi="Arial"/>
                <w:noProof/>
                <w:color w:val="000000"/>
                <w:sz w:val="16"/>
                <w:lang w:val="bg-BG"/>
              </w:rPr>
              <w:t xml:space="preserve">* За подробности вж. раздела за последващо оценяване в бележка 2.4.3. </w:t>
            </w: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02" w:type="dxa"/>
          <w:trHeight w:hRule="exact" w:val="289"/>
        </w:trPr>
        <w:tc>
          <w:tcPr>
            <w:tcW w:w="14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1496"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1443"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891"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1019" w:type="dxa"/>
            <w:gridSpan w:val="2"/>
            <w:tcBorders>
              <w:top w:val="nil"/>
              <w:left w:val="nil"/>
              <w:bottom w:val="single" w:sz="4" w:space="0" w:color="000000"/>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722"/>
        </w:trPr>
        <w:tc>
          <w:tcPr>
            <w:tcW w:w="1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rPr>
                <w:rFonts w:ascii="Arial" w:eastAsia="Arial" w:hAnsi="Arial" w:cs="Arial"/>
                <w:b/>
                <w:noProof/>
                <w:color w:val="000000"/>
                <w:sz w:val="16"/>
                <w:lang w:val="bg-BG"/>
              </w:rPr>
            </w:pPr>
            <w:r>
              <w:rPr>
                <w:rFonts w:ascii="Arial" w:hAnsi="Arial"/>
                <w:b/>
                <w:noProof/>
                <w:color w:val="000000"/>
                <w:sz w:val="16"/>
                <w:lang w:val="bg-BG"/>
              </w:rPr>
              <w:t>Вид инвестиции на ПСОФ</w:t>
            </w:r>
          </w:p>
        </w:tc>
        <w:tc>
          <w:tcPr>
            <w:tcW w:w="149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rPr>
                <w:rFonts w:ascii="Arial" w:eastAsia="Arial" w:hAnsi="Arial" w:cs="Arial"/>
                <w:b/>
                <w:noProof/>
                <w:color w:val="000000"/>
                <w:sz w:val="16"/>
                <w:lang w:val="bg-BG"/>
              </w:rPr>
            </w:pPr>
            <w:r>
              <w:rPr>
                <w:rFonts w:ascii="Arial" w:hAnsi="Arial"/>
                <w:b/>
                <w:noProof/>
                <w:color w:val="000000"/>
                <w:sz w:val="16"/>
                <w:lang w:val="bg-BG"/>
              </w:rPr>
              <w:t>Текст</w:t>
            </w:r>
          </w:p>
        </w:tc>
        <w:tc>
          <w:tcPr>
            <w:tcW w:w="144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rPr>
                <w:rFonts w:ascii="Arial" w:eastAsia="Arial" w:hAnsi="Arial" w:cs="Arial"/>
                <w:b/>
                <w:noProof/>
                <w:color w:val="000000"/>
                <w:sz w:val="16"/>
                <w:lang w:val="bg-BG"/>
              </w:rPr>
            </w:pPr>
            <w:r>
              <w:rPr>
                <w:rFonts w:ascii="Arial" w:hAnsi="Arial"/>
                <w:b/>
                <w:noProof/>
                <w:color w:val="000000"/>
                <w:sz w:val="16"/>
                <w:lang w:val="bg-BG"/>
              </w:rPr>
              <w:t>Оценяване</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Балансова стойност към 31.12.2018 г.</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Неизплатена сума към 31.12.2018 г.</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b/>
                <w:noProof/>
                <w:color w:val="000000"/>
                <w:sz w:val="16"/>
                <w:lang w:val="bg-BG"/>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b/>
                <w:noProof/>
                <w:color w:val="000000"/>
                <w:sz w:val="16"/>
                <w:lang w:val="bg-BG"/>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b/>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Фондове за частни дялови инвестиции със социално въздействие</w:t>
            </w:r>
          </w:p>
        </w:tc>
        <w:tc>
          <w:tcPr>
            <w:tcW w:w="1496"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Акции и други ценни книжа с променлива доходност</w:t>
            </w:r>
          </w:p>
        </w:tc>
        <w:tc>
          <w:tcPr>
            <w:tcW w:w="1443" w:type="dxa"/>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FVTPL</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19,134</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53,672</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Заеми за финансови посредници</w:t>
            </w:r>
          </w:p>
        </w:tc>
        <w:tc>
          <w:tcPr>
            <w:tcW w:w="1496"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 xml:space="preserve">Заеми и аванси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AC</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29,566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24,700</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04"/>
        </w:trPr>
        <w:tc>
          <w:tcPr>
            <w:tcW w:w="1475"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Инструменти за улесняване на споделянето на риска</w:t>
            </w:r>
          </w:p>
        </w:tc>
        <w:tc>
          <w:tcPr>
            <w:tcW w:w="1496"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Издадени гаранции</w:t>
            </w:r>
          </w:p>
        </w:tc>
        <w:tc>
          <w:tcPr>
            <w:tcW w:w="1443"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подход, който се основава на по-високо равнище*</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-786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43,668</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Преки капиталови участия</w:t>
            </w:r>
          </w:p>
        </w:tc>
        <w:tc>
          <w:tcPr>
            <w:tcW w:w="1496"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Акции и други ценни книжа с променлива доходност</w:t>
            </w:r>
          </w:p>
        </w:tc>
        <w:tc>
          <w:tcPr>
            <w:tcW w:w="1443"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FVTPL</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53,183</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1,014</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Операции по отпускане на преки заеми</w:t>
            </w:r>
          </w:p>
        </w:tc>
        <w:tc>
          <w:tcPr>
            <w:tcW w:w="1496"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 xml:space="preserve">Заеми и аванси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spacing w:line="160" w:lineRule="exact"/>
              <w:rPr>
                <w:rFonts w:ascii="Arial" w:eastAsia="Arial" w:hAnsi="Arial" w:cs="Arial"/>
                <w:noProof/>
                <w:color w:val="000000"/>
                <w:sz w:val="16"/>
                <w:lang w:val="bg-BG"/>
              </w:rPr>
            </w:pPr>
            <w:r>
              <w:rPr>
                <w:rFonts w:ascii="Arial" w:hAnsi="Arial"/>
                <w:noProof/>
                <w:color w:val="000000"/>
                <w:sz w:val="16"/>
                <w:lang w:val="bg-BG"/>
              </w:rPr>
              <w:t>AC</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6,711</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spacing w:line="160" w:lineRule="exact"/>
              <w:jc w:val="right"/>
              <w:rPr>
                <w:rFonts w:ascii="Arial" w:eastAsia="Arial" w:hAnsi="Arial" w:cs="Arial"/>
                <w:noProof/>
                <w:color w:val="000000"/>
                <w:sz w:val="16"/>
                <w:lang w:val="bg-BG"/>
              </w:rPr>
            </w:pPr>
            <w:r>
              <w:rPr>
                <w:rFonts w:ascii="Arial" w:hAnsi="Arial"/>
                <w:noProof/>
                <w:color w:val="000000"/>
                <w:sz w:val="16"/>
                <w:lang w:val="bg-BG"/>
              </w:rPr>
              <w:t>114,629</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FFFFFF" w:fill="C0C0C0"/>
            <w:tcMar>
              <w:left w:w="40" w:type="dxa"/>
              <w:right w:w="40" w:type="dxa"/>
            </w:tcMar>
            <w:vAlign w:val="center"/>
          </w:tcPr>
          <w:p>
            <w:pPr>
              <w:spacing w:line="160" w:lineRule="exact"/>
              <w:rPr>
                <w:rFonts w:ascii="Arial" w:eastAsia="Arial" w:hAnsi="Arial" w:cs="Arial"/>
                <w:b/>
                <w:noProof/>
                <w:color w:val="000000"/>
                <w:sz w:val="16"/>
                <w:lang w:val="bg-BG"/>
              </w:rPr>
            </w:pPr>
            <w:r>
              <w:rPr>
                <w:rFonts w:ascii="Arial" w:hAnsi="Arial"/>
                <w:b/>
                <w:noProof/>
                <w:color w:val="000000"/>
                <w:sz w:val="16"/>
                <w:lang w:val="bg-BG"/>
              </w:rPr>
              <w:t>Общо</w:t>
            </w:r>
          </w:p>
        </w:tc>
        <w:tc>
          <w:tcPr>
            <w:tcW w:w="1496" w:type="dxa"/>
            <w:tcBorders>
              <w:top w:val="nil"/>
              <w:left w:val="nil"/>
              <w:bottom w:val="nil"/>
              <w:right w:val="nil"/>
              <w:tl2br w:val="nil"/>
              <w:tr2bl w:val="nil"/>
            </w:tcBorders>
            <w:shd w:val="clear" w:color="FFFFFF" w:fill="C0C0C0"/>
            <w:tcMar>
              <w:left w:w="0" w:type="dxa"/>
              <w:right w:w="0" w:type="dxa"/>
            </w:tcMar>
            <w:vAlign w:val="center"/>
          </w:tcPr>
          <w:p>
            <w:pPr>
              <w:spacing w:line="160" w:lineRule="exact"/>
              <w:rPr>
                <w:rFonts w:ascii="Arial" w:eastAsia="Arial" w:hAnsi="Arial" w:cs="Arial"/>
                <w:b/>
                <w:noProof/>
                <w:color w:val="000000"/>
                <w:sz w:val="16"/>
                <w:lang w:val="bg-BG"/>
              </w:rPr>
            </w:pPr>
          </w:p>
        </w:tc>
        <w:tc>
          <w:tcPr>
            <w:tcW w:w="1443" w:type="dxa"/>
            <w:tcBorders>
              <w:top w:val="nil"/>
              <w:left w:val="nil"/>
              <w:bottom w:val="nil"/>
              <w:right w:val="nil"/>
              <w:tl2br w:val="nil"/>
              <w:tr2bl w:val="nil"/>
            </w:tcBorders>
            <w:shd w:val="clear" w:color="FFFFFF" w:fill="C0C0C0"/>
            <w:tcMar>
              <w:left w:w="0" w:type="dxa"/>
              <w:right w:w="0" w:type="dxa"/>
            </w:tcMar>
            <w:vAlign w:val="center"/>
          </w:tcPr>
          <w:p>
            <w:pPr>
              <w:spacing w:line="160" w:lineRule="exact"/>
              <w:jc w:val="right"/>
              <w:rPr>
                <w:rFonts w:ascii="Arial" w:eastAsia="Arial" w:hAnsi="Arial" w:cs="Arial"/>
                <w:b/>
                <w:noProof/>
                <w:color w:val="000000"/>
                <w:sz w:val="16"/>
                <w:lang w:val="bg-BG"/>
              </w:rPr>
            </w:pP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107,808</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spacing w:line="160" w:lineRule="exact"/>
              <w:jc w:val="right"/>
              <w:rPr>
                <w:rFonts w:ascii="Arial" w:eastAsia="Arial" w:hAnsi="Arial" w:cs="Arial"/>
                <w:b/>
                <w:noProof/>
                <w:color w:val="000000"/>
                <w:sz w:val="16"/>
                <w:lang w:val="bg-BG"/>
              </w:rPr>
            </w:pPr>
            <w:r>
              <w:rPr>
                <w:rFonts w:ascii="Arial" w:hAnsi="Arial"/>
                <w:b/>
                <w:noProof/>
                <w:color w:val="000000"/>
                <w:sz w:val="16"/>
                <w:lang w:val="bg-BG"/>
              </w:rPr>
              <w:t>237,683</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jc w:val="right"/>
              <w:rPr>
                <w:rFonts w:ascii="Arial" w:eastAsia="Arial" w:hAnsi="Arial" w:cs="Arial"/>
                <w:b/>
                <w:noProof/>
                <w:color w:val="000000"/>
                <w:sz w:val="16"/>
                <w:lang w:val="bg-BG"/>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spacing w:line="160" w:lineRule="exact"/>
              <w:jc w:val="right"/>
              <w:rPr>
                <w:rFonts w:ascii="Arial" w:eastAsia="Arial" w:hAnsi="Arial" w:cs="Arial"/>
                <w:b/>
                <w:noProof/>
                <w:color w:val="000000"/>
                <w:sz w:val="16"/>
                <w:lang w:val="bg-BG"/>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02" w:type="dxa"/>
          <w:trHeight w:hRule="exact" w:val="289"/>
        </w:trPr>
        <w:tc>
          <w:tcPr>
            <w:tcW w:w="5307" w:type="dxa"/>
            <w:gridSpan w:val="4"/>
            <w:tcBorders>
              <w:top w:val="nil"/>
              <w:left w:val="nil"/>
              <w:bottom w:val="nil"/>
              <w:right w:val="nil"/>
              <w:tl2br w:val="nil"/>
              <w:tr2bl w:val="nil"/>
            </w:tcBorders>
            <w:shd w:val="clear" w:color="auto" w:fill="auto"/>
            <w:noWrap/>
            <w:tcMar>
              <w:left w:w="0" w:type="dxa"/>
              <w:right w:w="0" w:type="dxa"/>
            </w:tcMar>
          </w:tcPr>
          <w:p>
            <w:pPr>
              <w:spacing w:before="40" w:line="160" w:lineRule="exact"/>
              <w:rPr>
                <w:rFonts w:ascii="Calibri" w:eastAsia="Calibri" w:hAnsi="Calibri" w:cs="Calibri"/>
                <w:noProof/>
                <w:color w:val="000000"/>
                <w:sz w:val="22"/>
                <w:lang w:val="bg-BG"/>
              </w:rPr>
            </w:pPr>
            <w:r>
              <w:rPr>
                <w:rFonts w:ascii="Arial" w:hAnsi="Arial"/>
                <w:noProof/>
                <w:color w:val="000000"/>
                <w:sz w:val="16"/>
                <w:lang w:val="bg-BG"/>
              </w:rPr>
              <w:t>* За подробности вж. раздела за последващо оценяване в бележка 2.4.3.</w:t>
            </w: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spacing w:line="160" w:lineRule="exact"/>
              <w:rPr>
                <w:rFonts w:ascii="Calibri" w:eastAsia="Calibri" w:hAnsi="Calibri" w:cs="Calibri"/>
                <w:noProof/>
                <w:color w:val="000000"/>
                <w:sz w:val="22"/>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530" w:type="dxa"/>
            <w:gridSpan w:val="14"/>
            <w:vMerge w:val="restart"/>
            <w:tcBorders>
              <w:top w:val="nil"/>
              <w:left w:val="nil"/>
              <w:bottom w:val="nil"/>
              <w:right w:val="nil"/>
              <w:tl2br w:val="nil"/>
              <w:tr2bl w:val="nil"/>
            </w:tcBorders>
            <w:shd w:val="clear" w:color="auto" w:fill="auto"/>
            <w:tcMar>
              <w:left w:w="40" w:type="dxa"/>
              <w:right w:w="40" w:type="dxa"/>
            </w:tcMar>
            <w:vAlign w:val="center"/>
          </w:tcPr>
          <w:p>
            <w:pPr>
              <w:spacing w:line="160" w:lineRule="exact"/>
              <w:jc w:val="both"/>
              <w:rPr>
                <w:rFonts w:ascii="Arial" w:eastAsia="Arial" w:hAnsi="Arial" w:cs="Arial"/>
                <w:noProof/>
                <w:color w:val="000000"/>
                <w:sz w:val="16"/>
                <w:lang w:val="bg-BG"/>
              </w:rPr>
            </w:pPr>
            <w:r>
              <w:rPr>
                <w:rFonts w:ascii="Arial" w:hAnsi="Arial"/>
                <w:noProof/>
                <w:color w:val="000000"/>
                <w:sz w:val="16"/>
                <w:lang w:val="bg-BG"/>
              </w:rPr>
              <w:t>Считано от 1 януари 2019 г., ръководството реши да прилага принципите на риска от общия мандат по отношение на операциите по отпускане на преки заеми по ПСОФ (изключващи заемите, отпускани на финансови посредници), както е предвидено в Насоките за кредитен и капиталов риск на ЕИБ, и да наблюдава и отчита риска, свързан с операциите по отпускане на преки заеми по ПСОФ въз основа на справедливата им стойност.</w:t>
            </w:r>
          </w:p>
          <w:p>
            <w:pPr>
              <w:spacing w:before="60" w:after="60" w:line="160" w:lineRule="exact"/>
              <w:jc w:val="both"/>
              <w:rPr>
                <w:rFonts w:ascii="Arial" w:eastAsia="Arial" w:hAnsi="Arial" w:cs="Arial"/>
                <w:noProof/>
                <w:color w:val="000000"/>
                <w:sz w:val="16"/>
                <w:lang w:val="bg-BG"/>
              </w:rPr>
            </w:pPr>
          </w:p>
          <w:p>
            <w:pPr>
              <w:spacing w:line="160" w:lineRule="exact"/>
              <w:jc w:val="both"/>
              <w:rPr>
                <w:rFonts w:ascii="Arial" w:eastAsia="Arial" w:hAnsi="Arial" w:cs="Arial"/>
                <w:noProof/>
                <w:color w:val="000000"/>
                <w:sz w:val="16"/>
                <w:lang w:val="bg-BG"/>
              </w:rPr>
            </w:pPr>
            <w:r>
              <w:rPr>
                <w:rFonts w:ascii="Arial" w:hAnsi="Arial"/>
                <w:noProof/>
                <w:color w:val="000000"/>
                <w:sz w:val="16"/>
                <w:lang w:val="bg-BG"/>
              </w:rPr>
              <w:t xml:space="preserve">Според новата методика Банката извършва качествена оценка на риска (QRA), чиято цел е да се оценят надеждността на инвестиционната обосновка и вероятната стопанска жизнеспособност на тези операции. В този контекст операциите по отпускане на преки заеми по ПСОФ са прекласифицирани от заеми, оценявани по амортизирана стойност, в заеми, оценявани по справедлива стойност. </w:t>
            </w:r>
          </w:p>
          <w:p>
            <w:pPr>
              <w:spacing w:before="60" w:after="60" w:line="160" w:lineRule="exact"/>
              <w:jc w:val="both"/>
              <w:rPr>
                <w:rFonts w:ascii="Arial" w:eastAsia="Arial" w:hAnsi="Arial" w:cs="Arial"/>
                <w:noProof/>
                <w:color w:val="000000"/>
                <w:sz w:val="16"/>
                <w:lang w:val="bg-BG"/>
              </w:rPr>
            </w:pPr>
          </w:p>
          <w:p>
            <w:pPr>
              <w:spacing w:line="160" w:lineRule="exact"/>
              <w:jc w:val="both"/>
              <w:rPr>
                <w:rFonts w:ascii="Arial" w:eastAsia="Arial" w:hAnsi="Arial" w:cs="Arial"/>
                <w:noProof/>
                <w:color w:val="000000"/>
                <w:sz w:val="16"/>
                <w:lang w:val="bg-BG"/>
              </w:rPr>
            </w:pPr>
            <w:r>
              <w:rPr>
                <w:rFonts w:ascii="Arial" w:hAnsi="Arial"/>
                <w:noProof/>
                <w:color w:val="000000"/>
                <w:sz w:val="16"/>
                <w:lang w:val="bg-BG"/>
              </w:rPr>
              <w:t>Промяната на бизнес модела изисква промяна на портфейла от датата на прекласификацията. Ето защо промяната не оказва влияние върху предходните години. Ефектът върху текущия отчет за печалбата или загубата и другия всеобхватен доход е признат в раздел „ Изменение в провизиите за кредитни ангажименти“ в размер на 4,4 милиона евро.</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4"/>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spacing w:line="160" w:lineRule="exact"/>
              <w:rPr>
                <w:rFonts w:ascii="Arial" w:eastAsia="Arial" w:hAnsi="Arial" w:cs="Arial"/>
                <w:noProof/>
                <w:color w:val="000000"/>
                <w:sz w:val="16"/>
                <w:lang w:val="bg-BG"/>
              </w:rPr>
            </w:pPr>
          </w:p>
        </w:tc>
      </w:tr>
    </w:tbl>
    <w:p>
      <w:pPr>
        <w:spacing w:line="160" w:lineRule="exact"/>
        <w:rPr>
          <w:noProof/>
          <w:lang w:val="bg-BG"/>
        </w:rPr>
        <w:sectPr>
          <w:headerReference w:type="even" r:id="rId419"/>
          <w:headerReference w:type="default" r:id="rId420"/>
          <w:footerReference w:type="even" r:id="rId421"/>
          <w:footerReference w:type="default" r:id="rId422"/>
          <w:headerReference w:type="first" r:id="rId423"/>
          <w:footerReference w:type="first" r:id="rId424"/>
          <w:pgSz w:w="11907" w:h="16840" w:code="9"/>
          <w:pgMar w:top="1134" w:right="1134" w:bottom="1134" w:left="1134" w:header="709" w:footer="709" w:gutter="0"/>
          <w:pgBorders>
            <w:top w:val="nil"/>
            <w:left w:val="nil"/>
            <w:bottom w:val="nil"/>
            <w:right w:val="nil"/>
          </w:pgBorders>
          <w:cols w:space="720"/>
          <w:docGrid w:linePitch="360"/>
        </w:sectPr>
      </w:pPr>
    </w:p>
    <w:p>
      <w:pPr>
        <w:numPr>
          <w:ilvl w:val="0"/>
          <w:numId w:val="108"/>
        </w:numPr>
        <w:pBdr>
          <w:top w:val="nil"/>
          <w:left w:val="nil"/>
          <w:bottom w:val="nil"/>
          <w:right w:val="nil"/>
          <w:between w:val="nil"/>
          <w:bar w:val="nil"/>
        </w:pBdr>
        <w:tabs>
          <w:tab w:val="center" w:pos="4320"/>
          <w:tab w:val="right" w:pos="8640"/>
        </w:tabs>
        <w:suppressAutoHyphens/>
        <w:spacing w:before="120" w:after="120" w:line="160" w:lineRule="exact"/>
        <w:jc w:val="both"/>
        <w:rPr>
          <w:rFonts w:ascii="Arial" w:hAnsi="Arial"/>
          <w:b/>
          <w:noProof/>
          <w:sz w:val="20"/>
          <w:bdr w:val="nil"/>
          <w:lang w:val="bg-BG" w:eastAsia="ar-SA"/>
        </w:rPr>
      </w:pPr>
      <w:r>
        <w:rPr>
          <w:rFonts w:ascii="Arial" w:hAnsi="Arial"/>
          <w:b/>
          <w:noProof/>
          <w:sz w:val="20"/>
          <w:bdr w:val="nil"/>
          <w:lang w:val="bg-BG" w:eastAsia="ar-SA"/>
        </w:rPr>
        <w:t>25</w:t>
      </w:r>
      <w:r>
        <w:rPr>
          <w:rFonts w:ascii="Arial" w:hAnsi="Arial"/>
          <w:b/>
          <w:noProof/>
          <w:sz w:val="20"/>
          <w:bdr w:val="nil"/>
          <w:lang w:val="bg-BG" w:eastAsia="ar-SA"/>
        </w:rPr>
        <w:tab/>
        <w:t>Последващи събития</w:t>
      </w:r>
    </w:p>
    <w:p>
      <w:pPr>
        <w:pBdr>
          <w:top w:val="nil"/>
          <w:left w:val="nil"/>
          <w:bottom w:val="nil"/>
          <w:right w:val="nil"/>
          <w:between w:val="nil"/>
          <w:bar w:val="nil"/>
        </w:pBdr>
        <w:spacing w:before="60" w:after="60" w:line="160" w:lineRule="exact"/>
        <w:jc w:val="both"/>
        <w:rPr>
          <w:rFonts w:ascii="Arial" w:hAnsi="Arial"/>
          <w:noProof/>
          <w:sz w:val="16"/>
          <w:szCs w:val="16"/>
          <w:bdr w:val="nil"/>
          <w:lang w:val="bg-BG"/>
        </w:rPr>
      </w:pPr>
    </w:p>
    <w:p>
      <w:pPr>
        <w:pBdr>
          <w:top w:val="nil"/>
          <w:left w:val="nil"/>
          <w:bottom w:val="nil"/>
          <w:right w:val="nil"/>
          <w:between w:val="nil"/>
          <w:bar w:val="nil"/>
        </w:pBdr>
        <w:spacing w:before="60" w:after="60" w:line="160" w:lineRule="exact"/>
        <w:jc w:val="both"/>
        <w:rPr>
          <w:rFonts w:ascii="Arial" w:hAnsi="Arial"/>
          <w:noProof/>
          <w:sz w:val="16"/>
          <w:szCs w:val="16"/>
          <w:bdr w:val="nil"/>
          <w:lang w:val="bg-BG"/>
        </w:rPr>
        <w:sectPr>
          <w:headerReference w:type="even" r:id="rId425"/>
          <w:headerReference w:type="default" r:id="rId426"/>
          <w:footerReference w:type="even" r:id="rId427"/>
          <w:footerReference w:type="default" r:id="rId428"/>
          <w:headerReference w:type="first" r:id="rId429"/>
          <w:footerReference w:type="first" r:id="rId430"/>
          <w:type w:val="continuous"/>
          <w:pgSz w:w="11907" w:h="16840" w:code="9"/>
          <w:pgMar w:top="765" w:right="1134" w:bottom="765" w:left="1134" w:header="709" w:footer="709" w:gutter="0"/>
          <w:pgBorders>
            <w:top w:val="nil"/>
            <w:left w:val="nil"/>
            <w:bottom w:val="nil"/>
            <w:right w:val="nil"/>
          </w:pgBorders>
          <w:cols w:space="720"/>
          <w:docGrid w:linePitch="360"/>
        </w:sectPr>
      </w:pPr>
      <w:r>
        <w:rPr>
          <w:rFonts w:ascii="Arial" w:hAnsi="Arial"/>
          <w:noProof/>
          <w:sz w:val="16"/>
          <w:szCs w:val="16"/>
          <w:bdr w:val="nil"/>
          <w:lang w:val="bg-BG"/>
        </w:rPr>
        <w:t>След съставянето на счетоводния баланс не са настъпили значими събития, които могат да наложат обявяване или коригиране на финансовите отчети към 31 декември 2019 г.</w:t>
      </w:r>
    </w:p>
    <w:p>
      <w:pPr>
        <w:numPr>
          <w:ilvl w:val="0"/>
          <w:numId w:val="4"/>
        </w:numPr>
        <w:tabs>
          <w:tab w:val="left" w:pos="907"/>
        </w:tabs>
        <w:spacing w:after="240"/>
        <w:jc w:val="both"/>
        <w:rPr>
          <w:rFonts w:ascii="Verdana" w:hAnsi="Verdana"/>
          <w:b/>
          <w:noProof/>
          <w:color w:val="016794"/>
          <w:sz w:val="32"/>
          <w:szCs w:val="32"/>
          <w:lang w:val="bg-BG"/>
        </w:rPr>
      </w:pPr>
      <w:bookmarkStart w:id="162" w:name="_DMBM_18937"/>
      <w:r>
        <w:rPr>
          <w:rFonts w:ascii="Verdana" w:hAnsi="Verdana"/>
          <w:b/>
          <w:noProof/>
          <w:color w:val="016794"/>
          <w:sz w:val="32"/>
          <w:szCs w:val="32"/>
          <w:lang w:val="bg-BG"/>
        </w:rPr>
        <w:t>РЕЧНИК НА ТЕРМИНИТЕ</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ABAC</w:t>
      </w:r>
    </w:p>
    <w:p>
      <w:pPr>
        <w:spacing w:before="120" w:after="120"/>
        <w:jc w:val="both"/>
        <w:rPr>
          <w:rFonts w:ascii="Verdana" w:hAnsi="Verdana"/>
          <w:noProof/>
          <w:sz w:val="18"/>
          <w:szCs w:val="18"/>
          <w:lang w:val="bg-BG" w:eastAsia="en-US"/>
        </w:rPr>
      </w:pPr>
      <w:r>
        <w:rPr>
          <w:rFonts w:ascii="Verdana" w:eastAsia="Calibri" w:hAnsi="Verdana"/>
          <w:noProof/>
          <w:sz w:val="18"/>
          <w:szCs w:val="18"/>
          <w:lang w:val="bg-BG" w:eastAsia="en-US"/>
        </w:rPr>
        <w:t>Това е наименованието, дадено на счетоводната система на Комисията, която от 2005 г. насам се допълва с правила за счетоводна отчетност на базата на текущо начисляване. Освен бюджетни сметки, основани на касова отчетност, Комисията изготвя сметки на базата на текущо начисляване, при което приходите се признават, когато се реализират, а не когато се събират. Разходите се признават, когато се извършват, а не когато се изплащат. Това е в противоречие с бюджетното счетоводство на касова основа, при което операциите и други събития се признават едва когато парите са получени или платени.</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Счетоводство</w:t>
      </w:r>
    </w:p>
    <w:p>
      <w:pPr>
        <w:spacing w:before="120" w:after="240"/>
        <w:jc w:val="both"/>
        <w:rPr>
          <w:rFonts w:ascii="Verdana" w:eastAsia="Calibri" w:hAnsi="Verdana"/>
          <w:noProof/>
          <w:sz w:val="18"/>
          <w:szCs w:val="18"/>
          <w:lang w:val="bg-BG" w:eastAsia="en-US"/>
        </w:rPr>
      </w:pPr>
      <w:r>
        <w:rPr>
          <w:rFonts w:ascii="Verdana" w:eastAsia="Calibri" w:hAnsi="Verdana"/>
          <w:noProof/>
          <w:sz w:val="18"/>
          <w:szCs w:val="18"/>
          <w:lang w:val="bg-BG" w:eastAsia="en-US"/>
        </w:rPr>
        <w:t>Действието по вписването и отчитането на финансовите сделки, включително създаването, признаването, обработката и обобщаването на сделката във финансовите отчети.</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Счетоводител</w:t>
      </w:r>
    </w:p>
    <w:p>
      <w:pPr>
        <w:spacing w:before="120"/>
        <w:jc w:val="both"/>
        <w:rPr>
          <w:rFonts w:ascii="Verdana" w:eastAsia="Calibri" w:hAnsi="Verdana" w:cstheme="minorBidi"/>
          <w:noProof/>
          <w:sz w:val="18"/>
          <w:szCs w:val="18"/>
          <w:lang w:val="bg-BG" w:eastAsia="en-US"/>
        </w:rPr>
      </w:pPr>
      <w:r>
        <w:rPr>
          <w:rFonts w:ascii="Verdana" w:hAnsi="Verdana"/>
          <w:noProof/>
          <w:sz w:val="18"/>
          <w:szCs w:val="18"/>
          <w:lang w:val="bg-BG" w:eastAsia="en-US"/>
        </w:rPr>
        <w:t>Ролята, правомощията и отговорностите на счетоводителя са установени във Финансовия регламент:</w:t>
      </w:r>
    </w:p>
    <w:p>
      <w:pPr>
        <w:numPr>
          <w:ilvl w:val="0"/>
          <w:numId w:val="110"/>
        </w:numPr>
        <w:spacing w:before="120"/>
        <w:ind w:left="357" w:hanging="357"/>
        <w:jc w:val="both"/>
        <w:rPr>
          <w:rFonts w:ascii="Verdana" w:eastAsia="Calibri" w:hAnsi="Verdana" w:cstheme="minorBidi"/>
          <w:noProof/>
          <w:sz w:val="18"/>
          <w:szCs w:val="18"/>
          <w:lang w:val="bg-BG" w:eastAsia="en-US"/>
        </w:rPr>
      </w:pPr>
      <w:r>
        <w:rPr>
          <w:rFonts w:ascii="Verdana" w:hAnsi="Verdana"/>
          <w:noProof/>
          <w:sz w:val="18"/>
          <w:szCs w:val="18"/>
          <w:lang w:val="bg-BG" w:eastAsia="en-US"/>
        </w:rPr>
        <w:t>правилно извършване на плащанията,</w:t>
      </w:r>
    </w:p>
    <w:p>
      <w:pPr>
        <w:numPr>
          <w:ilvl w:val="0"/>
          <w:numId w:val="110"/>
        </w:numPr>
        <w:spacing w:before="120"/>
        <w:ind w:left="357" w:hanging="357"/>
        <w:jc w:val="both"/>
        <w:rPr>
          <w:rFonts w:ascii="Verdana" w:eastAsia="Calibri" w:hAnsi="Verdana" w:cstheme="minorBidi"/>
          <w:noProof/>
          <w:sz w:val="18"/>
          <w:szCs w:val="18"/>
          <w:lang w:val="bg-BG" w:eastAsia="en-US"/>
        </w:rPr>
      </w:pPr>
      <w:r>
        <w:rPr>
          <w:rFonts w:ascii="Verdana" w:hAnsi="Verdana"/>
          <w:noProof/>
          <w:sz w:val="18"/>
          <w:szCs w:val="18"/>
          <w:lang w:val="bg-BG" w:eastAsia="en-US"/>
        </w:rPr>
        <w:t>събиране на приходите,</w:t>
      </w:r>
    </w:p>
    <w:p>
      <w:pPr>
        <w:numPr>
          <w:ilvl w:val="0"/>
          <w:numId w:val="110"/>
        </w:numPr>
        <w:spacing w:before="120"/>
        <w:ind w:left="357" w:hanging="357"/>
        <w:jc w:val="both"/>
        <w:rPr>
          <w:rFonts w:ascii="Verdana" w:eastAsia="Calibri" w:hAnsi="Verdana" w:cstheme="minorBidi"/>
          <w:noProof/>
          <w:sz w:val="18"/>
          <w:szCs w:val="18"/>
          <w:lang w:val="bg-BG" w:eastAsia="en-US"/>
        </w:rPr>
      </w:pPr>
      <w:r>
        <w:rPr>
          <w:rFonts w:ascii="Verdana" w:hAnsi="Verdana"/>
          <w:noProof/>
          <w:sz w:val="18"/>
          <w:szCs w:val="18"/>
          <w:lang w:val="bg-BG" w:eastAsia="en-US"/>
        </w:rPr>
        <w:t>събиране и прихващане на суми,</w:t>
      </w:r>
    </w:p>
    <w:p>
      <w:pPr>
        <w:numPr>
          <w:ilvl w:val="0"/>
          <w:numId w:val="110"/>
        </w:numPr>
        <w:spacing w:before="120"/>
        <w:ind w:left="357" w:hanging="357"/>
        <w:jc w:val="both"/>
        <w:rPr>
          <w:rFonts w:ascii="Verdana" w:eastAsia="Calibri" w:hAnsi="Verdana" w:cstheme="minorBidi"/>
          <w:noProof/>
          <w:sz w:val="18"/>
          <w:szCs w:val="18"/>
          <w:lang w:val="bg-BG" w:eastAsia="en-US"/>
        </w:rPr>
      </w:pPr>
      <w:r>
        <w:rPr>
          <w:rFonts w:ascii="Verdana" w:hAnsi="Verdana"/>
          <w:noProof/>
          <w:sz w:val="18"/>
          <w:szCs w:val="18"/>
          <w:lang w:val="bg-BG" w:eastAsia="en-US"/>
        </w:rPr>
        <w:t>поддържане на счетоводната документация, изготвяне и представяне на отчетите,</w:t>
      </w:r>
    </w:p>
    <w:p>
      <w:pPr>
        <w:numPr>
          <w:ilvl w:val="0"/>
          <w:numId w:val="110"/>
        </w:numPr>
        <w:spacing w:before="120"/>
        <w:ind w:left="357" w:hanging="357"/>
        <w:jc w:val="both"/>
        <w:rPr>
          <w:rFonts w:ascii="Verdana" w:eastAsia="Calibri" w:hAnsi="Verdana" w:cstheme="minorBidi"/>
          <w:noProof/>
          <w:sz w:val="18"/>
          <w:szCs w:val="18"/>
          <w:lang w:val="bg-BG" w:eastAsia="en-US"/>
        </w:rPr>
      </w:pPr>
      <w:r>
        <w:rPr>
          <w:rFonts w:ascii="Verdana" w:hAnsi="Verdana"/>
          <w:noProof/>
          <w:sz w:val="18"/>
          <w:szCs w:val="18"/>
          <w:lang w:val="bg-BG" w:eastAsia="en-US"/>
        </w:rPr>
        <w:t>определяне на правилата и методите за водене на счетоводството и на сметкоплана,</w:t>
      </w:r>
    </w:p>
    <w:p>
      <w:pPr>
        <w:numPr>
          <w:ilvl w:val="0"/>
          <w:numId w:val="110"/>
        </w:numPr>
        <w:spacing w:before="120"/>
        <w:ind w:left="357" w:hanging="357"/>
        <w:jc w:val="both"/>
        <w:rPr>
          <w:rFonts w:ascii="Verdana" w:eastAsia="Calibri" w:hAnsi="Verdana" w:cstheme="minorBidi"/>
          <w:noProof/>
          <w:sz w:val="18"/>
          <w:szCs w:val="18"/>
          <w:lang w:val="bg-BG" w:eastAsia="en-US"/>
        </w:rPr>
      </w:pPr>
      <w:r>
        <w:rPr>
          <w:rFonts w:ascii="Verdana" w:hAnsi="Verdana"/>
          <w:noProof/>
          <w:sz w:val="18"/>
          <w:szCs w:val="18"/>
          <w:lang w:val="bg-BG" w:eastAsia="en-US"/>
        </w:rPr>
        <w:t>определяне и утвърждаване на счетоводните системи и утвърждаване на системите за предоставяне или обосноваване на счетоводната информация, определени от разпоредителя с бюджетни кредити (местни системи),</w:t>
      </w:r>
    </w:p>
    <w:p>
      <w:pPr>
        <w:numPr>
          <w:ilvl w:val="0"/>
          <w:numId w:val="110"/>
        </w:numPr>
        <w:spacing w:before="120"/>
        <w:ind w:left="357" w:hanging="357"/>
        <w:jc w:val="both"/>
        <w:rPr>
          <w:rFonts w:ascii="Verdana" w:eastAsia="Calibri" w:hAnsi="Verdana" w:cstheme="minorBidi"/>
          <w:noProof/>
          <w:sz w:val="18"/>
          <w:szCs w:val="18"/>
          <w:lang w:val="bg-BG" w:eastAsia="en-US"/>
        </w:rPr>
      </w:pPr>
      <w:r>
        <w:rPr>
          <w:rFonts w:ascii="Verdana" w:hAnsi="Verdana"/>
          <w:noProof/>
          <w:sz w:val="18"/>
          <w:szCs w:val="18"/>
          <w:lang w:val="bg-BG" w:eastAsia="en-US"/>
        </w:rPr>
        <w:t>управление на касовите средства,</w:t>
      </w:r>
    </w:p>
    <w:p>
      <w:pPr>
        <w:numPr>
          <w:ilvl w:val="0"/>
          <w:numId w:val="110"/>
        </w:numPr>
        <w:spacing w:before="120"/>
        <w:ind w:left="357" w:hanging="357"/>
        <w:jc w:val="both"/>
        <w:rPr>
          <w:rFonts w:ascii="Verdana" w:eastAsia="Calibri" w:hAnsi="Verdana" w:cstheme="minorBidi"/>
          <w:noProof/>
          <w:sz w:val="18"/>
          <w:szCs w:val="18"/>
          <w:lang w:val="bg-BG" w:eastAsia="en-US"/>
        </w:rPr>
      </w:pPr>
      <w:r>
        <w:rPr>
          <w:rFonts w:ascii="Verdana" w:hAnsi="Verdana"/>
          <w:noProof/>
          <w:sz w:val="18"/>
          <w:szCs w:val="18"/>
          <w:lang w:val="bg-BG" w:eastAsia="en-US"/>
        </w:rPr>
        <w:t>определяне на администраторите на авансови средства,</w:t>
      </w:r>
    </w:p>
    <w:p>
      <w:pPr>
        <w:numPr>
          <w:ilvl w:val="0"/>
          <w:numId w:val="110"/>
        </w:numPr>
        <w:spacing w:before="120"/>
        <w:ind w:left="357" w:hanging="357"/>
        <w:jc w:val="both"/>
        <w:rPr>
          <w:rFonts w:ascii="Verdana" w:eastAsia="Calibri" w:hAnsi="Verdana" w:cstheme="minorBidi"/>
          <w:noProof/>
          <w:sz w:val="18"/>
          <w:szCs w:val="18"/>
          <w:lang w:val="bg-BG" w:eastAsia="en-US"/>
        </w:rPr>
      </w:pPr>
      <w:r>
        <w:rPr>
          <w:rFonts w:ascii="Verdana" w:hAnsi="Verdana"/>
          <w:noProof/>
          <w:sz w:val="18"/>
          <w:szCs w:val="18"/>
          <w:lang w:val="bg-BG" w:eastAsia="en-US"/>
        </w:rPr>
        <w:t>откриване и закриване на банкови сметки на името на институцията.</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Бюджетни кредити за административни разходи</w:t>
      </w:r>
    </w:p>
    <w:p>
      <w:pPr>
        <w:spacing w:before="120"/>
        <w:jc w:val="both"/>
        <w:rPr>
          <w:rFonts w:ascii="Verdana" w:hAnsi="Verdana"/>
          <w:noProof/>
          <w:sz w:val="18"/>
          <w:szCs w:val="18"/>
          <w:lang w:val="bg-BG" w:eastAsia="en-US"/>
        </w:rPr>
      </w:pPr>
      <w:r>
        <w:rPr>
          <w:rFonts w:ascii="Verdana" w:hAnsi="Verdana"/>
          <w:noProof/>
          <w:sz w:val="18"/>
          <w:szCs w:val="18"/>
          <w:lang w:val="bg-BG" w:eastAsia="en-US"/>
        </w:rPr>
        <w:t>Бюджетните кредити за административни разходи покриват текущите разходи на институциите и на субектите (персонал, сгради, офис оборудване).</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Корекция</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Коригиращ бюджет или прехвърляне на средства от една бюджетна позиция към друга.</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Приет бюджет</w:t>
      </w:r>
    </w:p>
    <w:p>
      <w:pPr>
        <w:spacing w:before="120"/>
        <w:jc w:val="both"/>
        <w:rPr>
          <w:rFonts w:ascii="Verdana" w:hAnsi="Verdana"/>
          <w:noProof/>
          <w:spacing w:val="-4"/>
          <w:sz w:val="18"/>
          <w:szCs w:val="18"/>
          <w:lang w:val="bg-BG" w:eastAsia="en-US"/>
        </w:rPr>
      </w:pPr>
      <w:r>
        <w:rPr>
          <w:rFonts w:ascii="Verdana" w:hAnsi="Verdana"/>
          <w:noProof/>
          <w:spacing w:val="-4"/>
          <w:sz w:val="18"/>
          <w:szCs w:val="18"/>
          <w:lang w:val="bg-BG" w:eastAsia="en-US"/>
        </w:rPr>
        <w:t>Проектобюджетът се превръща в приетия бюджет веднага след като бъде одобрен от бюджетния орган.</w:t>
      </w:r>
    </w:p>
    <w:p>
      <w:pPr>
        <w:spacing w:before="120"/>
        <w:jc w:val="both"/>
        <w:rPr>
          <w:rFonts w:ascii="Verdana" w:hAnsi="Verdana"/>
          <w:noProof/>
          <w:sz w:val="18"/>
          <w:szCs w:val="18"/>
          <w:lang w:val="bg-BG" w:eastAsia="en-US"/>
        </w:rPr>
      </w:pPr>
      <w:r>
        <w:rPr>
          <w:rFonts w:ascii="Verdana" w:hAnsi="Verdana"/>
          <w:noProof/>
          <w:sz w:val="18"/>
          <w:szCs w:val="18"/>
          <w:lang w:val="bg-BG" w:eastAsia="en-US"/>
        </w:rPr>
        <w:t xml:space="preserve">Вж. Бюджет </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Агенции</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Органи на ЕС със собствена правосубектност, на които могат да бъдат делегирани правомощия за изпълнение на бюджета при строги условия. Спрямо тях се прилага отделна процедура по освобождаване във връзка с изпълнението на бюджета от органа по освобождаване от отговорност.</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Коригиращ бюджет</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Решение, прието през бюджетната година, за изменение (увеличение, намаление, трансфер) на аспекти на приетия бюджет за тази година.</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Ежегодност</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Бюджетен принцип, съгласно който разходите и приходите се планират и разрешават за срок от една година, която започва на 1 януари и завършва на 31 декември.</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Бюджетни кредити</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Финансиране на бюджета.</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В бюджета се прогнозират както поетите задължения (правни ангажименти за предоставяне на финансиране, при условие че са изпълнени определени условия), така и плащанията (парични средства или банкови преводи за бенефициерите). Бюджетните кредити за поети задължения и бюджетните кредити за плащания често се различават — многогодишни бюджетни кредити — тъй като задължение за многогодишните програми и проекти обикновено се поема изцяло през годината, през която е взето решението за тези програми и проекти, и средствата по тях се плащат през годините с напредването на тяхното изпълнение. Едногодишните бюджетни кредити се отнасят до административните разходи, а бюджетните кредити за поети задължения са равни на бюджетните кредити за плащания.</w:t>
      </w:r>
    </w:p>
    <w:p>
      <w:pPr>
        <w:spacing w:before="240"/>
        <w:jc w:val="both"/>
        <w:rPr>
          <w:rFonts w:ascii="Verdana" w:hAnsi="Verdana"/>
          <w:b/>
          <w:i/>
          <w:noProof/>
          <w:sz w:val="18"/>
          <w:szCs w:val="18"/>
          <w:lang w:val="bg-BG" w:eastAsia="en-US"/>
        </w:rPr>
      </w:pPr>
      <w:r>
        <w:rPr>
          <w:rFonts w:ascii="Verdana" w:hAnsi="Verdana"/>
          <w:noProof/>
          <w:color w:val="016794"/>
          <w:sz w:val="18"/>
          <w:szCs w:val="18"/>
          <w:lang w:val="bg-BG" w:eastAsia="en-US"/>
        </w:rPr>
        <w:t>Целеви приходи — външни/вътрешни</w:t>
      </w:r>
    </w:p>
    <w:p>
      <w:pPr>
        <w:spacing w:before="120"/>
        <w:jc w:val="both"/>
        <w:rPr>
          <w:rFonts w:ascii="Verdana" w:hAnsi="Verdana"/>
          <w:noProof/>
          <w:sz w:val="18"/>
          <w:szCs w:val="18"/>
          <w:lang w:val="bg-BG" w:eastAsia="en-US"/>
        </w:rPr>
      </w:pPr>
      <w:r>
        <w:rPr>
          <w:rFonts w:ascii="Verdana" w:hAnsi="Verdana"/>
          <w:noProof/>
          <w:sz w:val="18"/>
          <w:szCs w:val="18"/>
          <w:lang w:val="bg-BG" w:eastAsia="en-US"/>
        </w:rPr>
        <w:t>Специални приходи, получени за финансирането на конкретни разходи.</w:t>
      </w:r>
    </w:p>
    <w:p>
      <w:pPr>
        <w:spacing w:before="120"/>
        <w:jc w:val="both"/>
        <w:rPr>
          <w:rFonts w:ascii="Verdana" w:hAnsi="Verdana"/>
          <w:i/>
          <w:noProof/>
          <w:sz w:val="18"/>
          <w:szCs w:val="18"/>
          <w:lang w:val="bg-BG" w:eastAsia="en-US"/>
        </w:rPr>
      </w:pPr>
      <w:r>
        <w:rPr>
          <w:rFonts w:ascii="Verdana" w:hAnsi="Verdana"/>
          <w:noProof/>
          <w:sz w:val="18"/>
          <w:szCs w:val="18"/>
          <w:lang w:val="bg-BG" w:eastAsia="en-US"/>
        </w:rPr>
        <w:t xml:space="preserve">Основните източници на външни целеви приходи са </w:t>
      </w:r>
      <w:r>
        <w:rPr>
          <w:rFonts w:ascii="Verdana" w:hAnsi="Verdana"/>
          <w:i/>
          <w:iCs/>
          <w:noProof/>
          <w:sz w:val="18"/>
          <w:szCs w:val="18"/>
          <w:lang w:val="bg-BG" w:eastAsia="en-US"/>
        </w:rPr>
        <w:t>финансовите средства, предоставени от трети държави за програми, финансирани от Съюза</w:t>
      </w:r>
      <w:r>
        <w:rPr>
          <w:rFonts w:ascii="Verdana" w:hAnsi="Verdana"/>
          <w:noProof/>
          <w:sz w:val="18"/>
          <w:szCs w:val="18"/>
          <w:lang w:val="bg-BG" w:eastAsia="en-US"/>
        </w:rPr>
        <w:t>.</w:t>
      </w:r>
    </w:p>
    <w:p>
      <w:pPr>
        <w:spacing w:before="120"/>
        <w:jc w:val="both"/>
        <w:rPr>
          <w:rFonts w:ascii="Verdana" w:hAnsi="Verdana"/>
          <w:i/>
          <w:noProof/>
          <w:sz w:val="18"/>
          <w:szCs w:val="18"/>
          <w:lang w:val="bg-BG" w:eastAsia="en-US"/>
        </w:rPr>
      </w:pPr>
      <w:r>
        <w:rPr>
          <w:rFonts w:ascii="Verdana" w:hAnsi="Verdana"/>
          <w:i/>
          <w:noProof/>
          <w:sz w:val="18"/>
          <w:szCs w:val="18"/>
          <w:lang w:val="bg-BG" w:eastAsia="en-US"/>
        </w:rPr>
        <w:t>Основните източници на вътрешни целеви приходи са приходите от трети страни във връзка със стоки, услуги или строителни работи, предоставени по тяхно искане, приходите от възстановяването на неоснователно платени суми и приходите от продажбата на публикации и филми, включително на електронен носител.</w:t>
      </w:r>
    </w:p>
    <w:p>
      <w:pPr>
        <w:spacing w:before="120"/>
        <w:jc w:val="both"/>
        <w:rPr>
          <w:rFonts w:ascii="Verdana" w:hAnsi="Verdana"/>
          <w:noProof/>
          <w:sz w:val="18"/>
          <w:szCs w:val="18"/>
          <w:lang w:val="bg-BG" w:eastAsia="en-US"/>
        </w:rPr>
      </w:pPr>
      <w:r>
        <w:rPr>
          <w:rFonts w:ascii="Verdana" w:hAnsi="Verdana"/>
          <w:noProof/>
          <w:sz w:val="18"/>
          <w:szCs w:val="18"/>
          <w:lang w:val="bg-BG" w:eastAsia="en-US"/>
        </w:rPr>
        <w:t>Пълният списък на позициите, които представляват целеви приходи, е представен в член 21 от Финансовия регламент.</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Оправомощен разпоредител с бюджетни кредити (ОРБК)</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Във всяка институция ОРБК отговаря за разрешаването на операциите по приходите и разходите в съответствие с принципите на добро финансово управление и следи за спазването на изискванията за законосъобразност и редовност.</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ОРБК отговаря за вземането на всички финансови решения, свързани с действията, за които носи отговорност. По-специално той трябва да взема решения за изпълнението на бюджета въз основа на своя анализ на риска.</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Бюджет</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Годишен финансов план, който се изготвя съгласно бюджетни принципи и в който се прогнозират и одобряват за всяка финансова година бъдещите приходи и разходи с подробно описание и обосновка, като последната е включена в бюджетните забележки.</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Бюджетен резултат</w:t>
      </w:r>
    </w:p>
    <w:p>
      <w:pPr>
        <w:spacing w:before="120"/>
        <w:jc w:val="both"/>
        <w:rPr>
          <w:rFonts w:ascii="Verdana" w:hAnsi="Verdana"/>
          <w:noProof/>
          <w:sz w:val="18"/>
          <w:szCs w:val="18"/>
          <w:lang w:val="bg-BG" w:eastAsia="en-US"/>
        </w:rPr>
      </w:pPr>
      <w:r>
        <w:rPr>
          <w:rFonts w:ascii="Verdana" w:hAnsi="Verdana"/>
          <w:noProof/>
          <w:sz w:val="18"/>
          <w:szCs w:val="18"/>
          <w:lang w:val="bg-BG" w:eastAsia="en-US"/>
        </w:rPr>
        <w:t xml:space="preserve">Разликата между получените приходи и изплатените суми, включително корекции за пренасянията, отмените и разликите във валутните курсове. </w:t>
      </w:r>
    </w:p>
    <w:p>
      <w:pPr>
        <w:spacing w:before="120"/>
        <w:jc w:val="both"/>
        <w:rPr>
          <w:rFonts w:ascii="Verdana" w:hAnsi="Verdana"/>
          <w:noProof/>
          <w:sz w:val="18"/>
          <w:szCs w:val="18"/>
          <w:lang w:val="bg-BG" w:eastAsia="en-US"/>
        </w:rPr>
      </w:pPr>
      <w:r>
        <w:rPr>
          <w:rFonts w:ascii="Verdana" w:hAnsi="Verdana"/>
          <w:noProof/>
          <w:sz w:val="18"/>
          <w:szCs w:val="18"/>
          <w:lang w:val="bg-BG" w:eastAsia="en-US"/>
        </w:rPr>
        <w:t>За агенциите получената сума ще трябва да бъде възстановена на финансиращия орган, както е предвидено във Финансовия регламент по отношение на агенциите.</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Изпълнение на бюджета</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Изразходване на бюджета чрез приходни и разходни операции.</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Бюджетна позиция/бюджетен ред/позиция на бюджета</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Що се отнася до структурата на бюджета, приходите и разходите се записват в бюджета съгласно задължителна номенклатура, която отразява естеството и целта на всеки елемент. Тази номенклатура е наложена от бюджетния орган. Отделните категории (дял, глава, статия или позиция) служат за официално описание на номенклатурата.</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Бюджетен орган</w:t>
      </w:r>
    </w:p>
    <w:p>
      <w:pPr>
        <w:spacing w:before="120"/>
        <w:jc w:val="both"/>
        <w:rPr>
          <w:rFonts w:ascii="Verdana" w:hAnsi="Verdana"/>
          <w:noProof/>
          <w:sz w:val="18"/>
          <w:szCs w:val="18"/>
          <w:lang w:val="bg-BG" w:eastAsia="en-US"/>
        </w:rPr>
      </w:pPr>
      <w:r>
        <w:rPr>
          <w:rFonts w:ascii="Verdana" w:hAnsi="Verdana"/>
          <w:noProof/>
          <w:sz w:val="18"/>
          <w:szCs w:val="18"/>
          <w:lang w:val="bg-BG" w:eastAsia="en-US"/>
        </w:rPr>
        <w:t>Институции с правомощия за вземане на решения по бюджетни въпроси: за институциите на ЕС това са Европейският парламент и Съветът на министрите.</w:t>
      </w:r>
    </w:p>
    <w:p>
      <w:pPr>
        <w:spacing w:before="120"/>
        <w:jc w:val="both"/>
        <w:rPr>
          <w:rFonts w:ascii="Verdana" w:hAnsi="Verdana"/>
          <w:noProof/>
          <w:color w:val="016794"/>
          <w:sz w:val="18"/>
          <w:szCs w:val="20"/>
          <w:lang w:val="bg-BG" w:eastAsia="en-US"/>
        </w:rPr>
      </w:pPr>
      <w:r>
        <w:rPr>
          <w:rFonts w:ascii="Verdana" w:hAnsi="Verdana"/>
          <w:noProof/>
          <w:sz w:val="18"/>
          <w:szCs w:val="18"/>
          <w:lang w:val="bg-BG" w:eastAsia="en-US"/>
        </w:rPr>
        <w:t>За агенциите и съвместните предприятия техният управителен съвет е бюджетният орган.</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Бюджетно задължение</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Поемането на бюджетно задължение представлява заделяне на бюджетни кредити за покриване на последващи разходи.</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Отмяна на бюджетни кредити</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Неизползваните бюджетни кредити, които не могат вече да се използват.</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Пренасяне на бюджетни кредити</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Изключение от принципа на ежегодност, доколкото бюджетните кредити, които не са могли да бъдат използвани през дадена бюджетна година, могат при строги условия и по изключение да бъдат пренесени за използване през следващата година.</w:t>
      </w:r>
    </w:p>
    <w:p>
      <w:pPr>
        <w:spacing w:before="120"/>
        <w:jc w:val="both"/>
        <w:rPr>
          <w:rFonts w:ascii="Verdana" w:hAnsi="Verdana"/>
          <w:noProof/>
          <w:color w:val="016794"/>
          <w:sz w:val="18"/>
          <w:szCs w:val="20"/>
          <w:lang w:val="bg-BG" w:eastAsia="en-US"/>
        </w:rPr>
        <w:sectPr>
          <w:headerReference w:type="even" r:id="rId431"/>
          <w:headerReference w:type="default" r:id="rId432"/>
          <w:footerReference w:type="even" r:id="rId433"/>
          <w:footerReference w:type="default" r:id="rId434"/>
          <w:headerReference w:type="first" r:id="rId435"/>
          <w:footerReference w:type="first" r:id="rId436"/>
          <w:pgSz w:w="11906" w:h="16838"/>
          <w:pgMar w:top="1134" w:right="1134" w:bottom="1134" w:left="1134" w:header="709" w:footer="709" w:gutter="0"/>
          <w:cols w:space="708"/>
          <w:docGrid w:linePitch="360"/>
        </w:sectPr>
      </w:pP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Бюджетни кредити за поети задължения</w:t>
      </w:r>
    </w:p>
    <w:p>
      <w:pPr>
        <w:spacing w:before="120" w:after="240"/>
        <w:jc w:val="both"/>
        <w:rPr>
          <w:rFonts w:ascii="Verdana" w:hAnsi="Verdana"/>
          <w:i/>
          <w:noProof/>
          <w:sz w:val="18"/>
          <w:szCs w:val="18"/>
          <w:lang w:val="bg-BG" w:eastAsia="en-US"/>
        </w:rPr>
      </w:pPr>
      <w:r>
        <w:rPr>
          <w:rFonts w:ascii="Verdana" w:eastAsia="Calibri" w:hAnsi="Verdana"/>
          <w:noProof/>
          <w:sz w:val="18"/>
          <w:szCs w:val="18"/>
          <w:lang w:val="bg-BG" w:eastAsia="en-US"/>
        </w:rPr>
        <w:t xml:space="preserve">Бюджетните кредити за поети задължения покриват пълната стойност на правните задължения (договори, споразумения/решения за предоставяне на безвъзмездни средства), които могат да бъдат подписани през текущата финансова година. Финансов регламент, член 7: </w:t>
      </w:r>
      <w:r>
        <w:rPr>
          <w:rFonts w:ascii="Verdana" w:eastAsia="Calibri" w:hAnsi="Verdana"/>
          <w:i/>
          <w:noProof/>
          <w:sz w:val="18"/>
          <w:szCs w:val="18"/>
          <w:lang w:val="bg-BG" w:eastAsia="en-US"/>
        </w:rPr>
        <w:t>Бюджетните кредити за поети задължения покриват през текущата финансова година пълната стойност на правните задължения (договори, споразумения/решения за отпускане на безвъзмездни средства), поети за дейности с продължителност повече от една година.</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Отмяна на бюджетни кредити</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Отмяна на заделянето на бюджетни кредити.</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Многогодишни бюджетни кредити</w:t>
      </w:r>
    </w:p>
    <w:p>
      <w:pPr>
        <w:spacing w:before="120"/>
        <w:jc w:val="both"/>
        <w:rPr>
          <w:rFonts w:ascii="Verdana" w:hAnsi="Verdana"/>
          <w:i/>
          <w:noProof/>
          <w:sz w:val="18"/>
          <w:szCs w:val="18"/>
          <w:lang w:val="bg-BG" w:eastAsia="en-US"/>
        </w:rPr>
      </w:pPr>
      <w:r>
        <w:rPr>
          <w:rFonts w:ascii="Verdana" w:hAnsi="Verdana"/>
          <w:noProof/>
          <w:sz w:val="18"/>
          <w:szCs w:val="18"/>
          <w:lang w:val="bg-BG" w:eastAsia="en-US"/>
        </w:rPr>
        <w:t xml:space="preserve">Многогодишните бюджетни кредити се използват за финансиране на многогодишни операции; те покриват за текущата финансова година общите разходи по правните задължения, поети за операции, чието изпълнение обхваща повече от една финансова година. Финансов регламент, член 7: </w:t>
      </w:r>
      <w:r>
        <w:rPr>
          <w:rFonts w:ascii="Verdana" w:hAnsi="Verdana"/>
          <w:i/>
          <w:noProof/>
          <w:sz w:val="18"/>
          <w:szCs w:val="18"/>
          <w:lang w:val="bg-BG" w:eastAsia="en-US"/>
        </w:rPr>
        <w:t>Многогодишните бюджетни кредити се записват за многогодишни операции. Те се състоят от бюджетни кредити за поети задължения и бюджетни кредити за плащания.</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Заделени приходи</w:t>
      </w:r>
    </w:p>
    <w:p>
      <w:pPr>
        <w:spacing w:before="120"/>
        <w:jc w:val="both"/>
        <w:rPr>
          <w:rFonts w:ascii="Verdana" w:hAnsi="Verdana"/>
          <w:noProof/>
          <w:sz w:val="18"/>
          <w:szCs w:val="18"/>
          <w:lang w:val="bg-BG" w:eastAsia="en-US"/>
        </w:rPr>
      </w:pPr>
      <w:r>
        <w:rPr>
          <w:rFonts w:ascii="Verdana" w:hAnsi="Verdana"/>
          <w:noProof/>
          <w:sz w:val="18"/>
          <w:szCs w:val="18"/>
          <w:lang w:val="bg-BG" w:eastAsia="en-US"/>
        </w:rPr>
        <w:t>Приходите, заделени за конкретна цел, като например приходите от фондации, субсидии, подаръци и завещания, включително заделените приходи, които са специфични за всяка институция.</w:t>
      </w:r>
    </w:p>
    <w:p>
      <w:pPr>
        <w:spacing w:before="120"/>
        <w:jc w:val="both"/>
        <w:rPr>
          <w:rFonts w:ascii="Verdana" w:hAnsi="Verdana"/>
          <w:noProof/>
          <w:sz w:val="18"/>
          <w:szCs w:val="18"/>
          <w:lang w:val="bg-BG" w:eastAsia="en-US"/>
        </w:rPr>
      </w:pPr>
      <w:r>
        <w:rPr>
          <w:rFonts w:ascii="Verdana" w:hAnsi="Verdana"/>
          <w:noProof/>
          <w:sz w:val="18"/>
          <w:szCs w:val="18"/>
          <w:lang w:val="bg-BG" w:eastAsia="en-US"/>
        </w:rPr>
        <w:t xml:space="preserve">Вж. Целеви приходи </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Икономически резултат</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Въздействие върху баланса на разходите и приходите въз основа на правилата за счетоводна отчетност на базата на текущо начисляване.</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Установени вземания</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Вземанията са нареждания за събиране на вземания, които Европейският съюз трябва да установи, за да събере приходите.</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Разлика в обменните курсове</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Разликата, произтичаща от валутните обменни курсове, прилагани за сделки с държави извън еврозоната, или от преоценката на активи и пасиви в чуждестранна валута при приключването.</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Разходи</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Термин, използван за описание на изразходването на бюджета от всички видове източници на средства.</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Финансов регламент (ФР)</w:t>
      </w:r>
    </w:p>
    <w:p>
      <w:pPr>
        <w:spacing w:before="120"/>
        <w:jc w:val="both"/>
        <w:rPr>
          <w:rFonts w:ascii="Verdana" w:hAnsi="Verdana"/>
          <w:noProof/>
          <w:sz w:val="18"/>
          <w:szCs w:val="18"/>
          <w:lang w:val="bg-BG" w:eastAsia="en-US"/>
        </w:rPr>
      </w:pPr>
      <w:r>
        <w:rPr>
          <w:rFonts w:ascii="Verdana" w:hAnsi="Verdana"/>
          <w:noProof/>
          <w:sz w:val="18"/>
          <w:szCs w:val="18"/>
          <w:lang w:val="bg-BG" w:eastAsia="en-US"/>
        </w:rPr>
        <w:t>В този регламент, приет чрез обикновената законодателна процедура след консултация с Европейската сметна палата, се определят правилата за изготвянето и изпълнението на общия бюджет на Европейския съюз.</w:t>
      </w:r>
    </w:p>
    <w:p>
      <w:pPr>
        <w:spacing w:before="120"/>
        <w:jc w:val="both"/>
        <w:rPr>
          <w:rFonts w:ascii="Verdana" w:hAnsi="Verdana"/>
          <w:noProof/>
          <w:sz w:val="18"/>
          <w:szCs w:val="18"/>
          <w:lang w:val="bg-BG" w:eastAsia="en-US"/>
        </w:rPr>
      </w:pPr>
      <w:r>
        <w:rPr>
          <w:rFonts w:ascii="Verdana" w:hAnsi="Verdana"/>
          <w:noProof/>
          <w:sz w:val="18"/>
          <w:szCs w:val="18"/>
          <w:lang w:val="bg-BG" w:eastAsia="en-US"/>
        </w:rPr>
        <w:t>За справка Регламент (ЕС, Евратом) № 2018/1046 на Европейския парламент и на Съвета от 18 юли 2018 г. относно финансовите правила, приложими за общия бюджет на Съюза.</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Източник на средства</w:t>
      </w:r>
    </w:p>
    <w:p>
      <w:pPr>
        <w:spacing w:before="120"/>
        <w:jc w:val="both"/>
        <w:rPr>
          <w:rFonts w:ascii="Verdana" w:hAnsi="Verdana"/>
          <w:noProof/>
          <w:sz w:val="18"/>
          <w:szCs w:val="18"/>
          <w:lang w:val="bg-BG" w:eastAsia="en-US"/>
        </w:rPr>
      </w:pPr>
      <w:r>
        <w:rPr>
          <w:rFonts w:ascii="Verdana" w:hAnsi="Verdana"/>
          <w:noProof/>
          <w:sz w:val="18"/>
          <w:szCs w:val="18"/>
          <w:lang w:val="bg-BG" w:eastAsia="en-US"/>
        </w:rPr>
        <w:t xml:space="preserve">Вид бюджетни кредити </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Безвъзмездни средства</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Преки финансови вноски чрез дарения от бюджета или за финансиране на действия, които допринасят за постигане на цел на политика на ЕС, или за функционирането на структура, която преследва цел от общ европейски интерес или има цел, съставляваща част от политика на ЕС.</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Изпълнение</w:t>
      </w:r>
    </w:p>
    <w:p>
      <w:pPr>
        <w:spacing w:before="120"/>
        <w:jc w:val="both"/>
        <w:rPr>
          <w:rFonts w:ascii="Verdana" w:hAnsi="Verdana"/>
          <w:noProof/>
          <w:sz w:val="18"/>
          <w:szCs w:val="18"/>
          <w:lang w:val="bg-BG" w:eastAsia="en-US"/>
        </w:rPr>
      </w:pPr>
      <w:r>
        <w:rPr>
          <w:rFonts w:ascii="Verdana" w:hAnsi="Verdana"/>
          <w:noProof/>
          <w:sz w:val="18"/>
          <w:szCs w:val="18"/>
          <w:lang w:val="bg-BG" w:eastAsia="en-US"/>
        </w:rPr>
        <w:t xml:space="preserve">Вж. Изпълнение на бюджета </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Постъпления</w:t>
      </w:r>
    </w:p>
    <w:p>
      <w:pPr>
        <w:spacing w:before="120"/>
        <w:jc w:val="both"/>
        <w:rPr>
          <w:rFonts w:ascii="Verdana" w:hAnsi="Verdana"/>
          <w:noProof/>
          <w:sz w:val="18"/>
          <w:szCs w:val="18"/>
          <w:lang w:val="bg-BG" w:eastAsia="en-US"/>
        </w:rPr>
      </w:pPr>
      <w:r>
        <w:rPr>
          <w:rFonts w:ascii="Verdana" w:hAnsi="Verdana"/>
          <w:noProof/>
          <w:sz w:val="18"/>
          <w:szCs w:val="18"/>
          <w:lang w:val="bg-BG" w:eastAsia="en-US"/>
        </w:rPr>
        <w:t xml:space="preserve">Вж. Приходи </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Съвместни предприятия (СП)</w:t>
      </w:r>
    </w:p>
    <w:p>
      <w:pPr>
        <w:spacing w:before="120"/>
        <w:jc w:val="both"/>
        <w:rPr>
          <w:rFonts w:ascii="Verdana" w:hAnsi="Verdana"/>
          <w:noProof/>
          <w:sz w:val="18"/>
          <w:szCs w:val="18"/>
          <w:lang w:val="bg-BG" w:eastAsia="en-US"/>
        </w:rPr>
      </w:pPr>
      <w:r>
        <w:rPr>
          <w:rFonts w:ascii="Verdana" w:hAnsi="Verdana"/>
          <w:noProof/>
          <w:sz w:val="18"/>
          <w:szCs w:val="18"/>
          <w:lang w:val="bg-BG" w:eastAsia="en-US"/>
        </w:rPr>
        <w:t xml:space="preserve">Правен орган на ЕС, създаден съгласно Договора за функционирането на Европейския съюз. Терминът може да бъде използван, за да се опише всяка структура за сътрудничество, предложена за </w:t>
      </w:r>
      <w:r>
        <w:rPr>
          <w:rFonts w:ascii="Verdana" w:hAnsi="Verdana"/>
          <w:i/>
          <w:iCs/>
          <w:noProof/>
          <w:sz w:val="18"/>
          <w:szCs w:val="18"/>
          <w:lang w:val="bg-BG" w:eastAsia="en-US"/>
        </w:rPr>
        <w:t>ефективното осъществяване на програмите за научни изследвания, технологично развитие и демонстрационни дейности на Съюза</w:t>
      </w:r>
      <w:r>
        <w:rPr>
          <w:rFonts w:ascii="Verdana" w:hAnsi="Verdana"/>
          <w:noProof/>
          <w:sz w:val="18"/>
          <w:szCs w:val="18"/>
          <w:lang w:val="bg-BG" w:eastAsia="en-US"/>
        </w:rPr>
        <w:t>.</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Бюджетни кредити, които губят сила</w:t>
      </w:r>
    </w:p>
    <w:p>
      <w:pPr>
        <w:spacing w:before="120"/>
        <w:jc w:val="both"/>
        <w:rPr>
          <w:rFonts w:ascii="Verdana" w:hAnsi="Verdana"/>
          <w:noProof/>
          <w:sz w:val="18"/>
          <w:szCs w:val="18"/>
          <w:lang w:val="bg-BG" w:eastAsia="en-US"/>
        </w:rPr>
      </w:pPr>
      <w:r>
        <w:rPr>
          <w:rFonts w:ascii="Verdana" w:hAnsi="Verdana"/>
          <w:noProof/>
          <w:sz w:val="18"/>
          <w:szCs w:val="18"/>
          <w:lang w:val="bg-BG" w:eastAsia="en-US"/>
        </w:rPr>
        <w:t xml:space="preserve">Неизползваните бюджетни кредити, които ще бъдат отменени в края на финансовата година. </w:t>
      </w:r>
      <w:r>
        <w:rPr>
          <w:rFonts w:ascii="Verdana" w:hAnsi="Verdana"/>
          <w:i/>
          <w:iCs/>
          <w:noProof/>
          <w:sz w:val="18"/>
          <w:szCs w:val="18"/>
          <w:lang w:val="bg-BG" w:eastAsia="en-US"/>
        </w:rPr>
        <w:t>Губенето на сила</w:t>
      </w:r>
      <w:r>
        <w:rPr>
          <w:rFonts w:ascii="Verdana" w:hAnsi="Verdana"/>
          <w:noProof/>
          <w:sz w:val="18"/>
          <w:szCs w:val="18"/>
          <w:lang w:val="bg-BG" w:eastAsia="en-US"/>
        </w:rPr>
        <w:t xml:space="preserve"> означава отмяна на цялото разрешение или на част от разрешението за извършване на разходи и/или за поемане на задължения. Това разрешение намира израз под формата на бюджетен кредит.</w:t>
      </w:r>
    </w:p>
    <w:p>
      <w:pPr>
        <w:spacing w:before="120"/>
        <w:jc w:val="both"/>
        <w:rPr>
          <w:rFonts w:ascii="Verdana" w:hAnsi="Verdana"/>
          <w:noProof/>
          <w:sz w:val="18"/>
          <w:szCs w:val="18"/>
          <w:lang w:val="bg-BG" w:eastAsia="en-US"/>
        </w:rPr>
      </w:pPr>
      <w:r>
        <w:rPr>
          <w:rFonts w:ascii="Verdana" w:hAnsi="Verdana"/>
          <w:noProof/>
          <w:sz w:val="18"/>
          <w:szCs w:val="18"/>
          <w:lang w:val="bg-BG" w:eastAsia="en-US"/>
        </w:rPr>
        <w:t>Само за съвместните предприятия, както е посочено във финансовите им правила, неизползваните бюджетни кредити могат да бъдат записани в прогнозата за приходите и разходите за следващите максимум три финансови години (т.нар. правило „N+3“). Следователно бюджетните кредити за СП, които губят сила, могат да бъдат пуснати отново в употреба до финансовата година N+3.</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Правно основание (основен акт)</w:t>
      </w:r>
    </w:p>
    <w:p>
      <w:pPr>
        <w:spacing w:before="120"/>
        <w:jc w:val="both"/>
        <w:rPr>
          <w:rFonts w:ascii="Verdana" w:hAnsi="Verdana"/>
          <w:noProof/>
          <w:sz w:val="18"/>
          <w:szCs w:val="18"/>
          <w:lang w:val="bg-BG" w:eastAsia="en-US"/>
        </w:rPr>
      </w:pPr>
      <w:r>
        <w:rPr>
          <w:rFonts w:ascii="Verdana" w:hAnsi="Verdana"/>
          <w:noProof/>
          <w:sz w:val="18"/>
          <w:szCs w:val="18"/>
          <w:lang w:val="bg-BG" w:eastAsia="en-US"/>
        </w:rPr>
        <w:t>По принцип правното основание или правната основа е общо правило, закон, основан на член от Договора за функционирането на Европейския съюз, с който се предоставя компетентност на Общността за определена област на политиката и се определят условията за изпълнение на тази компетентност, включително изпълнението на бюджета. Някои членове от Договора упълномощават Комисията да предприема определени действия, които предполагат разходи, без да е налице правен акт.</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Правно задължение</w:t>
      </w:r>
    </w:p>
    <w:p>
      <w:pPr>
        <w:spacing w:before="120" w:after="240"/>
        <w:jc w:val="both"/>
        <w:rPr>
          <w:rFonts w:ascii="Verdana" w:eastAsia="Calibri" w:hAnsi="Verdana"/>
          <w:noProof/>
          <w:sz w:val="18"/>
          <w:szCs w:val="18"/>
          <w:lang w:val="bg-BG" w:eastAsia="en-US"/>
        </w:rPr>
      </w:pPr>
      <w:r>
        <w:rPr>
          <w:rFonts w:ascii="Verdana" w:eastAsia="Calibri" w:hAnsi="Verdana"/>
          <w:noProof/>
          <w:sz w:val="18"/>
          <w:szCs w:val="18"/>
          <w:lang w:val="bg-BG" w:eastAsia="en-US"/>
        </w:rPr>
        <w:t>С правното задължение се установява задължение от правен характер спрямо трети страни.</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Едногодишни бюджетни кредити</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Едногодишните бюджетни кредити са предназначени за операции с годишен характер. (Финансов регламент, член 9). В бюджета на ЕС едногодишните бюджетни кредити се прилагат за административните разходи, за подпомагане на селскостопанските пазари и за преки плащания.</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Бюджетни кредити за оперативни разходи</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Бюджетните кредити за оперативни разходи финансират различните политики, главно под формата на безвъзмездни средства или обществени поръчки.</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Неизпълнени поети задължения</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Неизпълнените поети задължения (или RAL от фр. „reste à liquider“) се определят като размера на бюджетните кредити, за които са поети задължения, които все още не са платени, или поетите правни задължения, които все още не са довели напълно до ликвидация чрез плащания. Те произтичат пряко от съществуването на многогодишни програми и от липсата на връзка между бюджетните кредити за поети задължения и бюджетните кредити за плащания.</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Резултат от изпълнението на бюджета</w:t>
      </w:r>
    </w:p>
    <w:p>
      <w:pPr>
        <w:spacing w:before="120"/>
        <w:jc w:val="both"/>
        <w:rPr>
          <w:rFonts w:ascii="Verdana" w:hAnsi="Verdana"/>
          <w:noProof/>
          <w:sz w:val="18"/>
          <w:szCs w:val="18"/>
          <w:lang w:val="bg-BG" w:eastAsia="en-US"/>
        </w:rPr>
      </w:pPr>
      <w:r>
        <w:rPr>
          <w:rFonts w:ascii="Verdana" w:hAnsi="Verdana"/>
          <w:noProof/>
          <w:sz w:val="18"/>
          <w:szCs w:val="18"/>
          <w:lang w:val="bg-BG" w:eastAsia="en-US"/>
        </w:rPr>
        <w:t xml:space="preserve">Вж. Бюджетен резултат </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Плащане</w:t>
      </w:r>
    </w:p>
    <w:p>
      <w:pPr>
        <w:spacing w:before="120"/>
        <w:jc w:val="both"/>
        <w:rPr>
          <w:rFonts w:ascii="Verdana" w:hAnsi="Verdana"/>
          <w:noProof/>
          <w:sz w:val="18"/>
          <w:szCs w:val="18"/>
          <w:lang w:val="bg-BG" w:eastAsia="en-US"/>
        </w:rPr>
      </w:pPr>
      <w:r>
        <w:rPr>
          <w:rFonts w:ascii="Verdana" w:hAnsi="Verdana"/>
          <w:noProof/>
          <w:sz w:val="18"/>
          <w:szCs w:val="18"/>
          <w:lang w:val="bg-BG" w:eastAsia="en-US"/>
        </w:rPr>
        <w:t>Плащането представлява изплащане за изпълнение на правните задължения.</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Бюджетни кредити за плащания</w:t>
      </w:r>
    </w:p>
    <w:p>
      <w:pPr>
        <w:spacing w:before="120"/>
        <w:jc w:val="both"/>
        <w:rPr>
          <w:rFonts w:ascii="Verdana" w:hAnsi="Verdana"/>
          <w:noProof/>
          <w:sz w:val="18"/>
          <w:szCs w:val="18"/>
          <w:lang w:val="bg-BG" w:eastAsia="en-US"/>
        </w:rPr>
      </w:pPr>
      <w:r>
        <w:rPr>
          <w:rFonts w:ascii="Verdana" w:hAnsi="Verdana"/>
          <w:noProof/>
          <w:sz w:val="18"/>
          <w:szCs w:val="18"/>
          <w:lang w:val="bg-BG" w:eastAsia="en-US"/>
        </w:rPr>
        <w:t>Бюджетните кредити за плащания покриват дължимите разходи през текущата година, произтичащи от правни задължения, поети през текущата година и/или предходни години (Финансов регламент, член 7).</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Неизпълнени поети задължения (RAL)</w:t>
      </w:r>
    </w:p>
    <w:p>
      <w:pPr>
        <w:spacing w:before="120"/>
        <w:jc w:val="both"/>
        <w:rPr>
          <w:rFonts w:ascii="Verdana" w:hAnsi="Verdana"/>
          <w:noProof/>
          <w:sz w:val="18"/>
          <w:szCs w:val="18"/>
          <w:lang w:val="bg-BG" w:eastAsia="en-US"/>
        </w:rPr>
      </w:pPr>
      <w:r>
        <w:rPr>
          <w:rFonts w:ascii="Verdana" w:hAnsi="Verdana"/>
          <w:noProof/>
          <w:sz w:val="18"/>
          <w:szCs w:val="18"/>
          <w:lang w:val="bg-BG" w:eastAsia="en-US"/>
        </w:rPr>
        <w:t xml:space="preserve">Сумата на непогасените задължения. Вж. Неизпълнени поети задължения </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Събиране на средства</w:t>
      </w:r>
    </w:p>
    <w:p>
      <w:pPr>
        <w:spacing w:before="120"/>
        <w:jc w:val="both"/>
        <w:rPr>
          <w:rFonts w:ascii="Verdana" w:hAnsi="Verdana"/>
          <w:noProof/>
          <w:sz w:val="18"/>
          <w:szCs w:val="18"/>
          <w:lang w:val="bg-BG" w:eastAsia="en-US"/>
        </w:rPr>
      </w:pPr>
      <w:r>
        <w:rPr>
          <w:rFonts w:ascii="Verdana" w:eastAsia="Calibri" w:hAnsi="Verdana" w:cstheme="minorBidi"/>
          <w:noProof/>
          <w:sz w:val="18"/>
          <w:szCs w:val="18"/>
          <w:lang w:val="bg-BG" w:eastAsia="en-US"/>
        </w:rPr>
        <w:t>Нареждането за събиране на средства е процедурата, чрез която оправомощеният разпоредител с бюджетни кредити вписва права за вземане от страна на Комисията, за да бъде събрана дължимата сума. Вземането е правото на Комисията да изисква сумата, дължима от длъжника, обикновено бенефициер.</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Резултат</w:t>
      </w:r>
    </w:p>
    <w:p>
      <w:pPr>
        <w:spacing w:before="120"/>
        <w:jc w:val="both"/>
        <w:rPr>
          <w:rFonts w:ascii="Verdana" w:eastAsia="Calibri" w:hAnsi="Verdana" w:cstheme="minorBidi"/>
          <w:noProof/>
          <w:sz w:val="18"/>
          <w:szCs w:val="18"/>
          <w:lang w:val="bg-BG" w:eastAsia="en-US"/>
        </w:rPr>
      </w:pPr>
      <w:r>
        <w:rPr>
          <w:rFonts w:ascii="Verdana" w:hAnsi="Verdana"/>
          <w:noProof/>
          <w:sz w:val="18"/>
          <w:szCs w:val="18"/>
          <w:lang w:val="bg-BG" w:eastAsia="en-US"/>
        </w:rPr>
        <w:t xml:space="preserve">Вж. Бюджетен резултат </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Приходи</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Термин, използван за описание на приходите от всички източници за финансиране на бюджета.</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Правила за прилагане</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Подробни правила за прилагането на Финансовия регламент. Те са изложени в регламент на Комисията, приет след консултация с всички институции, и не могат да изменят Финансовия регламент, от който зависят.</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Излишък</w:t>
      </w:r>
    </w:p>
    <w:p>
      <w:pPr>
        <w:spacing w:before="120" w:after="240"/>
        <w:jc w:val="both"/>
        <w:rPr>
          <w:rFonts w:ascii="Verdana" w:hAnsi="Verdana"/>
          <w:noProof/>
          <w:sz w:val="18"/>
          <w:szCs w:val="18"/>
          <w:lang w:val="bg-BG" w:eastAsia="en-US"/>
        </w:rPr>
      </w:pPr>
      <w:r>
        <w:rPr>
          <w:rFonts w:ascii="Verdana" w:eastAsia="Calibri" w:hAnsi="Verdana"/>
          <w:noProof/>
          <w:sz w:val="18"/>
          <w:szCs w:val="18"/>
          <w:lang w:val="bg-BG" w:eastAsia="en-US"/>
        </w:rPr>
        <w:t>Положителна разлика между приходите и разходите (вж. бюджетен резултат), която трябва да бъде върната на финансиращия орган, както е предвидено във Финансовия регламент.</w:t>
      </w:r>
    </w:p>
    <w:p>
      <w:pPr>
        <w:spacing w:before="120"/>
        <w:jc w:val="both"/>
        <w:rPr>
          <w:rFonts w:ascii="Verdana" w:hAnsi="Verdana"/>
          <w:noProof/>
          <w:color w:val="016794"/>
          <w:sz w:val="18"/>
          <w:szCs w:val="20"/>
          <w:lang w:val="bg-BG" w:eastAsia="en-US"/>
        </w:rPr>
      </w:pPr>
      <w:r>
        <w:rPr>
          <w:rFonts w:ascii="Verdana" w:hAnsi="Verdana"/>
          <w:noProof/>
          <w:color w:val="016794"/>
          <w:sz w:val="18"/>
          <w:szCs w:val="20"/>
          <w:lang w:val="bg-BG" w:eastAsia="en-US"/>
        </w:rPr>
        <w:t>Трансфер</w:t>
      </w:r>
    </w:p>
    <w:p>
      <w:pPr>
        <w:spacing w:before="120" w:after="240"/>
        <w:jc w:val="both"/>
        <w:rPr>
          <w:rFonts w:ascii="Verdana" w:eastAsia="Calibri" w:hAnsi="Verdana"/>
          <w:noProof/>
          <w:sz w:val="18"/>
          <w:szCs w:val="18"/>
          <w:lang w:val="bg-BG" w:eastAsia="en-US"/>
        </w:rPr>
      </w:pPr>
      <w:r>
        <w:rPr>
          <w:rFonts w:ascii="Verdana" w:eastAsia="Calibri" w:hAnsi="Verdana"/>
          <w:noProof/>
          <w:sz w:val="18"/>
          <w:szCs w:val="18"/>
          <w:lang w:val="bg-BG" w:eastAsia="en-US"/>
        </w:rPr>
        <w:t>Трансферите между бюджетните редове са свързани с преместване на бюджетни кредити от един бюджетен ред в друг в хода на финансовата година и следователно представляват изключение от принципа на специфичност на бюджета. Те обаче са изрично разрешени от Договора за функционирането на Европейския съюз при условията, предвидени във Финансовия регламент. Във Финансовия регламент се посочват различни видове трансфери в зависимост от това дали те са между или в рамките на бюджетни дялове, глави, статии или позиции и дали изискват различни нива на разрешение.</w:t>
      </w:r>
      <w:bookmarkEnd w:id="162"/>
      <w:r>
        <w:rPr>
          <w:rFonts w:ascii="Verdana" w:eastAsia="Calibri" w:hAnsi="Verdana"/>
          <w:noProof/>
          <w:sz w:val="18"/>
          <w:szCs w:val="18"/>
          <w:lang w:eastAsia="en-US"/>
        </w:rPr>
        <w:t>g</w:t>
      </w:r>
      <w:r>
        <w:rPr>
          <w:rFonts w:ascii="Verdana" w:eastAsia="Calibri" w:hAnsi="Verdana"/>
          <w:noProof/>
          <w:sz w:val="18"/>
          <w:szCs w:val="18"/>
          <w:lang w:val="bg-BG" w:eastAsia="en-US"/>
        </w:rPr>
        <w:t>92</w:t>
      </w:r>
    </w:p>
    <w:p>
      <w:pPr>
        <w:spacing w:before="120" w:after="240"/>
        <w:jc w:val="both"/>
        <w:rPr>
          <w:rFonts w:ascii="Verdana" w:hAnsi="Verdana"/>
          <w:noProof/>
          <w:sz w:val="18"/>
          <w:szCs w:val="18"/>
          <w:lang w:val="bg-BG" w:eastAsia="en-US"/>
        </w:rPr>
      </w:pPr>
    </w:p>
    <w:sectPr>
      <w:headerReference w:type="even" r:id="rId437"/>
      <w:headerReference w:type="default" r:id="rId438"/>
      <w:footerReference w:type="even" r:id="rId439"/>
      <w:footerReference w:type="default" r:id="rId440"/>
      <w:headerReference w:type="first" r:id="rId441"/>
      <w:footerReference w:type="first" r:id="rId442"/>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 Lt BT">
    <w:altName w:val="Segoe UI"/>
    <w:charset w:val="00"/>
    <w:family w:val="swiss"/>
    <w:pitch w:val="variable"/>
    <w:sig w:usb0="00000087" w:usb1="00000000" w:usb2="00000000" w:usb3="00000000" w:csb0="0000001B"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EUAlbertina">
    <w:altName w:val="EU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772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7A5C5B" id="Rectangle 3" o:spid="_x0000_s1026" style="position:absolute;margin-left:224.35pt;margin-top:.35pt;width:31.75pt;height:6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DtYV0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977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3EF58B" id="Rectangle 3" o:spid="_x0000_s1026" style="position:absolute;margin-left:224.35pt;margin-top:.35pt;width:31.75pt;height:6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Ve5zN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51</w:t>
    </w:r>
    <w:r>
      <w:rPr>
        <w:rFonts w:ascii="Verdana" w:hAnsi="Verdana"/>
        <w:b/>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2598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2354110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62593F" id="Rectangle 3" o:spid="_x0000_s1026" style="position:absolute;margin-left:224.35pt;margin-top:.35pt;width:31.75pt;height:62.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Hl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aWj&#10;PEuSeDSlRLEWZ/WI7DG1k4KMPE+dsTNMfzIbGDyLpm/6UEHrv7EdcgjcHt+4FQdHOF5m8ShNc0o4&#10;hq6n+TjPPWZ0/rEB674J3RJvFBTw8cAo26+t61NPKf4tq2VTrhopgwO77a0Esmd+zMn4epoN6O/S&#10;pCJdQdM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XK/B5V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2803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320340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E4DC2D" id="Rectangle 3" o:spid="_x0000_s1026" style="position:absolute;margin-left:224.35pt;margin-top:.35pt;width:31.75pt;height:62.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kMKHc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182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627FBE" id="Rectangle 3" o:spid="_x0000_s1026" style="position:absolute;margin-left:224.35pt;margin-top:.35pt;width:31.75pt;height:6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284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5E57D4" id="Rectangle 3" o:spid="_x0000_s1026" style="position:absolute;margin-left:224.35pt;margin-top:.35pt;width:31.75pt;height:6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bJHKf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489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24969E" id="Rectangle 3" o:spid="_x0000_s1026" style="position:absolute;margin-left:224.35pt;margin-top:.35pt;width:31.75pt;height:6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nL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cGdZy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592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C89336" id="Rectangle 3" o:spid="_x0000_s1026" style="position:absolute;margin-left:224.35pt;margin-top:.35pt;width:31.75pt;height:62.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jW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gQqI1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254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0CC408" id="Rectangle 3" o:spid="_x0000_s1026" style="position:absolute;margin-left:224.35pt;margin-top:.35pt;width:31.75pt;height:62.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i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nfwbY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694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EF209A" id="Rectangle 3" o:spid="_x0000_s1026" style="position:absolute;margin-left:224.35pt;margin-top:.35pt;width:31.75pt;height:6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fZvVm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796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8F01ED" id="Rectangle 3" o:spid="_x0000_s1026" style="position:absolute;margin-left:224.35pt;margin-top:.35pt;width:31.75pt;height:6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bS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DkGbS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001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C27C35" id="Rectangle 3" o:spid="_x0000_s1026" style="position:absolute;margin-left:224.35pt;margin-top:.35pt;width:31.75pt;height:6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02fP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104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F865FD" id="Rectangle 3" o:spid="_x0000_s1026" style="position:absolute;margin-left:224.35pt;margin-top:.35pt;width:31.75pt;height:62.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yI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47sMi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308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D105CC" id="Rectangle 3" o:spid="_x0000_s1026" style="position:absolute;margin-left:224.35pt;margin-top:.35pt;width:31.75pt;height:6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mlFaO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212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934197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A12AA7" id="Rectangle 3" o:spid="_x0000_s1026" style="position:absolute;margin-left:224.35pt;margin-top:.35pt;width:31.75pt;height:6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411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ABABE8" id="Rectangle 3" o:spid="_x0000_s1026" style="position:absolute;margin-left:224.35pt;margin-top:.35pt;width:31.75pt;height:62.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sn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&#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azyLJ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513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A4E5E3" id="Rectangle 3" o:spid="_x0000_s1026" style="position:absolute;margin-left:224.35pt;margin-top:.35pt;width:31.75pt;height:6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iT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Wa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HfKGJNaAgAAuA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616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258E6A" id="Rectangle 3" o:spid="_x0000_s1026" style="position:absolute;margin-left:224.35pt;margin-top:.35pt;width:31.75pt;height:62.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9VD2l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899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137305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32F9C8" id="Rectangle 3" o:spid="_x0000_s1026" style="position:absolute;margin-left:348.1pt;margin-top:.35pt;width:31.75pt;height:62.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O2WQIAALg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FAEO2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206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575358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AE9FD0" id="Rectangle 3" o:spid="_x0000_s1026" style="position:absolute;margin-left:224.35pt;margin-top:.35pt;width:31.75pt;height:62.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a1WgIAALk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&#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I4/NrV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820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8A7A1C" id="Rectangle 3" o:spid="_x0000_s1026" style="position:absolute;margin-left:224.35pt;margin-top:.35pt;width:31.75pt;height:62.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Uj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6aZlI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27008"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8227583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E8669D" id="Rectangle 3" o:spid="_x0000_s1026" style="position:absolute;margin-left:348.1pt;margin-top:.35pt;width:31.75pt;height:62.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6wWQIAALg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uBd6w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923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0C8ECC" id="Rectangle 3" o:spid="_x0000_s1026" style="position:absolute;margin-left:348.1pt;margin-top:.35pt;width:31.75pt;height:62.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Al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&#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MuqAl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128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7C2F7B" id="Rectangle 3" o:spid="_x0000_s1026" style="position:absolute;margin-left:348.1pt;margin-top:.35pt;width:31.75pt;height:62.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230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7C6AE3" id="Rectangle 3" o:spid="_x0000_s1026" style="position:absolute;margin-left:348.1pt;margin-top:.35pt;width:31.75pt;height:62.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ooWQIAALg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&#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BGgioo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79</w:t>
    </w:r>
    <w:r>
      <w:rPr>
        <w:rFonts w:ascii="Verdana" w:hAnsi="Verdana"/>
        <w:b/>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110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5CFBAE" id="Rectangle 3" o:spid="_x0000_s1026" style="position:absolute;margin-left:224.35pt;margin-top:.35pt;width:31.75pt;height:62.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4gUgIAALA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B6k74g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w:t>
    </w:r>
    <w:r>
      <w:rPr>
        <w:rFonts w:ascii="Verdana" w:hAnsi="Verdana"/>
        <w:b/>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435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31C7C9" id="Rectangle 3" o:spid="_x0000_s1026" style="position:absolute;margin-left:348.1pt;margin-top:.35pt;width:31.75pt;height:62.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&#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BadLmc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718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126365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813492" id="Rectangle 3" o:spid="_x0000_s1026" style="position:absolute;margin-left:224.35pt;margin-top:.35pt;width:31.75pt;height:62.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&#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EefHlF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0256"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113592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B920FF" id="Rectangle 3" o:spid="_x0000_s1026" style="position:absolute;margin-left:348.1pt;margin-top:.35pt;width:31.75pt;height:62.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3328" behindDoc="1" locked="0" layoutInCell="1" allowOverlap="1">
              <wp:simplePos x="0" y="0"/>
              <wp:positionH relativeFrom="column">
                <wp:posOffset>2919409</wp:posOffset>
              </wp:positionH>
              <wp:positionV relativeFrom="paragraph">
                <wp:posOffset>-18415</wp:posOffset>
              </wp:positionV>
              <wp:extent cx="403225" cy="795655"/>
              <wp:effectExtent l="0" t="0" r="15875" b="23495"/>
              <wp:wrapNone/>
              <wp:docPr id="3983803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337D3D" id="Rectangle 3" o:spid="_x0000_s1026" style="position:absolute;margin-left:229.85pt;margin-top:-1.45pt;width:31.75pt;height:62.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84</w:t>
    </w:r>
    <w:r>
      <w:rPr>
        <w:rFonts w:ascii="Verdana" w:hAnsi="Verdana"/>
        <w:b/>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640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9211393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ECA323" id="Rectangle 3" o:spid="_x0000_s1026" style="position:absolute;margin-left:348.1pt;margin-top:.35pt;width:31.75pt;height:62.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&#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d1SkNWQIAALk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85</w:t>
    </w:r>
    <w:r>
      <w:rPr>
        <w:rFonts w:ascii="Verdana" w:hAnsi="Verdana"/>
        <w:b/>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29056"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365C91" id="Rectangle 3" o:spid="_x0000_s1026" style="position:absolute;margin-left:208.8pt;margin-top:-.6pt;width:31.75pt;height:62.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5376"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7887981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A21858" id="Rectangle 3" o:spid="_x0000_s1026" style="position:absolute;margin-left:208.8pt;margin-top:-.6pt;width:31.75pt;height:62.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a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Se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88</w:t>
    </w:r>
    <w:r>
      <w:rPr>
        <w:rFonts w:ascii="Verdana" w:hAnsi="Verdana"/>
        <w:b/>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7424"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7887981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470077" id="Rectangle 3" o:spid="_x0000_s1026" style="position:absolute;margin-left:208.8pt;margin-top:-.6pt;width:31.75pt;height:62.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90</w:t>
    </w:r>
    <w:r>
      <w:rPr>
        <w:rFonts w:ascii="Verdana" w:hAnsi="Verdana"/>
        <w:b/>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568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6617120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452FE8" id="Rectangle 3" o:spid="_x0000_s1026" style="position:absolute;margin-left:224.35pt;margin-top:.35pt;width:31.75pt;height:6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LK+MbZ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91</w:t>
    </w:r>
    <w:r>
      <w:rPr>
        <w:rFonts w:ascii="Verdana" w:hAnsi="Verdana"/>
        <w:b/>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1"/>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465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05239E" id="Rectangle 3" o:spid="_x0000_s1026" style="position:absolute;margin-left:224.35pt;margin-top:.35pt;width:31.75pt;height:6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4z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&#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0vM+M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130</w:t>
    </w:r>
    <w:r>
      <w:rPr>
        <w:rFonts w:ascii="Verdana" w:hAnsi="Verdana"/>
        <w:b/>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6"/>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2"/>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2291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7382039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6ED54B" id="Rectangle 3" o:spid="_x0000_s1026" style="position:absolute;margin-left:224.35pt;margin-top:.35pt;width:31.75pt;height:62.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&#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Kl55+5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w:t>
    </w:r>
    <w:r>
      <w:rPr>
        <w:rFonts w:ascii="Verdana" w:hAnsi="Verdana"/>
        <w:b/>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670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722F45" id="Rectangle 3" o:spid="_x0000_s1026" style="position:absolute;margin-left:224.35pt;margin-top:.35pt;width:31.75pt;height:6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2H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We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M4FrYdaAgAAuA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132</w:t>
    </w:r>
    <w:r>
      <w:rPr>
        <w:rFonts w:ascii="Verdana" w:hAnsi="Verdana"/>
        <w:b/>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2"/>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3"/>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260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063873" id="Rectangle 3" o:spid="_x0000_s1026" style="position:absolute;margin-left:224.35pt;margin-top:.35pt;width:31.75pt;height:6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PgAoq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148</w:t>
    </w:r>
    <w:r>
      <w:rPr>
        <w:rFonts w:ascii="Verdana" w:hAnsi="Verdana"/>
        <w:b/>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6"/>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875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091F11" id="Rectangle 3" o:spid="_x0000_s1026" style="position:absolute;margin-left:224.35pt;margin-top:.35pt;width:31.75pt;height:6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se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mSS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SgFrC6YPt/Jo1mD7p5x8Vb+VQwxxfHtkm6P5rUbdgwXl4vV&#10;KiSh4A1zt2pjuIf2LPmJPh2eGZhx7A71cqePumfzD9MfcpH0Nx5HB9cjzGJcZb9/537IevvDWf4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Iva7H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149</w:t>
    </w:r>
    <w:r>
      <w:rPr>
        <w:rFonts w:ascii="Verdana" w:hAnsi="Verdana"/>
        <w:b/>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363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9761332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A759AA" id="Rectangle 3" o:spid="_x0000_s1026" style="position:absolute;margin-left:224.35pt;margin-top:.35pt;width:31.75pt;height:6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5e413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152</w:t>
    </w:r>
    <w:r>
      <w:rPr>
        <w:rFonts w:ascii="Verdana" w:hAnsi="Verdana"/>
        <w:b/>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158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004C28" id="Rectangle 3" o:spid="_x0000_s1026" style="position:absolute;margin-left:224.35pt;margin-top:.35pt;width:31.75pt;height:6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4Y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R+p+G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155</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315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1878E9" id="Rectangle 3" o:spid="_x0000_s1026" style="position:absolute;margin-left:224.35pt;margin-top:.35pt;width:31.75pt;height:62.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eZ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CsXaeZ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w:t>
    </w:r>
    <w:r>
      <w:rPr>
        <w:rFonts w:ascii="Verdana" w:hAnsi="Verdana"/>
        <w:b/>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417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3CD83E" id="Rectangle 3" o:spid="_x0000_s1026" style="position:absolute;margin-left:224.35pt;margin-top:.35pt;width:31.75pt;height:6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Qt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CwqzQt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520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3AD55E" id="Rectangle 3" o:spid="_x0000_s1026" style="position:absolute;margin-left:224.35pt;margin-top:.35pt;width:31.75pt;height:6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r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Vt/Er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622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41043A" id="Rectangle 3" o:spid="_x0000_s1026" style="position:absolute;margin-left:224.35pt;margin-top:.35pt;width:31.75pt;height:62.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KfUgIAALA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JQWKf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724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8E2728" id="Rectangle 3" o:spid="_x0000_s1026" style="position:absolute;margin-left:224.35pt;margin-top:.35pt;width:31.75pt;height:62.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OC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4LLOC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23936"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2340979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B6F601" id="Rectangle 3" o:spid="_x0000_s1026" style="position:absolute;margin-left:348.1pt;margin-top:.35pt;width:31.75pt;height:62.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A8+ovO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827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FA3EDE" id="Rectangle 3" o:spid="_x0000_s1026" style="position:absolute;margin-left:348.1pt;margin-top:.35pt;width:31.75pt;height:62.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9296"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399BEF" id="Rectangle 3" o:spid="_x0000_s1026" style="position:absolute;margin-left:348.1pt;margin-top:.35pt;width:31.75pt;height:6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t+Z5P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032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27E186" id="Rectangle 3" o:spid="_x0000_s1026" style="position:absolute;margin-left:348.1pt;margin-top:.35pt;width:31.75pt;height:62.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37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xDw37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134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03C8A8" id="Rectangle 3" o:spid="_x0000_s1026" style="position:absolute;margin-left:348.1pt;margin-top:.35pt;width:31.75pt;height:6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j9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AUE8j9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2368" behindDoc="1" locked="0" layoutInCell="1" allowOverlap="1">
              <wp:simplePos x="0" y="0"/>
              <wp:positionH relativeFrom="column">
                <wp:posOffset>2872798</wp:posOffset>
              </wp:positionH>
              <wp:positionV relativeFrom="paragraph">
                <wp:posOffset>-7430</wp:posOffset>
              </wp:positionV>
              <wp:extent cx="403225" cy="795655"/>
              <wp:effectExtent l="0" t="0" r="15875" b="23495"/>
              <wp:wrapNone/>
              <wp:docPr id="210505474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B65650" id="Rectangle 3" o:spid="_x0000_s1026" style="position:absolute;margin-left:226.2pt;margin-top:-.6pt;width:31.75pt;height:6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6sWQIAALk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w:t>
    </w:r>
    <w:r>
      <w:rPr>
        <w:rFonts w:ascii="Verdana" w:hAnsi="Verdana"/>
        <w:b/>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2496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3964361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4FDF32" id="Rectangle 3" o:spid="_x0000_s1026" style="position:absolute;margin-left:224.35pt;margin-top:.35pt;width:31.75pt;height:62.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BFTlFV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22</w:t>
    </w:r>
    <w:r>
      <w:rPr>
        <w:rFonts w:ascii="Verdana" w:hAnsi="Verdana"/>
        <w:b/>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339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C93062" id="Rectangle 3" o:spid="_x0000_s1026" style="position:absolute;margin-left:224.35pt;margin-top:.35pt;width:31.75pt;height:6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tJUw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COVbSV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441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618949" id="Rectangle 3" o:spid="_x0000_s1026" style="position:absolute;margin-left:224.35pt;margin-top:.35pt;width:31.75pt;height:6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Lw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4QS&#10;xWqc0QuyxtROCnLv+WmMnWDaxqyh8yyavtljAbX/xjbIMXB6unAqjo5wvEzi+34/pYRjaDhOB2nq&#10;MaPrjw1Y903omngjo4CPBybZYWVdm3pO8W9ZLat8WUkZHNhtFxLIgfnx9gbDcdKhv0uTijQZ7ad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3itC8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20</w:t>
    </w:r>
    <w:r>
      <w:rPr>
        <w:rFonts w:ascii="Verdana" w:hAnsi="Verdana"/>
        <w:b/>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748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55978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0B45B4" id="Rectangle 3" o:spid="_x0000_s1026" style="position:absolute;margin-left:224.35pt;margin-top:.35pt;width:31.75pt;height:6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g5VwIAALY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056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764230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251ABA" id="Rectangle 3" o:spid="_x0000_s1026" style="position:absolute;margin-left:224.35pt;margin-top:.35pt;width:31.75pt;height:6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fINcfV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29</w:t>
    </w:r>
    <w:r>
      <w:rPr>
        <w:rFonts w:ascii="Verdana" w:hAnsi="Verdana"/>
        <w:b/>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844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D09B63" id="Rectangle 3" o:spid="_x0000_s1026" style="position:absolute;margin-left:224.35pt;margin-top:.35pt;width:31.75pt;height:62.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wt3RR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31</w:t>
    </w:r>
    <w:r>
      <w:rPr>
        <w:rFonts w:ascii="Verdana" w:hAnsi="Verdana"/>
        <w:b/>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947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108033" id="Rectangle 3" o:spid="_x0000_s1026" style="position:absolute;margin-left:224.35pt;margin-top:.35pt;width:31.75pt;height:62.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p8EUQ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33</w:t>
    </w:r>
    <w:r>
      <w:rPr>
        <w:rFonts w:ascii="Verdana" w:hAnsi="Verdana"/>
        <w:b/>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049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DFD877" id="Rectangle 3" o:spid="_x0000_s1026" style="position:absolute;margin-left:224.35pt;margin-top:.35pt;width:31.75pt;height:62.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uzeH9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008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54C252" id="Rectangle 3" o:spid="_x0000_s1026" style="position:absolute;margin-left:224.35pt;margin-top:.35pt;width:31.75pt;height:62.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iSUQ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AN56JJRAgAAsA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544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A2586B" id="Rectangle 3" o:spid="_x0000_s1026" style="position:absolute;margin-left:224.35pt;margin-top:.35pt;width:31.75pt;height:6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SlpW6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646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BED13A" id="Rectangle 3" o:spid="_x0000_s1026" style="position:absolute;margin-left:224.35pt;margin-top:.35pt;width:31.75pt;height:6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VqzFX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152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EE94B9" id="Rectangle 3" o:spid="_x0000_s1026" style="position:absolute;margin-left:224.35pt;margin-top:.35pt;width:31.75pt;height:62.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KapQHJRAgAAsQ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851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B0C52E" id="Rectangle 3" o:spid="_x0000_s1026" style="position:absolute;margin-left:224.35pt;margin-top:.35pt;width:31.75pt;height:6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ul/Tx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080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2BF0890" id="Rectangle 3" o:spid="_x0000_s1026" style="position:absolute;margin-left:348.1pt;margin-top:.35pt;width:31.75pt;height:6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mO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Sa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387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819377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C981F6" id="Rectangle 3" o:spid="_x0000_s1026" style="position:absolute;margin-left:224.35pt;margin-top:.35pt;width:31.75pt;height:6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l7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vBE5e1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953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7B46D0" id="Rectangle 3" o:spid="_x0000_s1026" style="position:absolute;margin-left:224.35pt;margin-top:.35pt;width:31.75pt;height:6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30MWw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Default"/>
        <w:rPr>
          <w:rFonts w:ascii="Verdana" w:eastAsia="Times New Roman" w:hAnsi="Verdana" w:cs="EUAlbertina"/>
          <w:sz w:val="16"/>
          <w:szCs w:val="16"/>
          <w:lang w:val="bg-BG"/>
        </w:rPr>
      </w:pPr>
      <w:r>
        <w:rPr>
          <w:rStyle w:val="FootnoteReference"/>
          <w:rFonts w:ascii="Verdana" w:hAnsi="Verdana"/>
          <w:sz w:val="18"/>
          <w:szCs w:val="18"/>
          <w:lang w:val="bg-BG"/>
        </w:rPr>
        <w:footnoteRef/>
      </w:r>
      <w:r>
        <w:rPr>
          <w:rFonts w:ascii="Verdana" w:hAnsi="Verdana"/>
          <w:sz w:val="18"/>
          <w:szCs w:val="18"/>
          <w:lang w:val="bg-BG"/>
        </w:rPr>
        <w:t xml:space="preserve"> </w:t>
      </w:r>
      <w:r>
        <w:rPr>
          <w:rStyle w:val="FootnoteReference"/>
          <w:sz w:val="14"/>
          <w:szCs w:val="14"/>
          <w:vertAlign w:val="baseline"/>
          <w:lang w:val="bg-BG"/>
        </w:rPr>
        <w:t>ОВ L 210, 6.8.2013 г., стр. 1</w:t>
      </w:r>
      <w:r>
        <w:rPr>
          <w:rStyle w:val="FootnoteReference"/>
          <w:vertAlign w:val="baseline"/>
          <w:lang w:val="bg-BG"/>
        </w:rPr>
        <w:t>.</w:t>
      </w:r>
      <w:r>
        <w:rPr>
          <w:rStyle w:val="FootnoteReference"/>
          <w:rFonts w:ascii="Verdana" w:hAnsi="Verdana"/>
          <w:sz w:val="14"/>
          <w:szCs w:val="14"/>
          <w:vertAlign w:val="baseline"/>
          <w:lang w:val="bg-BG"/>
        </w:rPr>
        <w:t xml:space="preserve"> </w:t>
      </w:r>
    </w:p>
  </w:footnote>
  <w:footnote w:id="2">
    <w:p>
      <w:pPr>
        <w:pStyle w:val="Default"/>
        <w:rPr>
          <w:rFonts w:ascii="Verdana" w:hAnsi="Verdana"/>
          <w:sz w:val="16"/>
          <w:szCs w:val="16"/>
          <w:lang w:val="bg-BG"/>
        </w:rPr>
      </w:pPr>
      <w:r>
        <w:rPr>
          <w:rStyle w:val="FootnoteReference"/>
          <w:rFonts w:ascii="Verdana" w:hAnsi="Verdana"/>
          <w:sz w:val="18"/>
          <w:szCs w:val="18"/>
          <w:lang w:val="bg-BG"/>
        </w:rPr>
        <w:footnoteRef/>
      </w:r>
      <w:r>
        <w:rPr>
          <w:rStyle w:val="FootnoteReference"/>
          <w:sz w:val="14"/>
          <w:szCs w:val="14"/>
          <w:vertAlign w:val="baseline"/>
          <w:lang w:val="en-US"/>
        </w:rPr>
        <w:t xml:space="preserve"> </w:t>
      </w:r>
      <w:r>
        <w:rPr>
          <w:rStyle w:val="FootnoteReference"/>
          <w:sz w:val="14"/>
          <w:szCs w:val="14"/>
          <w:vertAlign w:val="baseline"/>
          <w:lang w:val="bg-BG"/>
        </w:rPr>
        <w:t>Регламент (ЕС) 2018/1877 на Съвета от 26 ноември 2018 г. относно финансовия регламент, приложим за 11-ия Европейски фонд за развитие, и за отмяна на Регламент (ЕС) 2015/323.</w:t>
      </w:r>
    </w:p>
  </w:footnote>
  <w:footnote w:id="3">
    <w:p>
      <w:pPr>
        <w:pStyle w:val="Text8pNormalLeft"/>
        <w:jc w:val="both"/>
        <w:rPr>
          <w:sz w:val="14"/>
          <w:szCs w:val="14"/>
          <w:lang w:val="bg-BG"/>
        </w:rPr>
      </w:pPr>
      <w:r>
        <w:rPr>
          <w:rStyle w:val="FootnoteReference"/>
          <w:sz w:val="18"/>
          <w:szCs w:val="18"/>
          <w:lang w:val="bg-BG"/>
        </w:rPr>
        <w:footnoteRef/>
      </w:r>
      <w:r>
        <w:rPr>
          <w:lang w:val="bg-BG"/>
        </w:rPr>
        <w:t xml:space="preserve"> </w:t>
      </w:r>
      <w:r>
        <w:rPr>
          <w:sz w:val="14"/>
          <w:szCs w:val="14"/>
          <w:lang w:val="bg-BG"/>
        </w:rPr>
        <w:t>В съответствие с член 53 от Финансовия регламент, приложим за 11-ия Европейски фонд за развитие, касовата наличност е представена в счетоводния баланс на 11-ия ЕФР. Естеството на различните банкови сметки е посочено в глава 5 — Управление на финансовия риск.</w:t>
      </w:r>
    </w:p>
  </w:footnote>
  <w:footnote w:id="4">
    <w:p>
      <w:pPr>
        <w:pStyle w:val="FootnoteText"/>
        <w:ind w:left="142" w:hanging="142"/>
        <w:rPr>
          <w:lang w:val="bg-BG"/>
        </w:rPr>
      </w:pPr>
      <w:r>
        <w:rPr>
          <w:rStyle w:val="FootnoteReference"/>
          <w:rFonts w:ascii="Verdana" w:hAnsi="Verdana"/>
          <w:sz w:val="18"/>
          <w:szCs w:val="18"/>
          <w:lang w:val="bg-BG"/>
        </w:rPr>
        <w:footnoteRef/>
      </w:r>
      <w:r>
        <w:rPr>
          <w:lang w:val="bg-BG"/>
        </w:rPr>
        <w:t xml:space="preserve"> </w:t>
      </w:r>
      <w:r>
        <w:rPr>
          <w:rFonts w:ascii="Verdana" w:hAnsi="Verdana"/>
          <w:sz w:val="16"/>
          <w:szCs w:val="16"/>
          <w:lang w:val="bg-BG"/>
        </w:rPr>
        <w:t>Регламент (ЕС, Евратом) 2018/1046 на Европейския парламент и на Съвета от 18 юли 2018 г. за финансовите правила, приложими за общия бюджет на Съюза.</w:t>
      </w:r>
    </w:p>
  </w:footnote>
  <w:footnote w:id="5">
    <w:p>
      <w:pPr>
        <w:pStyle w:val="FootnoteText"/>
        <w:ind w:left="142" w:hanging="142"/>
        <w:rPr>
          <w:lang w:val="bg-BG"/>
        </w:rPr>
      </w:pPr>
      <w:r>
        <w:rPr>
          <w:rStyle w:val="FootnoteReference"/>
          <w:rFonts w:ascii="Verdana" w:hAnsi="Verdana"/>
          <w:sz w:val="18"/>
          <w:szCs w:val="18"/>
          <w:lang w:val="bg-BG"/>
        </w:rPr>
        <w:footnoteRef/>
      </w:r>
      <w:r>
        <w:rPr>
          <w:lang w:val="bg-BG"/>
        </w:rPr>
        <w:t xml:space="preserve"> </w:t>
      </w:r>
      <w:r>
        <w:rPr>
          <w:rFonts w:ascii="Verdana" w:hAnsi="Verdana"/>
          <w:sz w:val="16"/>
          <w:szCs w:val="16"/>
          <w:lang w:val="bg-BG"/>
        </w:rPr>
        <w:t>Регламент (ЕС) 2018/1877 на Съвета от 26 ноември 2018 г. относно финансовия регламент, приложим за 11-ия Европейски фонд за развитие, и за отмяна на Регламент (ЕС) 2015/323</w:t>
      </w:r>
      <w:r>
        <w:rPr>
          <w:lang w:val="bg-BG"/>
        </w:rPr>
        <w:t>.</w:t>
      </w:r>
    </w:p>
  </w:footnote>
  <w:footnote w:id="6">
    <w:p>
      <w:pPr>
        <w:pStyle w:val="FootnoteText"/>
        <w:ind w:left="142" w:hanging="142"/>
        <w:rPr>
          <w:rFonts w:ascii="Verdana" w:hAnsi="Verdana"/>
          <w:sz w:val="14"/>
          <w:szCs w:val="14"/>
          <w:lang w:val="bg-BG"/>
        </w:rPr>
      </w:pPr>
      <w:r>
        <w:rPr>
          <w:rStyle w:val="FootnoteReference"/>
          <w:rFonts w:ascii="Verdana" w:hAnsi="Verdana"/>
          <w:sz w:val="18"/>
          <w:szCs w:val="18"/>
          <w:lang w:val="bg-BG"/>
        </w:rPr>
        <w:footnoteRef/>
      </w:r>
      <w:r>
        <w:rPr>
          <w:rFonts w:ascii="Verdana" w:hAnsi="Verdana"/>
          <w:sz w:val="18"/>
          <w:szCs w:val="18"/>
          <w:lang w:val="bg-BG"/>
        </w:rPr>
        <w:t xml:space="preserve"> </w:t>
      </w:r>
      <w:r>
        <w:rPr>
          <w:rFonts w:ascii="Verdana" w:hAnsi="Verdana"/>
          <w:sz w:val="14"/>
          <w:szCs w:val="14"/>
          <w:lang w:val="bg-BG"/>
        </w:rPr>
        <w:t>Регламент (ЕС, Евратом) 2018/1046 на Европейския парламент и на Съвета от 18 юли 2018 г. за финансовите правила, приложими за общия бюджет на Съюза.</w:t>
      </w:r>
    </w:p>
  </w:footnote>
  <w:footnote w:id="7">
    <w:p>
      <w:pPr>
        <w:pStyle w:val="FootnoteText"/>
        <w:ind w:left="142" w:hanging="142"/>
        <w:rPr>
          <w:sz w:val="14"/>
          <w:szCs w:val="14"/>
          <w:lang w:val="bg-BG"/>
        </w:rPr>
      </w:pPr>
      <w:r>
        <w:rPr>
          <w:rStyle w:val="FootnoteReference"/>
          <w:rFonts w:ascii="Verdana" w:hAnsi="Verdana"/>
          <w:sz w:val="18"/>
          <w:szCs w:val="18"/>
          <w:lang w:val="bg-BG"/>
        </w:rPr>
        <w:footnoteRef/>
      </w:r>
      <w:r>
        <w:rPr>
          <w:lang w:val="bg-BG"/>
        </w:rPr>
        <w:t xml:space="preserve"> </w:t>
      </w:r>
      <w:r>
        <w:rPr>
          <w:rFonts w:ascii="Verdana" w:hAnsi="Verdana"/>
          <w:sz w:val="14"/>
          <w:szCs w:val="14"/>
          <w:lang w:val="bg-BG"/>
        </w:rPr>
        <w:t>Регламент (ЕС) 2018/1877 на Съвета от 26 ноември 2018 г. относно финансовия регламент, приложим за 11-ия Европейски фонд за развитие, и за отмяна на Регламент (ЕС) 2015/323</w:t>
      </w:r>
      <w:r>
        <w:rPr>
          <w:sz w:val="14"/>
          <w:szCs w:val="14"/>
          <w:lang w:val="bg-BG"/>
        </w:rPr>
        <w:t>.</w:t>
      </w:r>
    </w:p>
  </w:footnote>
  <w:footnote w:id="8">
    <w:p>
      <w:pPr>
        <w:pStyle w:val="FootnoteText"/>
        <w:rPr>
          <w:sz w:val="14"/>
          <w:szCs w:val="14"/>
          <w:lang w:val="bg-BG"/>
        </w:rPr>
      </w:pPr>
      <w:r>
        <w:rPr>
          <w:rStyle w:val="FootnoteReference"/>
          <w:rFonts w:ascii="Verdana" w:hAnsi="Verdana"/>
          <w:sz w:val="14"/>
          <w:szCs w:val="14"/>
          <w:lang w:val="bg-BG"/>
        </w:rPr>
        <w:footnoteRef/>
      </w:r>
      <w:r>
        <w:rPr>
          <w:rFonts w:ascii="Verdana" w:hAnsi="Verdana"/>
          <w:sz w:val="14"/>
          <w:szCs w:val="14"/>
          <w:lang w:val="bg-BG"/>
        </w:rPr>
        <w:t xml:space="preserve"> Между одобряването на програмите и допълнителните програми от страна на оперативните комитети и поемането на официален ангажимент в ABAC има забавяне. Към края на годината общият размер на поетите задължения през 2019 г. възлизаше на 722,7 милиона евро.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0"/>
      <w:pBdr>
        <w:top w:val="nil"/>
        <w:left w:val="nil"/>
        <w:bottom w:val="nil"/>
        <w:right w:val="nil"/>
        <w:between w:val="nil"/>
        <w:bar w:val="nil"/>
      </w:pBdr>
      <w:jc w:val="center"/>
      <w:rPr>
        <w:rFonts w:ascii="Arial" w:hAnsi="Arial"/>
        <w:b/>
        <w:bdr w:val="nil"/>
      </w:rPr>
    </w:pPr>
    <w:r>
      <w:rPr>
        <w:rFonts w:ascii="Arial" w:hAnsi="Arial"/>
        <w:b/>
        <w:bdr w:val="nil"/>
      </w:rPr>
      <w:t>INVESTMENT FACILITY</w:t>
    </w:r>
  </w:p>
  <w:p>
    <w:pPr>
      <w:pStyle w:val="Header10"/>
      <w:pBdr>
        <w:top w:val="nil"/>
        <w:left w:val="nil"/>
        <w:bottom w:val="nil"/>
        <w:right w:val="nil"/>
        <w:between w:val="nil"/>
        <w:bar w:val="nil"/>
      </w:pBdr>
      <w:jc w:val="center"/>
      <w:rPr>
        <w:rFonts w:ascii="Arial" w:hAnsi="Arial"/>
        <w:b/>
        <w:bdr w:val="nil"/>
        <w:lang w:val="fr-CH"/>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6"/>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10"/>
      <w:pBdr>
        <w:top w:val="nil"/>
        <w:left w:val="nil"/>
        <w:bottom w:val="nil"/>
        <w:right w:val="nil"/>
        <w:between w:val="nil"/>
        <w:bar w:val="nil"/>
      </w:pBdr>
      <w:jc w:val="center"/>
      <w:rPr>
        <w:rFonts w:ascii="Arial" w:hAnsi="Arial"/>
        <w:b/>
        <w:bdr w:val="nil"/>
      </w:rPr>
    </w:pPr>
    <w:r>
      <w:rPr>
        <w:rFonts w:ascii="Arial" w:hAnsi="Arial"/>
        <w:b/>
        <w:bdr w:val="nil"/>
      </w:rPr>
      <w:t>INVESTMENT FACILITY</w:t>
    </w:r>
  </w:p>
  <w:p>
    <w:pPr>
      <w:pStyle w:val="Header110"/>
      <w:pBdr>
        <w:top w:val="nil"/>
        <w:left w:val="nil"/>
        <w:bottom w:val="nil"/>
        <w:right w:val="nil"/>
        <w:between w:val="nil"/>
        <w:bar w:val="nil"/>
      </w:pBdr>
      <w:jc w:val="center"/>
      <w:rPr>
        <w:rFonts w:ascii="Arial" w:hAnsi="Arial"/>
        <w:b/>
        <w:bdr w:val="nil"/>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2"/>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20"/>
      <w:pBdr>
        <w:top w:val="nil"/>
        <w:left w:val="nil"/>
        <w:bottom w:val="nil"/>
        <w:right w:val="nil"/>
        <w:between w:val="nil"/>
        <w:bar w:val="nil"/>
      </w:pBdr>
      <w:jc w:val="center"/>
      <w:rPr>
        <w:rFonts w:ascii="Arial" w:hAnsi="Arial"/>
        <w:b/>
        <w:bdr w:val="nil"/>
      </w:rPr>
    </w:pPr>
    <w:r>
      <w:rPr>
        <w:rFonts w:ascii="Arial" w:hAnsi="Arial"/>
        <w:b/>
        <w:bdr w:val="nil"/>
      </w:rPr>
      <w:t>INVESTMENT FACILITY</w:t>
    </w:r>
  </w:p>
  <w:p>
    <w:pPr>
      <w:pStyle w:val="Header120"/>
      <w:pBdr>
        <w:top w:val="nil"/>
        <w:left w:val="nil"/>
        <w:bottom w:val="nil"/>
        <w:right w:val="nil"/>
        <w:between w:val="nil"/>
        <w:bar w:val="nil"/>
      </w:pBdr>
      <w:jc w:val="center"/>
      <w:rPr>
        <w:rFonts w:ascii="Arial" w:hAnsi="Arial"/>
        <w:b/>
        <w:bdr w:val="nil"/>
        <w:lang w:val="fr-CH"/>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6"/>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3"/>
      <w:pBdr>
        <w:top w:val="nil"/>
        <w:left w:val="nil"/>
        <w:bottom w:val="nil"/>
        <w:right w:val="nil"/>
        <w:between w:val="nil"/>
        <w:bar w:val="nil"/>
      </w:pBdr>
      <w:suppressAutoHyphens w:val="0"/>
      <w:jc w:val="center"/>
      <w:rPr>
        <w:rFonts w:ascii="Arial" w:hAnsi="Arial"/>
        <w:b/>
        <w:sz w:val="20"/>
        <w:szCs w:val="20"/>
        <w:bdr w:val="nil"/>
      </w:rPr>
    </w:pPr>
    <w:r>
      <w:rPr>
        <w:rFonts w:ascii="Arial" w:hAnsi="Arial"/>
        <w:b/>
        <w:sz w:val="20"/>
        <w:szCs w:val="20"/>
        <w:bdr w:val="nil"/>
      </w:rPr>
      <w:t>INVESTMENT FACILITY</w:t>
    </w:r>
  </w:p>
  <w:p>
    <w:pPr>
      <w:pStyle w:val="Header3"/>
      <w:pBdr>
        <w:top w:val="nil"/>
        <w:left w:val="nil"/>
        <w:bottom w:val="nil"/>
        <w:right w:val="nil"/>
        <w:between w:val="nil"/>
        <w:bar w:val="nil"/>
      </w:pBdr>
      <w:suppressAutoHyphens w:val="0"/>
      <w:jc w:val="center"/>
      <w:rPr>
        <w:rFonts w:ascii="Arial" w:hAnsi="Arial"/>
        <w:b/>
        <w:sz w:val="20"/>
        <w:szCs w:val="20"/>
        <w:bdr w:val="nil"/>
        <w:lang w:val="fr-CH" w:eastAsia="en-US"/>
      </w:rP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
      <w:pBdr>
        <w:top w:val="nil"/>
        <w:left w:val="nil"/>
        <w:bottom w:val="nil"/>
        <w:right w:val="nil"/>
        <w:between w:val="nil"/>
        <w:bar w:val="nil"/>
      </w:pBdr>
      <w:jc w:val="center"/>
      <w:rPr>
        <w:rFonts w:ascii="Arial" w:hAnsi="Arial"/>
        <w:b/>
        <w:bdr w:val="nil"/>
      </w:rPr>
    </w:pPr>
    <w:r>
      <w:rPr>
        <w:rFonts w:ascii="Arial" w:hAnsi="Arial"/>
        <w:b/>
        <w:bdr w:val="nil"/>
      </w:rPr>
      <w:t>INVESTMENT FACILITY</w:t>
    </w:r>
  </w:p>
  <w:p>
    <w:pPr>
      <w:pStyle w:val="Header1"/>
      <w:pBdr>
        <w:top w:val="nil"/>
        <w:left w:val="nil"/>
        <w:bottom w:val="nil"/>
        <w:right w:val="nil"/>
        <w:between w:val="nil"/>
        <w:bar w:val="nil"/>
      </w:pBdr>
      <w:jc w:val="center"/>
      <w:rPr>
        <w:rFonts w:ascii="Arial" w:hAnsi="Arial"/>
        <w:b/>
        <w:bdr w:val="nil"/>
        <w:lang w:val="fr-CH"/>
      </w:rP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0"/>
      <w:pBdr>
        <w:top w:val="nil"/>
        <w:left w:val="nil"/>
        <w:bottom w:val="nil"/>
        <w:right w:val="nil"/>
        <w:between w:val="nil"/>
        <w:bar w:val="nil"/>
      </w:pBdr>
      <w:jc w:val="center"/>
      <w:rPr>
        <w:rFonts w:ascii="Arial" w:hAnsi="Arial"/>
        <w:b/>
        <w:bdr w:val="nil"/>
        <w:lang w:val="fr-CH"/>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Годишни отчети на Европейския фонд за развитие за 2019 г.</w:t>
    </w:r>
  </w:p>
  <w:p>
    <w:pPr>
      <w:pStyle w:val="Header"/>
      <w:tabs>
        <w:tab w:val="clear" w:pos="4677"/>
        <w:tab w:val="clear" w:pos="9355"/>
        <w:tab w:val="center" w:pos="4819"/>
        <w:tab w:val="right" w:pos="9638"/>
      </w:tabs>
      <w:jc w:val="center"/>
      <w:rPr>
        <w:rFonts w:ascii="Verdana" w:hAnsi="Verdana"/>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10B6520A">
      <w:start w:val="1"/>
      <w:numFmt w:val="lowerLetter"/>
      <w:pStyle w:val="Textstand-alonenumberingLetters"/>
      <w:lvlText w:val="%1)"/>
      <w:lvlJc w:val="left"/>
      <w:pPr>
        <w:ind w:left="720" w:hanging="360"/>
      </w:pPr>
      <w:rPr>
        <w:rFonts w:hint="default"/>
      </w:rPr>
    </w:lvl>
    <w:lvl w:ilvl="1" w:tplc="AE3E12B0" w:tentative="1">
      <w:start w:val="1"/>
      <w:numFmt w:val="lowerLetter"/>
      <w:lvlText w:val="%2."/>
      <w:lvlJc w:val="left"/>
      <w:pPr>
        <w:ind w:left="1440" w:hanging="360"/>
      </w:pPr>
    </w:lvl>
    <w:lvl w:ilvl="2" w:tplc="5EB021AA" w:tentative="1">
      <w:start w:val="1"/>
      <w:numFmt w:val="lowerRoman"/>
      <w:lvlText w:val="%3."/>
      <w:lvlJc w:val="right"/>
      <w:pPr>
        <w:ind w:left="2160" w:hanging="180"/>
      </w:pPr>
    </w:lvl>
    <w:lvl w:ilvl="3" w:tplc="CF0456BC" w:tentative="1">
      <w:start w:val="1"/>
      <w:numFmt w:val="decimal"/>
      <w:lvlText w:val="%4."/>
      <w:lvlJc w:val="left"/>
      <w:pPr>
        <w:ind w:left="2880" w:hanging="360"/>
      </w:pPr>
    </w:lvl>
    <w:lvl w:ilvl="4" w:tplc="03900A44" w:tentative="1">
      <w:start w:val="1"/>
      <w:numFmt w:val="lowerLetter"/>
      <w:lvlText w:val="%5."/>
      <w:lvlJc w:val="left"/>
      <w:pPr>
        <w:ind w:left="3600" w:hanging="360"/>
      </w:pPr>
    </w:lvl>
    <w:lvl w:ilvl="5" w:tplc="564E7BE2" w:tentative="1">
      <w:start w:val="1"/>
      <w:numFmt w:val="lowerRoman"/>
      <w:lvlText w:val="%6."/>
      <w:lvlJc w:val="right"/>
      <w:pPr>
        <w:ind w:left="4320" w:hanging="180"/>
      </w:pPr>
    </w:lvl>
    <w:lvl w:ilvl="6" w:tplc="0EECC56A" w:tentative="1">
      <w:start w:val="1"/>
      <w:numFmt w:val="decimal"/>
      <w:lvlText w:val="%7."/>
      <w:lvlJc w:val="left"/>
      <w:pPr>
        <w:ind w:left="5040" w:hanging="360"/>
      </w:pPr>
    </w:lvl>
    <w:lvl w:ilvl="7" w:tplc="231078AC" w:tentative="1">
      <w:start w:val="1"/>
      <w:numFmt w:val="lowerLetter"/>
      <w:lvlText w:val="%8."/>
      <w:lvlJc w:val="left"/>
      <w:pPr>
        <w:ind w:left="5760" w:hanging="360"/>
      </w:pPr>
    </w:lvl>
    <w:lvl w:ilvl="8" w:tplc="DCB6D214" w:tentative="1">
      <w:start w:val="1"/>
      <w:numFmt w:val="lowerRoman"/>
      <w:lvlText w:val="%9."/>
      <w:lvlJc w:val="right"/>
      <w:pPr>
        <w:ind w:left="6480" w:hanging="180"/>
      </w:pPr>
    </w:lvl>
  </w:abstractNum>
  <w:abstractNum w:abstractNumId="2">
    <w:nsid w:val="00000003"/>
    <w:multiLevelType w:val="hybridMultilevel"/>
    <w:tmpl w:val="937694E8"/>
    <w:lvl w:ilvl="0" w:tplc="722A2AA0">
      <w:start w:val="1"/>
      <w:numFmt w:val="bullet"/>
      <w:lvlText w:val="-"/>
      <w:lvlJc w:val="left"/>
      <w:pPr>
        <w:ind w:left="1080" w:hanging="360"/>
      </w:pPr>
      <w:rPr>
        <w:rFonts w:ascii="Verdana" w:hAnsi="Verdana" w:hint="default"/>
      </w:rPr>
    </w:lvl>
    <w:lvl w:ilvl="1" w:tplc="83DE835A" w:tentative="1">
      <w:start w:val="1"/>
      <w:numFmt w:val="bullet"/>
      <w:lvlText w:val="o"/>
      <w:lvlJc w:val="left"/>
      <w:pPr>
        <w:ind w:left="1800" w:hanging="360"/>
      </w:pPr>
      <w:rPr>
        <w:rFonts w:ascii="Courier New" w:hAnsi="Courier New" w:cs="Courier New" w:hint="default"/>
      </w:rPr>
    </w:lvl>
    <w:lvl w:ilvl="2" w:tplc="AA724FEE" w:tentative="1">
      <w:start w:val="1"/>
      <w:numFmt w:val="bullet"/>
      <w:lvlText w:val=""/>
      <w:lvlJc w:val="left"/>
      <w:pPr>
        <w:ind w:left="2520" w:hanging="360"/>
      </w:pPr>
      <w:rPr>
        <w:rFonts w:ascii="Wingdings" w:hAnsi="Wingdings" w:hint="default"/>
      </w:rPr>
    </w:lvl>
    <w:lvl w:ilvl="3" w:tplc="E678078C" w:tentative="1">
      <w:start w:val="1"/>
      <w:numFmt w:val="bullet"/>
      <w:lvlText w:val=""/>
      <w:lvlJc w:val="left"/>
      <w:pPr>
        <w:ind w:left="3240" w:hanging="360"/>
      </w:pPr>
      <w:rPr>
        <w:rFonts w:ascii="Symbol" w:hAnsi="Symbol" w:hint="default"/>
      </w:rPr>
    </w:lvl>
    <w:lvl w:ilvl="4" w:tplc="F448F064" w:tentative="1">
      <w:start w:val="1"/>
      <w:numFmt w:val="bullet"/>
      <w:lvlText w:val="o"/>
      <w:lvlJc w:val="left"/>
      <w:pPr>
        <w:ind w:left="3960" w:hanging="360"/>
      </w:pPr>
      <w:rPr>
        <w:rFonts w:ascii="Courier New" w:hAnsi="Courier New" w:cs="Courier New" w:hint="default"/>
      </w:rPr>
    </w:lvl>
    <w:lvl w:ilvl="5" w:tplc="E4D66710" w:tentative="1">
      <w:start w:val="1"/>
      <w:numFmt w:val="bullet"/>
      <w:lvlText w:val=""/>
      <w:lvlJc w:val="left"/>
      <w:pPr>
        <w:ind w:left="4680" w:hanging="360"/>
      </w:pPr>
      <w:rPr>
        <w:rFonts w:ascii="Wingdings" w:hAnsi="Wingdings" w:hint="default"/>
      </w:rPr>
    </w:lvl>
    <w:lvl w:ilvl="6" w:tplc="357EB394" w:tentative="1">
      <w:start w:val="1"/>
      <w:numFmt w:val="bullet"/>
      <w:lvlText w:val=""/>
      <w:lvlJc w:val="left"/>
      <w:pPr>
        <w:ind w:left="5400" w:hanging="360"/>
      </w:pPr>
      <w:rPr>
        <w:rFonts w:ascii="Symbol" w:hAnsi="Symbol" w:hint="default"/>
      </w:rPr>
    </w:lvl>
    <w:lvl w:ilvl="7" w:tplc="C6067444" w:tentative="1">
      <w:start w:val="1"/>
      <w:numFmt w:val="bullet"/>
      <w:lvlText w:val="o"/>
      <w:lvlJc w:val="left"/>
      <w:pPr>
        <w:ind w:left="6120" w:hanging="360"/>
      </w:pPr>
      <w:rPr>
        <w:rFonts w:ascii="Courier New" w:hAnsi="Courier New" w:cs="Courier New" w:hint="default"/>
      </w:rPr>
    </w:lvl>
    <w:lvl w:ilvl="8" w:tplc="DC869A48"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7CB6E1C4"/>
    <w:lvl w:ilvl="0" w:tplc="14463B00">
      <w:start w:val="1"/>
      <w:numFmt w:val="decimal"/>
      <w:pStyle w:val="DGTextstand-alonenumbering"/>
      <w:lvlText w:val="(%1)"/>
      <w:lvlJc w:val="left"/>
      <w:pPr>
        <w:ind w:left="720" w:hanging="360"/>
      </w:pPr>
      <w:rPr>
        <w:rFonts w:hint="default"/>
      </w:rPr>
    </w:lvl>
    <w:lvl w:ilvl="1" w:tplc="E36EB078" w:tentative="1">
      <w:start w:val="1"/>
      <w:numFmt w:val="lowerLetter"/>
      <w:lvlText w:val="%2."/>
      <w:lvlJc w:val="left"/>
      <w:pPr>
        <w:ind w:left="1440" w:hanging="360"/>
      </w:pPr>
    </w:lvl>
    <w:lvl w:ilvl="2" w:tplc="9104D564" w:tentative="1">
      <w:start w:val="1"/>
      <w:numFmt w:val="lowerRoman"/>
      <w:lvlText w:val="%3."/>
      <w:lvlJc w:val="right"/>
      <w:pPr>
        <w:ind w:left="2160" w:hanging="180"/>
      </w:pPr>
    </w:lvl>
    <w:lvl w:ilvl="3" w:tplc="FF6089FA" w:tentative="1">
      <w:start w:val="1"/>
      <w:numFmt w:val="decimal"/>
      <w:lvlText w:val="%4."/>
      <w:lvlJc w:val="left"/>
      <w:pPr>
        <w:ind w:left="2880" w:hanging="360"/>
      </w:pPr>
    </w:lvl>
    <w:lvl w:ilvl="4" w:tplc="C100BC52" w:tentative="1">
      <w:start w:val="1"/>
      <w:numFmt w:val="lowerLetter"/>
      <w:lvlText w:val="%5."/>
      <w:lvlJc w:val="left"/>
      <w:pPr>
        <w:ind w:left="3600" w:hanging="360"/>
      </w:pPr>
    </w:lvl>
    <w:lvl w:ilvl="5" w:tplc="4FF00B70" w:tentative="1">
      <w:start w:val="1"/>
      <w:numFmt w:val="lowerRoman"/>
      <w:lvlText w:val="%6."/>
      <w:lvlJc w:val="right"/>
      <w:pPr>
        <w:ind w:left="4320" w:hanging="180"/>
      </w:pPr>
    </w:lvl>
    <w:lvl w:ilvl="6" w:tplc="2D4E525E" w:tentative="1">
      <w:start w:val="1"/>
      <w:numFmt w:val="decimal"/>
      <w:lvlText w:val="%7."/>
      <w:lvlJc w:val="left"/>
      <w:pPr>
        <w:ind w:left="5040" w:hanging="360"/>
      </w:pPr>
    </w:lvl>
    <w:lvl w:ilvl="7" w:tplc="710AF170" w:tentative="1">
      <w:start w:val="1"/>
      <w:numFmt w:val="lowerLetter"/>
      <w:lvlText w:val="%8."/>
      <w:lvlJc w:val="left"/>
      <w:pPr>
        <w:ind w:left="5760" w:hanging="360"/>
      </w:pPr>
    </w:lvl>
    <w:lvl w:ilvl="8" w:tplc="DA14EBD2" w:tentative="1">
      <w:start w:val="1"/>
      <w:numFmt w:val="lowerRoman"/>
      <w:lvlText w:val="%9."/>
      <w:lvlJc w:val="right"/>
      <w:pPr>
        <w:ind w:left="6480" w:hanging="180"/>
      </w:pPr>
    </w:lvl>
  </w:abstractNum>
  <w:abstractNum w:abstractNumId="4">
    <w:nsid w:val="00000005"/>
    <w:multiLevelType w:val="multilevel"/>
    <w:tmpl w:val="EA926228"/>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0000006"/>
    <w:multiLevelType w:val="hybridMultilevel"/>
    <w:tmpl w:val="42FC2B20"/>
    <w:lvl w:ilvl="0" w:tplc="6B2CD7AA">
      <w:start w:val="1"/>
      <w:numFmt w:val="lowerRoman"/>
      <w:pStyle w:val="TextSubtitlenumberingRCItalic"/>
      <w:lvlText w:val="(%1)"/>
      <w:lvlJc w:val="left"/>
      <w:pPr>
        <w:ind w:left="720" w:hanging="360"/>
      </w:pPr>
      <w:rPr>
        <w:rFonts w:hint="default"/>
      </w:rPr>
    </w:lvl>
    <w:lvl w:ilvl="1" w:tplc="36F4BB8E" w:tentative="1">
      <w:start w:val="1"/>
      <w:numFmt w:val="lowerLetter"/>
      <w:lvlText w:val="%2."/>
      <w:lvlJc w:val="left"/>
      <w:pPr>
        <w:ind w:left="1440" w:hanging="360"/>
      </w:pPr>
    </w:lvl>
    <w:lvl w:ilvl="2" w:tplc="E2C05E80" w:tentative="1">
      <w:start w:val="1"/>
      <w:numFmt w:val="lowerRoman"/>
      <w:lvlText w:val="%3."/>
      <w:lvlJc w:val="right"/>
      <w:pPr>
        <w:ind w:left="2160" w:hanging="180"/>
      </w:pPr>
    </w:lvl>
    <w:lvl w:ilvl="3" w:tplc="B992C136" w:tentative="1">
      <w:start w:val="1"/>
      <w:numFmt w:val="decimal"/>
      <w:lvlText w:val="%4."/>
      <w:lvlJc w:val="left"/>
      <w:pPr>
        <w:ind w:left="2880" w:hanging="360"/>
      </w:pPr>
    </w:lvl>
    <w:lvl w:ilvl="4" w:tplc="A7BC7314" w:tentative="1">
      <w:start w:val="1"/>
      <w:numFmt w:val="lowerLetter"/>
      <w:lvlText w:val="%5."/>
      <w:lvlJc w:val="left"/>
      <w:pPr>
        <w:ind w:left="3600" w:hanging="360"/>
      </w:pPr>
    </w:lvl>
    <w:lvl w:ilvl="5" w:tplc="26B8CD1A" w:tentative="1">
      <w:start w:val="1"/>
      <w:numFmt w:val="lowerRoman"/>
      <w:lvlText w:val="%6."/>
      <w:lvlJc w:val="right"/>
      <w:pPr>
        <w:ind w:left="4320" w:hanging="180"/>
      </w:pPr>
    </w:lvl>
    <w:lvl w:ilvl="6" w:tplc="1CA2D536" w:tentative="1">
      <w:start w:val="1"/>
      <w:numFmt w:val="decimal"/>
      <w:lvlText w:val="%7."/>
      <w:lvlJc w:val="left"/>
      <w:pPr>
        <w:ind w:left="5040" w:hanging="360"/>
      </w:pPr>
    </w:lvl>
    <w:lvl w:ilvl="7" w:tplc="0EFC142A" w:tentative="1">
      <w:start w:val="1"/>
      <w:numFmt w:val="lowerLetter"/>
      <w:lvlText w:val="%8."/>
      <w:lvlJc w:val="left"/>
      <w:pPr>
        <w:ind w:left="5760" w:hanging="360"/>
      </w:pPr>
    </w:lvl>
    <w:lvl w:ilvl="8" w:tplc="DC22B536" w:tentative="1">
      <w:start w:val="1"/>
      <w:numFmt w:val="lowerRoman"/>
      <w:lvlText w:val="%9."/>
      <w:lvlJc w:val="right"/>
      <w:pPr>
        <w:ind w:left="6480" w:hanging="180"/>
      </w:pPr>
    </w:lvl>
  </w:abstractNum>
  <w:abstractNum w:abstractNumId="6">
    <w:nsid w:val="00000007"/>
    <w:multiLevelType w:val="hybridMultilevel"/>
    <w:tmpl w:val="5DD0517A"/>
    <w:lvl w:ilvl="0" w:tplc="47D4115E">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AB3C9BE4" w:tentative="1">
      <w:start w:val="1"/>
      <w:numFmt w:val="lowerLetter"/>
      <w:lvlText w:val="%2."/>
      <w:lvlJc w:val="left"/>
      <w:pPr>
        <w:ind w:left="1797" w:hanging="360"/>
      </w:pPr>
    </w:lvl>
    <w:lvl w:ilvl="2" w:tplc="F71A2624" w:tentative="1">
      <w:start w:val="1"/>
      <w:numFmt w:val="lowerRoman"/>
      <w:lvlText w:val="%3."/>
      <w:lvlJc w:val="right"/>
      <w:pPr>
        <w:ind w:left="2517" w:hanging="180"/>
      </w:pPr>
    </w:lvl>
    <w:lvl w:ilvl="3" w:tplc="9982866E" w:tentative="1">
      <w:start w:val="1"/>
      <w:numFmt w:val="decimal"/>
      <w:lvlText w:val="%4."/>
      <w:lvlJc w:val="left"/>
      <w:pPr>
        <w:ind w:left="3237" w:hanging="360"/>
      </w:pPr>
    </w:lvl>
    <w:lvl w:ilvl="4" w:tplc="CC847A72" w:tentative="1">
      <w:start w:val="1"/>
      <w:numFmt w:val="lowerLetter"/>
      <w:lvlText w:val="%5."/>
      <w:lvlJc w:val="left"/>
      <w:pPr>
        <w:ind w:left="3957" w:hanging="360"/>
      </w:pPr>
    </w:lvl>
    <w:lvl w:ilvl="5" w:tplc="F7D692BE" w:tentative="1">
      <w:start w:val="1"/>
      <w:numFmt w:val="lowerRoman"/>
      <w:lvlText w:val="%6."/>
      <w:lvlJc w:val="right"/>
      <w:pPr>
        <w:ind w:left="4677" w:hanging="180"/>
      </w:pPr>
    </w:lvl>
    <w:lvl w:ilvl="6" w:tplc="FDB23260" w:tentative="1">
      <w:start w:val="1"/>
      <w:numFmt w:val="decimal"/>
      <w:lvlText w:val="%7."/>
      <w:lvlJc w:val="left"/>
      <w:pPr>
        <w:ind w:left="5397" w:hanging="360"/>
      </w:pPr>
    </w:lvl>
    <w:lvl w:ilvl="7" w:tplc="FC0606D8" w:tentative="1">
      <w:start w:val="1"/>
      <w:numFmt w:val="lowerLetter"/>
      <w:lvlText w:val="%8."/>
      <w:lvlJc w:val="left"/>
      <w:pPr>
        <w:ind w:left="6117" w:hanging="360"/>
      </w:pPr>
    </w:lvl>
    <w:lvl w:ilvl="8" w:tplc="D71CE93A" w:tentative="1">
      <w:start w:val="1"/>
      <w:numFmt w:val="lowerRoman"/>
      <w:lvlText w:val="%9."/>
      <w:lvlJc w:val="right"/>
      <w:pPr>
        <w:ind w:left="6837" w:hanging="180"/>
      </w:pPr>
    </w:lvl>
  </w:abstractNum>
  <w:abstractNum w:abstractNumId="7">
    <w:nsid w:val="00000008"/>
    <w:multiLevelType w:val="multilevel"/>
    <w:tmpl w:val="E51C050A"/>
    <w:lvl w:ilvl="0">
      <w:start w:val="1"/>
      <mc:AlternateContent>
        <mc:Choice Requires="w14">
          <w:numFmt w:val="custom" w:format="а, й, к, ..."/>
        </mc:Choice>
        <mc:Fallback>
          <w:numFmt w:val="decimal"/>
        </mc:Fallback>
      </mc:AlternateContent>
      <w:pStyle w:val="TextSubtitleItalicnumberinglettera"/>
      <w:lvlText w:val="%1)"/>
      <w:lvlJc w:val="left"/>
      <w:pPr>
        <w:ind w:left="0"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000001B"/>
    <w:multiLevelType w:val="multilevel"/>
    <w:tmpl w:val="313ADC1A"/>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00000028"/>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10">
    <w:nsid w:val="00000029"/>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11">
    <w:nsid w:val="0000002A"/>
    <w:multiLevelType w:val="multilevel"/>
    <w:tmpl w:val="6A165B3C"/>
    <w:lvl w:ilvl="0">
      <w:start w:val="2"/>
      <w:numFmt w:val="decimal"/>
      <w:lvlText w:val="%1"/>
      <w:lvlJc w:val="left"/>
      <w:pPr>
        <w:ind w:left="360" w:hanging="360"/>
      </w:pPr>
      <w:rPr>
        <w:rFonts w:hint="default"/>
      </w:rPr>
    </w:lvl>
    <w:lvl w:ilvl="1">
      <w:start w:val="2"/>
      <w:numFmt w:val="decimal"/>
      <w:lvlText w:val="%1.1"/>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0000002B"/>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13">
    <w:nsid w:val="0000002C"/>
    <w:multiLevelType w:val="hybridMultilevel"/>
    <w:tmpl w:val="6040F0EC"/>
    <w:name w:val="WW8Num82"/>
    <w:lvl w:ilvl="0" w:tplc="C8C2719A">
      <w:start w:val="293"/>
      <w:numFmt w:val="bullet"/>
      <w:lvlText w:val="-"/>
      <w:lvlJc w:val="left"/>
      <w:pPr>
        <w:tabs>
          <w:tab w:val="num" w:pos="720"/>
        </w:tabs>
        <w:ind w:left="720" w:hanging="360"/>
      </w:pPr>
      <w:rPr>
        <w:rFonts w:ascii="Arial" w:hAnsi="Arial" w:cs="Arial" w:hint="default"/>
      </w:rPr>
    </w:lvl>
    <w:lvl w:ilvl="1" w:tplc="8410E918" w:tentative="1">
      <w:start w:val="1"/>
      <w:numFmt w:val="bullet"/>
      <w:lvlText w:val="o"/>
      <w:lvlJc w:val="left"/>
      <w:pPr>
        <w:tabs>
          <w:tab w:val="num" w:pos="1440"/>
        </w:tabs>
        <w:ind w:left="1440" w:hanging="360"/>
      </w:pPr>
      <w:rPr>
        <w:rFonts w:ascii="Courier New" w:hAnsi="Courier New" w:cs="Courier New" w:hint="default"/>
      </w:rPr>
    </w:lvl>
    <w:lvl w:ilvl="2" w:tplc="BA8622A6" w:tentative="1">
      <w:start w:val="1"/>
      <w:numFmt w:val="bullet"/>
      <w:lvlText w:val=""/>
      <w:lvlJc w:val="left"/>
      <w:pPr>
        <w:tabs>
          <w:tab w:val="num" w:pos="2160"/>
        </w:tabs>
        <w:ind w:left="2160" w:hanging="360"/>
      </w:pPr>
      <w:rPr>
        <w:rFonts w:ascii="Wingdings" w:hAnsi="Wingdings" w:hint="default"/>
      </w:rPr>
    </w:lvl>
    <w:lvl w:ilvl="3" w:tplc="BFB62C24" w:tentative="1">
      <w:start w:val="1"/>
      <w:numFmt w:val="bullet"/>
      <w:lvlText w:val=""/>
      <w:lvlJc w:val="left"/>
      <w:pPr>
        <w:tabs>
          <w:tab w:val="num" w:pos="2880"/>
        </w:tabs>
        <w:ind w:left="2880" w:hanging="360"/>
      </w:pPr>
      <w:rPr>
        <w:rFonts w:ascii="Symbol" w:hAnsi="Symbol" w:hint="default"/>
      </w:rPr>
    </w:lvl>
    <w:lvl w:ilvl="4" w:tplc="CB426280" w:tentative="1">
      <w:start w:val="1"/>
      <w:numFmt w:val="bullet"/>
      <w:lvlText w:val="o"/>
      <w:lvlJc w:val="left"/>
      <w:pPr>
        <w:tabs>
          <w:tab w:val="num" w:pos="3600"/>
        </w:tabs>
        <w:ind w:left="3600" w:hanging="360"/>
      </w:pPr>
      <w:rPr>
        <w:rFonts w:ascii="Courier New" w:hAnsi="Courier New" w:cs="Courier New" w:hint="default"/>
      </w:rPr>
    </w:lvl>
    <w:lvl w:ilvl="5" w:tplc="57B89202" w:tentative="1">
      <w:start w:val="1"/>
      <w:numFmt w:val="bullet"/>
      <w:lvlText w:val=""/>
      <w:lvlJc w:val="left"/>
      <w:pPr>
        <w:tabs>
          <w:tab w:val="num" w:pos="4320"/>
        </w:tabs>
        <w:ind w:left="4320" w:hanging="360"/>
      </w:pPr>
      <w:rPr>
        <w:rFonts w:ascii="Wingdings" w:hAnsi="Wingdings" w:hint="default"/>
      </w:rPr>
    </w:lvl>
    <w:lvl w:ilvl="6" w:tplc="DB4EDF3A" w:tentative="1">
      <w:start w:val="1"/>
      <w:numFmt w:val="bullet"/>
      <w:lvlText w:val=""/>
      <w:lvlJc w:val="left"/>
      <w:pPr>
        <w:tabs>
          <w:tab w:val="num" w:pos="5040"/>
        </w:tabs>
        <w:ind w:left="5040" w:hanging="360"/>
      </w:pPr>
      <w:rPr>
        <w:rFonts w:ascii="Symbol" w:hAnsi="Symbol" w:hint="default"/>
      </w:rPr>
    </w:lvl>
    <w:lvl w:ilvl="7" w:tplc="48ECE46C" w:tentative="1">
      <w:start w:val="1"/>
      <w:numFmt w:val="bullet"/>
      <w:lvlText w:val="o"/>
      <w:lvlJc w:val="left"/>
      <w:pPr>
        <w:tabs>
          <w:tab w:val="num" w:pos="5760"/>
        </w:tabs>
        <w:ind w:left="5760" w:hanging="360"/>
      </w:pPr>
      <w:rPr>
        <w:rFonts w:ascii="Courier New" w:hAnsi="Courier New" w:cs="Courier New" w:hint="default"/>
      </w:rPr>
    </w:lvl>
    <w:lvl w:ilvl="8" w:tplc="8C1A40D4" w:tentative="1">
      <w:start w:val="1"/>
      <w:numFmt w:val="bullet"/>
      <w:lvlText w:val=""/>
      <w:lvlJc w:val="left"/>
      <w:pPr>
        <w:tabs>
          <w:tab w:val="num" w:pos="6480"/>
        </w:tabs>
        <w:ind w:left="6480" w:hanging="360"/>
      </w:pPr>
      <w:rPr>
        <w:rFonts w:ascii="Wingdings" w:hAnsi="Wingdings" w:hint="default"/>
      </w:rPr>
    </w:lvl>
  </w:abstractNum>
  <w:abstractNum w:abstractNumId="14">
    <w:nsid w:val="0000002F"/>
    <w:multiLevelType w:val="hybridMultilevel"/>
    <w:tmpl w:val="74E0135A"/>
    <w:lvl w:ilvl="0" w:tplc="DAD850AC">
      <w:numFmt w:val="bullet"/>
      <w:lvlText w:val="-"/>
      <w:lvlJc w:val="left"/>
      <w:pPr>
        <w:ind w:left="720" w:hanging="360"/>
      </w:pPr>
      <w:rPr>
        <w:rFonts w:ascii="Futura Lt BT" w:hAnsi="Futura Lt BT" w:cs="Times New Roman" w:hint="default"/>
      </w:rPr>
    </w:lvl>
    <w:lvl w:ilvl="1" w:tplc="58B8E5DC" w:tentative="1">
      <w:start w:val="1"/>
      <w:numFmt w:val="bullet"/>
      <w:lvlText w:val="o"/>
      <w:lvlJc w:val="left"/>
      <w:pPr>
        <w:ind w:left="1440" w:hanging="360"/>
      </w:pPr>
      <w:rPr>
        <w:rFonts w:ascii="Courier New" w:hAnsi="Courier New" w:cs="Courier New" w:hint="default"/>
      </w:rPr>
    </w:lvl>
    <w:lvl w:ilvl="2" w:tplc="CEE0E20A" w:tentative="1">
      <w:start w:val="1"/>
      <w:numFmt w:val="bullet"/>
      <w:lvlText w:val=""/>
      <w:lvlJc w:val="left"/>
      <w:pPr>
        <w:ind w:left="2160" w:hanging="360"/>
      </w:pPr>
      <w:rPr>
        <w:rFonts w:ascii="Wingdings" w:hAnsi="Wingdings" w:hint="default"/>
      </w:rPr>
    </w:lvl>
    <w:lvl w:ilvl="3" w:tplc="2F4E3CCC" w:tentative="1">
      <w:start w:val="1"/>
      <w:numFmt w:val="bullet"/>
      <w:lvlText w:val=""/>
      <w:lvlJc w:val="left"/>
      <w:pPr>
        <w:ind w:left="2880" w:hanging="360"/>
      </w:pPr>
      <w:rPr>
        <w:rFonts w:ascii="Symbol" w:hAnsi="Symbol" w:hint="default"/>
      </w:rPr>
    </w:lvl>
    <w:lvl w:ilvl="4" w:tplc="B0BC9A78" w:tentative="1">
      <w:start w:val="1"/>
      <w:numFmt w:val="bullet"/>
      <w:lvlText w:val="o"/>
      <w:lvlJc w:val="left"/>
      <w:pPr>
        <w:ind w:left="3600" w:hanging="360"/>
      </w:pPr>
      <w:rPr>
        <w:rFonts w:ascii="Courier New" w:hAnsi="Courier New" w:cs="Courier New" w:hint="default"/>
      </w:rPr>
    </w:lvl>
    <w:lvl w:ilvl="5" w:tplc="975AD700" w:tentative="1">
      <w:start w:val="1"/>
      <w:numFmt w:val="bullet"/>
      <w:lvlText w:val=""/>
      <w:lvlJc w:val="left"/>
      <w:pPr>
        <w:ind w:left="4320" w:hanging="360"/>
      </w:pPr>
      <w:rPr>
        <w:rFonts w:ascii="Wingdings" w:hAnsi="Wingdings" w:hint="default"/>
      </w:rPr>
    </w:lvl>
    <w:lvl w:ilvl="6" w:tplc="ADA638A8" w:tentative="1">
      <w:start w:val="1"/>
      <w:numFmt w:val="bullet"/>
      <w:lvlText w:val=""/>
      <w:lvlJc w:val="left"/>
      <w:pPr>
        <w:ind w:left="5040" w:hanging="360"/>
      </w:pPr>
      <w:rPr>
        <w:rFonts w:ascii="Symbol" w:hAnsi="Symbol" w:hint="default"/>
      </w:rPr>
    </w:lvl>
    <w:lvl w:ilvl="7" w:tplc="DDA817DA" w:tentative="1">
      <w:start w:val="1"/>
      <w:numFmt w:val="bullet"/>
      <w:lvlText w:val="o"/>
      <w:lvlJc w:val="left"/>
      <w:pPr>
        <w:ind w:left="5760" w:hanging="360"/>
      </w:pPr>
      <w:rPr>
        <w:rFonts w:ascii="Courier New" w:hAnsi="Courier New" w:cs="Courier New" w:hint="default"/>
      </w:rPr>
    </w:lvl>
    <w:lvl w:ilvl="8" w:tplc="472493E2" w:tentative="1">
      <w:start w:val="1"/>
      <w:numFmt w:val="bullet"/>
      <w:lvlText w:val=""/>
      <w:lvlJc w:val="left"/>
      <w:pPr>
        <w:ind w:left="6480" w:hanging="360"/>
      </w:pPr>
      <w:rPr>
        <w:rFonts w:ascii="Wingdings" w:hAnsi="Wingdings" w:hint="default"/>
      </w:rPr>
    </w:lvl>
  </w:abstractNum>
  <w:abstractNum w:abstractNumId="15">
    <w:nsid w:val="00000030"/>
    <w:multiLevelType w:val="hybridMultilevel"/>
    <w:tmpl w:val="66CE7E80"/>
    <w:lvl w:ilvl="0" w:tplc="1C4CF45C">
      <w:numFmt w:val="bullet"/>
      <w:lvlText w:val="-"/>
      <w:lvlJc w:val="left"/>
      <w:pPr>
        <w:ind w:left="720" w:hanging="360"/>
      </w:pPr>
      <w:rPr>
        <w:rFonts w:ascii="Futura Lt BT" w:hAnsi="Futura Lt BT" w:cs="Times New Roman" w:hint="default"/>
      </w:rPr>
    </w:lvl>
    <w:lvl w:ilvl="1" w:tplc="3716904C" w:tentative="1">
      <w:start w:val="1"/>
      <w:numFmt w:val="bullet"/>
      <w:lvlText w:val="o"/>
      <w:lvlJc w:val="left"/>
      <w:pPr>
        <w:ind w:left="1440" w:hanging="360"/>
      </w:pPr>
      <w:rPr>
        <w:rFonts w:ascii="Courier New" w:hAnsi="Courier New" w:cs="Courier New" w:hint="default"/>
      </w:rPr>
    </w:lvl>
    <w:lvl w:ilvl="2" w:tplc="1654F99C" w:tentative="1">
      <w:start w:val="1"/>
      <w:numFmt w:val="bullet"/>
      <w:lvlText w:val=""/>
      <w:lvlJc w:val="left"/>
      <w:pPr>
        <w:ind w:left="2160" w:hanging="360"/>
      </w:pPr>
      <w:rPr>
        <w:rFonts w:ascii="Wingdings" w:hAnsi="Wingdings" w:hint="default"/>
      </w:rPr>
    </w:lvl>
    <w:lvl w:ilvl="3" w:tplc="807CB4AA" w:tentative="1">
      <w:start w:val="1"/>
      <w:numFmt w:val="bullet"/>
      <w:lvlText w:val=""/>
      <w:lvlJc w:val="left"/>
      <w:pPr>
        <w:ind w:left="2880" w:hanging="360"/>
      </w:pPr>
      <w:rPr>
        <w:rFonts w:ascii="Symbol" w:hAnsi="Symbol" w:hint="default"/>
      </w:rPr>
    </w:lvl>
    <w:lvl w:ilvl="4" w:tplc="84A4F9BE" w:tentative="1">
      <w:start w:val="1"/>
      <w:numFmt w:val="bullet"/>
      <w:lvlText w:val="o"/>
      <w:lvlJc w:val="left"/>
      <w:pPr>
        <w:ind w:left="3600" w:hanging="360"/>
      </w:pPr>
      <w:rPr>
        <w:rFonts w:ascii="Courier New" w:hAnsi="Courier New" w:cs="Courier New" w:hint="default"/>
      </w:rPr>
    </w:lvl>
    <w:lvl w:ilvl="5" w:tplc="90EC5418" w:tentative="1">
      <w:start w:val="1"/>
      <w:numFmt w:val="bullet"/>
      <w:lvlText w:val=""/>
      <w:lvlJc w:val="left"/>
      <w:pPr>
        <w:ind w:left="4320" w:hanging="360"/>
      </w:pPr>
      <w:rPr>
        <w:rFonts w:ascii="Wingdings" w:hAnsi="Wingdings" w:hint="default"/>
      </w:rPr>
    </w:lvl>
    <w:lvl w:ilvl="6" w:tplc="B2D894F4" w:tentative="1">
      <w:start w:val="1"/>
      <w:numFmt w:val="bullet"/>
      <w:lvlText w:val=""/>
      <w:lvlJc w:val="left"/>
      <w:pPr>
        <w:ind w:left="5040" w:hanging="360"/>
      </w:pPr>
      <w:rPr>
        <w:rFonts w:ascii="Symbol" w:hAnsi="Symbol" w:hint="default"/>
      </w:rPr>
    </w:lvl>
    <w:lvl w:ilvl="7" w:tplc="B7B41F30" w:tentative="1">
      <w:start w:val="1"/>
      <w:numFmt w:val="bullet"/>
      <w:lvlText w:val="o"/>
      <w:lvlJc w:val="left"/>
      <w:pPr>
        <w:ind w:left="5760" w:hanging="360"/>
      </w:pPr>
      <w:rPr>
        <w:rFonts w:ascii="Courier New" w:hAnsi="Courier New" w:cs="Courier New" w:hint="default"/>
      </w:rPr>
    </w:lvl>
    <w:lvl w:ilvl="8" w:tplc="E4D08ACE" w:tentative="1">
      <w:start w:val="1"/>
      <w:numFmt w:val="bullet"/>
      <w:lvlText w:val=""/>
      <w:lvlJc w:val="left"/>
      <w:pPr>
        <w:ind w:left="6480" w:hanging="360"/>
      </w:pPr>
      <w:rPr>
        <w:rFonts w:ascii="Wingdings" w:hAnsi="Wingdings" w:hint="default"/>
      </w:rPr>
    </w:lvl>
  </w:abstractNum>
  <w:abstractNum w:abstractNumId="16">
    <w:nsid w:val="00000031"/>
    <w:multiLevelType w:val="hybridMultilevel"/>
    <w:tmpl w:val="8E40C3CA"/>
    <w:lvl w:ilvl="0" w:tplc="4D122A9A">
      <w:numFmt w:val="bullet"/>
      <w:lvlText w:val="-"/>
      <w:lvlJc w:val="left"/>
      <w:pPr>
        <w:ind w:left="720" w:hanging="360"/>
      </w:pPr>
      <w:rPr>
        <w:rFonts w:ascii="Futura Lt BT" w:hAnsi="Futura Lt BT" w:cs="Times New Roman" w:hint="default"/>
      </w:rPr>
    </w:lvl>
    <w:lvl w:ilvl="1" w:tplc="A2D65416" w:tentative="1">
      <w:start w:val="1"/>
      <w:numFmt w:val="bullet"/>
      <w:lvlText w:val="o"/>
      <w:lvlJc w:val="left"/>
      <w:pPr>
        <w:ind w:left="1440" w:hanging="360"/>
      </w:pPr>
      <w:rPr>
        <w:rFonts w:ascii="Courier New" w:hAnsi="Courier New" w:cs="Courier New" w:hint="default"/>
      </w:rPr>
    </w:lvl>
    <w:lvl w:ilvl="2" w:tplc="2CC83D4C" w:tentative="1">
      <w:start w:val="1"/>
      <w:numFmt w:val="bullet"/>
      <w:lvlText w:val=""/>
      <w:lvlJc w:val="left"/>
      <w:pPr>
        <w:ind w:left="2160" w:hanging="360"/>
      </w:pPr>
      <w:rPr>
        <w:rFonts w:ascii="Wingdings" w:hAnsi="Wingdings" w:hint="default"/>
      </w:rPr>
    </w:lvl>
    <w:lvl w:ilvl="3" w:tplc="EE34C198" w:tentative="1">
      <w:start w:val="1"/>
      <w:numFmt w:val="bullet"/>
      <w:lvlText w:val=""/>
      <w:lvlJc w:val="left"/>
      <w:pPr>
        <w:ind w:left="2880" w:hanging="360"/>
      </w:pPr>
      <w:rPr>
        <w:rFonts w:ascii="Symbol" w:hAnsi="Symbol" w:hint="default"/>
      </w:rPr>
    </w:lvl>
    <w:lvl w:ilvl="4" w:tplc="92A8CD24" w:tentative="1">
      <w:start w:val="1"/>
      <w:numFmt w:val="bullet"/>
      <w:lvlText w:val="o"/>
      <w:lvlJc w:val="left"/>
      <w:pPr>
        <w:ind w:left="3600" w:hanging="360"/>
      </w:pPr>
      <w:rPr>
        <w:rFonts w:ascii="Courier New" w:hAnsi="Courier New" w:cs="Courier New" w:hint="default"/>
      </w:rPr>
    </w:lvl>
    <w:lvl w:ilvl="5" w:tplc="5CD84188" w:tentative="1">
      <w:start w:val="1"/>
      <w:numFmt w:val="bullet"/>
      <w:lvlText w:val=""/>
      <w:lvlJc w:val="left"/>
      <w:pPr>
        <w:ind w:left="4320" w:hanging="360"/>
      </w:pPr>
      <w:rPr>
        <w:rFonts w:ascii="Wingdings" w:hAnsi="Wingdings" w:hint="default"/>
      </w:rPr>
    </w:lvl>
    <w:lvl w:ilvl="6" w:tplc="54A81634" w:tentative="1">
      <w:start w:val="1"/>
      <w:numFmt w:val="bullet"/>
      <w:lvlText w:val=""/>
      <w:lvlJc w:val="left"/>
      <w:pPr>
        <w:ind w:left="5040" w:hanging="360"/>
      </w:pPr>
      <w:rPr>
        <w:rFonts w:ascii="Symbol" w:hAnsi="Symbol" w:hint="default"/>
      </w:rPr>
    </w:lvl>
    <w:lvl w:ilvl="7" w:tplc="2BBC3028" w:tentative="1">
      <w:start w:val="1"/>
      <w:numFmt w:val="bullet"/>
      <w:lvlText w:val="o"/>
      <w:lvlJc w:val="left"/>
      <w:pPr>
        <w:ind w:left="5760" w:hanging="360"/>
      </w:pPr>
      <w:rPr>
        <w:rFonts w:ascii="Courier New" w:hAnsi="Courier New" w:cs="Courier New" w:hint="default"/>
      </w:rPr>
    </w:lvl>
    <w:lvl w:ilvl="8" w:tplc="F416A240" w:tentative="1">
      <w:start w:val="1"/>
      <w:numFmt w:val="bullet"/>
      <w:lvlText w:val=""/>
      <w:lvlJc w:val="left"/>
      <w:pPr>
        <w:ind w:left="6480" w:hanging="360"/>
      </w:pPr>
      <w:rPr>
        <w:rFonts w:ascii="Wingdings" w:hAnsi="Wingdings" w:hint="default"/>
      </w:rPr>
    </w:lvl>
  </w:abstractNum>
  <w:abstractNum w:abstractNumId="17">
    <w:nsid w:val="00000032"/>
    <w:multiLevelType w:val="hybridMultilevel"/>
    <w:tmpl w:val="35C41564"/>
    <w:lvl w:ilvl="0" w:tplc="8466E780">
      <w:start w:val="293"/>
      <w:numFmt w:val="bullet"/>
      <w:lvlText w:val="-"/>
      <w:lvlJc w:val="left"/>
      <w:pPr>
        <w:ind w:left="720" w:hanging="360"/>
      </w:pPr>
      <w:rPr>
        <w:rFonts w:ascii="Arial" w:hAnsi="Arial" w:cs="Arial" w:hint="default"/>
      </w:rPr>
    </w:lvl>
    <w:lvl w:ilvl="1" w:tplc="B236310C">
      <w:start w:val="1"/>
      <w:numFmt w:val="bullet"/>
      <w:lvlText w:val="o"/>
      <w:lvlJc w:val="left"/>
      <w:pPr>
        <w:ind w:left="1440" w:hanging="360"/>
      </w:pPr>
      <w:rPr>
        <w:rFonts w:ascii="Courier New" w:hAnsi="Courier New" w:cs="Courier New" w:hint="default"/>
      </w:rPr>
    </w:lvl>
    <w:lvl w:ilvl="2" w:tplc="0DA6EB0A">
      <w:start w:val="1"/>
      <w:numFmt w:val="bullet"/>
      <w:lvlText w:val=""/>
      <w:lvlJc w:val="left"/>
      <w:pPr>
        <w:ind w:left="2160" w:hanging="360"/>
      </w:pPr>
      <w:rPr>
        <w:rFonts w:ascii="Wingdings" w:hAnsi="Wingdings" w:hint="default"/>
      </w:rPr>
    </w:lvl>
    <w:lvl w:ilvl="3" w:tplc="704A4676">
      <w:start w:val="1"/>
      <w:numFmt w:val="bullet"/>
      <w:lvlText w:val=""/>
      <w:lvlJc w:val="left"/>
      <w:pPr>
        <w:ind w:left="2880" w:hanging="360"/>
      </w:pPr>
      <w:rPr>
        <w:rFonts w:ascii="Symbol" w:hAnsi="Symbol" w:hint="default"/>
      </w:rPr>
    </w:lvl>
    <w:lvl w:ilvl="4" w:tplc="97B0C3F6">
      <w:start w:val="1"/>
      <w:numFmt w:val="bullet"/>
      <w:lvlText w:val="o"/>
      <w:lvlJc w:val="left"/>
      <w:pPr>
        <w:ind w:left="3600" w:hanging="360"/>
      </w:pPr>
      <w:rPr>
        <w:rFonts w:ascii="Courier New" w:hAnsi="Courier New" w:cs="Courier New" w:hint="default"/>
      </w:rPr>
    </w:lvl>
    <w:lvl w:ilvl="5" w:tplc="5EE4D5E8">
      <w:start w:val="1"/>
      <w:numFmt w:val="bullet"/>
      <w:lvlText w:val=""/>
      <w:lvlJc w:val="left"/>
      <w:pPr>
        <w:ind w:left="4320" w:hanging="360"/>
      </w:pPr>
      <w:rPr>
        <w:rFonts w:ascii="Wingdings" w:hAnsi="Wingdings" w:hint="default"/>
      </w:rPr>
    </w:lvl>
    <w:lvl w:ilvl="6" w:tplc="C900B2CA">
      <w:start w:val="1"/>
      <w:numFmt w:val="bullet"/>
      <w:lvlText w:val=""/>
      <w:lvlJc w:val="left"/>
      <w:pPr>
        <w:ind w:left="5040" w:hanging="360"/>
      </w:pPr>
      <w:rPr>
        <w:rFonts w:ascii="Symbol" w:hAnsi="Symbol" w:hint="default"/>
      </w:rPr>
    </w:lvl>
    <w:lvl w:ilvl="7" w:tplc="A0A8FD64">
      <w:start w:val="1"/>
      <w:numFmt w:val="bullet"/>
      <w:lvlText w:val="o"/>
      <w:lvlJc w:val="left"/>
      <w:pPr>
        <w:ind w:left="5760" w:hanging="360"/>
      </w:pPr>
      <w:rPr>
        <w:rFonts w:ascii="Courier New" w:hAnsi="Courier New" w:cs="Courier New" w:hint="default"/>
      </w:rPr>
    </w:lvl>
    <w:lvl w:ilvl="8" w:tplc="8A509010">
      <w:start w:val="1"/>
      <w:numFmt w:val="bullet"/>
      <w:lvlText w:val=""/>
      <w:lvlJc w:val="left"/>
      <w:pPr>
        <w:ind w:left="6480" w:hanging="360"/>
      </w:pPr>
      <w:rPr>
        <w:rFonts w:ascii="Wingdings" w:hAnsi="Wingdings" w:hint="default"/>
      </w:rPr>
    </w:lvl>
  </w:abstractNum>
  <w:abstractNum w:abstractNumId="18">
    <w:nsid w:val="00000033"/>
    <w:multiLevelType w:val="multilevel"/>
    <w:tmpl w:val="CC101C62"/>
    <w:lvl w:ilvl="0">
      <w:start w:val="2"/>
      <w:numFmt w:val="decimal"/>
      <w:pStyle w:val="Notes10"/>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00000034"/>
    <w:multiLevelType w:val="hybridMultilevel"/>
    <w:tmpl w:val="5A920DF4"/>
    <w:lvl w:ilvl="0" w:tplc="57E8E770">
      <w:numFmt w:val="bullet"/>
      <w:lvlText w:val="-"/>
      <w:lvlJc w:val="left"/>
      <w:pPr>
        <w:ind w:left="720" w:hanging="360"/>
      </w:pPr>
      <w:rPr>
        <w:rFonts w:ascii="Futura Lt BT" w:hAnsi="Futura Lt BT" w:cs="Times New Roman" w:hint="default"/>
      </w:rPr>
    </w:lvl>
    <w:lvl w:ilvl="1" w:tplc="58E24494" w:tentative="1">
      <w:start w:val="1"/>
      <w:numFmt w:val="bullet"/>
      <w:lvlText w:val="o"/>
      <w:lvlJc w:val="left"/>
      <w:pPr>
        <w:ind w:left="1440" w:hanging="360"/>
      </w:pPr>
      <w:rPr>
        <w:rFonts w:ascii="Courier New" w:hAnsi="Courier New" w:cs="Courier New" w:hint="default"/>
      </w:rPr>
    </w:lvl>
    <w:lvl w:ilvl="2" w:tplc="69AAFA7C" w:tentative="1">
      <w:start w:val="1"/>
      <w:numFmt w:val="bullet"/>
      <w:lvlText w:val=""/>
      <w:lvlJc w:val="left"/>
      <w:pPr>
        <w:ind w:left="2160" w:hanging="360"/>
      </w:pPr>
      <w:rPr>
        <w:rFonts w:ascii="Wingdings" w:hAnsi="Wingdings" w:hint="default"/>
      </w:rPr>
    </w:lvl>
    <w:lvl w:ilvl="3" w:tplc="212271D6" w:tentative="1">
      <w:start w:val="1"/>
      <w:numFmt w:val="bullet"/>
      <w:lvlText w:val=""/>
      <w:lvlJc w:val="left"/>
      <w:pPr>
        <w:ind w:left="2880" w:hanging="360"/>
      </w:pPr>
      <w:rPr>
        <w:rFonts w:ascii="Symbol" w:hAnsi="Symbol" w:hint="default"/>
      </w:rPr>
    </w:lvl>
    <w:lvl w:ilvl="4" w:tplc="87703C66" w:tentative="1">
      <w:start w:val="1"/>
      <w:numFmt w:val="bullet"/>
      <w:lvlText w:val="o"/>
      <w:lvlJc w:val="left"/>
      <w:pPr>
        <w:ind w:left="3600" w:hanging="360"/>
      </w:pPr>
      <w:rPr>
        <w:rFonts w:ascii="Courier New" w:hAnsi="Courier New" w:cs="Courier New" w:hint="default"/>
      </w:rPr>
    </w:lvl>
    <w:lvl w:ilvl="5" w:tplc="75A01D60" w:tentative="1">
      <w:start w:val="1"/>
      <w:numFmt w:val="bullet"/>
      <w:lvlText w:val=""/>
      <w:lvlJc w:val="left"/>
      <w:pPr>
        <w:ind w:left="4320" w:hanging="360"/>
      </w:pPr>
      <w:rPr>
        <w:rFonts w:ascii="Wingdings" w:hAnsi="Wingdings" w:hint="default"/>
      </w:rPr>
    </w:lvl>
    <w:lvl w:ilvl="6" w:tplc="7218A0F2" w:tentative="1">
      <w:start w:val="1"/>
      <w:numFmt w:val="bullet"/>
      <w:lvlText w:val=""/>
      <w:lvlJc w:val="left"/>
      <w:pPr>
        <w:ind w:left="5040" w:hanging="360"/>
      </w:pPr>
      <w:rPr>
        <w:rFonts w:ascii="Symbol" w:hAnsi="Symbol" w:hint="default"/>
      </w:rPr>
    </w:lvl>
    <w:lvl w:ilvl="7" w:tplc="FEC69D74" w:tentative="1">
      <w:start w:val="1"/>
      <w:numFmt w:val="bullet"/>
      <w:lvlText w:val="o"/>
      <w:lvlJc w:val="left"/>
      <w:pPr>
        <w:ind w:left="5760" w:hanging="360"/>
      </w:pPr>
      <w:rPr>
        <w:rFonts w:ascii="Courier New" w:hAnsi="Courier New" w:cs="Courier New" w:hint="default"/>
      </w:rPr>
    </w:lvl>
    <w:lvl w:ilvl="8" w:tplc="D5C47A66" w:tentative="1">
      <w:start w:val="1"/>
      <w:numFmt w:val="bullet"/>
      <w:lvlText w:val=""/>
      <w:lvlJc w:val="left"/>
      <w:pPr>
        <w:ind w:left="6480" w:hanging="360"/>
      </w:pPr>
      <w:rPr>
        <w:rFonts w:ascii="Wingdings" w:hAnsi="Wingdings" w:hint="default"/>
      </w:rPr>
    </w:lvl>
  </w:abstractNum>
  <w:abstractNum w:abstractNumId="20">
    <w:nsid w:val="00000035"/>
    <w:multiLevelType w:val="hybridMultilevel"/>
    <w:tmpl w:val="87262ED8"/>
    <w:lvl w:ilvl="0" w:tplc="962451C0">
      <w:start w:val="293"/>
      <w:numFmt w:val="bullet"/>
      <w:lvlText w:val="-"/>
      <w:lvlJc w:val="left"/>
      <w:pPr>
        <w:tabs>
          <w:tab w:val="num" w:pos="720"/>
        </w:tabs>
        <w:ind w:left="720" w:hanging="360"/>
      </w:pPr>
      <w:rPr>
        <w:rFonts w:ascii="Arial" w:hAnsi="Arial" w:cs="Arial" w:hint="default"/>
        <w:b/>
      </w:rPr>
    </w:lvl>
    <w:lvl w:ilvl="1" w:tplc="89A4F3CA">
      <w:start w:val="1"/>
      <w:numFmt w:val="bullet"/>
      <w:lvlText w:val="o"/>
      <w:lvlJc w:val="left"/>
      <w:pPr>
        <w:tabs>
          <w:tab w:val="num" w:pos="1440"/>
        </w:tabs>
        <w:ind w:left="1440" w:hanging="360"/>
      </w:pPr>
      <w:rPr>
        <w:rFonts w:ascii="Courier New" w:hAnsi="Courier New" w:cs="Courier New" w:hint="default"/>
      </w:rPr>
    </w:lvl>
    <w:lvl w:ilvl="2" w:tplc="4F54B83C">
      <w:start w:val="1"/>
      <w:numFmt w:val="bullet"/>
      <w:lvlText w:val=""/>
      <w:lvlJc w:val="left"/>
      <w:pPr>
        <w:tabs>
          <w:tab w:val="num" w:pos="2160"/>
        </w:tabs>
        <w:ind w:left="2160" w:hanging="360"/>
      </w:pPr>
      <w:rPr>
        <w:rFonts w:ascii="Wingdings" w:hAnsi="Wingdings" w:hint="default"/>
      </w:rPr>
    </w:lvl>
    <w:lvl w:ilvl="3" w:tplc="7326E89A">
      <w:start w:val="1"/>
      <w:numFmt w:val="bullet"/>
      <w:lvlText w:val=""/>
      <w:lvlJc w:val="left"/>
      <w:pPr>
        <w:tabs>
          <w:tab w:val="num" w:pos="2880"/>
        </w:tabs>
        <w:ind w:left="2880" w:hanging="360"/>
      </w:pPr>
      <w:rPr>
        <w:rFonts w:ascii="Symbol" w:hAnsi="Symbol" w:hint="default"/>
      </w:rPr>
    </w:lvl>
    <w:lvl w:ilvl="4" w:tplc="D9D66B48">
      <w:start w:val="1"/>
      <w:numFmt w:val="bullet"/>
      <w:lvlText w:val="o"/>
      <w:lvlJc w:val="left"/>
      <w:pPr>
        <w:tabs>
          <w:tab w:val="num" w:pos="3600"/>
        </w:tabs>
        <w:ind w:left="3600" w:hanging="360"/>
      </w:pPr>
      <w:rPr>
        <w:rFonts w:ascii="Courier New" w:hAnsi="Courier New" w:cs="Courier New" w:hint="default"/>
      </w:rPr>
    </w:lvl>
    <w:lvl w:ilvl="5" w:tplc="1CDC6C00">
      <w:start w:val="1"/>
      <w:numFmt w:val="bullet"/>
      <w:lvlText w:val=""/>
      <w:lvlJc w:val="left"/>
      <w:pPr>
        <w:tabs>
          <w:tab w:val="num" w:pos="4320"/>
        </w:tabs>
        <w:ind w:left="4320" w:hanging="360"/>
      </w:pPr>
      <w:rPr>
        <w:rFonts w:ascii="Wingdings" w:hAnsi="Wingdings" w:hint="default"/>
      </w:rPr>
    </w:lvl>
    <w:lvl w:ilvl="6" w:tplc="D0DE5E6E">
      <w:start w:val="1"/>
      <w:numFmt w:val="bullet"/>
      <w:lvlText w:val=""/>
      <w:lvlJc w:val="left"/>
      <w:pPr>
        <w:tabs>
          <w:tab w:val="num" w:pos="5040"/>
        </w:tabs>
        <w:ind w:left="5040" w:hanging="360"/>
      </w:pPr>
      <w:rPr>
        <w:rFonts w:ascii="Symbol" w:hAnsi="Symbol" w:hint="default"/>
      </w:rPr>
    </w:lvl>
    <w:lvl w:ilvl="7" w:tplc="0A7C7DDA">
      <w:start w:val="1"/>
      <w:numFmt w:val="bullet"/>
      <w:lvlText w:val="o"/>
      <w:lvlJc w:val="left"/>
      <w:pPr>
        <w:tabs>
          <w:tab w:val="num" w:pos="5760"/>
        </w:tabs>
        <w:ind w:left="5760" w:hanging="360"/>
      </w:pPr>
      <w:rPr>
        <w:rFonts w:ascii="Courier New" w:hAnsi="Courier New" w:cs="Courier New" w:hint="default"/>
      </w:rPr>
    </w:lvl>
    <w:lvl w:ilvl="8" w:tplc="7D2ECA04">
      <w:start w:val="1"/>
      <w:numFmt w:val="bullet"/>
      <w:lvlText w:val=""/>
      <w:lvlJc w:val="left"/>
      <w:pPr>
        <w:tabs>
          <w:tab w:val="num" w:pos="6480"/>
        </w:tabs>
        <w:ind w:left="6480" w:hanging="360"/>
      </w:pPr>
      <w:rPr>
        <w:rFonts w:ascii="Wingdings" w:hAnsi="Wingdings" w:hint="default"/>
      </w:rPr>
    </w:lvl>
  </w:abstractNum>
  <w:abstractNum w:abstractNumId="21">
    <w:nsid w:val="00000036"/>
    <w:multiLevelType w:val="hybridMultilevel"/>
    <w:tmpl w:val="C7242F70"/>
    <w:lvl w:ilvl="0" w:tplc="DF263910">
      <w:numFmt w:val="bullet"/>
      <w:lvlText w:val="-"/>
      <w:lvlJc w:val="left"/>
      <w:pPr>
        <w:tabs>
          <w:tab w:val="num" w:pos="720"/>
        </w:tabs>
        <w:ind w:left="720" w:hanging="363"/>
      </w:pPr>
      <w:rPr>
        <w:rFonts w:ascii="Futura Lt BT" w:hAnsi="Futura Lt BT" w:cs="Times New Roman" w:hint="default"/>
      </w:rPr>
    </w:lvl>
    <w:lvl w:ilvl="1" w:tplc="AC1EAA20" w:tentative="1">
      <w:start w:val="1"/>
      <w:numFmt w:val="bullet"/>
      <w:lvlText w:val="o"/>
      <w:lvlJc w:val="left"/>
      <w:pPr>
        <w:tabs>
          <w:tab w:val="num" w:pos="1440"/>
        </w:tabs>
        <w:ind w:left="1440" w:hanging="360"/>
      </w:pPr>
      <w:rPr>
        <w:rFonts w:ascii="Courier New" w:hAnsi="Courier New" w:cs="Courier New" w:hint="default"/>
      </w:rPr>
    </w:lvl>
    <w:lvl w:ilvl="2" w:tplc="3FE80C68" w:tentative="1">
      <w:start w:val="1"/>
      <w:numFmt w:val="bullet"/>
      <w:lvlText w:val=""/>
      <w:lvlJc w:val="left"/>
      <w:pPr>
        <w:tabs>
          <w:tab w:val="num" w:pos="2160"/>
        </w:tabs>
        <w:ind w:left="2160" w:hanging="360"/>
      </w:pPr>
      <w:rPr>
        <w:rFonts w:ascii="Wingdings" w:hAnsi="Wingdings" w:hint="default"/>
      </w:rPr>
    </w:lvl>
    <w:lvl w:ilvl="3" w:tplc="56A214BC" w:tentative="1">
      <w:start w:val="1"/>
      <w:numFmt w:val="bullet"/>
      <w:lvlText w:val=""/>
      <w:lvlJc w:val="left"/>
      <w:pPr>
        <w:tabs>
          <w:tab w:val="num" w:pos="2880"/>
        </w:tabs>
        <w:ind w:left="2880" w:hanging="360"/>
      </w:pPr>
      <w:rPr>
        <w:rFonts w:ascii="Symbol" w:hAnsi="Symbol" w:hint="default"/>
      </w:rPr>
    </w:lvl>
    <w:lvl w:ilvl="4" w:tplc="DEF285DC" w:tentative="1">
      <w:start w:val="1"/>
      <w:numFmt w:val="bullet"/>
      <w:lvlText w:val="o"/>
      <w:lvlJc w:val="left"/>
      <w:pPr>
        <w:tabs>
          <w:tab w:val="num" w:pos="3600"/>
        </w:tabs>
        <w:ind w:left="3600" w:hanging="360"/>
      </w:pPr>
      <w:rPr>
        <w:rFonts w:ascii="Courier New" w:hAnsi="Courier New" w:cs="Courier New" w:hint="default"/>
      </w:rPr>
    </w:lvl>
    <w:lvl w:ilvl="5" w:tplc="BDC0F1B2" w:tentative="1">
      <w:start w:val="1"/>
      <w:numFmt w:val="bullet"/>
      <w:lvlText w:val=""/>
      <w:lvlJc w:val="left"/>
      <w:pPr>
        <w:tabs>
          <w:tab w:val="num" w:pos="4320"/>
        </w:tabs>
        <w:ind w:left="4320" w:hanging="360"/>
      </w:pPr>
      <w:rPr>
        <w:rFonts w:ascii="Wingdings" w:hAnsi="Wingdings" w:hint="default"/>
      </w:rPr>
    </w:lvl>
    <w:lvl w:ilvl="6" w:tplc="FF0CFBBC" w:tentative="1">
      <w:start w:val="1"/>
      <w:numFmt w:val="bullet"/>
      <w:lvlText w:val=""/>
      <w:lvlJc w:val="left"/>
      <w:pPr>
        <w:tabs>
          <w:tab w:val="num" w:pos="5040"/>
        </w:tabs>
        <w:ind w:left="5040" w:hanging="360"/>
      </w:pPr>
      <w:rPr>
        <w:rFonts w:ascii="Symbol" w:hAnsi="Symbol" w:hint="default"/>
      </w:rPr>
    </w:lvl>
    <w:lvl w:ilvl="7" w:tplc="116004BA" w:tentative="1">
      <w:start w:val="1"/>
      <w:numFmt w:val="bullet"/>
      <w:lvlText w:val="o"/>
      <w:lvlJc w:val="left"/>
      <w:pPr>
        <w:tabs>
          <w:tab w:val="num" w:pos="5760"/>
        </w:tabs>
        <w:ind w:left="5760" w:hanging="360"/>
      </w:pPr>
      <w:rPr>
        <w:rFonts w:ascii="Courier New" w:hAnsi="Courier New" w:cs="Courier New" w:hint="default"/>
      </w:rPr>
    </w:lvl>
    <w:lvl w:ilvl="8" w:tplc="AA10A602" w:tentative="1">
      <w:start w:val="1"/>
      <w:numFmt w:val="bullet"/>
      <w:lvlText w:val=""/>
      <w:lvlJc w:val="left"/>
      <w:pPr>
        <w:tabs>
          <w:tab w:val="num" w:pos="6480"/>
        </w:tabs>
        <w:ind w:left="6480" w:hanging="360"/>
      </w:pPr>
      <w:rPr>
        <w:rFonts w:ascii="Wingdings" w:hAnsi="Wingdings" w:hint="default"/>
      </w:rPr>
    </w:lvl>
  </w:abstractNum>
  <w:abstractNum w:abstractNumId="22">
    <w:nsid w:val="00000037"/>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3">
    <w:nsid w:val="0000003A"/>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4">
    <w:nsid w:val="0000003D"/>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0000003E"/>
    <w:multiLevelType w:val="hybridMultilevel"/>
    <w:tmpl w:val="E23C9EFE"/>
    <w:lvl w:ilvl="0" w:tplc="54E2CA56">
      <w:numFmt w:val="bullet"/>
      <w:lvlText w:val="-"/>
      <w:lvlJc w:val="left"/>
      <w:pPr>
        <w:tabs>
          <w:tab w:val="num" w:pos="720"/>
        </w:tabs>
        <w:ind w:left="720" w:hanging="360"/>
      </w:pPr>
      <w:rPr>
        <w:rFonts w:ascii="Futura Lt BT" w:hAnsi="Futura Lt BT" w:cs="Times New Roman" w:hint="default"/>
      </w:rPr>
    </w:lvl>
    <w:lvl w:ilvl="1" w:tplc="C42079E4">
      <w:start w:val="1"/>
      <w:numFmt w:val="bullet"/>
      <w:lvlText w:val="o"/>
      <w:lvlJc w:val="left"/>
      <w:pPr>
        <w:tabs>
          <w:tab w:val="num" w:pos="1440"/>
        </w:tabs>
        <w:ind w:left="1440" w:hanging="360"/>
      </w:pPr>
      <w:rPr>
        <w:rFonts w:ascii="Courier New" w:hAnsi="Courier New" w:cs="Courier New" w:hint="default"/>
      </w:rPr>
    </w:lvl>
    <w:lvl w:ilvl="2" w:tplc="C5B419D0" w:tentative="1">
      <w:start w:val="1"/>
      <w:numFmt w:val="bullet"/>
      <w:lvlText w:val=""/>
      <w:lvlJc w:val="left"/>
      <w:pPr>
        <w:tabs>
          <w:tab w:val="num" w:pos="2160"/>
        </w:tabs>
        <w:ind w:left="2160" w:hanging="360"/>
      </w:pPr>
      <w:rPr>
        <w:rFonts w:ascii="Wingdings" w:hAnsi="Wingdings" w:hint="default"/>
      </w:rPr>
    </w:lvl>
    <w:lvl w:ilvl="3" w:tplc="8CCCEBF8" w:tentative="1">
      <w:start w:val="1"/>
      <w:numFmt w:val="bullet"/>
      <w:lvlText w:val=""/>
      <w:lvlJc w:val="left"/>
      <w:pPr>
        <w:tabs>
          <w:tab w:val="num" w:pos="2880"/>
        </w:tabs>
        <w:ind w:left="2880" w:hanging="360"/>
      </w:pPr>
      <w:rPr>
        <w:rFonts w:ascii="Symbol" w:hAnsi="Symbol" w:hint="default"/>
      </w:rPr>
    </w:lvl>
    <w:lvl w:ilvl="4" w:tplc="32902468" w:tentative="1">
      <w:start w:val="1"/>
      <w:numFmt w:val="bullet"/>
      <w:lvlText w:val="o"/>
      <w:lvlJc w:val="left"/>
      <w:pPr>
        <w:tabs>
          <w:tab w:val="num" w:pos="3600"/>
        </w:tabs>
        <w:ind w:left="3600" w:hanging="360"/>
      </w:pPr>
      <w:rPr>
        <w:rFonts w:ascii="Courier New" w:hAnsi="Courier New" w:cs="Courier New" w:hint="default"/>
      </w:rPr>
    </w:lvl>
    <w:lvl w:ilvl="5" w:tplc="1A3CF372" w:tentative="1">
      <w:start w:val="1"/>
      <w:numFmt w:val="bullet"/>
      <w:lvlText w:val=""/>
      <w:lvlJc w:val="left"/>
      <w:pPr>
        <w:tabs>
          <w:tab w:val="num" w:pos="4320"/>
        </w:tabs>
        <w:ind w:left="4320" w:hanging="360"/>
      </w:pPr>
      <w:rPr>
        <w:rFonts w:ascii="Wingdings" w:hAnsi="Wingdings" w:hint="default"/>
      </w:rPr>
    </w:lvl>
    <w:lvl w:ilvl="6" w:tplc="0838CE0C" w:tentative="1">
      <w:start w:val="1"/>
      <w:numFmt w:val="bullet"/>
      <w:lvlText w:val=""/>
      <w:lvlJc w:val="left"/>
      <w:pPr>
        <w:tabs>
          <w:tab w:val="num" w:pos="5040"/>
        </w:tabs>
        <w:ind w:left="5040" w:hanging="360"/>
      </w:pPr>
      <w:rPr>
        <w:rFonts w:ascii="Symbol" w:hAnsi="Symbol" w:hint="default"/>
      </w:rPr>
    </w:lvl>
    <w:lvl w:ilvl="7" w:tplc="20B4F83A" w:tentative="1">
      <w:start w:val="1"/>
      <w:numFmt w:val="bullet"/>
      <w:lvlText w:val="o"/>
      <w:lvlJc w:val="left"/>
      <w:pPr>
        <w:tabs>
          <w:tab w:val="num" w:pos="5760"/>
        </w:tabs>
        <w:ind w:left="5760" w:hanging="360"/>
      </w:pPr>
      <w:rPr>
        <w:rFonts w:ascii="Courier New" w:hAnsi="Courier New" w:cs="Courier New" w:hint="default"/>
      </w:rPr>
    </w:lvl>
    <w:lvl w:ilvl="8" w:tplc="4F2A923C" w:tentative="1">
      <w:start w:val="1"/>
      <w:numFmt w:val="bullet"/>
      <w:lvlText w:val=""/>
      <w:lvlJc w:val="left"/>
      <w:pPr>
        <w:tabs>
          <w:tab w:val="num" w:pos="6480"/>
        </w:tabs>
        <w:ind w:left="6480" w:hanging="360"/>
      </w:pPr>
      <w:rPr>
        <w:rFonts w:ascii="Wingdings" w:hAnsi="Wingdings" w:hint="default"/>
      </w:rPr>
    </w:lvl>
  </w:abstractNum>
  <w:abstractNum w:abstractNumId="26">
    <w:nsid w:val="00000040"/>
    <w:multiLevelType w:val="hybridMultilevel"/>
    <w:tmpl w:val="8DCE8CBC"/>
    <w:lvl w:ilvl="0" w:tplc="20CED3C6">
      <w:start w:val="1"/>
      <w:numFmt w:val="lowerRoman"/>
      <w:lvlText w:val="%1)"/>
      <w:lvlJc w:val="left"/>
      <w:pPr>
        <w:ind w:left="1080" w:hanging="720"/>
      </w:pPr>
      <w:rPr>
        <w:rFonts w:hint="default"/>
      </w:rPr>
    </w:lvl>
    <w:lvl w:ilvl="1" w:tplc="DC3A3220" w:tentative="1">
      <w:start w:val="1"/>
      <w:numFmt w:val="lowerLetter"/>
      <w:lvlText w:val="%2."/>
      <w:lvlJc w:val="left"/>
      <w:pPr>
        <w:ind w:left="1440" w:hanging="360"/>
      </w:pPr>
    </w:lvl>
    <w:lvl w:ilvl="2" w:tplc="76BA3AEE" w:tentative="1">
      <w:start w:val="1"/>
      <w:numFmt w:val="lowerRoman"/>
      <w:lvlText w:val="%3."/>
      <w:lvlJc w:val="right"/>
      <w:pPr>
        <w:ind w:left="2160" w:hanging="180"/>
      </w:pPr>
    </w:lvl>
    <w:lvl w:ilvl="3" w:tplc="28A228E0" w:tentative="1">
      <w:start w:val="1"/>
      <w:numFmt w:val="decimal"/>
      <w:lvlText w:val="%4."/>
      <w:lvlJc w:val="left"/>
      <w:pPr>
        <w:ind w:left="2880" w:hanging="360"/>
      </w:pPr>
    </w:lvl>
    <w:lvl w:ilvl="4" w:tplc="5E24FD20" w:tentative="1">
      <w:start w:val="1"/>
      <w:numFmt w:val="lowerLetter"/>
      <w:lvlText w:val="%5."/>
      <w:lvlJc w:val="left"/>
      <w:pPr>
        <w:ind w:left="3600" w:hanging="360"/>
      </w:pPr>
    </w:lvl>
    <w:lvl w:ilvl="5" w:tplc="5012508E" w:tentative="1">
      <w:start w:val="1"/>
      <w:numFmt w:val="lowerRoman"/>
      <w:lvlText w:val="%6."/>
      <w:lvlJc w:val="right"/>
      <w:pPr>
        <w:ind w:left="4320" w:hanging="180"/>
      </w:pPr>
    </w:lvl>
    <w:lvl w:ilvl="6" w:tplc="B5E6C1BA" w:tentative="1">
      <w:start w:val="1"/>
      <w:numFmt w:val="decimal"/>
      <w:lvlText w:val="%7."/>
      <w:lvlJc w:val="left"/>
      <w:pPr>
        <w:ind w:left="5040" w:hanging="360"/>
      </w:pPr>
    </w:lvl>
    <w:lvl w:ilvl="7" w:tplc="B2E0BBEE" w:tentative="1">
      <w:start w:val="1"/>
      <w:numFmt w:val="lowerLetter"/>
      <w:lvlText w:val="%8."/>
      <w:lvlJc w:val="left"/>
      <w:pPr>
        <w:ind w:left="5760" w:hanging="360"/>
      </w:pPr>
    </w:lvl>
    <w:lvl w:ilvl="8" w:tplc="544408E6" w:tentative="1">
      <w:start w:val="1"/>
      <w:numFmt w:val="lowerRoman"/>
      <w:lvlText w:val="%9."/>
      <w:lvlJc w:val="right"/>
      <w:pPr>
        <w:ind w:left="6480" w:hanging="180"/>
      </w:pPr>
    </w:lvl>
  </w:abstractNum>
  <w:abstractNum w:abstractNumId="27">
    <w:nsid w:val="00000041"/>
    <w:multiLevelType w:val="multilevel"/>
    <w:tmpl w:val="85A4563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00000042"/>
    <w:multiLevelType w:val="multilevel"/>
    <w:tmpl w:val="C2ACEBC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00000043"/>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00000044"/>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0000046"/>
    <w:multiLevelType w:val="multilevel"/>
    <w:tmpl w:val="C0E2270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6"/>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0000047"/>
    <w:multiLevelType w:val="multilevel"/>
    <w:tmpl w:val="3ED0195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7"/>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00000049"/>
    <w:multiLevelType w:val="multilevel"/>
    <w:tmpl w:val="20525516"/>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3.%2.%3"/>
      <w:lvlJc w:val="left"/>
      <w:pPr>
        <w:tabs>
          <w:tab w:val="num" w:pos="795"/>
        </w:tabs>
        <w:ind w:left="795" w:hanging="795"/>
      </w:pPr>
      <w:rPr>
        <w:rFonts w:hint="default"/>
      </w:rPr>
    </w:lvl>
    <w:lvl w:ilvl="3">
      <w:start w:val="1"/>
      <w:numFmt w:val="decimal"/>
      <w:lvlText w:val="3.%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4A"/>
    <w:multiLevelType w:val="hybridMultilevel"/>
    <w:tmpl w:val="75360A3C"/>
    <w:lvl w:ilvl="0" w:tplc="E47A9C6A">
      <w:start w:val="1"/>
      <w:numFmt w:val="bullet"/>
      <w:lvlText w:val=""/>
      <w:lvlJc w:val="left"/>
      <w:pPr>
        <w:ind w:left="360" w:hanging="360"/>
      </w:pPr>
      <w:rPr>
        <w:rFonts w:ascii="Symbol" w:hAnsi="Symbol" w:hint="default"/>
      </w:rPr>
    </w:lvl>
    <w:lvl w:ilvl="1" w:tplc="150A9254" w:tentative="1">
      <w:start w:val="1"/>
      <w:numFmt w:val="bullet"/>
      <w:lvlText w:val="o"/>
      <w:lvlJc w:val="left"/>
      <w:pPr>
        <w:ind w:left="1080" w:hanging="360"/>
      </w:pPr>
      <w:rPr>
        <w:rFonts w:ascii="Courier New" w:hAnsi="Courier New" w:cs="Courier New" w:hint="default"/>
      </w:rPr>
    </w:lvl>
    <w:lvl w:ilvl="2" w:tplc="2EE0991A" w:tentative="1">
      <w:start w:val="1"/>
      <w:numFmt w:val="bullet"/>
      <w:lvlText w:val=""/>
      <w:lvlJc w:val="left"/>
      <w:pPr>
        <w:ind w:left="1800" w:hanging="360"/>
      </w:pPr>
      <w:rPr>
        <w:rFonts w:ascii="Wingdings" w:hAnsi="Wingdings" w:hint="default"/>
      </w:rPr>
    </w:lvl>
    <w:lvl w:ilvl="3" w:tplc="0A7A6146" w:tentative="1">
      <w:start w:val="1"/>
      <w:numFmt w:val="bullet"/>
      <w:lvlText w:val=""/>
      <w:lvlJc w:val="left"/>
      <w:pPr>
        <w:ind w:left="2520" w:hanging="360"/>
      </w:pPr>
      <w:rPr>
        <w:rFonts w:ascii="Symbol" w:hAnsi="Symbol" w:hint="default"/>
      </w:rPr>
    </w:lvl>
    <w:lvl w:ilvl="4" w:tplc="27E8727A" w:tentative="1">
      <w:start w:val="1"/>
      <w:numFmt w:val="bullet"/>
      <w:lvlText w:val="o"/>
      <w:lvlJc w:val="left"/>
      <w:pPr>
        <w:ind w:left="3240" w:hanging="360"/>
      </w:pPr>
      <w:rPr>
        <w:rFonts w:ascii="Courier New" w:hAnsi="Courier New" w:cs="Courier New" w:hint="default"/>
      </w:rPr>
    </w:lvl>
    <w:lvl w:ilvl="5" w:tplc="4A228A0E" w:tentative="1">
      <w:start w:val="1"/>
      <w:numFmt w:val="bullet"/>
      <w:lvlText w:val=""/>
      <w:lvlJc w:val="left"/>
      <w:pPr>
        <w:ind w:left="3960" w:hanging="360"/>
      </w:pPr>
      <w:rPr>
        <w:rFonts w:ascii="Wingdings" w:hAnsi="Wingdings" w:hint="default"/>
      </w:rPr>
    </w:lvl>
    <w:lvl w:ilvl="6" w:tplc="9D3447EE" w:tentative="1">
      <w:start w:val="1"/>
      <w:numFmt w:val="bullet"/>
      <w:lvlText w:val=""/>
      <w:lvlJc w:val="left"/>
      <w:pPr>
        <w:ind w:left="4680" w:hanging="360"/>
      </w:pPr>
      <w:rPr>
        <w:rFonts w:ascii="Symbol" w:hAnsi="Symbol" w:hint="default"/>
      </w:rPr>
    </w:lvl>
    <w:lvl w:ilvl="7" w:tplc="E22C3A0E" w:tentative="1">
      <w:start w:val="1"/>
      <w:numFmt w:val="bullet"/>
      <w:lvlText w:val="o"/>
      <w:lvlJc w:val="left"/>
      <w:pPr>
        <w:ind w:left="5400" w:hanging="360"/>
      </w:pPr>
      <w:rPr>
        <w:rFonts w:ascii="Courier New" w:hAnsi="Courier New" w:cs="Courier New" w:hint="default"/>
      </w:rPr>
    </w:lvl>
    <w:lvl w:ilvl="8" w:tplc="8C46BF92" w:tentative="1">
      <w:start w:val="1"/>
      <w:numFmt w:val="bullet"/>
      <w:lvlText w:val=""/>
      <w:lvlJc w:val="left"/>
      <w:pPr>
        <w:ind w:left="6120" w:hanging="360"/>
      </w:pPr>
      <w:rPr>
        <w:rFonts w:ascii="Wingdings" w:hAnsi="Wingdings" w:hint="default"/>
      </w:rPr>
    </w:lvl>
  </w:abstractNum>
  <w:abstractNum w:abstractNumId="35">
    <w:nsid w:val="0000004B"/>
    <w:multiLevelType w:val="hybridMultilevel"/>
    <w:tmpl w:val="DD6AEF06"/>
    <w:lvl w:ilvl="0" w:tplc="8F788D64">
      <w:start w:val="1"/>
      <w:numFmt w:val="bullet"/>
      <w:lvlText w:val=""/>
      <w:lvlJc w:val="left"/>
      <w:pPr>
        <w:ind w:left="360" w:hanging="360"/>
      </w:pPr>
      <w:rPr>
        <w:rFonts w:ascii="Symbol" w:hAnsi="Symbol" w:hint="default"/>
      </w:rPr>
    </w:lvl>
    <w:lvl w:ilvl="1" w:tplc="D9227670" w:tentative="1">
      <w:start w:val="1"/>
      <w:numFmt w:val="bullet"/>
      <w:lvlText w:val="o"/>
      <w:lvlJc w:val="left"/>
      <w:pPr>
        <w:ind w:left="1080" w:hanging="360"/>
      </w:pPr>
      <w:rPr>
        <w:rFonts w:ascii="Courier New" w:hAnsi="Courier New" w:cs="Courier New" w:hint="default"/>
      </w:rPr>
    </w:lvl>
    <w:lvl w:ilvl="2" w:tplc="254634AA" w:tentative="1">
      <w:start w:val="1"/>
      <w:numFmt w:val="bullet"/>
      <w:lvlText w:val=""/>
      <w:lvlJc w:val="left"/>
      <w:pPr>
        <w:ind w:left="1800" w:hanging="360"/>
      </w:pPr>
      <w:rPr>
        <w:rFonts w:ascii="Wingdings" w:hAnsi="Wingdings" w:hint="default"/>
      </w:rPr>
    </w:lvl>
    <w:lvl w:ilvl="3" w:tplc="CABC16B8" w:tentative="1">
      <w:start w:val="1"/>
      <w:numFmt w:val="bullet"/>
      <w:lvlText w:val=""/>
      <w:lvlJc w:val="left"/>
      <w:pPr>
        <w:ind w:left="2520" w:hanging="360"/>
      </w:pPr>
      <w:rPr>
        <w:rFonts w:ascii="Symbol" w:hAnsi="Symbol" w:hint="default"/>
      </w:rPr>
    </w:lvl>
    <w:lvl w:ilvl="4" w:tplc="E3503340" w:tentative="1">
      <w:start w:val="1"/>
      <w:numFmt w:val="bullet"/>
      <w:lvlText w:val="o"/>
      <w:lvlJc w:val="left"/>
      <w:pPr>
        <w:ind w:left="3240" w:hanging="360"/>
      </w:pPr>
      <w:rPr>
        <w:rFonts w:ascii="Courier New" w:hAnsi="Courier New" w:cs="Courier New" w:hint="default"/>
      </w:rPr>
    </w:lvl>
    <w:lvl w:ilvl="5" w:tplc="AFA4A14A" w:tentative="1">
      <w:start w:val="1"/>
      <w:numFmt w:val="bullet"/>
      <w:lvlText w:val=""/>
      <w:lvlJc w:val="left"/>
      <w:pPr>
        <w:ind w:left="3960" w:hanging="360"/>
      </w:pPr>
      <w:rPr>
        <w:rFonts w:ascii="Wingdings" w:hAnsi="Wingdings" w:hint="default"/>
      </w:rPr>
    </w:lvl>
    <w:lvl w:ilvl="6" w:tplc="2ECCB9FA" w:tentative="1">
      <w:start w:val="1"/>
      <w:numFmt w:val="bullet"/>
      <w:lvlText w:val=""/>
      <w:lvlJc w:val="left"/>
      <w:pPr>
        <w:ind w:left="4680" w:hanging="360"/>
      </w:pPr>
      <w:rPr>
        <w:rFonts w:ascii="Symbol" w:hAnsi="Symbol" w:hint="default"/>
      </w:rPr>
    </w:lvl>
    <w:lvl w:ilvl="7" w:tplc="43B84072" w:tentative="1">
      <w:start w:val="1"/>
      <w:numFmt w:val="bullet"/>
      <w:lvlText w:val="o"/>
      <w:lvlJc w:val="left"/>
      <w:pPr>
        <w:ind w:left="5400" w:hanging="360"/>
      </w:pPr>
      <w:rPr>
        <w:rFonts w:ascii="Courier New" w:hAnsi="Courier New" w:cs="Courier New" w:hint="default"/>
      </w:rPr>
    </w:lvl>
    <w:lvl w:ilvl="8" w:tplc="CE6E0232" w:tentative="1">
      <w:start w:val="1"/>
      <w:numFmt w:val="bullet"/>
      <w:lvlText w:val=""/>
      <w:lvlJc w:val="left"/>
      <w:pPr>
        <w:ind w:left="6120" w:hanging="360"/>
      </w:pPr>
      <w:rPr>
        <w:rFonts w:ascii="Wingdings" w:hAnsi="Wingdings" w:hint="default"/>
      </w:rPr>
    </w:lvl>
  </w:abstractNum>
  <w:abstractNum w:abstractNumId="36">
    <w:nsid w:val="0000004E"/>
    <w:multiLevelType w:val="multilevel"/>
    <w:tmpl w:val="8E0E4E5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nsid w:val="0000004F"/>
    <w:multiLevelType w:val="multilevel"/>
    <w:tmpl w:val="6FCEBCA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nsid w:val="00000050"/>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nsid w:val="00000051"/>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00000052"/>
    <w:multiLevelType w:val="multilevel"/>
    <w:tmpl w:val="253020C6"/>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00000056"/>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00000057"/>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00000058"/>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00000059"/>
    <w:multiLevelType w:val="multilevel"/>
    <w:tmpl w:val="57FE05E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45">
    <w:nsid w:val="0000005A"/>
    <w:multiLevelType w:val="multilevel"/>
    <w:tmpl w:val="CF663BF4"/>
    <w:lvl w:ilvl="0">
      <w:start w:val="4"/>
      <w:numFmt w:val="none"/>
      <w:lvlText w:val="2"/>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nsid w:val="0000005B"/>
    <w:multiLevelType w:val="hybridMultilevel"/>
    <w:tmpl w:val="A61ACEF2"/>
    <w:lvl w:ilvl="0" w:tplc="9D3C6C72">
      <w:numFmt w:val="bullet"/>
      <w:lvlText w:val="-"/>
      <w:lvlJc w:val="left"/>
      <w:pPr>
        <w:tabs>
          <w:tab w:val="num" w:pos="720"/>
        </w:tabs>
        <w:ind w:left="720" w:hanging="360"/>
      </w:pPr>
      <w:rPr>
        <w:rFonts w:ascii="Futura Lt BT" w:hAnsi="Futura Lt BT" w:cs="Times New Roman" w:hint="default"/>
      </w:rPr>
    </w:lvl>
    <w:lvl w:ilvl="1" w:tplc="AA563540">
      <w:start w:val="1"/>
      <w:numFmt w:val="bullet"/>
      <w:lvlText w:val="o"/>
      <w:lvlJc w:val="left"/>
      <w:pPr>
        <w:tabs>
          <w:tab w:val="num" w:pos="1440"/>
        </w:tabs>
        <w:ind w:left="1440" w:hanging="360"/>
      </w:pPr>
      <w:rPr>
        <w:rFonts w:ascii="Courier New" w:hAnsi="Courier New" w:cs="Courier New" w:hint="default"/>
      </w:rPr>
    </w:lvl>
    <w:lvl w:ilvl="2" w:tplc="6ABAF9EA" w:tentative="1">
      <w:start w:val="1"/>
      <w:numFmt w:val="bullet"/>
      <w:lvlText w:val=""/>
      <w:lvlJc w:val="left"/>
      <w:pPr>
        <w:tabs>
          <w:tab w:val="num" w:pos="2160"/>
        </w:tabs>
        <w:ind w:left="2160" w:hanging="360"/>
      </w:pPr>
      <w:rPr>
        <w:rFonts w:ascii="Wingdings" w:hAnsi="Wingdings" w:hint="default"/>
      </w:rPr>
    </w:lvl>
    <w:lvl w:ilvl="3" w:tplc="24600360" w:tentative="1">
      <w:start w:val="1"/>
      <w:numFmt w:val="bullet"/>
      <w:lvlText w:val=""/>
      <w:lvlJc w:val="left"/>
      <w:pPr>
        <w:tabs>
          <w:tab w:val="num" w:pos="2880"/>
        </w:tabs>
        <w:ind w:left="2880" w:hanging="360"/>
      </w:pPr>
      <w:rPr>
        <w:rFonts w:ascii="Symbol" w:hAnsi="Symbol" w:hint="default"/>
      </w:rPr>
    </w:lvl>
    <w:lvl w:ilvl="4" w:tplc="CF7C5436" w:tentative="1">
      <w:start w:val="1"/>
      <w:numFmt w:val="bullet"/>
      <w:lvlText w:val="o"/>
      <w:lvlJc w:val="left"/>
      <w:pPr>
        <w:tabs>
          <w:tab w:val="num" w:pos="3600"/>
        </w:tabs>
        <w:ind w:left="3600" w:hanging="360"/>
      </w:pPr>
      <w:rPr>
        <w:rFonts w:ascii="Courier New" w:hAnsi="Courier New" w:cs="Courier New" w:hint="default"/>
      </w:rPr>
    </w:lvl>
    <w:lvl w:ilvl="5" w:tplc="ED8A5E14" w:tentative="1">
      <w:start w:val="1"/>
      <w:numFmt w:val="bullet"/>
      <w:lvlText w:val=""/>
      <w:lvlJc w:val="left"/>
      <w:pPr>
        <w:tabs>
          <w:tab w:val="num" w:pos="4320"/>
        </w:tabs>
        <w:ind w:left="4320" w:hanging="360"/>
      </w:pPr>
      <w:rPr>
        <w:rFonts w:ascii="Wingdings" w:hAnsi="Wingdings" w:hint="default"/>
      </w:rPr>
    </w:lvl>
    <w:lvl w:ilvl="6" w:tplc="B4BC0304" w:tentative="1">
      <w:start w:val="1"/>
      <w:numFmt w:val="bullet"/>
      <w:lvlText w:val=""/>
      <w:lvlJc w:val="left"/>
      <w:pPr>
        <w:tabs>
          <w:tab w:val="num" w:pos="5040"/>
        </w:tabs>
        <w:ind w:left="5040" w:hanging="360"/>
      </w:pPr>
      <w:rPr>
        <w:rFonts w:ascii="Symbol" w:hAnsi="Symbol" w:hint="default"/>
      </w:rPr>
    </w:lvl>
    <w:lvl w:ilvl="7" w:tplc="ED5C9246" w:tentative="1">
      <w:start w:val="1"/>
      <w:numFmt w:val="bullet"/>
      <w:lvlText w:val="o"/>
      <w:lvlJc w:val="left"/>
      <w:pPr>
        <w:tabs>
          <w:tab w:val="num" w:pos="5760"/>
        </w:tabs>
        <w:ind w:left="5760" w:hanging="360"/>
      </w:pPr>
      <w:rPr>
        <w:rFonts w:ascii="Courier New" w:hAnsi="Courier New" w:cs="Courier New" w:hint="default"/>
      </w:rPr>
    </w:lvl>
    <w:lvl w:ilvl="8" w:tplc="F9862164" w:tentative="1">
      <w:start w:val="1"/>
      <w:numFmt w:val="bullet"/>
      <w:lvlText w:val=""/>
      <w:lvlJc w:val="left"/>
      <w:pPr>
        <w:tabs>
          <w:tab w:val="num" w:pos="6480"/>
        </w:tabs>
        <w:ind w:left="6480" w:hanging="360"/>
      </w:pPr>
      <w:rPr>
        <w:rFonts w:ascii="Wingdings" w:hAnsi="Wingdings" w:hint="default"/>
      </w:rPr>
    </w:lvl>
  </w:abstractNum>
  <w:abstractNum w:abstractNumId="47">
    <w:nsid w:val="0000005C"/>
    <w:multiLevelType w:val="hybridMultilevel"/>
    <w:tmpl w:val="5580A1BA"/>
    <w:lvl w:ilvl="0" w:tplc="0A8E27FA">
      <w:start w:val="1"/>
      <w:numFmt w:val="decimal"/>
      <w:lvlText w:val="7.%1"/>
      <w:lvlJc w:val="left"/>
      <w:pPr>
        <w:ind w:left="720" w:hanging="360"/>
      </w:pPr>
      <w:rPr>
        <w:rFonts w:ascii="Arial" w:hAnsi="Arial" w:hint="default"/>
        <w:b/>
        <w:i w:val="0"/>
        <w:sz w:val="20"/>
      </w:rPr>
    </w:lvl>
    <w:lvl w:ilvl="1" w:tplc="11C2B178" w:tentative="1">
      <w:start w:val="1"/>
      <w:numFmt w:val="lowerLetter"/>
      <w:lvlText w:val="%2."/>
      <w:lvlJc w:val="left"/>
      <w:pPr>
        <w:ind w:left="1440" w:hanging="360"/>
      </w:pPr>
    </w:lvl>
    <w:lvl w:ilvl="2" w:tplc="D2DCFD74" w:tentative="1">
      <w:start w:val="1"/>
      <w:numFmt w:val="lowerRoman"/>
      <w:lvlText w:val="%3."/>
      <w:lvlJc w:val="right"/>
      <w:pPr>
        <w:ind w:left="2160" w:hanging="180"/>
      </w:pPr>
    </w:lvl>
    <w:lvl w:ilvl="3" w:tplc="FB1C24FE" w:tentative="1">
      <w:start w:val="1"/>
      <w:numFmt w:val="decimal"/>
      <w:lvlText w:val="%4."/>
      <w:lvlJc w:val="left"/>
      <w:pPr>
        <w:ind w:left="2880" w:hanging="360"/>
      </w:pPr>
    </w:lvl>
    <w:lvl w:ilvl="4" w:tplc="80A4A586" w:tentative="1">
      <w:start w:val="1"/>
      <w:numFmt w:val="lowerLetter"/>
      <w:lvlText w:val="%5."/>
      <w:lvlJc w:val="left"/>
      <w:pPr>
        <w:ind w:left="3600" w:hanging="360"/>
      </w:pPr>
    </w:lvl>
    <w:lvl w:ilvl="5" w:tplc="91D4F4EC" w:tentative="1">
      <w:start w:val="1"/>
      <w:numFmt w:val="lowerRoman"/>
      <w:lvlText w:val="%6."/>
      <w:lvlJc w:val="right"/>
      <w:pPr>
        <w:ind w:left="4320" w:hanging="180"/>
      </w:pPr>
    </w:lvl>
    <w:lvl w:ilvl="6" w:tplc="86481E82" w:tentative="1">
      <w:start w:val="1"/>
      <w:numFmt w:val="decimal"/>
      <w:lvlText w:val="%7."/>
      <w:lvlJc w:val="left"/>
      <w:pPr>
        <w:ind w:left="5040" w:hanging="360"/>
      </w:pPr>
    </w:lvl>
    <w:lvl w:ilvl="7" w:tplc="B3A2ED76" w:tentative="1">
      <w:start w:val="1"/>
      <w:numFmt w:val="lowerLetter"/>
      <w:lvlText w:val="%8."/>
      <w:lvlJc w:val="left"/>
      <w:pPr>
        <w:ind w:left="5760" w:hanging="360"/>
      </w:pPr>
    </w:lvl>
    <w:lvl w:ilvl="8" w:tplc="5114C314" w:tentative="1">
      <w:start w:val="1"/>
      <w:numFmt w:val="lowerRoman"/>
      <w:lvlText w:val="%9."/>
      <w:lvlJc w:val="right"/>
      <w:pPr>
        <w:ind w:left="6480" w:hanging="180"/>
      </w:pPr>
    </w:lvl>
  </w:abstractNum>
  <w:abstractNum w:abstractNumId="48">
    <w:nsid w:val="0000005D"/>
    <w:multiLevelType w:val="multilevel"/>
    <w:tmpl w:val="EA926228"/>
    <w:name w:val="WW8Num5"/>
    <w:lvl w:ilvl="0">
      <w:start w:val="1"/>
      <w:numFmt w:val="decimal"/>
      <w:pStyle w:val="Notes33"/>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9">
    <w:nsid w:val="0000005E"/>
    <w:multiLevelType w:val="hybridMultilevel"/>
    <w:tmpl w:val="F38271A4"/>
    <w:lvl w:ilvl="0" w:tplc="825EDA12">
      <w:start w:val="1"/>
      <w:numFmt w:val="bullet"/>
      <w:lvlText w:val=""/>
      <w:lvlJc w:val="left"/>
      <w:pPr>
        <w:ind w:left="720" w:hanging="360"/>
      </w:pPr>
      <w:rPr>
        <w:rFonts w:ascii="Symbol" w:hAnsi="Symbol" w:hint="default"/>
      </w:rPr>
    </w:lvl>
    <w:lvl w:ilvl="1" w:tplc="9D6A58A2">
      <w:start w:val="1"/>
      <w:numFmt w:val="bullet"/>
      <w:lvlText w:val="o"/>
      <w:lvlJc w:val="left"/>
      <w:pPr>
        <w:ind w:left="1440" w:hanging="360"/>
      </w:pPr>
      <w:rPr>
        <w:rFonts w:ascii="Courier New" w:hAnsi="Courier New" w:cs="Courier New" w:hint="default"/>
      </w:rPr>
    </w:lvl>
    <w:lvl w:ilvl="2" w:tplc="B36E077E">
      <w:start w:val="1"/>
      <w:numFmt w:val="bullet"/>
      <w:lvlText w:val=""/>
      <w:lvlJc w:val="left"/>
      <w:pPr>
        <w:ind w:left="2160" w:hanging="360"/>
      </w:pPr>
      <w:rPr>
        <w:rFonts w:ascii="Wingdings" w:hAnsi="Wingdings" w:hint="default"/>
      </w:rPr>
    </w:lvl>
    <w:lvl w:ilvl="3" w:tplc="D7BA763E">
      <w:start w:val="1"/>
      <w:numFmt w:val="bullet"/>
      <w:lvlText w:val=""/>
      <w:lvlJc w:val="left"/>
      <w:pPr>
        <w:ind w:left="2880" w:hanging="360"/>
      </w:pPr>
      <w:rPr>
        <w:rFonts w:ascii="Symbol" w:hAnsi="Symbol" w:hint="default"/>
      </w:rPr>
    </w:lvl>
    <w:lvl w:ilvl="4" w:tplc="B048530E">
      <w:start w:val="1"/>
      <w:numFmt w:val="bullet"/>
      <w:lvlText w:val="o"/>
      <w:lvlJc w:val="left"/>
      <w:pPr>
        <w:ind w:left="3600" w:hanging="360"/>
      </w:pPr>
      <w:rPr>
        <w:rFonts w:ascii="Courier New" w:hAnsi="Courier New" w:cs="Courier New" w:hint="default"/>
      </w:rPr>
    </w:lvl>
    <w:lvl w:ilvl="5" w:tplc="D8F0F81A">
      <w:start w:val="1"/>
      <w:numFmt w:val="bullet"/>
      <w:lvlText w:val=""/>
      <w:lvlJc w:val="left"/>
      <w:pPr>
        <w:ind w:left="4320" w:hanging="360"/>
      </w:pPr>
      <w:rPr>
        <w:rFonts w:ascii="Wingdings" w:hAnsi="Wingdings" w:hint="default"/>
      </w:rPr>
    </w:lvl>
    <w:lvl w:ilvl="6" w:tplc="C6C4D9A8">
      <w:start w:val="1"/>
      <w:numFmt w:val="bullet"/>
      <w:lvlText w:val=""/>
      <w:lvlJc w:val="left"/>
      <w:pPr>
        <w:ind w:left="5040" w:hanging="360"/>
      </w:pPr>
      <w:rPr>
        <w:rFonts w:ascii="Symbol" w:hAnsi="Symbol" w:hint="default"/>
      </w:rPr>
    </w:lvl>
    <w:lvl w:ilvl="7" w:tplc="AC560DFC">
      <w:start w:val="1"/>
      <w:numFmt w:val="bullet"/>
      <w:lvlText w:val="o"/>
      <w:lvlJc w:val="left"/>
      <w:pPr>
        <w:ind w:left="5760" w:hanging="360"/>
      </w:pPr>
      <w:rPr>
        <w:rFonts w:ascii="Courier New" w:hAnsi="Courier New" w:cs="Courier New" w:hint="default"/>
      </w:rPr>
    </w:lvl>
    <w:lvl w:ilvl="8" w:tplc="B8089AEA">
      <w:start w:val="1"/>
      <w:numFmt w:val="bullet"/>
      <w:lvlText w:val=""/>
      <w:lvlJc w:val="left"/>
      <w:pPr>
        <w:ind w:left="6480" w:hanging="360"/>
      </w:pPr>
      <w:rPr>
        <w:rFonts w:ascii="Wingdings" w:hAnsi="Wingdings" w:hint="default"/>
      </w:rPr>
    </w:lvl>
  </w:abstractNum>
  <w:abstractNum w:abstractNumId="50">
    <w:nsid w:val="02757792"/>
    <w:multiLevelType w:val="multilevel"/>
    <w:tmpl w:val="2954DEB0"/>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03102962"/>
    <w:multiLevelType w:val="hybridMultilevel"/>
    <w:tmpl w:val="961E7940"/>
    <w:lvl w:ilvl="0" w:tplc="1990F422">
      <w:start w:val="1"/>
      <w:numFmt w:val="bullet"/>
      <w:lvlText w:val=""/>
      <w:lvlJc w:val="left"/>
      <w:pPr>
        <w:ind w:left="720" w:hanging="360"/>
      </w:pPr>
      <w:rPr>
        <w:rFonts w:ascii="Symbol" w:hAnsi="Symbol" w:hint="default"/>
      </w:rPr>
    </w:lvl>
    <w:lvl w:ilvl="1" w:tplc="6422FFBA" w:tentative="1">
      <w:start w:val="1"/>
      <w:numFmt w:val="bullet"/>
      <w:lvlText w:val="o"/>
      <w:lvlJc w:val="left"/>
      <w:pPr>
        <w:ind w:left="1440" w:hanging="360"/>
      </w:pPr>
      <w:rPr>
        <w:rFonts w:ascii="Courier New" w:hAnsi="Courier New" w:cs="Courier New" w:hint="default"/>
      </w:rPr>
    </w:lvl>
    <w:lvl w:ilvl="2" w:tplc="39BA1B58" w:tentative="1">
      <w:start w:val="1"/>
      <w:numFmt w:val="bullet"/>
      <w:lvlText w:val=""/>
      <w:lvlJc w:val="left"/>
      <w:pPr>
        <w:ind w:left="2160" w:hanging="360"/>
      </w:pPr>
      <w:rPr>
        <w:rFonts w:ascii="Wingdings" w:hAnsi="Wingdings" w:hint="default"/>
      </w:rPr>
    </w:lvl>
    <w:lvl w:ilvl="3" w:tplc="6B4E267E" w:tentative="1">
      <w:start w:val="1"/>
      <w:numFmt w:val="bullet"/>
      <w:lvlText w:val=""/>
      <w:lvlJc w:val="left"/>
      <w:pPr>
        <w:ind w:left="2880" w:hanging="360"/>
      </w:pPr>
      <w:rPr>
        <w:rFonts w:ascii="Symbol" w:hAnsi="Symbol" w:hint="default"/>
      </w:rPr>
    </w:lvl>
    <w:lvl w:ilvl="4" w:tplc="1B32B318" w:tentative="1">
      <w:start w:val="1"/>
      <w:numFmt w:val="bullet"/>
      <w:lvlText w:val="o"/>
      <w:lvlJc w:val="left"/>
      <w:pPr>
        <w:ind w:left="3600" w:hanging="360"/>
      </w:pPr>
      <w:rPr>
        <w:rFonts w:ascii="Courier New" w:hAnsi="Courier New" w:cs="Courier New" w:hint="default"/>
      </w:rPr>
    </w:lvl>
    <w:lvl w:ilvl="5" w:tplc="486CB30A" w:tentative="1">
      <w:start w:val="1"/>
      <w:numFmt w:val="bullet"/>
      <w:lvlText w:val=""/>
      <w:lvlJc w:val="left"/>
      <w:pPr>
        <w:ind w:left="4320" w:hanging="360"/>
      </w:pPr>
      <w:rPr>
        <w:rFonts w:ascii="Wingdings" w:hAnsi="Wingdings" w:hint="default"/>
      </w:rPr>
    </w:lvl>
    <w:lvl w:ilvl="6" w:tplc="F75E71EA" w:tentative="1">
      <w:start w:val="1"/>
      <w:numFmt w:val="bullet"/>
      <w:lvlText w:val=""/>
      <w:lvlJc w:val="left"/>
      <w:pPr>
        <w:ind w:left="5040" w:hanging="360"/>
      </w:pPr>
      <w:rPr>
        <w:rFonts w:ascii="Symbol" w:hAnsi="Symbol" w:hint="default"/>
      </w:rPr>
    </w:lvl>
    <w:lvl w:ilvl="7" w:tplc="A0520A1E" w:tentative="1">
      <w:start w:val="1"/>
      <w:numFmt w:val="bullet"/>
      <w:lvlText w:val="o"/>
      <w:lvlJc w:val="left"/>
      <w:pPr>
        <w:ind w:left="5760" w:hanging="360"/>
      </w:pPr>
      <w:rPr>
        <w:rFonts w:ascii="Courier New" w:hAnsi="Courier New" w:cs="Courier New" w:hint="default"/>
      </w:rPr>
    </w:lvl>
    <w:lvl w:ilvl="8" w:tplc="61A8D136" w:tentative="1">
      <w:start w:val="1"/>
      <w:numFmt w:val="bullet"/>
      <w:lvlText w:val=""/>
      <w:lvlJc w:val="left"/>
      <w:pPr>
        <w:ind w:left="6480" w:hanging="360"/>
      </w:pPr>
      <w:rPr>
        <w:rFonts w:ascii="Wingdings" w:hAnsi="Wingdings" w:hint="default"/>
      </w:rPr>
    </w:lvl>
  </w:abstractNum>
  <w:abstractNum w:abstractNumId="52">
    <w:nsid w:val="04CA6A9E"/>
    <w:multiLevelType w:val="hybridMultilevel"/>
    <w:tmpl w:val="0A48DF3A"/>
    <w:lvl w:ilvl="0" w:tplc="F54CEF42">
      <w:start w:val="293"/>
      <w:numFmt w:val="bullet"/>
      <w:lvlText w:val="-"/>
      <w:lvlJc w:val="left"/>
      <w:pPr>
        <w:ind w:left="720" w:hanging="360"/>
      </w:pPr>
      <w:rPr>
        <w:rFonts w:ascii="Arial" w:hAnsi="Arial" w:cs="Arial" w:hint="default"/>
      </w:rPr>
    </w:lvl>
    <w:lvl w:ilvl="1" w:tplc="6DF25592" w:tentative="1">
      <w:start w:val="1"/>
      <w:numFmt w:val="bullet"/>
      <w:lvlText w:val="o"/>
      <w:lvlJc w:val="left"/>
      <w:pPr>
        <w:ind w:left="1440" w:hanging="360"/>
      </w:pPr>
      <w:rPr>
        <w:rFonts w:ascii="Courier New" w:hAnsi="Courier New" w:cs="Courier New" w:hint="default"/>
      </w:rPr>
    </w:lvl>
    <w:lvl w:ilvl="2" w:tplc="374A8FF4" w:tentative="1">
      <w:start w:val="1"/>
      <w:numFmt w:val="bullet"/>
      <w:lvlText w:val=""/>
      <w:lvlJc w:val="left"/>
      <w:pPr>
        <w:ind w:left="2160" w:hanging="360"/>
      </w:pPr>
      <w:rPr>
        <w:rFonts w:ascii="Wingdings" w:hAnsi="Wingdings" w:hint="default"/>
      </w:rPr>
    </w:lvl>
    <w:lvl w:ilvl="3" w:tplc="FEAEFE04" w:tentative="1">
      <w:start w:val="1"/>
      <w:numFmt w:val="bullet"/>
      <w:lvlText w:val=""/>
      <w:lvlJc w:val="left"/>
      <w:pPr>
        <w:ind w:left="2880" w:hanging="360"/>
      </w:pPr>
      <w:rPr>
        <w:rFonts w:ascii="Symbol" w:hAnsi="Symbol" w:hint="default"/>
      </w:rPr>
    </w:lvl>
    <w:lvl w:ilvl="4" w:tplc="A0C6588A" w:tentative="1">
      <w:start w:val="1"/>
      <w:numFmt w:val="bullet"/>
      <w:lvlText w:val="o"/>
      <w:lvlJc w:val="left"/>
      <w:pPr>
        <w:ind w:left="3600" w:hanging="360"/>
      </w:pPr>
      <w:rPr>
        <w:rFonts w:ascii="Courier New" w:hAnsi="Courier New" w:cs="Courier New" w:hint="default"/>
      </w:rPr>
    </w:lvl>
    <w:lvl w:ilvl="5" w:tplc="239EEBE2" w:tentative="1">
      <w:start w:val="1"/>
      <w:numFmt w:val="bullet"/>
      <w:lvlText w:val=""/>
      <w:lvlJc w:val="left"/>
      <w:pPr>
        <w:ind w:left="4320" w:hanging="360"/>
      </w:pPr>
      <w:rPr>
        <w:rFonts w:ascii="Wingdings" w:hAnsi="Wingdings" w:hint="default"/>
      </w:rPr>
    </w:lvl>
    <w:lvl w:ilvl="6" w:tplc="BEFC49AA" w:tentative="1">
      <w:start w:val="1"/>
      <w:numFmt w:val="bullet"/>
      <w:lvlText w:val=""/>
      <w:lvlJc w:val="left"/>
      <w:pPr>
        <w:ind w:left="5040" w:hanging="360"/>
      </w:pPr>
      <w:rPr>
        <w:rFonts w:ascii="Symbol" w:hAnsi="Symbol" w:hint="default"/>
      </w:rPr>
    </w:lvl>
    <w:lvl w:ilvl="7" w:tplc="8E7A6274" w:tentative="1">
      <w:start w:val="1"/>
      <w:numFmt w:val="bullet"/>
      <w:lvlText w:val="o"/>
      <w:lvlJc w:val="left"/>
      <w:pPr>
        <w:ind w:left="5760" w:hanging="360"/>
      </w:pPr>
      <w:rPr>
        <w:rFonts w:ascii="Courier New" w:hAnsi="Courier New" w:cs="Courier New" w:hint="default"/>
      </w:rPr>
    </w:lvl>
    <w:lvl w:ilvl="8" w:tplc="85E05144" w:tentative="1">
      <w:start w:val="1"/>
      <w:numFmt w:val="bullet"/>
      <w:lvlText w:val=""/>
      <w:lvlJc w:val="left"/>
      <w:pPr>
        <w:ind w:left="6480" w:hanging="360"/>
      </w:pPr>
      <w:rPr>
        <w:rFonts w:ascii="Wingdings" w:hAnsi="Wingdings" w:hint="default"/>
      </w:rPr>
    </w:lvl>
  </w:abstractNum>
  <w:abstractNum w:abstractNumId="53">
    <w:nsid w:val="0FE86C15"/>
    <w:multiLevelType w:val="multilevel"/>
    <w:tmpl w:val="26DC494C"/>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4">
    <w:nsid w:val="10913F8E"/>
    <w:multiLevelType w:val="multilevel"/>
    <w:tmpl w:val="89982904"/>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3"/>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nsid w:val="141809CF"/>
    <w:multiLevelType w:val="multilevel"/>
    <w:tmpl w:val="C1624C22"/>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1"/>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nsid w:val="199F1DAA"/>
    <w:multiLevelType w:val="hybridMultilevel"/>
    <w:tmpl w:val="1248AB5A"/>
    <w:lvl w:ilvl="0" w:tplc="2F401366">
      <w:start w:val="1"/>
      <w:numFmt w:val="decimal"/>
      <w:pStyle w:val="Textstand-alonenumberingJustified"/>
      <w:lvlText w:val="(%1)"/>
      <w:lvlJc w:val="left"/>
      <w:pPr>
        <w:ind w:left="720" w:hanging="360"/>
      </w:pPr>
      <w:rPr>
        <w:rFonts w:ascii="Verdana" w:hAnsi="Verdana" w:hint="default"/>
        <w:b w:val="0"/>
        <w:i w:val="0"/>
        <w:sz w:val="18"/>
      </w:rPr>
    </w:lvl>
    <w:lvl w:ilvl="1" w:tplc="A0E6FE98" w:tentative="1">
      <w:start w:val="1"/>
      <w:numFmt w:val="lowerLetter"/>
      <w:lvlText w:val="%2."/>
      <w:lvlJc w:val="left"/>
      <w:pPr>
        <w:ind w:left="1440" w:hanging="360"/>
      </w:pPr>
    </w:lvl>
    <w:lvl w:ilvl="2" w:tplc="AD0AF64A" w:tentative="1">
      <w:start w:val="1"/>
      <w:numFmt w:val="lowerRoman"/>
      <w:lvlText w:val="%3."/>
      <w:lvlJc w:val="right"/>
      <w:pPr>
        <w:ind w:left="2160" w:hanging="180"/>
      </w:pPr>
    </w:lvl>
    <w:lvl w:ilvl="3" w:tplc="1D44142C" w:tentative="1">
      <w:start w:val="1"/>
      <w:numFmt w:val="decimal"/>
      <w:lvlText w:val="%4."/>
      <w:lvlJc w:val="left"/>
      <w:pPr>
        <w:ind w:left="2880" w:hanging="360"/>
      </w:pPr>
    </w:lvl>
    <w:lvl w:ilvl="4" w:tplc="63763DB4" w:tentative="1">
      <w:start w:val="1"/>
      <w:numFmt w:val="lowerLetter"/>
      <w:lvlText w:val="%5."/>
      <w:lvlJc w:val="left"/>
      <w:pPr>
        <w:ind w:left="3600" w:hanging="360"/>
      </w:pPr>
    </w:lvl>
    <w:lvl w:ilvl="5" w:tplc="AABA3C48" w:tentative="1">
      <w:start w:val="1"/>
      <w:numFmt w:val="lowerRoman"/>
      <w:lvlText w:val="%6."/>
      <w:lvlJc w:val="right"/>
      <w:pPr>
        <w:ind w:left="4320" w:hanging="180"/>
      </w:pPr>
    </w:lvl>
    <w:lvl w:ilvl="6" w:tplc="1124D72E" w:tentative="1">
      <w:start w:val="1"/>
      <w:numFmt w:val="decimal"/>
      <w:lvlText w:val="%7."/>
      <w:lvlJc w:val="left"/>
      <w:pPr>
        <w:ind w:left="5040" w:hanging="360"/>
      </w:pPr>
    </w:lvl>
    <w:lvl w:ilvl="7" w:tplc="9984C970" w:tentative="1">
      <w:start w:val="1"/>
      <w:numFmt w:val="lowerLetter"/>
      <w:lvlText w:val="%8."/>
      <w:lvlJc w:val="left"/>
      <w:pPr>
        <w:ind w:left="5760" w:hanging="360"/>
      </w:pPr>
    </w:lvl>
    <w:lvl w:ilvl="8" w:tplc="591C0D10" w:tentative="1">
      <w:start w:val="1"/>
      <w:numFmt w:val="lowerRoman"/>
      <w:lvlText w:val="%9."/>
      <w:lvlJc w:val="right"/>
      <w:pPr>
        <w:ind w:left="6480" w:hanging="180"/>
      </w:pPr>
    </w:lvl>
  </w:abstractNum>
  <w:abstractNum w:abstractNumId="57">
    <w:nsid w:val="1AE3289D"/>
    <w:multiLevelType w:val="hybridMultilevel"/>
    <w:tmpl w:val="7F8C9CF8"/>
    <w:lvl w:ilvl="0" w:tplc="C9FC51FE">
      <w:start w:val="4"/>
      <w:numFmt w:val="bullet"/>
      <w:lvlText w:val="•"/>
      <w:lvlJc w:val="left"/>
      <w:pPr>
        <w:ind w:left="720" w:hanging="360"/>
      </w:pPr>
      <w:rPr>
        <w:rFonts w:ascii="Verdana" w:eastAsia="Times New Roman" w:hAnsi="Verdana" w:cs="Times New Roman" w:hint="default"/>
      </w:rPr>
    </w:lvl>
    <w:lvl w:ilvl="1" w:tplc="FF7E52F6" w:tentative="1">
      <w:start w:val="1"/>
      <w:numFmt w:val="bullet"/>
      <w:lvlText w:val="o"/>
      <w:lvlJc w:val="left"/>
      <w:pPr>
        <w:ind w:left="1440" w:hanging="360"/>
      </w:pPr>
      <w:rPr>
        <w:rFonts w:ascii="Courier New" w:hAnsi="Courier New" w:cs="Courier New" w:hint="default"/>
      </w:rPr>
    </w:lvl>
    <w:lvl w:ilvl="2" w:tplc="FF8A057E" w:tentative="1">
      <w:start w:val="1"/>
      <w:numFmt w:val="bullet"/>
      <w:lvlText w:val=""/>
      <w:lvlJc w:val="left"/>
      <w:pPr>
        <w:ind w:left="2160" w:hanging="360"/>
      </w:pPr>
      <w:rPr>
        <w:rFonts w:ascii="Wingdings" w:hAnsi="Wingdings" w:hint="default"/>
      </w:rPr>
    </w:lvl>
    <w:lvl w:ilvl="3" w:tplc="324AC5B0" w:tentative="1">
      <w:start w:val="1"/>
      <w:numFmt w:val="bullet"/>
      <w:lvlText w:val=""/>
      <w:lvlJc w:val="left"/>
      <w:pPr>
        <w:ind w:left="2880" w:hanging="360"/>
      </w:pPr>
      <w:rPr>
        <w:rFonts w:ascii="Symbol" w:hAnsi="Symbol" w:hint="default"/>
      </w:rPr>
    </w:lvl>
    <w:lvl w:ilvl="4" w:tplc="A6B852AE" w:tentative="1">
      <w:start w:val="1"/>
      <w:numFmt w:val="bullet"/>
      <w:lvlText w:val="o"/>
      <w:lvlJc w:val="left"/>
      <w:pPr>
        <w:ind w:left="3600" w:hanging="360"/>
      </w:pPr>
      <w:rPr>
        <w:rFonts w:ascii="Courier New" w:hAnsi="Courier New" w:cs="Courier New" w:hint="default"/>
      </w:rPr>
    </w:lvl>
    <w:lvl w:ilvl="5" w:tplc="49361AD8" w:tentative="1">
      <w:start w:val="1"/>
      <w:numFmt w:val="bullet"/>
      <w:lvlText w:val=""/>
      <w:lvlJc w:val="left"/>
      <w:pPr>
        <w:ind w:left="4320" w:hanging="360"/>
      </w:pPr>
      <w:rPr>
        <w:rFonts w:ascii="Wingdings" w:hAnsi="Wingdings" w:hint="default"/>
      </w:rPr>
    </w:lvl>
    <w:lvl w:ilvl="6" w:tplc="2AE86EC2" w:tentative="1">
      <w:start w:val="1"/>
      <w:numFmt w:val="bullet"/>
      <w:lvlText w:val=""/>
      <w:lvlJc w:val="left"/>
      <w:pPr>
        <w:ind w:left="5040" w:hanging="360"/>
      </w:pPr>
      <w:rPr>
        <w:rFonts w:ascii="Symbol" w:hAnsi="Symbol" w:hint="default"/>
      </w:rPr>
    </w:lvl>
    <w:lvl w:ilvl="7" w:tplc="78248792" w:tentative="1">
      <w:start w:val="1"/>
      <w:numFmt w:val="bullet"/>
      <w:lvlText w:val="o"/>
      <w:lvlJc w:val="left"/>
      <w:pPr>
        <w:ind w:left="5760" w:hanging="360"/>
      </w:pPr>
      <w:rPr>
        <w:rFonts w:ascii="Courier New" w:hAnsi="Courier New" w:cs="Courier New" w:hint="default"/>
      </w:rPr>
    </w:lvl>
    <w:lvl w:ilvl="8" w:tplc="7EA62F4A" w:tentative="1">
      <w:start w:val="1"/>
      <w:numFmt w:val="bullet"/>
      <w:lvlText w:val=""/>
      <w:lvlJc w:val="left"/>
      <w:pPr>
        <w:ind w:left="6480" w:hanging="360"/>
      </w:pPr>
      <w:rPr>
        <w:rFonts w:ascii="Wingdings" w:hAnsi="Wingdings" w:hint="default"/>
      </w:rPr>
    </w:lvl>
  </w:abstractNum>
  <w:abstractNum w:abstractNumId="58">
    <w:nsid w:val="1C6329C6"/>
    <w:multiLevelType w:val="multilevel"/>
    <w:tmpl w:val="42947850"/>
    <w:lvl w:ilvl="0">
      <w:start w:val="2"/>
      <w:numFmt w:val="decimal"/>
      <w:lvlText w:val="%1"/>
      <w:lvlJc w:val="left"/>
      <w:pPr>
        <w:ind w:left="360" w:hanging="360"/>
      </w:pPr>
      <w:rPr>
        <w:rFonts w:hint="default"/>
      </w:rPr>
    </w:lvl>
    <w:lvl w:ilvl="1">
      <w:start w:val="2"/>
      <w:numFmt w:val="none"/>
      <w:lvlText w:val="2.2"/>
      <w:lvlJc w:val="left"/>
      <w:pPr>
        <w:ind w:left="360" w:hanging="360"/>
      </w:pPr>
      <w:rPr>
        <w:rFonts w:hint="default"/>
        <w:b/>
      </w:rPr>
    </w:lvl>
    <w:lvl w:ilvl="2">
      <w:start w:val="1"/>
      <w:numFmt w:val="none"/>
      <w:lvlText w:val="2.4.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9">
    <w:nsid w:val="203C5556"/>
    <w:multiLevelType w:val="hybridMultilevel"/>
    <w:tmpl w:val="8B085520"/>
    <w:lvl w:ilvl="0" w:tplc="394C65FC">
      <w:start w:val="1"/>
      <w:numFmt w:val="bullet"/>
      <w:lvlText w:val=""/>
      <w:lvlJc w:val="left"/>
      <w:pPr>
        <w:ind w:left="720" w:hanging="360"/>
      </w:pPr>
      <w:rPr>
        <w:rFonts w:ascii="Symbol" w:hAnsi="Symbol" w:hint="default"/>
      </w:rPr>
    </w:lvl>
    <w:lvl w:ilvl="1" w:tplc="F33A7A20" w:tentative="1">
      <w:start w:val="1"/>
      <w:numFmt w:val="bullet"/>
      <w:lvlText w:val="o"/>
      <w:lvlJc w:val="left"/>
      <w:pPr>
        <w:ind w:left="1440" w:hanging="360"/>
      </w:pPr>
      <w:rPr>
        <w:rFonts w:ascii="Courier New" w:hAnsi="Courier New" w:cs="Courier New" w:hint="default"/>
      </w:rPr>
    </w:lvl>
    <w:lvl w:ilvl="2" w:tplc="8FC605D0" w:tentative="1">
      <w:start w:val="1"/>
      <w:numFmt w:val="bullet"/>
      <w:lvlText w:val=""/>
      <w:lvlJc w:val="left"/>
      <w:pPr>
        <w:ind w:left="2160" w:hanging="360"/>
      </w:pPr>
      <w:rPr>
        <w:rFonts w:ascii="Wingdings" w:hAnsi="Wingdings" w:hint="default"/>
      </w:rPr>
    </w:lvl>
    <w:lvl w:ilvl="3" w:tplc="5A3411A0" w:tentative="1">
      <w:start w:val="1"/>
      <w:numFmt w:val="bullet"/>
      <w:lvlText w:val=""/>
      <w:lvlJc w:val="left"/>
      <w:pPr>
        <w:ind w:left="2880" w:hanging="360"/>
      </w:pPr>
      <w:rPr>
        <w:rFonts w:ascii="Symbol" w:hAnsi="Symbol" w:hint="default"/>
      </w:rPr>
    </w:lvl>
    <w:lvl w:ilvl="4" w:tplc="A7C4AD34" w:tentative="1">
      <w:start w:val="1"/>
      <w:numFmt w:val="bullet"/>
      <w:lvlText w:val="o"/>
      <w:lvlJc w:val="left"/>
      <w:pPr>
        <w:ind w:left="3600" w:hanging="360"/>
      </w:pPr>
      <w:rPr>
        <w:rFonts w:ascii="Courier New" w:hAnsi="Courier New" w:cs="Courier New" w:hint="default"/>
      </w:rPr>
    </w:lvl>
    <w:lvl w:ilvl="5" w:tplc="523058AE" w:tentative="1">
      <w:start w:val="1"/>
      <w:numFmt w:val="bullet"/>
      <w:lvlText w:val=""/>
      <w:lvlJc w:val="left"/>
      <w:pPr>
        <w:ind w:left="4320" w:hanging="360"/>
      </w:pPr>
      <w:rPr>
        <w:rFonts w:ascii="Wingdings" w:hAnsi="Wingdings" w:hint="default"/>
      </w:rPr>
    </w:lvl>
    <w:lvl w:ilvl="6" w:tplc="9B0486C2" w:tentative="1">
      <w:start w:val="1"/>
      <w:numFmt w:val="bullet"/>
      <w:lvlText w:val=""/>
      <w:lvlJc w:val="left"/>
      <w:pPr>
        <w:ind w:left="5040" w:hanging="360"/>
      </w:pPr>
      <w:rPr>
        <w:rFonts w:ascii="Symbol" w:hAnsi="Symbol" w:hint="default"/>
      </w:rPr>
    </w:lvl>
    <w:lvl w:ilvl="7" w:tplc="447C94FE" w:tentative="1">
      <w:start w:val="1"/>
      <w:numFmt w:val="bullet"/>
      <w:lvlText w:val="o"/>
      <w:lvlJc w:val="left"/>
      <w:pPr>
        <w:ind w:left="5760" w:hanging="360"/>
      </w:pPr>
      <w:rPr>
        <w:rFonts w:ascii="Courier New" w:hAnsi="Courier New" w:cs="Courier New" w:hint="default"/>
      </w:rPr>
    </w:lvl>
    <w:lvl w:ilvl="8" w:tplc="4D3431BC" w:tentative="1">
      <w:start w:val="1"/>
      <w:numFmt w:val="bullet"/>
      <w:lvlText w:val=""/>
      <w:lvlJc w:val="left"/>
      <w:pPr>
        <w:ind w:left="6480" w:hanging="360"/>
      </w:pPr>
      <w:rPr>
        <w:rFonts w:ascii="Wingdings" w:hAnsi="Wingdings" w:hint="default"/>
      </w:rPr>
    </w:lvl>
  </w:abstractNum>
  <w:abstractNum w:abstractNumId="60">
    <w:nsid w:val="218A73E4"/>
    <w:multiLevelType w:val="hybridMultilevel"/>
    <w:tmpl w:val="67B2B65A"/>
    <w:lvl w:ilvl="0" w:tplc="2FAA0894">
      <w:start w:val="1"/>
      <w:numFmt w:val="lowerRoman"/>
      <w:lvlText w:val="%1."/>
      <w:lvlJc w:val="right"/>
      <w:pPr>
        <w:ind w:left="720" w:hanging="360"/>
      </w:pPr>
    </w:lvl>
    <w:lvl w:ilvl="1" w:tplc="86C4A3A0" w:tentative="1">
      <w:start w:val="1"/>
      <w:numFmt w:val="lowerLetter"/>
      <w:lvlText w:val="%2."/>
      <w:lvlJc w:val="left"/>
      <w:pPr>
        <w:ind w:left="1440" w:hanging="360"/>
      </w:pPr>
    </w:lvl>
    <w:lvl w:ilvl="2" w:tplc="DD8AAC32" w:tentative="1">
      <w:start w:val="1"/>
      <w:numFmt w:val="lowerRoman"/>
      <w:lvlText w:val="%3."/>
      <w:lvlJc w:val="right"/>
      <w:pPr>
        <w:ind w:left="2160" w:hanging="180"/>
      </w:pPr>
    </w:lvl>
    <w:lvl w:ilvl="3" w:tplc="9C54DAFC" w:tentative="1">
      <w:start w:val="1"/>
      <w:numFmt w:val="decimal"/>
      <w:lvlText w:val="%4."/>
      <w:lvlJc w:val="left"/>
      <w:pPr>
        <w:ind w:left="2880" w:hanging="360"/>
      </w:pPr>
    </w:lvl>
    <w:lvl w:ilvl="4" w:tplc="8662DBC8" w:tentative="1">
      <w:start w:val="1"/>
      <w:numFmt w:val="lowerLetter"/>
      <w:lvlText w:val="%5."/>
      <w:lvlJc w:val="left"/>
      <w:pPr>
        <w:ind w:left="3600" w:hanging="360"/>
      </w:pPr>
    </w:lvl>
    <w:lvl w:ilvl="5" w:tplc="4678C668" w:tentative="1">
      <w:start w:val="1"/>
      <w:numFmt w:val="lowerRoman"/>
      <w:lvlText w:val="%6."/>
      <w:lvlJc w:val="right"/>
      <w:pPr>
        <w:ind w:left="4320" w:hanging="180"/>
      </w:pPr>
    </w:lvl>
    <w:lvl w:ilvl="6" w:tplc="14101B8E" w:tentative="1">
      <w:start w:val="1"/>
      <w:numFmt w:val="decimal"/>
      <w:lvlText w:val="%7."/>
      <w:lvlJc w:val="left"/>
      <w:pPr>
        <w:ind w:left="5040" w:hanging="360"/>
      </w:pPr>
    </w:lvl>
    <w:lvl w:ilvl="7" w:tplc="5E80E7B8" w:tentative="1">
      <w:start w:val="1"/>
      <w:numFmt w:val="lowerLetter"/>
      <w:lvlText w:val="%8."/>
      <w:lvlJc w:val="left"/>
      <w:pPr>
        <w:ind w:left="5760" w:hanging="360"/>
      </w:pPr>
    </w:lvl>
    <w:lvl w:ilvl="8" w:tplc="0A28FFB0" w:tentative="1">
      <w:start w:val="1"/>
      <w:numFmt w:val="lowerRoman"/>
      <w:lvlText w:val="%9."/>
      <w:lvlJc w:val="right"/>
      <w:pPr>
        <w:ind w:left="6480" w:hanging="180"/>
      </w:pPr>
    </w:lvl>
  </w:abstractNum>
  <w:abstractNum w:abstractNumId="61">
    <w:nsid w:val="253B7CD8"/>
    <w:multiLevelType w:val="multilevel"/>
    <w:tmpl w:val="B1C427DE"/>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2"/>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2">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63">
    <w:nsid w:val="2AA8198D"/>
    <w:multiLevelType w:val="hybridMultilevel"/>
    <w:tmpl w:val="D346C9C8"/>
    <w:lvl w:ilvl="0" w:tplc="9CF856CA">
      <w:start w:val="293"/>
      <w:numFmt w:val="bullet"/>
      <w:lvlText w:val="-"/>
      <w:lvlJc w:val="left"/>
      <w:pPr>
        <w:ind w:left="720" w:hanging="360"/>
      </w:pPr>
      <w:rPr>
        <w:rFonts w:ascii="Arial" w:hAnsi="Arial" w:cs="Arial" w:hint="default"/>
      </w:rPr>
    </w:lvl>
    <w:lvl w:ilvl="1" w:tplc="DAD0F824" w:tentative="1">
      <w:start w:val="1"/>
      <w:numFmt w:val="bullet"/>
      <w:lvlText w:val="o"/>
      <w:lvlJc w:val="left"/>
      <w:pPr>
        <w:ind w:left="1440" w:hanging="360"/>
      </w:pPr>
      <w:rPr>
        <w:rFonts w:ascii="Courier New" w:hAnsi="Courier New" w:cs="Courier New" w:hint="default"/>
      </w:rPr>
    </w:lvl>
    <w:lvl w:ilvl="2" w:tplc="09FC6F56" w:tentative="1">
      <w:start w:val="1"/>
      <w:numFmt w:val="bullet"/>
      <w:lvlText w:val=""/>
      <w:lvlJc w:val="left"/>
      <w:pPr>
        <w:ind w:left="2160" w:hanging="360"/>
      </w:pPr>
      <w:rPr>
        <w:rFonts w:ascii="Wingdings" w:hAnsi="Wingdings" w:hint="default"/>
      </w:rPr>
    </w:lvl>
    <w:lvl w:ilvl="3" w:tplc="9176FB72" w:tentative="1">
      <w:start w:val="1"/>
      <w:numFmt w:val="bullet"/>
      <w:lvlText w:val=""/>
      <w:lvlJc w:val="left"/>
      <w:pPr>
        <w:ind w:left="2880" w:hanging="360"/>
      </w:pPr>
      <w:rPr>
        <w:rFonts w:ascii="Symbol" w:hAnsi="Symbol" w:hint="default"/>
      </w:rPr>
    </w:lvl>
    <w:lvl w:ilvl="4" w:tplc="F9F4C860" w:tentative="1">
      <w:start w:val="1"/>
      <w:numFmt w:val="bullet"/>
      <w:lvlText w:val="o"/>
      <w:lvlJc w:val="left"/>
      <w:pPr>
        <w:ind w:left="3600" w:hanging="360"/>
      </w:pPr>
      <w:rPr>
        <w:rFonts w:ascii="Courier New" w:hAnsi="Courier New" w:cs="Courier New" w:hint="default"/>
      </w:rPr>
    </w:lvl>
    <w:lvl w:ilvl="5" w:tplc="AB80D612" w:tentative="1">
      <w:start w:val="1"/>
      <w:numFmt w:val="bullet"/>
      <w:lvlText w:val=""/>
      <w:lvlJc w:val="left"/>
      <w:pPr>
        <w:ind w:left="4320" w:hanging="360"/>
      </w:pPr>
      <w:rPr>
        <w:rFonts w:ascii="Wingdings" w:hAnsi="Wingdings" w:hint="default"/>
      </w:rPr>
    </w:lvl>
    <w:lvl w:ilvl="6" w:tplc="319C8A84" w:tentative="1">
      <w:start w:val="1"/>
      <w:numFmt w:val="bullet"/>
      <w:lvlText w:val=""/>
      <w:lvlJc w:val="left"/>
      <w:pPr>
        <w:ind w:left="5040" w:hanging="360"/>
      </w:pPr>
      <w:rPr>
        <w:rFonts w:ascii="Symbol" w:hAnsi="Symbol" w:hint="default"/>
      </w:rPr>
    </w:lvl>
    <w:lvl w:ilvl="7" w:tplc="921E1254" w:tentative="1">
      <w:start w:val="1"/>
      <w:numFmt w:val="bullet"/>
      <w:lvlText w:val="o"/>
      <w:lvlJc w:val="left"/>
      <w:pPr>
        <w:ind w:left="5760" w:hanging="360"/>
      </w:pPr>
      <w:rPr>
        <w:rFonts w:ascii="Courier New" w:hAnsi="Courier New" w:cs="Courier New" w:hint="default"/>
      </w:rPr>
    </w:lvl>
    <w:lvl w:ilvl="8" w:tplc="5CE2CD5C" w:tentative="1">
      <w:start w:val="1"/>
      <w:numFmt w:val="bullet"/>
      <w:lvlText w:val=""/>
      <w:lvlJc w:val="left"/>
      <w:pPr>
        <w:ind w:left="6480" w:hanging="360"/>
      </w:pPr>
      <w:rPr>
        <w:rFonts w:ascii="Wingdings" w:hAnsi="Wingdings" w:hint="default"/>
      </w:rPr>
    </w:lvl>
  </w:abstractNum>
  <w:abstractNum w:abstractNumId="64">
    <w:nsid w:val="31A556B4"/>
    <w:multiLevelType w:val="multilevel"/>
    <w:tmpl w:val="2422AB6E"/>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5">
    <w:nsid w:val="31D31BBD"/>
    <w:multiLevelType w:val="hybridMultilevel"/>
    <w:tmpl w:val="AB545582"/>
    <w:lvl w:ilvl="0" w:tplc="B19AF93C">
      <w:start w:val="1"/>
      <w:numFmt w:val="bullet"/>
      <w:pStyle w:val="Textstand-alonebulletpointJustified"/>
      <w:lvlText w:val=""/>
      <w:lvlJc w:val="left"/>
      <w:pPr>
        <w:ind w:left="1080" w:hanging="360"/>
      </w:pPr>
      <w:rPr>
        <w:rFonts w:ascii="Verdana" w:hAnsi="Verdana" w:hint="default"/>
      </w:rPr>
    </w:lvl>
    <w:lvl w:ilvl="1" w:tplc="34DC2786" w:tentative="1">
      <w:start w:val="1"/>
      <w:numFmt w:val="bullet"/>
      <w:lvlText w:val="o"/>
      <w:lvlJc w:val="left"/>
      <w:pPr>
        <w:ind w:left="1800" w:hanging="360"/>
      </w:pPr>
      <w:rPr>
        <w:rFonts w:ascii="Courier New" w:hAnsi="Courier New" w:cs="Courier New" w:hint="default"/>
      </w:rPr>
    </w:lvl>
    <w:lvl w:ilvl="2" w:tplc="831422A4" w:tentative="1">
      <w:start w:val="1"/>
      <w:numFmt w:val="bullet"/>
      <w:lvlText w:val=""/>
      <w:lvlJc w:val="left"/>
      <w:pPr>
        <w:ind w:left="2520" w:hanging="360"/>
      </w:pPr>
      <w:rPr>
        <w:rFonts w:ascii="Wingdings" w:hAnsi="Wingdings" w:hint="default"/>
      </w:rPr>
    </w:lvl>
    <w:lvl w:ilvl="3" w:tplc="4298574C" w:tentative="1">
      <w:start w:val="1"/>
      <w:numFmt w:val="bullet"/>
      <w:lvlText w:val=""/>
      <w:lvlJc w:val="left"/>
      <w:pPr>
        <w:ind w:left="3240" w:hanging="360"/>
      </w:pPr>
      <w:rPr>
        <w:rFonts w:ascii="Symbol" w:hAnsi="Symbol" w:hint="default"/>
      </w:rPr>
    </w:lvl>
    <w:lvl w:ilvl="4" w:tplc="73420F5E" w:tentative="1">
      <w:start w:val="1"/>
      <w:numFmt w:val="bullet"/>
      <w:lvlText w:val="o"/>
      <w:lvlJc w:val="left"/>
      <w:pPr>
        <w:ind w:left="3960" w:hanging="360"/>
      </w:pPr>
      <w:rPr>
        <w:rFonts w:ascii="Courier New" w:hAnsi="Courier New" w:cs="Courier New" w:hint="default"/>
      </w:rPr>
    </w:lvl>
    <w:lvl w:ilvl="5" w:tplc="C912305A" w:tentative="1">
      <w:start w:val="1"/>
      <w:numFmt w:val="bullet"/>
      <w:lvlText w:val=""/>
      <w:lvlJc w:val="left"/>
      <w:pPr>
        <w:ind w:left="4680" w:hanging="360"/>
      </w:pPr>
      <w:rPr>
        <w:rFonts w:ascii="Wingdings" w:hAnsi="Wingdings" w:hint="default"/>
      </w:rPr>
    </w:lvl>
    <w:lvl w:ilvl="6" w:tplc="7BDC3048" w:tentative="1">
      <w:start w:val="1"/>
      <w:numFmt w:val="bullet"/>
      <w:lvlText w:val=""/>
      <w:lvlJc w:val="left"/>
      <w:pPr>
        <w:ind w:left="5400" w:hanging="360"/>
      </w:pPr>
      <w:rPr>
        <w:rFonts w:ascii="Symbol" w:hAnsi="Symbol" w:hint="default"/>
      </w:rPr>
    </w:lvl>
    <w:lvl w:ilvl="7" w:tplc="AB3214DA" w:tentative="1">
      <w:start w:val="1"/>
      <w:numFmt w:val="bullet"/>
      <w:lvlText w:val="o"/>
      <w:lvlJc w:val="left"/>
      <w:pPr>
        <w:ind w:left="6120" w:hanging="360"/>
      </w:pPr>
      <w:rPr>
        <w:rFonts w:ascii="Courier New" w:hAnsi="Courier New" w:cs="Courier New" w:hint="default"/>
      </w:rPr>
    </w:lvl>
    <w:lvl w:ilvl="8" w:tplc="407066CE" w:tentative="1">
      <w:start w:val="1"/>
      <w:numFmt w:val="bullet"/>
      <w:lvlText w:val=""/>
      <w:lvlJc w:val="left"/>
      <w:pPr>
        <w:ind w:left="6840" w:hanging="360"/>
      </w:pPr>
      <w:rPr>
        <w:rFonts w:ascii="Wingdings" w:hAnsi="Wingdings" w:hint="default"/>
      </w:rPr>
    </w:lvl>
  </w:abstractNum>
  <w:abstractNum w:abstractNumId="66">
    <w:nsid w:val="332D0CD7"/>
    <w:multiLevelType w:val="hybridMultilevel"/>
    <w:tmpl w:val="B14C37E6"/>
    <w:lvl w:ilvl="0" w:tplc="970E9DCE">
      <w:start w:val="1"/>
      <w:numFmt w:val="lowerRoman"/>
      <w:lvlText w:val="(%1)"/>
      <w:lvlJc w:val="left"/>
      <w:pPr>
        <w:ind w:left="720" w:hanging="360"/>
      </w:pPr>
      <w:rPr>
        <w:rFonts w:hint="default"/>
      </w:rPr>
    </w:lvl>
    <w:lvl w:ilvl="1" w:tplc="68B8B19E" w:tentative="1">
      <w:start w:val="1"/>
      <w:numFmt w:val="lowerLetter"/>
      <w:lvlText w:val="%2."/>
      <w:lvlJc w:val="left"/>
      <w:pPr>
        <w:ind w:left="1440" w:hanging="360"/>
      </w:pPr>
    </w:lvl>
    <w:lvl w:ilvl="2" w:tplc="6C00DE6A" w:tentative="1">
      <w:start w:val="1"/>
      <w:numFmt w:val="lowerRoman"/>
      <w:lvlText w:val="%3."/>
      <w:lvlJc w:val="right"/>
      <w:pPr>
        <w:ind w:left="2160" w:hanging="180"/>
      </w:pPr>
    </w:lvl>
    <w:lvl w:ilvl="3" w:tplc="016C0834" w:tentative="1">
      <w:start w:val="1"/>
      <w:numFmt w:val="decimal"/>
      <w:lvlText w:val="%4."/>
      <w:lvlJc w:val="left"/>
      <w:pPr>
        <w:ind w:left="2880" w:hanging="360"/>
      </w:pPr>
    </w:lvl>
    <w:lvl w:ilvl="4" w:tplc="323CA21A" w:tentative="1">
      <w:start w:val="1"/>
      <w:numFmt w:val="lowerLetter"/>
      <w:lvlText w:val="%5."/>
      <w:lvlJc w:val="left"/>
      <w:pPr>
        <w:ind w:left="3600" w:hanging="360"/>
      </w:pPr>
    </w:lvl>
    <w:lvl w:ilvl="5" w:tplc="458222D2" w:tentative="1">
      <w:start w:val="1"/>
      <w:numFmt w:val="lowerRoman"/>
      <w:lvlText w:val="%6."/>
      <w:lvlJc w:val="right"/>
      <w:pPr>
        <w:ind w:left="4320" w:hanging="180"/>
      </w:pPr>
    </w:lvl>
    <w:lvl w:ilvl="6" w:tplc="1E5E56B6" w:tentative="1">
      <w:start w:val="1"/>
      <w:numFmt w:val="decimal"/>
      <w:lvlText w:val="%7."/>
      <w:lvlJc w:val="left"/>
      <w:pPr>
        <w:ind w:left="5040" w:hanging="360"/>
      </w:pPr>
    </w:lvl>
    <w:lvl w:ilvl="7" w:tplc="F8F22072" w:tentative="1">
      <w:start w:val="1"/>
      <w:numFmt w:val="lowerLetter"/>
      <w:lvlText w:val="%8."/>
      <w:lvlJc w:val="left"/>
      <w:pPr>
        <w:ind w:left="5760" w:hanging="360"/>
      </w:pPr>
    </w:lvl>
    <w:lvl w:ilvl="8" w:tplc="099E70A8" w:tentative="1">
      <w:start w:val="1"/>
      <w:numFmt w:val="lowerRoman"/>
      <w:lvlText w:val="%9."/>
      <w:lvlJc w:val="right"/>
      <w:pPr>
        <w:ind w:left="6480" w:hanging="180"/>
      </w:pPr>
    </w:lvl>
  </w:abstractNum>
  <w:abstractNum w:abstractNumId="67">
    <w:nsid w:val="340E45F3"/>
    <w:multiLevelType w:val="hybridMultilevel"/>
    <w:tmpl w:val="5FF0E8C2"/>
    <w:lvl w:ilvl="0" w:tplc="12AA75E6">
      <w:start w:val="1"/>
      <w:numFmt w:val="bullet"/>
      <w:lvlText w:val=""/>
      <w:lvlJc w:val="left"/>
      <w:pPr>
        <w:ind w:left="720" w:hanging="360"/>
      </w:pPr>
      <w:rPr>
        <w:rFonts w:ascii="Symbol" w:hAnsi="Symbol" w:hint="default"/>
      </w:rPr>
    </w:lvl>
    <w:lvl w:ilvl="1" w:tplc="8E68A002" w:tentative="1">
      <w:start w:val="1"/>
      <w:numFmt w:val="bullet"/>
      <w:lvlText w:val="o"/>
      <w:lvlJc w:val="left"/>
      <w:pPr>
        <w:ind w:left="1440" w:hanging="360"/>
      </w:pPr>
      <w:rPr>
        <w:rFonts w:ascii="Courier New" w:hAnsi="Courier New" w:cs="Courier New" w:hint="default"/>
      </w:rPr>
    </w:lvl>
    <w:lvl w:ilvl="2" w:tplc="FC529A92" w:tentative="1">
      <w:start w:val="1"/>
      <w:numFmt w:val="bullet"/>
      <w:lvlText w:val=""/>
      <w:lvlJc w:val="left"/>
      <w:pPr>
        <w:ind w:left="2160" w:hanging="360"/>
      </w:pPr>
      <w:rPr>
        <w:rFonts w:ascii="Wingdings" w:hAnsi="Wingdings" w:hint="default"/>
      </w:rPr>
    </w:lvl>
    <w:lvl w:ilvl="3" w:tplc="393AD9DC" w:tentative="1">
      <w:start w:val="1"/>
      <w:numFmt w:val="bullet"/>
      <w:lvlText w:val=""/>
      <w:lvlJc w:val="left"/>
      <w:pPr>
        <w:ind w:left="2880" w:hanging="360"/>
      </w:pPr>
      <w:rPr>
        <w:rFonts w:ascii="Symbol" w:hAnsi="Symbol" w:hint="default"/>
      </w:rPr>
    </w:lvl>
    <w:lvl w:ilvl="4" w:tplc="8746FC30" w:tentative="1">
      <w:start w:val="1"/>
      <w:numFmt w:val="bullet"/>
      <w:lvlText w:val="o"/>
      <w:lvlJc w:val="left"/>
      <w:pPr>
        <w:ind w:left="3600" w:hanging="360"/>
      </w:pPr>
      <w:rPr>
        <w:rFonts w:ascii="Courier New" w:hAnsi="Courier New" w:cs="Courier New" w:hint="default"/>
      </w:rPr>
    </w:lvl>
    <w:lvl w:ilvl="5" w:tplc="595EEF46" w:tentative="1">
      <w:start w:val="1"/>
      <w:numFmt w:val="bullet"/>
      <w:lvlText w:val=""/>
      <w:lvlJc w:val="left"/>
      <w:pPr>
        <w:ind w:left="4320" w:hanging="360"/>
      </w:pPr>
      <w:rPr>
        <w:rFonts w:ascii="Wingdings" w:hAnsi="Wingdings" w:hint="default"/>
      </w:rPr>
    </w:lvl>
    <w:lvl w:ilvl="6" w:tplc="DBA84CDC" w:tentative="1">
      <w:start w:val="1"/>
      <w:numFmt w:val="bullet"/>
      <w:lvlText w:val=""/>
      <w:lvlJc w:val="left"/>
      <w:pPr>
        <w:ind w:left="5040" w:hanging="360"/>
      </w:pPr>
      <w:rPr>
        <w:rFonts w:ascii="Symbol" w:hAnsi="Symbol" w:hint="default"/>
      </w:rPr>
    </w:lvl>
    <w:lvl w:ilvl="7" w:tplc="03C05298" w:tentative="1">
      <w:start w:val="1"/>
      <w:numFmt w:val="bullet"/>
      <w:lvlText w:val="o"/>
      <w:lvlJc w:val="left"/>
      <w:pPr>
        <w:ind w:left="5760" w:hanging="360"/>
      </w:pPr>
      <w:rPr>
        <w:rFonts w:ascii="Courier New" w:hAnsi="Courier New" w:cs="Courier New" w:hint="default"/>
      </w:rPr>
    </w:lvl>
    <w:lvl w:ilvl="8" w:tplc="04A8FA96" w:tentative="1">
      <w:start w:val="1"/>
      <w:numFmt w:val="bullet"/>
      <w:lvlText w:val=""/>
      <w:lvlJc w:val="left"/>
      <w:pPr>
        <w:ind w:left="6480" w:hanging="360"/>
      </w:pPr>
      <w:rPr>
        <w:rFonts w:ascii="Wingdings" w:hAnsi="Wingdings" w:hint="default"/>
      </w:rPr>
    </w:lvl>
  </w:abstractNum>
  <w:abstractNum w:abstractNumId="68">
    <w:nsid w:val="3A54590C"/>
    <w:multiLevelType w:val="multilevel"/>
    <w:tmpl w:val="E2E28C7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9">
    <w:nsid w:val="40315490"/>
    <w:multiLevelType w:val="singleLevel"/>
    <w:tmpl w:val="1F86C700"/>
    <w:name w:val="Tiret 1"/>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70">
    <w:nsid w:val="43EE51F1"/>
    <w:multiLevelType w:val="hybridMultilevel"/>
    <w:tmpl w:val="3BE078C8"/>
    <w:lvl w:ilvl="0" w:tplc="B6C2E3FE">
      <w:start w:val="1"/>
      <w:numFmt w:val="decimal"/>
      <w:lvlText w:val="%1"/>
      <w:lvlJc w:val="left"/>
      <w:pPr>
        <w:ind w:left="791" w:hanging="360"/>
      </w:pPr>
      <w:rPr>
        <w:rFonts w:hint="default"/>
      </w:rPr>
    </w:lvl>
    <w:lvl w:ilvl="1" w:tplc="04090019">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71">
    <w:nsid w:val="46B149CD"/>
    <w:multiLevelType w:val="hybridMultilevel"/>
    <w:tmpl w:val="EF80B480"/>
    <w:lvl w:ilvl="0" w:tplc="741E04D6">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62ED7FE" w:tentative="1">
      <w:start w:val="1"/>
      <w:numFmt w:val="lowerLetter"/>
      <w:lvlText w:val="%2."/>
      <w:lvlJc w:val="left"/>
      <w:pPr>
        <w:ind w:left="1797" w:hanging="360"/>
      </w:pPr>
    </w:lvl>
    <w:lvl w:ilvl="2" w:tplc="DB527AF2" w:tentative="1">
      <w:start w:val="1"/>
      <w:numFmt w:val="lowerRoman"/>
      <w:lvlText w:val="%3."/>
      <w:lvlJc w:val="right"/>
      <w:pPr>
        <w:ind w:left="2517" w:hanging="180"/>
      </w:pPr>
    </w:lvl>
    <w:lvl w:ilvl="3" w:tplc="FBB028BA" w:tentative="1">
      <w:start w:val="1"/>
      <w:numFmt w:val="decimal"/>
      <w:lvlText w:val="%4."/>
      <w:lvlJc w:val="left"/>
      <w:pPr>
        <w:ind w:left="3237" w:hanging="360"/>
      </w:pPr>
    </w:lvl>
    <w:lvl w:ilvl="4" w:tplc="DEA29BEA" w:tentative="1">
      <w:start w:val="1"/>
      <w:numFmt w:val="lowerLetter"/>
      <w:lvlText w:val="%5."/>
      <w:lvlJc w:val="left"/>
      <w:pPr>
        <w:ind w:left="3957" w:hanging="360"/>
      </w:pPr>
    </w:lvl>
    <w:lvl w:ilvl="5" w:tplc="F548753E" w:tentative="1">
      <w:start w:val="1"/>
      <w:numFmt w:val="lowerRoman"/>
      <w:lvlText w:val="%6."/>
      <w:lvlJc w:val="right"/>
      <w:pPr>
        <w:ind w:left="4677" w:hanging="180"/>
      </w:pPr>
    </w:lvl>
    <w:lvl w:ilvl="6" w:tplc="6F3A921E" w:tentative="1">
      <w:start w:val="1"/>
      <w:numFmt w:val="decimal"/>
      <w:lvlText w:val="%7."/>
      <w:lvlJc w:val="left"/>
      <w:pPr>
        <w:ind w:left="5397" w:hanging="360"/>
      </w:pPr>
    </w:lvl>
    <w:lvl w:ilvl="7" w:tplc="F09074AA" w:tentative="1">
      <w:start w:val="1"/>
      <w:numFmt w:val="lowerLetter"/>
      <w:lvlText w:val="%8."/>
      <w:lvlJc w:val="left"/>
      <w:pPr>
        <w:ind w:left="6117" w:hanging="360"/>
      </w:pPr>
    </w:lvl>
    <w:lvl w:ilvl="8" w:tplc="18C83848" w:tentative="1">
      <w:start w:val="1"/>
      <w:numFmt w:val="lowerRoman"/>
      <w:lvlText w:val="%9."/>
      <w:lvlJc w:val="right"/>
      <w:pPr>
        <w:ind w:left="6837" w:hanging="180"/>
      </w:pPr>
    </w:lvl>
  </w:abstractNum>
  <w:abstractNum w:abstractNumId="72">
    <w:nsid w:val="49A45FBF"/>
    <w:multiLevelType w:val="hybridMultilevel"/>
    <w:tmpl w:val="921477FA"/>
    <w:lvl w:ilvl="0" w:tplc="54466688">
      <w:start w:val="1"/>
      <mc:AlternateContent>
        <mc:Choice Requires="w14">
          <w:numFmt w:val="custom" w:format="а, й, к, ..."/>
        </mc:Choice>
        <mc:Fallback>
          <w:numFmt w:val="decimal"/>
        </mc:Fallback>
      </mc:AlternateContent>
      <w:pStyle w:val="Textstand-alonenumberingLetters0"/>
      <w:lvlText w:val="%1)"/>
      <w:lvlJc w:val="left"/>
      <w:pPr>
        <w:ind w:left="720" w:hanging="360"/>
      </w:pPr>
      <w:rPr>
        <w:rFonts w:hint="default"/>
      </w:rPr>
    </w:lvl>
    <w:lvl w:ilvl="1" w:tplc="3DA2B9D0" w:tentative="1">
      <w:start w:val="1"/>
      <w:numFmt w:val="lowerLetter"/>
      <w:lvlText w:val="%2."/>
      <w:lvlJc w:val="left"/>
      <w:pPr>
        <w:ind w:left="1440" w:hanging="360"/>
      </w:pPr>
    </w:lvl>
    <w:lvl w:ilvl="2" w:tplc="FF340FDC" w:tentative="1">
      <w:start w:val="1"/>
      <w:numFmt w:val="lowerRoman"/>
      <w:lvlText w:val="%3."/>
      <w:lvlJc w:val="right"/>
      <w:pPr>
        <w:ind w:left="2160" w:hanging="180"/>
      </w:pPr>
    </w:lvl>
    <w:lvl w:ilvl="3" w:tplc="BF2A56DA" w:tentative="1">
      <w:start w:val="1"/>
      <w:numFmt w:val="decimal"/>
      <w:lvlText w:val="%4."/>
      <w:lvlJc w:val="left"/>
      <w:pPr>
        <w:ind w:left="2880" w:hanging="360"/>
      </w:pPr>
    </w:lvl>
    <w:lvl w:ilvl="4" w:tplc="50F42FB0" w:tentative="1">
      <w:start w:val="1"/>
      <w:numFmt w:val="lowerLetter"/>
      <w:lvlText w:val="%5."/>
      <w:lvlJc w:val="left"/>
      <w:pPr>
        <w:ind w:left="3600" w:hanging="360"/>
      </w:pPr>
    </w:lvl>
    <w:lvl w:ilvl="5" w:tplc="CA76A91A" w:tentative="1">
      <w:start w:val="1"/>
      <w:numFmt w:val="lowerRoman"/>
      <w:lvlText w:val="%6."/>
      <w:lvlJc w:val="right"/>
      <w:pPr>
        <w:ind w:left="4320" w:hanging="180"/>
      </w:pPr>
    </w:lvl>
    <w:lvl w:ilvl="6" w:tplc="FB14C494" w:tentative="1">
      <w:start w:val="1"/>
      <w:numFmt w:val="decimal"/>
      <w:lvlText w:val="%7."/>
      <w:lvlJc w:val="left"/>
      <w:pPr>
        <w:ind w:left="5040" w:hanging="360"/>
      </w:pPr>
    </w:lvl>
    <w:lvl w:ilvl="7" w:tplc="195C3678" w:tentative="1">
      <w:start w:val="1"/>
      <w:numFmt w:val="lowerLetter"/>
      <w:lvlText w:val="%8."/>
      <w:lvlJc w:val="left"/>
      <w:pPr>
        <w:ind w:left="5760" w:hanging="360"/>
      </w:pPr>
    </w:lvl>
    <w:lvl w:ilvl="8" w:tplc="1AA21D2A" w:tentative="1">
      <w:start w:val="1"/>
      <w:numFmt w:val="lowerRoman"/>
      <w:lvlText w:val="%9."/>
      <w:lvlJc w:val="right"/>
      <w:pPr>
        <w:ind w:left="6480" w:hanging="180"/>
      </w:pPr>
    </w:lvl>
  </w:abstractNum>
  <w:abstractNum w:abstractNumId="73">
    <w:nsid w:val="49D95707"/>
    <w:multiLevelType w:val="multilevel"/>
    <w:tmpl w:val="BE043DB2"/>
    <w:lvl w:ilvl="0">
      <w:start w:val="2"/>
      <w:numFmt w:val="decimal"/>
      <w:lvlText w:val="%1"/>
      <w:lvlJc w:val="left"/>
      <w:pPr>
        <w:ind w:left="680" w:hanging="680"/>
      </w:pPr>
      <w:rPr>
        <w:rFonts w:hint="default"/>
        <w:b/>
      </w:rPr>
    </w:lvl>
    <w:lvl w:ilvl="1">
      <w:start w:val="4"/>
      <w:numFmt w:val="decimal"/>
      <w:lvlText w:val="%1.%2"/>
      <w:lvlJc w:val="left"/>
      <w:pPr>
        <w:ind w:left="680" w:hanging="680"/>
      </w:pPr>
      <w:rPr>
        <w:rFonts w:hint="default"/>
        <w:b/>
      </w:rPr>
    </w:lvl>
    <w:lvl w:ilvl="2">
      <w:start w:val="3"/>
      <w:numFmt w:val="decimal"/>
      <w:lvlText w:val="%1.%2.%3"/>
      <w:lvlJc w:val="left"/>
      <w:pPr>
        <w:ind w:left="680" w:hanging="680"/>
      </w:pPr>
      <w:rPr>
        <w:rFonts w:hint="default"/>
        <w:b/>
      </w:rPr>
    </w:lvl>
    <w:lvl w:ilvl="3">
      <w:start w:val="1"/>
      <w:numFmt w:val="decimal"/>
      <w:lvlText w:val="%1.%2.%3.%4"/>
      <w:lvlJc w:val="left"/>
      <w:pPr>
        <w:ind w:left="1040" w:hanging="1040"/>
      </w:pPr>
      <w:rPr>
        <w:rFonts w:hint="default"/>
        <w:b/>
      </w:rPr>
    </w:lvl>
    <w:lvl w:ilvl="4">
      <w:start w:val="1"/>
      <w:numFmt w:val="decimal"/>
      <w:lvlText w:val="%1.%2.%3.%4.%5"/>
      <w:lvlJc w:val="left"/>
      <w:pPr>
        <w:ind w:left="1040" w:hanging="1040"/>
      </w:pPr>
      <w:rPr>
        <w:rFonts w:hint="default"/>
        <w:b/>
      </w:rPr>
    </w:lvl>
    <w:lvl w:ilvl="5">
      <w:start w:val="1"/>
      <w:numFmt w:val="decimal"/>
      <w:lvlText w:val="%1.%2.%3.%4.%5.%6"/>
      <w:lvlJc w:val="left"/>
      <w:pPr>
        <w:ind w:left="1400" w:hanging="1400"/>
      </w:pPr>
      <w:rPr>
        <w:rFonts w:hint="default"/>
        <w:b/>
      </w:rPr>
    </w:lvl>
    <w:lvl w:ilvl="6">
      <w:start w:val="1"/>
      <w:numFmt w:val="decimal"/>
      <w:lvlText w:val="%1.%2.%3.%4.%5.%6.%7"/>
      <w:lvlJc w:val="left"/>
      <w:pPr>
        <w:ind w:left="1400" w:hanging="1400"/>
      </w:pPr>
      <w:rPr>
        <w:rFonts w:hint="default"/>
        <w:b/>
      </w:rPr>
    </w:lvl>
    <w:lvl w:ilvl="7">
      <w:start w:val="1"/>
      <w:numFmt w:val="decimal"/>
      <w:lvlText w:val="%1.%2.%3.%4.%5.%6.%7.%8"/>
      <w:lvlJc w:val="left"/>
      <w:pPr>
        <w:ind w:left="1400" w:hanging="1400"/>
      </w:pPr>
      <w:rPr>
        <w:rFonts w:hint="default"/>
        <w:b/>
      </w:rPr>
    </w:lvl>
    <w:lvl w:ilvl="8">
      <w:start w:val="1"/>
      <w:numFmt w:val="decimal"/>
      <w:lvlText w:val="%1.%2.%3.%4.%5.%6.%7.%8.%9"/>
      <w:lvlJc w:val="left"/>
      <w:pPr>
        <w:ind w:left="1760" w:hanging="1760"/>
      </w:pPr>
      <w:rPr>
        <w:rFonts w:hint="default"/>
        <w:b/>
      </w:rPr>
    </w:lvl>
  </w:abstractNum>
  <w:abstractNum w:abstractNumId="74">
    <w:nsid w:val="5A215A37"/>
    <w:multiLevelType w:val="multilevel"/>
    <w:tmpl w:val="9A620C98"/>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5">
    <w:nsid w:val="5AE8412F"/>
    <w:multiLevelType w:val="hybridMultilevel"/>
    <w:tmpl w:val="EDC6751C"/>
    <w:lvl w:ilvl="0" w:tplc="6E58A302">
      <w:start w:val="1"/>
      <w:numFmt w:val="bullet"/>
      <w:lvlText w:val=""/>
      <w:lvlJc w:val="left"/>
      <w:pPr>
        <w:ind w:left="720" w:hanging="360"/>
      </w:pPr>
      <w:rPr>
        <w:rFonts w:ascii="Symbol" w:hAnsi="Symbol" w:hint="default"/>
      </w:rPr>
    </w:lvl>
    <w:lvl w:ilvl="1" w:tplc="0100CAAA" w:tentative="1">
      <w:start w:val="1"/>
      <w:numFmt w:val="bullet"/>
      <w:lvlText w:val="o"/>
      <w:lvlJc w:val="left"/>
      <w:pPr>
        <w:ind w:left="1440" w:hanging="360"/>
      </w:pPr>
      <w:rPr>
        <w:rFonts w:ascii="Courier New" w:hAnsi="Courier New" w:cs="Courier New" w:hint="default"/>
      </w:rPr>
    </w:lvl>
    <w:lvl w:ilvl="2" w:tplc="587AD5F8" w:tentative="1">
      <w:start w:val="1"/>
      <w:numFmt w:val="bullet"/>
      <w:lvlText w:val=""/>
      <w:lvlJc w:val="left"/>
      <w:pPr>
        <w:ind w:left="2160" w:hanging="360"/>
      </w:pPr>
      <w:rPr>
        <w:rFonts w:ascii="Wingdings" w:hAnsi="Wingdings" w:hint="default"/>
      </w:rPr>
    </w:lvl>
    <w:lvl w:ilvl="3" w:tplc="29A61F1C" w:tentative="1">
      <w:start w:val="1"/>
      <w:numFmt w:val="bullet"/>
      <w:lvlText w:val=""/>
      <w:lvlJc w:val="left"/>
      <w:pPr>
        <w:ind w:left="2880" w:hanging="360"/>
      </w:pPr>
      <w:rPr>
        <w:rFonts w:ascii="Symbol" w:hAnsi="Symbol" w:hint="default"/>
      </w:rPr>
    </w:lvl>
    <w:lvl w:ilvl="4" w:tplc="D1D21D94" w:tentative="1">
      <w:start w:val="1"/>
      <w:numFmt w:val="bullet"/>
      <w:lvlText w:val="o"/>
      <w:lvlJc w:val="left"/>
      <w:pPr>
        <w:ind w:left="3600" w:hanging="360"/>
      </w:pPr>
      <w:rPr>
        <w:rFonts w:ascii="Courier New" w:hAnsi="Courier New" w:cs="Courier New" w:hint="default"/>
      </w:rPr>
    </w:lvl>
    <w:lvl w:ilvl="5" w:tplc="39746C3C" w:tentative="1">
      <w:start w:val="1"/>
      <w:numFmt w:val="bullet"/>
      <w:lvlText w:val=""/>
      <w:lvlJc w:val="left"/>
      <w:pPr>
        <w:ind w:left="4320" w:hanging="360"/>
      </w:pPr>
      <w:rPr>
        <w:rFonts w:ascii="Wingdings" w:hAnsi="Wingdings" w:hint="default"/>
      </w:rPr>
    </w:lvl>
    <w:lvl w:ilvl="6" w:tplc="C4F0A85A" w:tentative="1">
      <w:start w:val="1"/>
      <w:numFmt w:val="bullet"/>
      <w:lvlText w:val=""/>
      <w:lvlJc w:val="left"/>
      <w:pPr>
        <w:ind w:left="5040" w:hanging="360"/>
      </w:pPr>
      <w:rPr>
        <w:rFonts w:ascii="Symbol" w:hAnsi="Symbol" w:hint="default"/>
      </w:rPr>
    </w:lvl>
    <w:lvl w:ilvl="7" w:tplc="2884ABBC" w:tentative="1">
      <w:start w:val="1"/>
      <w:numFmt w:val="bullet"/>
      <w:lvlText w:val="o"/>
      <w:lvlJc w:val="left"/>
      <w:pPr>
        <w:ind w:left="5760" w:hanging="360"/>
      </w:pPr>
      <w:rPr>
        <w:rFonts w:ascii="Courier New" w:hAnsi="Courier New" w:cs="Courier New" w:hint="default"/>
      </w:rPr>
    </w:lvl>
    <w:lvl w:ilvl="8" w:tplc="F56248C4" w:tentative="1">
      <w:start w:val="1"/>
      <w:numFmt w:val="bullet"/>
      <w:lvlText w:val=""/>
      <w:lvlJc w:val="left"/>
      <w:pPr>
        <w:ind w:left="6480" w:hanging="360"/>
      </w:pPr>
      <w:rPr>
        <w:rFonts w:ascii="Wingdings" w:hAnsi="Wingdings" w:hint="default"/>
      </w:rPr>
    </w:lvl>
  </w:abstractNum>
  <w:abstractNum w:abstractNumId="76">
    <w:nsid w:val="5EA07653"/>
    <w:multiLevelType w:val="hybridMultilevel"/>
    <w:tmpl w:val="549C48F2"/>
    <w:lvl w:ilvl="0" w:tplc="BF885B98">
      <w:start w:val="1"/>
      <w:numFmt w:val="bullet"/>
      <w:pStyle w:val="Textstand-aloneBulletpoint"/>
      <w:lvlText w:val="-"/>
      <w:lvlJc w:val="left"/>
      <w:pPr>
        <w:ind w:left="1080" w:hanging="360"/>
      </w:pPr>
      <w:rPr>
        <w:rFonts w:ascii="Verdana" w:hAnsi="Verdana" w:hint="default"/>
      </w:rPr>
    </w:lvl>
    <w:lvl w:ilvl="1" w:tplc="613A67FC" w:tentative="1">
      <w:start w:val="1"/>
      <w:numFmt w:val="bullet"/>
      <w:lvlText w:val="o"/>
      <w:lvlJc w:val="left"/>
      <w:pPr>
        <w:ind w:left="1800" w:hanging="360"/>
      </w:pPr>
      <w:rPr>
        <w:rFonts w:ascii="Courier New" w:hAnsi="Courier New" w:cs="Courier New" w:hint="default"/>
      </w:rPr>
    </w:lvl>
    <w:lvl w:ilvl="2" w:tplc="C240CD0C" w:tentative="1">
      <w:start w:val="1"/>
      <w:numFmt w:val="bullet"/>
      <w:lvlText w:val=""/>
      <w:lvlJc w:val="left"/>
      <w:pPr>
        <w:ind w:left="2520" w:hanging="360"/>
      </w:pPr>
      <w:rPr>
        <w:rFonts w:ascii="Wingdings" w:hAnsi="Wingdings" w:hint="default"/>
      </w:rPr>
    </w:lvl>
    <w:lvl w:ilvl="3" w:tplc="EB1A0238" w:tentative="1">
      <w:start w:val="1"/>
      <w:numFmt w:val="bullet"/>
      <w:lvlText w:val=""/>
      <w:lvlJc w:val="left"/>
      <w:pPr>
        <w:ind w:left="3240" w:hanging="360"/>
      </w:pPr>
      <w:rPr>
        <w:rFonts w:ascii="Symbol" w:hAnsi="Symbol" w:hint="default"/>
      </w:rPr>
    </w:lvl>
    <w:lvl w:ilvl="4" w:tplc="94B685D4" w:tentative="1">
      <w:start w:val="1"/>
      <w:numFmt w:val="bullet"/>
      <w:lvlText w:val="o"/>
      <w:lvlJc w:val="left"/>
      <w:pPr>
        <w:ind w:left="3960" w:hanging="360"/>
      </w:pPr>
      <w:rPr>
        <w:rFonts w:ascii="Courier New" w:hAnsi="Courier New" w:cs="Courier New" w:hint="default"/>
      </w:rPr>
    </w:lvl>
    <w:lvl w:ilvl="5" w:tplc="BFE8D506" w:tentative="1">
      <w:start w:val="1"/>
      <w:numFmt w:val="bullet"/>
      <w:lvlText w:val=""/>
      <w:lvlJc w:val="left"/>
      <w:pPr>
        <w:ind w:left="4680" w:hanging="360"/>
      </w:pPr>
      <w:rPr>
        <w:rFonts w:ascii="Wingdings" w:hAnsi="Wingdings" w:hint="default"/>
      </w:rPr>
    </w:lvl>
    <w:lvl w:ilvl="6" w:tplc="CF5A3C0C" w:tentative="1">
      <w:start w:val="1"/>
      <w:numFmt w:val="bullet"/>
      <w:lvlText w:val=""/>
      <w:lvlJc w:val="left"/>
      <w:pPr>
        <w:ind w:left="5400" w:hanging="360"/>
      </w:pPr>
      <w:rPr>
        <w:rFonts w:ascii="Symbol" w:hAnsi="Symbol" w:hint="default"/>
      </w:rPr>
    </w:lvl>
    <w:lvl w:ilvl="7" w:tplc="18A03194" w:tentative="1">
      <w:start w:val="1"/>
      <w:numFmt w:val="bullet"/>
      <w:lvlText w:val="o"/>
      <w:lvlJc w:val="left"/>
      <w:pPr>
        <w:ind w:left="6120" w:hanging="360"/>
      </w:pPr>
      <w:rPr>
        <w:rFonts w:ascii="Courier New" w:hAnsi="Courier New" w:cs="Courier New" w:hint="default"/>
      </w:rPr>
    </w:lvl>
    <w:lvl w:ilvl="8" w:tplc="67A80876" w:tentative="1">
      <w:start w:val="1"/>
      <w:numFmt w:val="bullet"/>
      <w:lvlText w:val=""/>
      <w:lvlJc w:val="left"/>
      <w:pPr>
        <w:ind w:left="6840" w:hanging="360"/>
      </w:pPr>
      <w:rPr>
        <w:rFonts w:ascii="Wingdings" w:hAnsi="Wingdings" w:hint="default"/>
      </w:rPr>
    </w:lvl>
  </w:abstractNum>
  <w:abstractNum w:abstractNumId="77">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78">
    <w:nsid w:val="6F351A53"/>
    <w:multiLevelType w:val="hybridMultilevel"/>
    <w:tmpl w:val="A22E4046"/>
    <w:lvl w:ilvl="0" w:tplc="54B28CE8">
      <w:start w:val="1"/>
      <w:numFmt w:val="lowerRoman"/>
      <w:pStyle w:val="Textstand-alonenumberingRCIndentJustified"/>
      <w:lvlText w:val="(%1)"/>
      <w:lvlJc w:val="left"/>
      <w:pPr>
        <w:ind w:left="720" w:hanging="360"/>
      </w:pPr>
      <w:rPr>
        <w:rFonts w:hint="default"/>
      </w:rPr>
    </w:lvl>
    <w:lvl w:ilvl="1" w:tplc="225ED3D8" w:tentative="1">
      <w:start w:val="1"/>
      <w:numFmt w:val="lowerLetter"/>
      <w:lvlText w:val="%2."/>
      <w:lvlJc w:val="left"/>
      <w:pPr>
        <w:ind w:left="1440" w:hanging="360"/>
      </w:pPr>
    </w:lvl>
    <w:lvl w:ilvl="2" w:tplc="963884FE" w:tentative="1">
      <w:start w:val="1"/>
      <w:numFmt w:val="lowerRoman"/>
      <w:lvlText w:val="%3."/>
      <w:lvlJc w:val="right"/>
      <w:pPr>
        <w:ind w:left="2160" w:hanging="180"/>
      </w:pPr>
    </w:lvl>
    <w:lvl w:ilvl="3" w:tplc="797610CE" w:tentative="1">
      <w:start w:val="1"/>
      <w:numFmt w:val="decimal"/>
      <w:lvlText w:val="%4."/>
      <w:lvlJc w:val="left"/>
      <w:pPr>
        <w:ind w:left="2880" w:hanging="360"/>
      </w:pPr>
    </w:lvl>
    <w:lvl w:ilvl="4" w:tplc="EC003A6E" w:tentative="1">
      <w:start w:val="1"/>
      <w:numFmt w:val="lowerLetter"/>
      <w:lvlText w:val="%5."/>
      <w:lvlJc w:val="left"/>
      <w:pPr>
        <w:ind w:left="3600" w:hanging="360"/>
      </w:pPr>
    </w:lvl>
    <w:lvl w:ilvl="5" w:tplc="EF180BB8" w:tentative="1">
      <w:start w:val="1"/>
      <w:numFmt w:val="lowerRoman"/>
      <w:lvlText w:val="%6."/>
      <w:lvlJc w:val="right"/>
      <w:pPr>
        <w:ind w:left="4320" w:hanging="180"/>
      </w:pPr>
    </w:lvl>
    <w:lvl w:ilvl="6" w:tplc="10B41188" w:tentative="1">
      <w:start w:val="1"/>
      <w:numFmt w:val="decimal"/>
      <w:lvlText w:val="%7."/>
      <w:lvlJc w:val="left"/>
      <w:pPr>
        <w:ind w:left="5040" w:hanging="360"/>
      </w:pPr>
    </w:lvl>
    <w:lvl w:ilvl="7" w:tplc="12324B14" w:tentative="1">
      <w:start w:val="1"/>
      <w:numFmt w:val="lowerLetter"/>
      <w:lvlText w:val="%8."/>
      <w:lvlJc w:val="left"/>
      <w:pPr>
        <w:ind w:left="5760" w:hanging="360"/>
      </w:pPr>
    </w:lvl>
    <w:lvl w:ilvl="8" w:tplc="AFFCDA76" w:tentative="1">
      <w:start w:val="1"/>
      <w:numFmt w:val="lowerRoman"/>
      <w:lvlText w:val="%9."/>
      <w:lvlJc w:val="right"/>
      <w:pPr>
        <w:ind w:left="6480" w:hanging="180"/>
      </w:pPr>
    </w:lvl>
  </w:abstractNum>
  <w:abstractNum w:abstractNumId="79">
    <w:nsid w:val="6F351A55"/>
    <w:multiLevelType w:val="hybridMultilevel"/>
    <w:tmpl w:val="EF80B480"/>
    <w:lvl w:ilvl="0" w:tplc="741E04D6">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62ED7FE" w:tentative="1">
      <w:start w:val="1"/>
      <w:numFmt w:val="lowerLetter"/>
      <w:lvlText w:val="%2."/>
      <w:lvlJc w:val="left"/>
      <w:pPr>
        <w:ind w:left="1797" w:hanging="360"/>
      </w:pPr>
    </w:lvl>
    <w:lvl w:ilvl="2" w:tplc="DB527AF2" w:tentative="1">
      <w:start w:val="1"/>
      <w:numFmt w:val="lowerRoman"/>
      <w:lvlText w:val="%3."/>
      <w:lvlJc w:val="right"/>
      <w:pPr>
        <w:ind w:left="2517" w:hanging="180"/>
      </w:pPr>
    </w:lvl>
    <w:lvl w:ilvl="3" w:tplc="FBB028BA" w:tentative="1">
      <w:start w:val="1"/>
      <w:numFmt w:val="decimal"/>
      <w:lvlText w:val="%4."/>
      <w:lvlJc w:val="left"/>
      <w:pPr>
        <w:ind w:left="3237" w:hanging="360"/>
      </w:pPr>
    </w:lvl>
    <w:lvl w:ilvl="4" w:tplc="DEA29BEA" w:tentative="1">
      <w:start w:val="1"/>
      <w:numFmt w:val="lowerLetter"/>
      <w:lvlText w:val="%5."/>
      <w:lvlJc w:val="left"/>
      <w:pPr>
        <w:ind w:left="3957" w:hanging="360"/>
      </w:pPr>
    </w:lvl>
    <w:lvl w:ilvl="5" w:tplc="F548753E" w:tentative="1">
      <w:start w:val="1"/>
      <w:numFmt w:val="lowerRoman"/>
      <w:lvlText w:val="%6."/>
      <w:lvlJc w:val="right"/>
      <w:pPr>
        <w:ind w:left="4677" w:hanging="180"/>
      </w:pPr>
    </w:lvl>
    <w:lvl w:ilvl="6" w:tplc="6F3A921E" w:tentative="1">
      <w:start w:val="1"/>
      <w:numFmt w:val="decimal"/>
      <w:lvlText w:val="%7."/>
      <w:lvlJc w:val="left"/>
      <w:pPr>
        <w:ind w:left="5397" w:hanging="360"/>
      </w:pPr>
    </w:lvl>
    <w:lvl w:ilvl="7" w:tplc="F09074AA" w:tentative="1">
      <w:start w:val="1"/>
      <w:numFmt w:val="lowerLetter"/>
      <w:lvlText w:val="%8."/>
      <w:lvlJc w:val="left"/>
      <w:pPr>
        <w:ind w:left="6117" w:hanging="360"/>
      </w:pPr>
    </w:lvl>
    <w:lvl w:ilvl="8" w:tplc="18C83848" w:tentative="1">
      <w:start w:val="1"/>
      <w:numFmt w:val="lowerRoman"/>
      <w:lvlText w:val="%9."/>
      <w:lvlJc w:val="right"/>
      <w:pPr>
        <w:ind w:left="6837" w:hanging="180"/>
      </w:pPr>
    </w:lvl>
  </w:abstractNum>
  <w:abstractNum w:abstractNumId="80">
    <w:nsid w:val="6F351A56"/>
    <w:multiLevelType w:val="hybridMultilevel"/>
    <w:tmpl w:val="EF80B480"/>
    <w:lvl w:ilvl="0" w:tplc="83D60CEC">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2398C010" w:tentative="1">
      <w:start w:val="1"/>
      <w:numFmt w:val="lowerLetter"/>
      <w:lvlText w:val="%2."/>
      <w:lvlJc w:val="left"/>
      <w:pPr>
        <w:ind w:left="2215" w:hanging="360"/>
      </w:pPr>
    </w:lvl>
    <w:lvl w:ilvl="2" w:tplc="C5C0FB02" w:tentative="1">
      <w:start w:val="1"/>
      <w:numFmt w:val="lowerRoman"/>
      <w:lvlText w:val="%3."/>
      <w:lvlJc w:val="right"/>
      <w:pPr>
        <w:ind w:left="2935" w:hanging="180"/>
      </w:pPr>
    </w:lvl>
    <w:lvl w:ilvl="3" w:tplc="2AC062F4" w:tentative="1">
      <w:start w:val="1"/>
      <w:numFmt w:val="decimal"/>
      <w:lvlText w:val="%4."/>
      <w:lvlJc w:val="left"/>
      <w:pPr>
        <w:ind w:left="3655" w:hanging="360"/>
      </w:pPr>
    </w:lvl>
    <w:lvl w:ilvl="4" w:tplc="B30E9072" w:tentative="1">
      <w:start w:val="1"/>
      <w:numFmt w:val="lowerLetter"/>
      <w:lvlText w:val="%5."/>
      <w:lvlJc w:val="left"/>
      <w:pPr>
        <w:ind w:left="4375" w:hanging="360"/>
      </w:pPr>
    </w:lvl>
    <w:lvl w:ilvl="5" w:tplc="C8D2BDB0" w:tentative="1">
      <w:start w:val="1"/>
      <w:numFmt w:val="lowerRoman"/>
      <w:lvlText w:val="%6."/>
      <w:lvlJc w:val="right"/>
      <w:pPr>
        <w:ind w:left="5095" w:hanging="180"/>
      </w:pPr>
    </w:lvl>
    <w:lvl w:ilvl="6" w:tplc="A7ECA9B8" w:tentative="1">
      <w:start w:val="1"/>
      <w:numFmt w:val="decimal"/>
      <w:lvlText w:val="%7."/>
      <w:lvlJc w:val="left"/>
      <w:pPr>
        <w:ind w:left="5815" w:hanging="360"/>
      </w:pPr>
    </w:lvl>
    <w:lvl w:ilvl="7" w:tplc="A866FB78" w:tentative="1">
      <w:start w:val="1"/>
      <w:numFmt w:val="lowerLetter"/>
      <w:lvlText w:val="%8."/>
      <w:lvlJc w:val="left"/>
      <w:pPr>
        <w:ind w:left="6535" w:hanging="360"/>
      </w:pPr>
    </w:lvl>
    <w:lvl w:ilvl="8" w:tplc="C9D80360" w:tentative="1">
      <w:start w:val="1"/>
      <w:numFmt w:val="lowerRoman"/>
      <w:lvlText w:val="%9."/>
      <w:lvlJc w:val="right"/>
      <w:pPr>
        <w:ind w:left="7255" w:hanging="180"/>
      </w:pPr>
    </w:lvl>
  </w:abstractNum>
  <w:abstractNum w:abstractNumId="81">
    <w:nsid w:val="72230A24"/>
    <w:multiLevelType w:val="multilevel"/>
    <w:tmpl w:val="EA926228"/>
    <w:lvl w:ilvl="0">
      <w:start w:val="1"/>
      <w:numFmt w:val="decimal"/>
      <w:pStyle w:val="Notes0"/>
      <w:lvlText w:val="%1"/>
      <w:lvlJc w:val="left"/>
      <w:pPr>
        <w:tabs>
          <w:tab w:val="num" w:pos="432"/>
        </w:tabs>
        <w:ind w:left="432" w:hanging="432"/>
      </w:pPr>
      <w:rPr>
        <w:rFonts w:hint="default"/>
        <w:lang w:val="en-GB"/>
      </w:rPr>
    </w:lvl>
    <w:lvl w:ilvl="1">
      <w:start w:val="1"/>
      <w:numFmt w:val="decimal"/>
      <w:pStyle w:val="Title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72230A27"/>
    <w:multiLevelType w:val="multilevel"/>
    <w:tmpl w:val="CC101C62"/>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72230A3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72230A38"/>
    <w:multiLevelType w:val="multilevel"/>
    <w:tmpl w:val="E8FA3B46"/>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72230A3A"/>
    <w:multiLevelType w:val="multilevel"/>
    <w:tmpl w:val="4F0283B2"/>
    <w:lvl w:ilvl="0">
      <w:start w:val="3"/>
      <w:numFmt w:val="none"/>
      <w:pStyle w:val="Notes3"/>
      <w:lvlText w:val="1"/>
      <w:lvlJc w:val="left"/>
      <w:pPr>
        <w:tabs>
          <w:tab w:val="num" w:pos="432"/>
        </w:tabs>
        <w:ind w:left="432" w:hanging="432"/>
      </w:pPr>
      <w:rPr>
        <w:rFonts w:hint="default"/>
        <w:b w:val="0"/>
        <w:sz w:val="16"/>
        <w:szCs w:val="16"/>
        <w:lang w:val="en-GB"/>
      </w:rPr>
    </w:lvl>
    <w:lvl w:ilvl="1">
      <w:start w:val="2"/>
      <w:numFmt w:val="decimal"/>
      <w:pStyle w:val="Title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72230A3E"/>
    <w:multiLevelType w:val="multilevel"/>
    <w:tmpl w:val="EA926228"/>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72230A3F"/>
    <w:multiLevelType w:val="multilevel"/>
    <w:tmpl w:val="02F24F5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nsid w:val="72230A40"/>
    <w:multiLevelType w:val="multilevel"/>
    <w:tmpl w:val="EA926228"/>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72230A43"/>
    <w:multiLevelType w:val="hybridMultilevel"/>
    <w:tmpl w:val="36C6AE94"/>
    <w:lvl w:ilvl="0" w:tplc="04DCAC4E">
      <w:start w:val="1"/>
      <w:numFmt w:val="lowerRoman"/>
      <w:pStyle w:val="Listi0"/>
      <w:lvlText w:val="%1)"/>
      <w:lvlJc w:val="left"/>
      <w:pPr>
        <w:tabs>
          <w:tab w:val="num" w:pos="1080"/>
        </w:tabs>
        <w:ind w:left="1080" w:hanging="720"/>
      </w:pPr>
      <w:rPr>
        <w:rFonts w:cs="Times New Roman" w:hint="default"/>
      </w:rPr>
    </w:lvl>
    <w:lvl w:ilvl="1" w:tplc="AF6C6932">
      <w:start w:val="1"/>
      <w:numFmt w:val="lowerLetter"/>
      <w:lvlText w:val="%2."/>
      <w:lvlJc w:val="left"/>
      <w:pPr>
        <w:tabs>
          <w:tab w:val="num" w:pos="1440"/>
        </w:tabs>
        <w:ind w:left="1440" w:hanging="360"/>
      </w:pPr>
      <w:rPr>
        <w:rFonts w:cs="Times New Roman"/>
      </w:rPr>
    </w:lvl>
    <w:lvl w:ilvl="2" w:tplc="190423E0">
      <w:start w:val="1"/>
      <w:numFmt w:val="lowerRoman"/>
      <w:lvlText w:val="%3."/>
      <w:lvlJc w:val="right"/>
      <w:pPr>
        <w:tabs>
          <w:tab w:val="num" w:pos="2160"/>
        </w:tabs>
        <w:ind w:left="2160" w:hanging="180"/>
      </w:pPr>
      <w:rPr>
        <w:rFonts w:cs="Times New Roman"/>
      </w:rPr>
    </w:lvl>
    <w:lvl w:ilvl="3" w:tplc="A9F00A96">
      <w:start w:val="1"/>
      <w:numFmt w:val="decimal"/>
      <w:lvlText w:val="%4."/>
      <w:lvlJc w:val="left"/>
      <w:pPr>
        <w:tabs>
          <w:tab w:val="num" w:pos="2880"/>
        </w:tabs>
        <w:ind w:left="2880" w:hanging="360"/>
      </w:pPr>
      <w:rPr>
        <w:rFonts w:cs="Times New Roman"/>
      </w:rPr>
    </w:lvl>
    <w:lvl w:ilvl="4" w:tplc="74B6E0FE">
      <w:start w:val="1"/>
      <w:numFmt w:val="lowerLetter"/>
      <w:lvlText w:val="%5."/>
      <w:lvlJc w:val="left"/>
      <w:pPr>
        <w:tabs>
          <w:tab w:val="num" w:pos="3600"/>
        </w:tabs>
        <w:ind w:left="3600" w:hanging="360"/>
      </w:pPr>
      <w:rPr>
        <w:rFonts w:cs="Times New Roman"/>
      </w:rPr>
    </w:lvl>
    <w:lvl w:ilvl="5" w:tplc="2B68B8FA">
      <w:start w:val="1"/>
      <w:numFmt w:val="lowerRoman"/>
      <w:lvlText w:val="%6."/>
      <w:lvlJc w:val="right"/>
      <w:pPr>
        <w:tabs>
          <w:tab w:val="num" w:pos="4320"/>
        </w:tabs>
        <w:ind w:left="4320" w:hanging="180"/>
      </w:pPr>
      <w:rPr>
        <w:rFonts w:cs="Times New Roman"/>
      </w:rPr>
    </w:lvl>
    <w:lvl w:ilvl="6" w:tplc="ED1AA552">
      <w:start w:val="1"/>
      <w:numFmt w:val="decimal"/>
      <w:lvlText w:val="%7."/>
      <w:lvlJc w:val="left"/>
      <w:pPr>
        <w:tabs>
          <w:tab w:val="num" w:pos="5040"/>
        </w:tabs>
        <w:ind w:left="5040" w:hanging="360"/>
      </w:pPr>
      <w:rPr>
        <w:rFonts w:cs="Times New Roman"/>
      </w:rPr>
    </w:lvl>
    <w:lvl w:ilvl="7" w:tplc="AE84A5EE">
      <w:start w:val="1"/>
      <w:numFmt w:val="lowerLetter"/>
      <w:lvlText w:val="%8."/>
      <w:lvlJc w:val="left"/>
      <w:pPr>
        <w:tabs>
          <w:tab w:val="num" w:pos="5760"/>
        </w:tabs>
        <w:ind w:left="5760" w:hanging="360"/>
      </w:pPr>
      <w:rPr>
        <w:rFonts w:cs="Times New Roman"/>
      </w:rPr>
    </w:lvl>
    <w:lvl w:ilvl="8" w:tplc="169CE760">
      <w:start w:val="1"/>
      <w:numFmt w:val="lowerRoman"/>
      <w:lvlText w:val="%9."/>
      <w:lvlJc w:val="right"/>
      <w:pPr>
        <w:tabs>
          <w:tab w:val="num" w:pos="6480"/>
        </w:tabs>
        <w:ind w:left="6480" w:hanging="180"/>
      </w:pPr>
      <w:rPr>
        <w:rFonts w:cs="Times New Roman"/>
      </w:rPr>
    </w:lvl>
  </w:abstractNum>
  <w:abstractNum w:abstractNumId="90">
    <w:nsid w:val="72230A46"/>
    <w:multiLevelType w:val="multilevel"/>
    <w:tmpl w:val="EA926228"/>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72230A48"/>
    <w:multiLevelType w:val="multilevel"/>
    <w:tmpl w:val="EA926228"/>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72230A4A"/>
    <w:multiLevelType w:val="multilevel"/>
    <w:tmpl w:val="EA926228"/>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72230A4C"/>
    <w:multiLevelType w:val="multilevel"/>
    <w:tmpl w:val="EA926228"/>
    <w:lvl w:ilvl="0">
      <w:start w:val="1"/>
      <w:numFmt w:val="decimal"/>
      <w:pStyle w:val="Notes100"/>
      <w:lvlText w:val="%1"/>
      <w:lvlJc w:val="left"/>
      <w:pPr>
        <w:tabs>
          <w:tab w:val="num" w:pos="432"/>
        </w:tabs>
        <w:ind w:left="432" w:hanging="432"/>
      </w:pPr>
      <w:rPr>
        <w:rFonts w:hint="default"/>
        <w:lang w:val="en-GB"/>
      </w:rPr>
    </w:lvl>
    <w:lvl w:ilvl="1">
      <w:start w:val="1"/>
      <w:numFmt w:val="decimal"/>
      <w:pStyle w:val="Title1110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72230A4E"/>
    <w:multiLevelType w:val="multilevel"/>
    <w:tmpl w:val="EA926228"/>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nsid w:val="72230A50"/>
    <w:multiLevelType w:val="multilevel"/>
    <w:tmpl w:val="A2C86D00"/>
    <w:name w:val="WW8Num532"/>
    <w:lvl w:ilvl="0">
      <w:start w:val="2"/>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nsid w:val="72230A51"/>
    <w:multiLevelType w:val="multilevel"/>
    <w:tmpl w:val="EA926228"/>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nsid w:val="72230A52"/>
    <w:multiLevelType w:val="multilevel"/>
    <w:tmpl w:val="EA926228"/>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nsid w:val="72230A54"/>
    <w:multiLevelType w:val="multilevel"/>
    <w:tmpl w:val="EA926228"/>
    <w:lvl w:ilvl="0">
      <w:start w:val="1"/>
      <w:numFmt w:val="decimal"/>
      <w:pStyle w:val="Notes14"/>
      <w:lvlText w:val="%1"/>
      <w:lvlJc w:val="left"/>
      <w:pPr>
        <w:tabs>
          <w:tab w:val="num" w:pos="432"/>
        </w:tabs>
        <w:ind w:left="432" w:hanging="432"/>
      </w:pPr>
      <w:rPr>
        <w:rFonts w:hint="default"/>
        <w:lang w:val="en-GB"/>
      </w:rPr>
    </w:lvl>
    <w:lvl w:ilvl="1">
      <w:start w:val="1"/>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nsid w:val="72230A56"/>
    <w:multiLevelType w:val="multilevel"/>
    <w:tmpl w:val="EA926228"/>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nsid w:val="72230A5A"/>
    <w:multiLevelType w:val="multilevel"/>
    <w:tmpl w:val="EA926228"/>
    <w:lvl w:ilvl="0">
      <w:start w:val="1"/>
      <w:numFmt w:val="decimal"/>
      <w:pStyle w:val="Notes160"/>
      <w:lvlText w:val="%1"/>
      <w:lvlJc w:val="left"/>
      <w:pPr>
        <w:tabs>
          <w:tab w:val="num" w:pos="432"/>
        </w:tabs>
        <w:ind w:left="432" w:hanging="432"/>
      </w:pPr>
      <w:rPr>
        <w:lang w:val="en-GB"/>
      </w:rPr>
    </w:lvl>
    <w:lvl w:ilvl="1">
      <w:start w:val="1"/>
      <w:numFmt w:val="decimal"/>
      <w:pStyle w:val="Title11160"/>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1">
    <w:nsid w:val="72230A5B"/>
    <w:multiLevelType w:val="multilevel"/>
    <w:tmpl w:val="EA926228"/>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nsid w:val="72230A5D"/>
    <w:multiLevelType w:val="multilevel"/>
    <w:tmpl w:val="EA926228"/>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nsid w:val="72230A5F"/>
    <w:multiLevelType w:val="multilevel"/>
    <w:tmpl w:val="4726D2B6"/>
    <w:lvl w:ilvl="0">
      <w:start w:val="1"/>
      <w:numFmt w:val="decimal"/>
      <w:pStyle w:val="Notes19"/>
      <w:lvlText w:val="%1"/>
      <w:lvlJc w:val="left"/>
      <w:pPr>
        <w:tabs>
          <w:tab w:val="num" w:pos="432"/>
        </w:tabs>
        <w:ind w:left="432" w:hanging="432"/>
      </w:pPr>
      <w:rPr>
        <w:rFonts w:hint="default"/>
        <w:b w:val="0"/>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nsid w:val="72230A62"/>
    <w:multiLevelType w:val="multilevel"/>
    <w:tmpl w:val="EA926228"/>
    <w:lvl w:ilvl="0">
      <w:start w:val="1"/>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nsid w:val="72230A6A"/>
    <w:multiLevelType w:val="multilevel"/>
    <w:tmpl w:val="EA926228"/>
    <w:lvl w:ilvl="0">
      <w:start w:val="1"/>
      <w:numFmt w:val="decimal"/>
      <w:pStyle w:val="Notes22"/>
      <w:lvlText w:val="%1"/>
      <w:lvlJc w:val="left"/>
      <w:pPr>
        <w:tabs>
          <w:tab w:val="num" w:pos="432"/>
        </w:tabs>
        <w:ind w:left="432" w:hanging="432"/>
      </w:pPr>
      <w:rPr>
        <w:rFonts w:hint="default"/>
        <w:lang w:val="en-GB"/>
      </w:rPr>
    </w:lvl>
    <w:lvl w:ilvl="1">
      <w:start w:val="1"/>
      <w:numFmt w:val="decimal"/>
      <w:pStyle w:val="Title112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nsid w:val="72230A6C"/>
    <w:multiLevelType w:val="multilevel"/>
    <w:tmpl w:val="C37624AE"/>
    <w:lvl w:ilvl="0">
      <w:start w:val="4"/>
      <w:numFmt w:val="decimal"/>
      <w:pStyle w:val="Notes23"/>
      <w:lvlText w:val="%1"/>
      <w:lvlJc w:val="left"/>
      <w:pPr>
        <w:tabs>
          <w:tab w:val="num" w:pos="432"/>
        </w:tabs>
        <w:ind w:left="432" w:hanging="432"/>
      </w:pPr>
      <w:rPr>
        <w:rFonts w:hint="default"/>
        <w:lang w:val="en-GB"/>
      </w:rPr>
    </w:lvl>
    <w:lvl w:ilvl="1">
      <w:start w:val="1"/>
      <w:numFmt w:val="decimal"/>
      <w:pStyle w:val="Title112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nsid w:val="72230A6D"/>
    <w:multiLevelType w:val="multilevel"/>
    <w:tmpl w:val="C37624AE"/>
    <w:lvl w:ilvl="0">
      <w:start w:val="4"/>
      <w:numFmt w:val="decimal"/>
      <w:pStyle w:val="Notes24"/>
      <w:lvlText w:val="%1"/>
      <w:lvlJc w:val="left"/>
      <w:pPr>
        <w:tabs>
          <w:tab w:val="num" w:pos="432"/>
        </w:tabs>
        <w:ind w:left="432" w:hanging="432"/>
      </w:pPr>
      <w:rPr>
        <w:rFonts w:hint="default"/>
        <w:lang w:val="en-GB"/>
      </w:rPr>
    </w:lvl>
    <w:lvl w:ilvl="1">
      <w:start w:val="1"/>
      <w:numFmt w:val="decimal"/>
      <w:pStyle w:val="Title112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nsid w:val="72230A6E"/>
    <w:multiLevelType w:val="multilevel"/>
    <w:tmpl w:val="5B401FA0"/>
    <w:lvl w:ilvl="0">
      <w:start w:val="4"/>
      <w:numFmt w:val="decimal"/>
      <w:pStyle w:val="Notes25"/>
      <w:lvlText w:val="%1"/>
      <w:lvlJc w:val="left"/>
      <w:pPr>
        <w:tabs>
          <w:tab w:val="num" w:pos="432"/>
        </w:tabs>
        <w:ind w:left="432" w:hanging="432"/>
      </w:pPr>
      <w:rPr>
        <w:rFonts w:hint="default"/>
        <w:lang w:val="en-GB"/>
      </w:rPr>
    </w:lvl>
    <w:lvl w:ilvl="1">
      <w:start w:val="2"/>
      <w:numFmt w:val="decimal"/>
      <w:pStyle w:val="Title112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nsid w:val="72230A70"/>
    <w:multiLevelType w:val="multilevel"/>
    <w:tmpl w:val="BCF0F7F4"/>
    <w:lvl w:ilvl="0">
      <w:start w:val="4"/>
      <w:numFmt w:val="decimal"/>
      <w:pStyle w:val="Notes26"/>
      <w:lvlText w:val="%1"/>
      <w:lvlJc w:val="left"/>
      <w:pPr>
        <w:tabs>
          <w:tab w:val="num" w:pos="432"/>
        </w:tabs>
        <w:ind w:left="432" w:hanging="432"/>
      </w:pPr>
      <w:rPr>
        <w:rFonts w:hint="default"/>
        <w:lang w:val="en-GB"/>
      </w:rPr>
    </w:lvl>
    <w:lvl w:ilvl="1">
      <w:start w:val="2"/>
      <w:numFmt w:val="decimal"/>
      <w:pStyle w:val="Title1126"/>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nsid w:val="72230A71"/>
    <w:multiLevelType w:val="multilevel"/>
    <w:tmpl w:val="DE1EA1B0"/>
    <w:lvl w:ilvl="0">
      <w:start w:val="12"/>
      <w:numFmt w:val="decimal"/>
      <w:pStyle w:val="Notes27"/>
      <w:lvlText w:val="%1"/>
      <w:lvlJc w:val="left"/>
      <w:pPr>
        <w:tabs>
          <w:tab w:val="num" w:pos="432"/>
        </w:tabs>
        <w:ind w:left="432" w:hanging="432"/>
      </w:pPr>
      <w:rPr>
        <w:rFonts w:hint="default"/>
        <w:lang w:val="en-GB"/>
      </w:rPr>
    </w:lvl>
    <w:lvl w:ilvl="1">
      <w:start w:val="1"/>
      <w:numFmt w:val="decimal"/>
      <w:pStyle w:val="Title112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nsid w:val="72230A73"/>
    <w:multiLevelType w:val="multilevel"/>
    <w:tmpl w:val="EA926228"/>
    <w:lvl w:ilvl="0">
      <w:start w:val="1"/>
      <w:numFmt w:val="decimal"/>
      <w:pStyle w:val="Notes28"/>
      <w:lvlText w:val="%1"/>
      <w:lvlJc w:val="left"/>
      <w:pPr>
        <w:tabs>
          <w:tab w:val="num" w:pos="432"/>
        </w:tabs>
        <w:ind w:left="432" w:hanging="432"/>
      </w:pPr>
      <w:rPr>
        <w:lang w:val="en-GB"/>
      </w:rPr>
    </w:lvl>
    <w:lvl w:ilvl="1">
      <w:start w:val="1"/>
      <w:numFmt w:val="decimal"/>
      <w:pStyle w:val="Title1128"/>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5"/>
  </w:num>
  <w:num w:numId="2">
    <w:abstractNumId w:val="1"/>
  </w:num>
  <w:num w:numId="3">
    <w:abstractNumId w:val="7"/>
  </w:num>
  <w:num w:numId="4">
    <w:abstractNumId w:val="50"/>
  </w:num>
  <w:num w:numId="5">
    <w:abstractNumId w:val="0"/>
  </w:num>
  <w:num w:numId="6">
    <w:abstractNumId w:val="56"/>
  </w:num>
  <w:num w:numId="7">
    <w:abstractNumId w:val="65"/>
  </w:num>
  <w:num w:numId="8">
    <w:abstractNumId w:val="6"/>
  </w:num>
  <w:num w:numId="9">
    <w:abstractNumId w:val="76"/>
  </w:num>
  <w:num w:numId="10">
    <w:abstractNumId w:val="62"/>
  </w:num>
  <w:num w:numId="11">
    <w:abstractNumId w:val="78"/>
  </w:num>
  <w:num w:numId="12">
    <w:abstractNumId w:val="3"/>
  </w:num>
  <w:num w:numId="13">
    <w:abstractNumId w:val="2"/>
  </w:num>
  <w:num w:numId="14">
    <w:abstractNumId w:val="79"/>
  </w:num>
  <w:num w:numId="15">
    <w:abstractNumId w:val="80"/>
  </w:num>
  <w:num w:numId="16">
    <w:abstractNumId w:val="66"/>
  </w:num>
  <w:num w:numId="17">
    <w:abstractNumId w:val="57"/>
  </w:num>
  <w:num w:numId="18">
    <w:abstractNumId w:val="75"/>
  </w:num>
  <w:num w:numId="19">
    <w:abstractNumId w:val="59"/>
  </w:num>
  <w:num w:numId="20">
    <w:abstractNumId w:val="60"/>
  </w:num>
  <w:num w:numId="21">
    <w:abstractNumId w:val="77"/>
  </w:num>
  <w:num w:numId="22">
    <w:abstractNumId w:val="51"/>
  </w:num>
  <w:num w:numId="23">
    <w:abstractNumId w:val="69"/>
  </w:num>
  <w:num w:numId="24">
    <w:abstractNumId w:val="72"/>
  </w:num>
  <w:num w:numId="25">
    <w:abstractNumId w:val="81"/>
  </w:num>
  <w:num w:numId="26">
    <w:abstractNumId w:val="9"/>
  </w:num>
  <w:num w:numId="27">
    <w:abstractNumId w:val="10"/>
  </w:num>
  <w:num w:numId="28">
    <w:abstractNumId w:val="84"/>
  </w:num>
  <w:num w:numId="29">
    <w:abstractNumId w:val="82"/>
  </w:num>
  <w:num w:numId="30">
    <w:abstractNumId w:val="11"/>
  </w:num>
  <w:num w:numId="31">
    <w:abstractNumId w:val="58"/>
  </w:num>
  <w:num w:numId="32">
    <w:abstractNumId w:val="12"/>
  </w:num>
  <w:num w:numId="33">
    <w:abstractNumId w:val="13"/>
  </w:num>
  <w:num w:numId="34">
    <w:abstractNumId w:val="64"/>
  </w:num>
  <w:num w:numId="35">
    <w:abstractNumId w:val="63"/>
  </w:num>
  <w:num w:numId="36">
    <w:abstractNumId w:val="52"/>
  </w:num>
  <w:num w:numId="37">
    <w:abstractNumId w:val="68"/>
  </w:num>
  <w:num w:numId="38">
    <w:abstractNumId w:val="83"/>
  </w:num>
  <w:num w:numId="39">
    <w:abstractNumId w:val="53"/>
  </w:num>
  <w:num w:numId="40">
    <w:abstractNumId w:val="14"/>
  </w:num>
  <w:num w:numId="41">
    <w:abstractNumId w:val="15"/>
  </w:num>
  <w:num w:numId="42">
    <w:abstractNumId w:val="16"/>
  </w:num>
  <w:num w:numId="43">
    <w:abstractNumId w:val="17"/>
  </w:num>
  <w:num w:numId="44">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55"/>
  </w:num>
  <w:num w:numId="47">
    <w:abstractNumId w:val="61"/>
  </w:num>
  <w:num w:numId="48">
    <w:abstractNumId w:val="54"/>
  </w:num>
  <w:num w:numId="49">
    <w:abstractNumId w:val="20"/>
  </w:num>
  <w:num w:numId="50">
    <w:abstractNumId w:val="74"/>
  </w:num>
  <w:num w:numId="51">
    <w:abstractNumId w:val="73"/>
  </w:num>
  <w:num w:numId="52">
    <w:abstractNumId w:val="21"/>
  </w:num>
  <w:num w:numId="53">
    <w:abstractNumId w:val="88"/>
  </w:num>
  <w:num w:numId="54">
    <w:abstractNumId w:val="22"/>
  </w:num>
  <w:num w:numId="55">
    <w:abstractNumId w:val="23"/>
  </w:num>
  <w:num w:numId="56">
    <w:abstractNumId w:val="8"/>
  </w:num>
  <w:num w:numId="57">
    <w:abstractNumId w:val="90"/>
  </w:num>
  <w:num w:numId="58">
    <w:abstractNumId w:val="91"/>
  </w:num>
  <w:num w:numId="59">
    <w:abstractNumId w:val="24"/>
  </w:num>
  <w:num w:numId="60">
    <w:abstractNumId w:val="25"/>
  </w:num>
  <w:num w:numId="61">
    <w:abstractNumId w:val="89"/>
  </w:num>
  <w:num w:numId="62">
    <w:abstractNumId w:val="26"/>
  </w:num>
  <w:num w:numId="63">
    <w:abstractNumId w:val="92"/>
  </w:num>
  <w:num w:numId="64">
    <w:abstractNumId w:val="27"/>
  </w:num>
  <w:num w:numId="65">
    <w:abstractNumId w:val="93"/>
  </w:num>
  <w:num w:numId="66">
    <w:abstractNumId w:val="28"/>
  </w:num>
  <w:num w:numId="67">
    <w:abstractNumId w:val="94"/>
  </w:num>
  <w:num w:numId="68">
    <w:abstractNumId w:val="29"/>
  </w:num>
  <w:num w:numId="69">
    <w:abstractNumId w:val="96"/>
  </w:num>
  <w:num w:numId="70">
    <w:abstractNumId w:val="30"/>
  </w:num>
  <w:num w:numId="71">
    <w:abstractNumId w:val="97"/>
  </w:num>
  <w:num w:numId="72">
    <w:abstractNumId w:val="31"/>
  </w:num>
  <w:num w:numId="73">
    <w:abstractNumId w:val="98"/>
  </w:num>
  <w:num w:numId="74">
    <w:abstractNumId w:val="32"/>
  </w:num>
  <w:num w:numId="75">
    <w:abstractNumId w:val="87"/>
  </w:num>
  <w:num w:numId="76">
    <w:abstractNumId w:val="99"/>
  </w:num>
  <w:num w:numId="77">
    <w:abstractNumId w:val="101"/>
  </w:num>
  <w:num w:numId="78">
    <w:abstractNumId w:val="33"/>
  </w:num>
  <w:num w:numId="79">
    <w:abstractNumId w:val="102"/>
  </w:num>
  <w:num w:numId="80">
    <w:abstractNumId w:val="34"/>
  </w:num>
  <w:num w:numId="81">
    <w:abstractNumId w:val="103"/>
  </w:num>
  <w:num w:numId="82">
    <w:abstractNumId w:val="35"/>
  </w:num>
  <w:num w:numId="83">
    <w:abstractNumId w:val="95"/>
  </w:num>
  <w:num w:numId="84">
    <w:abstractNumId w:val="104"/>
  </w:num>
  <w:num w:numId="8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5"/>
  </w:num>
  <w:num w:numId="87">
    <w:abstractNumId w:val="36"/>
  </w:num>
  <w:num w:numId="88">
    <w:abstractNumId w:val="105"/>
  </w:num>
  <w:num w:numId="89">
    <w:abstractNumId w:val="86"/>
  </w:num>
  <w:num w:numId="90">
    <w:abstractNumId w:val="37"/>
  </w:num>
  <w:num w:numId="91">
    <w:abstractNumId w:val="106"/>
  </w:num>
  <w:num w:numId="92">
    <w:abstractNumId w:val="38"/>
  </w:num>
  <w:num w:numId="93">
    <w:abstractNumId w:val="107"/>
  </w:num>
  <w:num w:numId="94">
    <w:abstractNumId w:val="39"/>
  </w:num>
  <w:num w:numId="95">
    <w:abstractNumId w:val="108"/>
  </w:num>
  <w:num w:numId="96">
    <w:abstractNumId w:val="40"/>
  </w:num>
  <w:num w:numId="97">
    <w:abstractNumId w:val="109"/>
  </w:num>
  <w:num w:numId="98">
    <w:abstractNumId w:val="41"/>
  </w:num>
  <w:num w:numId="99">
    <w:abstractNumId w:val="42"/>
  </w:num>
  <w:num w:numId="100">
    <w:abstractNumId w:val="110"/>
  </w:num>
  <w:num w:numId="101">
    <w:abstractNumId w:val="43"/>
  </w:num>
  <w:num w:numId="10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5"/>
  </w:num>
  <w:num w:numId="105">
    <w:abstractNumId w:val="46"/>
  </w:num>
  <w:num w:numId="106">
    <w:abstractNumId w:val="4"/>
  </w:num>
  <w:num w:numId="107">
    <w:abstractNumId w:val="47"/>
  </w:num>
  <w:num w:numId="10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num>
  <w:num w:numId="110">
    <w:abstractNumId w:val="67"/>
  </w:num>
  <w:num w:numId="111">
    <w:abstractNumId w:val="71"/>
  </w:num>
  <w:num w:numId="112">
    <w:abstractNumId w:val="70"/>
  </w:num>
  <w:num w:numId="113">
    <w:abstractNumId w:val="62"/>
  </w:num>
  <w:num w:numId="114">
    <w:abstractNumId w:val="62"/>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907"/>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14 AM&lt;/DYNAMIZEDON&gt;&lt;LASTUPDATEDBY&gt;MILOTLU&lt;/LASTUPDATEDBY&gt;&lt;LASTUPDATEDON&gt;5/31/2020 8:09:11 PM&lt;/LASTUPDATEDON&gt;&lt;UTC&gt;1&lt;/UTC&gt;&lt;/UPDATE&gt;&lt;QUERIES bbk=&quot;18949&quot; bbkdesc=&quot;2019 Annual Accounts/EDF from Master Report/DC - Aggregated Financial Statements&quot; datapro=&quot;BIP_AGGPL&quot; tdatapro=&quot;BIP_AGGPL&quot; author=&quot;&quot; modtime=&quot;5/31/2020 8:08:59 PM&quot; moduser=&quot;MILOTLU&quot; rolluptime=&quot;&quot; syuser=&quot;MILOTLU&quot; syuzeit=&quot;5/31/2020 8:08:59 PM&quot; root=&quot;/BBOOK/DATAPROVIDER[./META/PROPS/ID='BIP_AGGPL']/DATA&quot; colcount=&quot;4&quot; rowcount=&quot;19&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PL&quot; infos=&quot;&quot; iscomment=&quot;0&quot;&gt;&lt;SELECT&gt;/BBOOK/DATAPROVIDER[./META/PROPS/ID='BIP_AGGPL']/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46 AM&lt;/DYNAMIZEDON&gt;&lt;LASTUPDATEDBY&gt;MILOTLU&lt;/LASTUPDATEDBY&gt;&lt;LASTUPDATEDON&gt;5/31/2020 8:09:11 PM&lt;/LASTUPDATEDON&gt;&lt;UTC&gt;1&lt;/UTC&gt;&lt;/UPDATE&gt;&lt;QUERIES bbk=&quot;18949&quot; bbkdesc=&quot;2019 Annual Accounts/EDF from Master Report/DC - Aggregated Financial Statements&quot; datapro=&quot;BIP_AGGCF&quot; tdatapro=&quot;BIP_AGGCF&quot; author=&quot;&quot; modtime=&quot;5/31/2020 8:08:59 PM&quot; moduser=&quot;MILOTLU&quot; rolluptime=&quot;&quot; syuser=&quot;MILOTLU&quot; syuzeit=&quot;5/31/2020 8:08:59 PM&quot; root=&quot;/BBOOK/DATAPROVIDER[./META/PROPS/ID='BIP_AGGCF']/DATA&quot; colcount=&quot;4&quot; rowcount=&quot;20&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CF&quot; infos=&quot;&quot; iscomment=&quot;0&quot;&gt;&lt;SELECT&gt;/BBOOK/DATAPROVIDER[./META/PROPS/ID='BIP_AGGCF']/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4:03 AM&lt;/DYNAMIZEDON&gt;&lt;LASTUPDATEDBY&gt;MILOTLU&lt;/LASTUPDATEDBY&gt;&lt;LASTUPDATEDON&gt;5/31/2020 8:11:09 PM&lt;/LASTUPDATEDON&gt;&lt;UTC&gt;1&lt;/UTC&gt;&lt;/UPDATE&gt;&lt;QUERIES bbk=&quot;18983&quot; bbkdesc=&quot;2019 Annual Accounts/EDF from Master Report/DC - Notes to the financial statements&quot; datapro=&quot;BIP_PLEDF&quot; tdatapro=&quot;BIP_PLEDF&quot; author=&quot;&quot; modtime=&quot;5/31/2020 8:10:55 PM&quot; moduser=&quot;MILOTLU&quot; rolluptime=&quot;&quot; syuser=&quot;MILOTLU&quot; syuzeit=&quot;5/31/2020 8:10:55 PM&quot; root=&quot;/BBOOK/DATAPROVIDER[./META/PROPS/ID='BIP_PLEDF']/DATA&quot; colcount=&quot;12&quot; rowcount=&quot;2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LEDF&quot; infos=&quot;&quot; iscomment=&quot;0&quot;&gt;&lt;SELECT&gt;/BBOOK/DATAPROVIDER[./META/PROPS/ID='BIP_PLED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5:46 AM&lt;/DYNAMIZEDON&gt;&lt;LASTUPDATEDBY&gt;MILOTLU&lt;/LASTUPDATEDBY&gt;&lt;LASTUPDATEDON&gt;5/31/2020 8:11:09 PM&lt;/LASTUPDATEDON&gt;&lt;UTC&gt;1&lt;/UTC&gt;&lt;/UPDATE&gt;&lt;QUERIES bbk=&quot;18983&quot; bbkdesc=&quot;2019 Annual Accounts/EDF from Master Report/DC - Notes to the financial statements&quot; datapro=&quot;BIP_CNA8&quot; tdatapro=&quot;BIP_CNA8&quot; author=&quot;&quot; modtime=&quot;5/31/2020 8:10:55 PM&quot; moduser=&quot;MILOTLU&quot; rolluptime=&quot;&quot; syuser=&quot;MILOTLU&quot; syuzeit=&quot;5/31/2020 8:10:55 PM&quot; root=&quot;/BBOOK/DATAPROVIDER[./META/PROPS/ID='BIP_CNA8']/DATA&quot; colcount=&quot;8&quot; rowcount=&quot;7&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8&quot; infos=&quot;&quot; iscomment=&quot;0&quot;&gt;&lt;SELECT&gt;/BBOOK/DATAPROVIDER[./META/PROPS/ID='BIP_CNA8']/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0:31 AM&lt;/DYNAMIZEDON&gt;&lt;LASTUPDATEDBY&gt;MILOTLU&lt;/LASTUPDATEDBY&gt;&lt;LASTUPDATEDON&gt;5/31/2020 8:09:11 PM&lt;/LASTUPDATEDON&gt;&lt;UTC&gt;1&lt;/UTC&gt;&lt;/UPDATE&gt;&lt;QUERIES bbk=&quot;18949&quot; bbkdesc=&quot;2019 Annual Accounts/EDF from Master Report/DC - Aggregated Financial Statements&quot; datapro=&quot;BIP_AGGBS&quot; tdatapro=&quot;BIP_AGGBS&quot; author=&quot;&quot; modtime=&quot;5/31/2020 8:08:59 PM&quot; moduser=&quot;MILOTLU&quot; rolluptime=&quot;&quot; syuser=&quot;MILOTLU&quot; syuzeit=&quot;5/31/2020 8:08:59 PM&quot; root=&quot;/BBOOK/DATAPROVIDER[./META/PROPS/ID='BIP_AGGBS']/DATA&quot; colcount=&quot;4&quot; rowcount=&quot;32&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BS&quot; infos=&quot;&quot; iscomment=&quot;0&quot;&gt;&lt;SELECT&gt;/BBOOK/DATAPROVIDER[./META/PROPS/ID='BIP_AGGBS']/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1:43 AM&lt;/DYNAMIZEDON&gt;&lt;LASTUPDATEDBY&gt;MILOTLU&lt;/LASTUPDATEDBY&gt;&lt;LASTUPDATEDON&gt;5/31/2020 8:11:09 PM&lt;/LASTUPDATEDON&gt;&lt;UTC&gt;1&lt;/UTC&gt;&lt;/UPDATE&gt;&lt;QUERIES bbk=&quot;18983&quot; bbkdesc=&quot;2019 Annual Accounts/EDF from Master Report/DC - Notes to the financial statements&quot; datapro=&quot;BIP_CNA10&quot; tdatapro=&quot;BIP_CNA10&quot; author=&quot;&quot; modtime=&quot;5/31/2020 8:10:55 PM&quot; moduser=&quot;MILOTLU&quot; rolluptime=&quot;&quot; syuser=&quot;MILOTLU&quot; syuzeit=&quot;5/31/2020 8:10:55 PM&quot; root=&quot;/BBOOK/DATAPROVIDER[./META/PROPS/ID='BIP_CNA10']/DATA&quot; colcount=&quot;8&quot; rowcount=&quot;1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10&quot; infos=&quot;&quot; iscomment=&quot;0&quot;&gt;&lt;SELECT&gt;/BBOOK/DATAPROVIDER[./META/PROPS/ID='BIP_CNA10']/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2:11 AM&lt;/DYNAMIZEDON&gt;&lt;LASTUPDATEDBY&gt;MILOTLU&lt;/LASTUPDATEDBY&gt;&lt;LASTUPDATEDON&gt;5/31/2020 8:11:09 PM&lt;/LASTUPDATEDON&gt;&lt;UTC&gt;1&lt;/UTC&gt;&lt;/UPDATE&gt;&lt;QUERIES bbk=&quot;18983&quot; bbkdesc=&quot;2019 Annual Accounts/EDF from Master Report/DC - Notes to the financial statements&quot; datapro=&quot;BIP_CNA11&quot; tdatapro=&quot;BIP_CNA11&quot; author=&quot;&quot; modtime=&quot;5/31/2020 8:10:55 PM&quot; moduser=&quot;MILOTLU&quot; rolluptime=&quot;&quot; syuser=&quot;MILOTLU&quot; syuzeit=&quot;5/31/2020 8:10:55 PM&quot; root=&quot;/BBOOK/DATAPROVIDER[./META/PROPS/ID='BIP_CNA11']/DATA&quot; colcount=&quot;9&quot; rowcount=&quot;1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11&quot; infos=&quot;&quot; iscomment=&quot;0&quot;&gt;&lt;SELECT&gt;/BBOOK/DATAPROVIDER[./META/PROPS/ID='BIP_CNA11']/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47:24 AM&lt;/DYNAMIZEDON&gt;&lt;LASTUPDATEDBY&gt;MILOTLU&lt;/LASTUPDATEDBY&gt;&lt;LASTUPDATEDON&gt;5/31/2020 8:11:09 PM&lt;/LASTUPDATEDON&gt;&lt;UTC&gt;1&lt;/UTC&gt;&lt;/UPDATE&gt;&lt;QUERIES bbk=&quot;18949&quot; bbkdesc=&quot;2019 Annual Accounts/EDF from Master Report/DC - Aggregated Financial Statements&quot; datapro=&quot;BIP_AGGNA&quot; tdatapro=&quot;BIP_AGGNA&quot; author=&quot;&quot; modtime=&quot;5/31/2020 8:08:59 PM&quot; moduser=&quot;MILOTLU&quot; rolluptime=&quot;&quot; syuser=&quot;MILOTLU&quot; syuzeit=&quot;5/31/2020 8:08:59 PM&quot; root=&quot;/BBOOK/DATAPROVIDER[./META/PROPS/ID='BIP_AGGNA']/DATA&quot; colcount=&quot;8&quot; rowcount=&quot;10&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NA&quot; infos=&quot;&quot; iscomment=&quot;0&quot;&gt;&lt;SELECT&gt;/BBOOK/DATAPROVIDER[./META/PROPS/ID='BIP_AGGNA']/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2:43 AM&lt;/DYNAMIZEDON&gt;&lt;LASTUPDATEDBY&gt;MILOTLU&lt;/LASTUPDATEDBY&gt;&lt;LASTUPDATEDON&gt;5/31/2020 8:11:09 PM&lt;/LASTUPDATEDON&gt;&lt;UTC&gt;1&lt;/UTC&gt;&lt;/UPDATE&gt;&lt;QUERIES bbk=&quot;18983&quot; bbkdesc=&quot;2019 Annual Accounts/EDF from Master Report/DC - Notes to the financial statements&quot; datapro=&quot;BIP_BSEDF&quot; tdatapro=&quot;BIP_BSEDF&quot; author=&quot;&quot; modtime=&quot;5/31/2020 8:10:55 PM&quot; moduser=&quot;MILOTLU&quot; rolluptime=&quot;&quot; syuser=&quot;MILOTLU&quot; syuzeit=&quot;5/31/2020 8:10:55 PM&quot; root=&quot;/BBOOK/DATAPROVIDER[./META/PROPS/ID='BIP_BSEDF']/DATA&quot; colcount=&quot;12&quot; rowcount=&quot;3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BSEDF&quot; infos=&quot;&quot; iscomment=&quot;0&quot;&gt;&lt;SELECT&gt;/BBOOK/DATAPROVIDER[./META/PROPS/ID='BIP_BSEDF']/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6:12 AM&lt;/DYNAMIZEDON&gt;&lt;LASTUPDATEDBY&gt;MILOTLU&lt;/LASTUPDATEDBY&gt;&lt;LASTUPDATEDON&gt;5/31/2020 8:11:09 PM&lt;/LASTUPDATEDON&gt;&lt;UTC&gt;1&lt;/UTC&gt;&lt;/UPDATE&gt;&lt;QUERIES bbk=&quot;18983&quot; bbkdesc=&quot;2019 Annual Accounts/EDF from Master Report/DC - Notes to the financial statements&quot; datapro=&quot;BIP_CNA9&quot; tdatapro=&quot;BIP_CNA9&quot; author=&quot;&quot; modtime=&quot;5/31/2020 8:10:55 PM&quot; moduser=&quot;MILOTLU&quot; rolluptime=&quot;&quot; syuser=&quot;MILOTLU&quot; syuzeit=&quot;5/31/2020 8:10:55 PM&quot; root=&quot;/BBOOK/DATAPROVIDER[./META/PROPS/ID='BIP_CNA9']/DATA&quot; colcount=&quot;8&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9&quot; infos=&quot;&quot; iscomment=&quot;0&quot;&gt;&lt;SELECT&gt;/BBOOK/DATAPROVIDER[./META/PROPS/ID='BIP_CNA9']/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05/11/2019 12:11:33 PM&lt;/DYNAMIZEDON&gt;&lt;LASTUPDATEDBY&gt;ruberla&lt;/LASTUPDATEDBY&gt;&lt;LASTUPDATEDON&gt;2/7/2020 10:20:58 AM&lt;/LASTUPDATEDON&gt;&lt;UTC&gt;1&lt;/UTC&gt;&lt;/UPDATE&gt;&lt;QUERIES bbk=&quot;17185&quot; bbkdesc=&quot;2019 Annual Accounts/EU Annual Accounts/DC - Currency table and Deprec. Rates&quot; datapro=&quot;BIP_CURR&quot; tdatapro=&quot;BIP_CURR&quot; author=&quot;&quot; modtime=&quot;2/7/2020 10:09:39 AM&quot; moduser=&quot;Ruberla&quot; rolluptime=&quot;&quot; syuser=&quot;Ruberla&quot; syuzeit=&quot;2/7/2020 10:09:39 AM&quot; root=&quot;/BBOOK/DATAPROVIDER[./META/PROPS/ID='BIP_CURR']/DATA&quot; colcount=&quot;6&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CURR&quot; infos=&quot;&quot; iscomment=&quot;0&quot;&gt;&lt;SELECT&gt;/BBOOK/DATAPROVIDER[./META/PROPS/ID='BIP_CURR']/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5/25/2020 10:22:21 AM&lt;/DYNAMIZEDON&gt;&lt;LASTUPDATEDBY&gt;kythrst&lt;/LASTUPDATEDBY&gt;&lt;LASTUPDATEDON&gt;5/25/2020 10:22:21 AM&lt;/LASTUPDATEDON&gt;&lt;UTC&gt;1&lt;/UTC&gt;&lt;/UPDATE&gt;&lt;QUERIES bbk=&quot;17185&quot; bbkdesc=&quot;2019 Annual Accounts/EU Annual Accounts/DC - Currency table and Deprec. Rates&quot; datapro=&quot;BIP_DR_CAS&quot; tdatapro=&quot;BIP_DR_CAS&quot; author=&quot;&quot; modtime=&quot;5/25/2020 10:19:58 AM&quot; moduser=&quot;kythrst&quot; rolluptime=&quot;&quot; syuser=&quot;&quot; syuzeit=&quot;&quot; root=&quot;/BBOOK/DATAPROVIDER[./META/PROPS/ID='BIP_DR_CAS']/DATA&quot; colcount=&quot;2&quot; rowcount=&quot;6&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DR_CAS&quot; infos=&quot;&quot; iscomment=&quot;0&quot;&gt;&lt;SELECT&gt;/BBOOK/DATAPROVIDER[./META/PROPS/ID='BIP_DR_CAS']/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19 PM&lt;/DYNAMIZEDON&gt;&lt;LASTUPDATEDBY&gt;milotlu&lt;/LASTUPDATEDBY&gt;&lt;LASTUPDATEDON&gt;5/31/2020 8:31:40 PM&lt;/LASTUPDATEDON&gt;&lt;UTC&gt;1&lt;/UTC&gt;&lt;/UPDATE&gt;&lt;QUERIES bbk=&quot;18983&quot; bbkdesc=&quot;2019 Annual Accounts/EDF from Master Report/DC - Notes to the financial statements&quot; datapro=&quot;BIP_PF&quot; tdatapro=&quot;BIP_PF&quot; author=&quot;&quot; modtime=&quot;5/31/2020 8:29:57 PM&quot; moduser=&quot;MILOTLU&quot; rolluptime=&quot;&quot; syuser=&quot;MILOTLU&quot; syuzeit=&quot;5/31/2020 8:29:57 PM&quot; root=&quot;/BBOOK/DATAPROVIDER[./META/PROPS/ID='BIP_PF']/DATA&quot; colcount=&quot;8&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F&quot; infos=&quot;&quot; iscomment=&quot;0&quot;&gt;&lt;SELECT&gt;/BBOOK/DATAPROVIDER[./META/PROPS/ID='BIP_PF']/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48 PM&lt;/DYNAMIZEDON&gt;&lt;LASTUPDATEDBY&gt;milotlu&lt;/LASTUPDATEDBY&gt;&lt;LASTUPDATEDON&gt;5/31/2020 8:32:05 PM&lt;/LASTUPDATEDON&gt;&lt;UTC&gt;1&lt;/UTC&gt;&lt;/UPDATE&gt;&lt;QUERIES bbk=&quot;18983&quot; bbkdesc=&quot;2019 Annual Accounts/EDF from Master Report/DC - Notes to the financial statements&quot; datapro=&quot;BIP_NCPF_BMM&quot; tdatapro=&quot;BIP_NCPF_BMM&quot; author=&quot;&quot; modtime=&quot;5/31/2020 8:29:57 PM&quot; moduser=&quot;MILOTLU&quot; rolluptime=&quot;&quot; syuser=&quot;MILOTLU&quot; syuzeit=&quot;5/31/2020 8:29:57 PM&quot; root=&quot;/BBOOK/DATAPROVIDER[./META/PROPS/ID='BIP_NCPF_BMM']/DATA&quot; colcount=&quot;3&quot; rowcount=&quot;1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CPF_BMM&quot; infos=&quot;&quot; iscomment=&quot;0&quot;&gt;&lt;SELECT&gt;/BBOOK/DATAPROVIDER[./META/PROPS/ID='BIP_NCPF_BMM']/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7:27 PM&lt;/DYNAMIZEDON&gt;&lt;LASTUPDATEDBY&gt;milotlu&lt;/LASTUPDATEDBY&gt;&lt;LASTUPDATEDON&gt;5/31/2020 8:31:57 PM&lt;/LASTUPDATEDON&gt;&lt;UTC&gt;1&lt;/UTC&gt;&lt;/UPDATE&gt;&lt;QUERIES bbk=&quot;18983&quot; bbkdesc=&quot;2019 Annual Accounts/EDF from Master Report/DC - Notes to the financial statements&quot; datapro=&quot;BIP_CPF&quot; tdatapro=&quot;BIP_CPF&quot; author=&quot;&quot; modtime=&quot;5/31/2020 8:29:57 PM&quot; moduser=&quot;MILOTLU&quot; rolluptime=&quot;&quot; syuser=&quot;MILOTLU&quot; syuzeit=&quot;5/31/2020 8:29:57 PM&quot; root=&quot;/BBOOK/DATAPROVIDER[./META/PROPS/ID='BIP_CPF']/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PF&quot; infos=&quot;&quot; iscomment=&quot;0&quot;&gt;&lt;SELECT&gt;/BBOOK/DATAPROVIDER[./META/PROPS/ID='BIP_C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8:32 PM&lt;/DYNAMIZEDON&gt;&lt;LASTUPDATEDBY&gt;milotlu&lt;/LASTUPDATEDBY&gt;&lt;LASTUPDATEDON&gt;5/31/2020 8:31:52 PM&lt;/LASTUPDATEDON&gt;&lt;UTC&gt;1&lt;/UTC&gt;&lt;/UPDATE&gt;&lt;QUERIES bbk=&quot;18983&quot; bbkdesc=&quot;2019 Annual Accounts/EDF from Master Report/DC - Notes to the financial statements&quot; datapro=&quot;BIP_TFCONTR&quot; tdatapro=&quot;BIP_TFCONTR&quot; author=&quot;&quot; modtime=&quot;5/31/2020 8:29:57 PM&quot; moduser=&quot;MILOTLU&quot; rolluptime=&quot;&quot; syuser=&quot;MILOTLU&quot; syuzeit=&quot;5/31/2020 8:29:57 PM&quot; root=&quot;/BBOOK/DATAPROVIDER[./META/PROPS/ID='BIP_TFCONTR']/DATA&quot; colcount=&quot;5&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TFCONTR&quot; infos=&quot;&quot; iscomment=&quot;0&quot;&gt;&lt;SELECT&gt;/BBOOK/DATAPROVIDER[./META/PROPS/ID='BIP_TFCONTR']/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31 PM&lt;/DYNAMIZEDON&gt;&lt;LASTUPDATEDBY&gt;milotlu&lt;/LASTUPDATEDBY&gt;&lt;LASTUPDATEDON&gt;5/31/2020 8:32:08 PM&lt;/LASTUPDATEDON&gt;&lt;UTC&gt;1&lt;/UTC&gt;&lt;/UPDATE&gt;&lt;QUERIES bbk=&quot;18983&quot; bbkdesc=&quot;2019 Annual Accounts/EDF from Master Report/DC - Notes to the financial statements&quot; datapro=&quot;BIP_RNET&quot; tdatapro=&quot;BIP_RNET&quot; author=&quot;&quot; modtime=&quot;5/31/2020 8:29:57 PM&quot; moduser=&quot;MILOTLU&quot; rolluptime=&quot;&quot; syuser=&quot;MILOTLU&quot; syuzeit=&quot;5/31/2020 8:29:57 PM&quot; root=&quot;/BBOOK/DATAPROVIDER[./META/PROPS/ID='BIP_RNET']/DATA&quot; colcount=&quot;7&quot; rowcount=&quot;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NET&quot; infos=&quot;&quot; iscomment=&quot;0&quot;&gt;&lt;SELECT&gt;/BBOOK/DATAPROVIDER[./META/PROPS/ID='BIP_RNET']/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04 PM&lt;/DYNAMIZEDON&gt;&lt;LASTUPDATEDBY&gt;milotlu&lt;/LASTUPDATEDBY&gt;&lt;LASTUPDATEDON&gt;5/31/2020 8:31:33 PM&lt;/LASTUPDATEDON&gt;&lt;UTC&gt;1&lt;/UTC&gt;&lt;/UPDATE&gt;&lt;QUERIES bbk=&quot;18983&quot; bbkdesc=&quot;2019 Annual Accounts/EDF from Master Report/DC - Notes to the financial statements&quot; datapro=&quot;BIP_ERNER&quot; tdatapro=&quot;BIP_ERNER&quot; author=&quot;&quot; modtime=&quot;5/31/2020 8:29:57 PM&quot; moduser=&quot;MILOTLU&quot; rolluptime=&quot;&quot; syuser=&quot;MILOTLU&quot; syuzeit=&quot;5/31/2020 8:29:57 PM&quot; root=&quot;/BBOOK/DATAPROVIDER[./META/PROPS/ID='BIP_ERNER']/DATA&quot; colcount=&quot;4&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ERNER&quot; infos=&quot;&quot; iscomment=&quot;0&quot;&gt;&lt;SELECT&gt;/BBOOK/DATAPROVIDER[./META/PROPS/ID='BIP_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22/2020 9:56:23 PM&lt;/DYNAMIZEDON&gt;&lt;LASTUPDATEDBY&gt;milotlu&lt;/LASTUPDATEDBY&gt;&lt;LASTUPDATEDON&gt;5/31/2020 8:31:36 PM&lt;/LASTUPDATEDON&gt;&lt;UTC&gt;1&lt;/UTC&gt;&lt;/UPDATE&gt;&lt;QUERIES bbk=&quot;18983&quot; bbkdesc=&quot;2019 Annual Accounts/EDF from Master Report/DC - Notes to the financial statements&quot; datapro=&quot;BIP_FVMAFS&quot; tdatapro=&quot;BIP_FVMAFS&quot; author=&quot;&quot; modtime=&quot;5/31/2020 8:29:57 PM&quot; moduser=&quot;MILOTLU&quot; rolluptime=&quot;&quot; syuser=&quot;MILOTLU&quot; syuzeit=&quot;5/31/2020 8:29:57 PM&quot; root=&quot;/BBOOK/DATAPROVIDER[./META/PROPS/ID='BIP_FVMAFS']/DATA&quot; colcount=&quot;3&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FVMAFS&quot; infos=&quot;&quot; iscomment=&quot;0&quot;&gt;&lt;SELECT&gt;/BBOOK/DATAPROVIDER[./META/PROPS/ID='BIP_FVMAFS']/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0:13 PM&lt;/DYNAMIZEDON&gt;&lt;LASTUPDATEDBY&gt;milotlu&lt;/LASTUPDATEDBY&gt;&lt;LASTUPDATEDON&gt;5/31/2020 8:31:53 PM&lt;/LASTUPDATEDON&gt;&lt;UTC&gt;1&lt;/UTC&gt;&lt;/UPDATE&gt;&lt;QUERIES bbk=&quot;18983&quot; bbkdesc=&quot;2019 Annual Accounts/EDF from Master Report/DC - Notes to the financial statements&quot; datapro=&quot;BIP_RET&quot; tdatapro=&quot;BIP_RET&quot; author=&quot;&quot; modtime=&quot;5/31/2020 8:29:57 PM&quot; moduser=&quot;MILOTLU&quot; rolluptime=&quot;&quot; syuser=&quot;MILOTLU&quot; syuzeit=&quot;5/31/2020 8:29:57 PM&quot; root=&quot;/BBOOK/DATAPROVIDER[./META/PROPS/ID='BIP_RET']/DATA&quot; colcount=&quot;7&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ET&quot; infos=&quot;&quot; iscomment=&quot;0&quot;&gt;&lt;SELECT&gt;/BBOOK/DATAPROVIDER[./META/PROPS/ID='BIP_RET']/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2:50 PM&lt;/DYNAMIZEDON&gt;&lt;LASTUPDATEDBY&gt;milotlu&lt;/LASTUPDATEDBY&gt;&lt;LASTUPDATEDON&gt;5/31/2020 8:31:49 PM&lt;/LASTUPDATEDON&gt;&lt;UTC&gt;1&lt;/UTC&gt;&lt;/UPDATE&gt;&lt;QUERIES bbk=&quot;18983&quot; bbkdesc=&quot;2019 Annual Accounts/EDF from Master Report/DC - Notes to the financial statements&quot; datapro=&quot;BIP_CASH&quot; tdatapro=&quot;BIP_CASH&quot; author=&quot;&quot; modtime=&quot;5/31/2020 8:29:57 PM&quot; moduser=&quot;MILOTLU&quot; rolluptime=&quot;&quot; syuser=&quot;MILOTLU&quot; syuzeit=&quot;5/31/2020 8:29:57 PM&quot; root=&quot;/BBOOK/DATAPROVIDER[./META/PROPS/ID='BIP_CASH']/DATA&quot; colcount=&quot;7&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ASH&quot; infos=&quot;&quot; iscomment=&quot;0&quot;&gt;&lt;SELECT&gt;/BBOOK/DATAPROVIDER[./META/PROPS/ID='BIP_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19/2020 10:03:18 PM&lt;/DYNAMIZEDON&gt;&lt;LASTUPDATEDBY&gt;milotlu&lt;/LASTUPDATEDBY&gt;&lt;LASTUPDATEDON&gt;5/31/2020 8:32:00 PM&lt;/LASTUPDATEDON&gt;&lt;UTC&gt;1&lt;/UTC&gt;&lt;/UPDATE&gt;&lt;QUERIES bbk=&quot;18983&quot; bbkdesc=&quot;2019 Annual Accounts/EDF from Master Report/DC - Notes to the financial statements&quot; datapro=&quot;BIP_CLDFCAP&quot; tdatapro=&quot;BIP_CLDFCAP&quot; author=&quot;&quot; modtime=&quot;5/31/2020 8:29:57 PM&quot; moduser=&quot;MILOTLU&quot; rolluptime=&quot;&quot; syuser=&quot;MILOTLU&quot; syuzeit=&quot;5/31/2020 8:29:57 PM&quot; root=&quot;/BBOOK/DATAPROVIDER[./META/PROPS/ID='BIP_CLDFCAP']/DATA&quot; colcount=&quot;6&quot; rowcount=&quot;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quot; infos=&quot;&quot; iscomment=&quot;0&quot;&gt;&lt;SELECT&gt;/BBOOK/DATAPROVIDER[./META/PROPS/ID='BIP_CLDFCAP']/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0:23 PM&lt;/DYNAMIZEDON&gt;&lt;LASTUPDATEDBY&gt;milotlu&lt;/LASTUPDATEDBY&gt;&lt;LASTUPDATEDON&gt;5/31/2020 8:32:01 PM&lt;/LASTUPDATEDON&gt;&lt;UTC&gt;1&lt;/UTC&gt;&lt;/UPDATE&gt;&lt;QUERIES bbk=&quot;18983&quot; bbkdesc=&quot;2019 Annual Accounts/EDF from Master Report/DC - Notes to the financial statements&quot; datapro=&quot;BIP_COFINPAY&quot; tdatapro=&quot;BIP_COFINPAY&quot; author=&quot;&quot; modtime=&quot;5/31/2020 8:29:57 PM&quot; moduser=&quot;MILOTLU&quot; rolluptime=&quot;&quot; syuser=&quot;MILOTLU&quot; syuzeit=&quot;5/31/2020 8:29:57 PM&quot; root=&quot;/BBOOK/DATAPROVIDER[./META/PROPS/ID='BIP_COFINPAY']/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OFINPAY&quot; infos=&quot;&quot; iscomment=&quot;0&quot;&gt;&lt;SELECT&gt;/BBOOK/DATAPROVIDER[./META/PROPS/ID='BIP_COFINPAY']/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21 PM&lt;/DYNAMIZEDON&gt;&lt;LASTUPDATEDBY&gt;milotlu&lt;/LASTUPDATEDBY&gt;&lt;LASTUPDATEDON&gt;5/31/2020 8:32:03 PM&lt;/LASTUPDATEDON&gt;&lt;UTC&gt;1&lt;/UTC&gt;&lt;/UPDATE&gt;&lt;QUERIES bbk=&quot;18983&quot; bbkdesc=&quot;2019 Annual Accounts/EDF from Master Report/DC - Notes to the financial statements&quot; datapro=&quot;BIP_PAY&quot; tdatapro=&quot;BIP_PAY&quot; author=&quot;&quot; modtime=&quot;5/31/2020 8:29:57 PM&quot; moduser=&quot;MILOTLU&quot; rolluptime=&quot;&quot; syuser=&quot;MILOTLU&quot; syuzeit=&quot;5/31/2020 8:29:57 PM&quot; root=&quot;/BBOOK/DATAPROVIDER[./META/PROPS/ID='BIP_PAY']/DATA&quot; colcount=&quot;8&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AY&quot; infos=&quot;&quot; iscomment=&quot;0&quot;&gt;&lt;SELECT&gt;/BBOOK/DATAPROVIDER[./META/PROPS/ID='BIP_PAY']/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55 PM&lt;/DYNAMIZEDON&gt;&lt;LASTUPDATEDBY&gt;milotlu&lt;/LASTUPDATEDBY&gt;&lt;LASTUPDATEDON&gt;5/31/2020 8:31:56 PM&lt;/LASTUPDATEDON&gt;&lt;UTC&gt;1&lt;/UTC&gt;&lt;/UPDATE&gt;&lt;QUERIES bbk=&quot;18983&quot; bbkdesc=&quot;2019 Annual Accounts/EDF from Master Report/DC - Notes to the financial statements&quot; datapro=&quot;BIP_CURPAY&quot; tdatapro=&quot;BIP_CURPAY&quot; author=&quot;&quot; modtime=&quot;5/31/2020 8:29:57 PM&quot; moduser=&quot;MILOTLU&quot; rolluptime=&quot;&quot; syuser=&quot;MILOTLU&quot; syuzeit=&quot;5/31/2020 8:29:57 PM&quot; root=&quot;/BBOOK/DATAPROVIDER[./META/PROPS/ID='BIP_CURPAY']/DATA&quot; colcount=&quot;7&quot; rowcount=&quot;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URPAY&quot; infos=&quot;&quot; iscomment=&quot;0&quot;&gt;&lt;SELECT&gt;/BBOOK/DATAPROVIDER[./META/PROPS/ID='BIP_CURPAY']/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3:18 PM&lt;/DYNAMIZEDON&gt;&lt;LASTUPDATEDBY&gt;milotlu&lt;/LASTUPDATEDBY&gt;&lt;LASTUPDATEDON&gt;5/31/2020 8:31:41 PM&lt;/LASTUPDATEDON&gt;&lt;UTC&gt;1&lt;/UTC&gt;&lt;/UPDATE&gt;&lt;QUERIES bbk=&quot;18983&quot; bbkdesc=&quot;2019 Annual Accounts/EDF from Master Report/DC - Notes to the financial statements&quot; datapro=&quot;BIP_SUNPAY&quot; tdatapro=&quot;BIP_SUNPAY&quot; author=&quot;&quot; modtime=&quot;5/31/2020 8:29:57 PM&quot; moduser=&quot;MILOTLU&quot; rolluptime=&quot;&quot; syuser=&quot;MILOTLU&quot; syuzeit=&quot;5/31/2020 8:29:57 PM&quot; root=&quot;/BBOOK/DATAPROVIDER[./META/PROPS/ID='BIP_SUNPAY']/DATA&quot; colcount=&quot;8&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SUNPAY&quot; infos=&quot;&quot; iscomment=&quot;0&quot;&gt;&lt;SELECT&gt;/BBOOK/DATAPROVIDER[./META/PROPS/ID='BIP_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5:41 PM&lt;/DYNAMIZEDON&gt;&lt;LASTUPDATEDBY&gt;milotlu&lt;/LASTUPDATEDBY&gt;&lt;LASTUPDATEDON&gt;5/31/2020 8:32:10 PM&lt;/LASTUPDATEDON&gt;&lt;UTC&gt;1&lt;/UTC&gt;&lt;/UPDATE&gt;&lt;QUERIES bbk=&quot;18983&quot; bbkdesc=&quot;2019 Annual Accounts/EDF from Master Report/DC - Notes to the financial statements&quot; datapro=&quot;BIP_CLDFCAP_MS11&quot; tdatapro=&quot;BIP_CLDFCAP_MS11&quot; author=&quot;&quot; modtime=&quot;5/31/2020 8:29:57 PM&quot; moduser=&quot;MILOTLU&quot; rolluptime=&quot;&quot; syuser=&quot;MILOTLU&quot; syuzeit=&quot;5/31/2020 8:29:57 PM&quot; root=&quot;/BBOOK/DATAPROVIDER[./META/PROPS/ID='BIP_CLDFCAP_MS11']/DATA&quot; colcount=&quot;5&quot; rowcount=&quot;3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MS11&quot; infos=&quot;&quot; iscomment=&quot;0&quot;&gt;&lt;SELECT&gt;/BBOOK/DATAPROVIDER[./META/PROPS/ID='BIP_CLDFCAP_MS11']/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05 PM&lt;/DYNAMIZEDON&gt;&lt;LASTUPDATEDBY&gt;milotlu&lt;/LASTUPDATEDBY&gt;&lt;LASTUPDATEDON&gt;5/31/2020 8:31:44 PM&lt;/LASTUPDATEDON&gt;&lt;UTC&gt;1&lt;/UTC&gt;&lt;/UPDATE&gt;&lt;QUERIES bbk=&quot;18983&quot; bbkdesc=&quot;2019 Annual Accounts/EDF from Master Report/DC - Notes to the financial statements&quot; datapro=&quot;BIP_REV&quot; tdatapro=&quot;BIP_REV&quot; author=&quot;&quot; modtime=&quot;5/31/2020 8:29:57 PM&quot; moduser=&quot;MILOTLU&quot; rolluptime=&quot;&quot; syuser=&quot;MILOTLU&quot; syuzeit=&quot;5/31/2020 8:29:57 PM&quot; root=&quot;/BBOOK/DATAPROVIDER[./META/PROPS/ID='BIP_REV']/DATA&quot; colcount=&quot;4&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EV&quot; infos=&quot;&quot; iscomment=&quot;0&quot;&gt;&lt;SELECT&gt;/BBOOK/DATAPROVIDER[./META/PROPS/ID='BIP_REV']/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4:47 PM&lt;/DYNAMIZEDON&gt;&lt;LASTUPDATEDBY&gt;milotlu&lt;/LASTUPDATEDBY&gt;&lt;LASTUPDATEDON&gt;5/31/2020 8:31:38 PM&lt;/LASTUPDATEDON&gt;&lt;UTC&gt;1&lt;/UTC&gt;&lt;/UPDATE&gt;&lt;QUERIES bbk=&quot;18983&quot; bbkdesc=&quot;2019 Annual Accounts/EDF from Master Report/DC - Notes to the financial statements&quot; datapro=&quot;BIP_ACCDEF&quot; tdatapro=&quot;BIP_ACCDEF&quot; author=&quot;&quot; modtime=&quot;5/31/2020 8:29:57 PM&quot; moduser=&quot;MILOTLU&quot; rolluptime=&quot;&quot; syuser=&quot;MILOTLU&quot; syuzeit=&quot;5/31/2020 8:29:57 PM&quot; root=&quot;/BBOOK/DATAPROVIDER[./META/PROPS/ID='BIP_ACCDEF']/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ACCDEF&quot; infos=&quot;&quot; iscomment=&quot;0&quot;&gt;&lt;SELECT&gt;/BBOOK/DATAPROVIDER[./META/PROPS/ID='BIP_ACCDEF']/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28 PM&lt;/DYNAMIZEDON&gt;&lt;LASTUPDATEDBY&gt;milotlu&lt;/LASTUPDATEDBY&gt;&lt;LASTUPDATEDON&gt;5/31/2020 8:31:31 PM&lt;/LASTUPDATEDON&gt;&lt;UTC&gt;1&lt;/UTC&gt;&lt;/UPDATE&gt;&lt;QUERIES bbk=&quot;18983&quot; bbkdesc=&quot;2019 Annual Accounts/EDF from Master Report/DC - Notes to the financial statements&quot; datapro=&quot;BIP_NEXREV_BMM&quot; tdatapro=&quot;BIP_NEXREV_BMM&quot; author=&quot;&quot; modtime=&quot;5/31/2020 8:29:57 PM&quot; moduser=&quot;MILOTLU&quot; rolluptime=&quot;&quot; syuser=&quot;MILOTLU&quot; syuzeit=&quot;5/31/2020 8:29:57 PM&quot; root=&quot;/BBOOK/DATAPROVIDER[./META/PROPS/ID='BIP_NEXREV_BMM']/DATA&quot; colcount=&quot;3&quot; rowcount=&quot;14&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EXREV_BMM&quot; infos=&quot;&quot; iscomment=&quot;0&quot;&gt;&lt;SELECT&gt;/BBOOK/DATAPROVIDER[./META/PROPS/ID='BIP_NEXREV_BMM']/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2:15 PM&lt;/DYNAMIZEDON&gt;&lt;LASTUPDATEDBY&gt;milotlu&lt;/LASTUPDATEDBY&gt;&lt;LASTUPDATEDON&gt;5/31/2020 8:32:04 PM&lt;/LASTUPDATEDON&gt;&lt;UTC&gt;1&lt;/UTC&gt;&lt;/UPDATE&gt;&lt;QUERIES bbk=&quot;18983&quot; bbkdesc=&quot;2019 Annual Accounts/EDF from Master Report/DC - Notes to the financial statements&quot; datapro=&quot;BIP_OCNYE&quot; tdatapro=&quot;BIP_OCNYE&quot; author=&quot;&quot; modtime=&quot;5/31/2020 8:29:57 PM&quot; moduser=&quot;MILOTLU&quot; rolluptime=&quot;&quot; syuser=&quot;MILOTLU&quot; syuzeit=&quot;5/31/2020 8:29:57 PM&quot; root=&quot;/BBOOK/DATAPROVIDER[./META/PROPS/ID='BIP_OCNYE']/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CNYE&quot; infos=&quot;&quot; iscomment=&quot;0&quot;&gt;&lt;SELECT&gt;/BBOOK/DATAPROVIDER[./META/PROPS/ID='BIP_OCNYE']/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08 PM&lt;/DYNAMIZEDON&gt;&lt;LASTUPDATEDBY&gt;milotlu&lt;/LASTUPDATEDBY&gt;&lt;LASTUPDATEDON&gt;5/31/2020 8:31:26 PM&lt;/LASTUPDATEDON&gt;&lt;UTC&gt;1&lt;/UTC&gt;&lt;/UPDATE&gt;&lt;QUERIES bbk=&quot;18983&quot; bbkdesc=&quot;2019 Annual Accounts/EDF from Master Report/DC - Notes to the financial statements&quot; datapro=&quot;BIP_CLDFCAP_TFT_CLS&quot; tdatapro=&quot;BIP_CLDFCAP_TFT_CLS&quot; author=&quot;&quot; modtime=&quot;5/31/2020 8:29:57 PM&quot; moduser=&quot;MILOTLU&quot; rolluptime=&quot;&quot; syuser=&quot;MILOTLU&quot; syuzeit=&quot;5/31/2020 8:29:57 PM&quot; root=&quot;/BBOOK/DATAPROVIDER[./META/PROPS/ID='BIP_CLDFCAP_TFT_CLS']/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TFT_CLS&quot; infos=&quot;&quot; iscomment=&quot;0&quot;&gt;&lt;SELECT&gt;/BBOOK/DATAPROVIDER[./META/PROPS/ID='BIP_CLDFCAP_TFT_CLS']/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38 PM&lt;/DYNAMIZEDON&gt;&lt;LASTUPDATEDBY&gt;milotlu&lt;/LASTUPDATEDBY&gt;&lt;LASTUPDATEDON&gt;5/31/2020 8:31:58 PM&lt;/LASTUPDATEDON&gt;&lt;UTC&gt;1&lt;/UTC&gt;&lt;/UPDATE&gt;&lt;QUERIES bbk=&quot;18983&quot; bbkdesc=&quot;2019 Annual Accounts/EDF from Master Report/DC - Notes to the financial statements&quot; datapro=&quot;BIP_CLDFCAP_TFT_ACT&quot; tdatapro=&quot;BIP_CLDFCAP_TFT_ACT&quot; author=&quot;&quot; modtime=&quot;5/31/2020 8:29:57 PM&quot; moduser=&quot;MILOTLU&quot; rolluptime=&quot;&quot; syuser=&quot;MILOTLU&quot; syuzeit=&quot;5/31/2020 8:29:57 PM&quot; root=&quot;/BBOOK/DATAPROVIDER[./META/PROPS/ID='BIP_CLDFCAP_TFT_ACT']/DATA&quot; colcount=&quot;6&quot; rowcount=&quot;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TFT_ACT&quot; infos=&quot;&quot; iscomment=&quot;0&quot;&gt;&lt;SELECT&gt;/BBOOK/DATAPROVIDER[./META/PROPS/ID='BIP_CLDFCAP_TFT_ACT']/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5:12:17 PM&lt;/DYNAMIZEDON&gt;&lt;LASTUPDATEDBY&gt;MILOTLU&lt;/LASTUPDATEDBY&gt;&lt;LASTUPDATEDON&gt;5/31/2020 8:11:40 PM&lt;/LASTUPDATEDON&gt;&lt;UTC&gt;1&lt;/UTC&gt;&lt;/UPDATE&gt;&lt;QUERIES bbk=&quot;19001&quot; bbkdesc=&quot;2019 Annual Accounts/EDF from Master Report/DC - Currency risk and other Inform tables&quot; datapro=&quot;BIP_CR&quot; tdatapro=&quot;BIP_CR&quot; author=&quot;&quot; modtime=&quot;5/31/2020 8:11:26 PM&quot; moduser=&quot;MILOTLU&quot; rolluptime=&quot;&quot; syuser=&quot;MILOTLU&quot; syuzeit=&quot;5/31/2020 8:11:26 PM&quot; root=&quot;/BBOOK/DATAPROVIDER[./META/PROPS/ID='BIP_CR']/DATA&quot; colcount=&quot;15&quot; rowcount=&quot;12&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CR&quot; infos=&quot;&quot; iscomment=&quot;0&quot;&gt;&lt;SELECT&gt;/BBOOK/DATAPROVIDER[./META/PROPS/ID='BIP_CR']/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40 PM&lt;/DYNAMIZEDON&gt;&lt;LASTUPDATEDBY&gt;milotlu&lt;/LASTUPDATEDBY&gt;&lt;LASTUPDATEDON&gt;5/31/2020 8:32:07 PM&lt;/LASTUPDATEDON&gt;&lt;UTC&gt;1&lt;/UTC&gt;&lt;/UPDATE&gt;&lt;QUERIES bbk=&quot;18983&quot; bbkdesc=&quot;2019 Annual Accounts/EDF from Master Report/DC - Notes to the financial statements&quot; datapro=&quot;BIP_NEXREV&quot; tdatapro=&quot;BIP_NEXREV&quot; author=&quot;&quot; modtime=&quot;5/31/2020 8:29:57 PM&quot; moduser=&quot;MILOTLU&quot; rolluptime=&quot;&quot; syuser=&quot;MILOTLU&quot; syuzeit=&quot;5/31/2020 8:29:57 PM&quot; root=&quot;/BBOOK/DATAPROVIDER[./META/PROPS/ID='BIP_NEXREV']/DATA&quot; colcount=&quot;8&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EXREV&quot; infos=&quot;&quot; iscomment=&quot;0&quot;&gt;&lt;SELECT&gt;/BBOOK/DATAPROVIDER[./META/PROPS/ID='BIP_NEXREV']/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06 PM&lt;/DYNAMIZEDON&gt;&lt;LASTUPDATEDBY&gt;MILOTLU&lt;/LASTUPDATEDBY&gt;&lt;LASTUPDATEDON&gt;5/31/2020 8:11:41 PM&lt;/LASTUPDATEDON&gt;&lt;UTC&gt;1&lt;/UTC&gt;&lt;/UPDATE&gt;&lt;QUERIES bbk=&quot;19001&quot; bbkdesc=&quot;2019 Annual Accounts/EDF from Master Report/DC - Currency risk and other Inform tables&quot; datapro=&quot;BIP_CDTR&quot; tdatapro=&quot;BIP_CDTR&quot; author=&quot;&quot; modtime=&quot;5/31/2020 8:11:26 PM&quot; moduser=&quot;MILOTLU&quot; rolluptime=&quot;&quot; syuser=&quot;MILOTLU&quot; syuzeit=&quot;5/31/2020 8:11:26 PM&quot; root=&quot;/BBOOK/DATAPROVIDER[./META/PROPS/ID='BIP_CDTR']/DATA&quot; colcount=&quot;6&quot; rowcount=&quot;7&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CDTR&quot; infos=&quot;&quot; iscomment=&quot;0&quot;&gt;&lt;SELECT&gt;/BBOOK/DATAPROVIDER[./META/PROPS/ID='BIP_CDTR']/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57 PM&lt;/DYNAMIZEDON&gt;&lt;LASTUPDATEDBY&gt;milotlu&lt;/LASTUPDATEDBY&gt;&lt;LASTUPDATEDON&gt;5/31/2020 8:31:28 PM&lt;/LASTUPDATEDON&gt;&lt;UTC&gt;1&lt;/UTC&gt;&lt;/UPDATE&gt;&lt;QUERIES bbk=&quot;18983&quot; bbkdesc=&quot;2019 Annual Accounts/EDF from Master Report/DC - Notes to the financial statements&quot; datapro=&quot;BIP_EXREV&quot; tdatapro=&quot;BIP_EXREV&quot; author=&quot;&quot; modtime=&quot;5/31/2020 8:29:57 PM&quot; moduser=&quot;MILOTLU&quot; rolluptime=&quot;&quot; syuser=&quot;MILOTLU&quot; syuzeit=&quot;5/31/2020 8:29:57 PM&quot; root=&quot;/BBOOK/DATAPROVIDER[./META/PROPS/ID='BIP_EXREV']/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EXREV&quot; infos=&quot;&quot; iscomment=&quot;0&quot;&gt;&lt;SELECT&gt;/BBOOK/DATAPROVIDER[./META/PROPS/ID='BIP_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25 PM&lt;/DYNAMIZEDON&gt;&lt;LASTUPDATEDBY&gt;milotlu&lt;/LASTUPDATEDBY&gt;&lt;LASTUPDATEDON&gt;5/31/2020 8:31:47 PM&lt;/LASTUPDATEDON&gt;&lt;UTC&gt;1&lt;/UTC&gt;&lt;/UPDATE&gt;&lt;QUERIES bbk=&quot;18983&quot; bbkdesc=&quot;2019 Annual Accounts/EDF from Master Report/DC - Notes to the financial statements&quot; datapro=&quot;BIP_OPE_AID&quot; tdatapro=&quot;BIP_OPE_AID&quot; author=&quot;&quot; modtime=&quot;5/31/2020 8:29:57 PM&quot; moduser=&quot;MILOTLU&quot; rolluptime=&quot;&quot; syuser=&quot;MILOTLU&quot; syuzeit=&quot;5/31/2020 8:29:57 PM&quot; root=&quot;/BBOOK/DATAPROVIDER[./META/PROPS/ID='BIP_OPE_AID']/DATA&quot; colcount=&quot;7&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AID&quot; infos=&quot;&quot; iscomment=&quot;0&quot;&gt;&lt;SELECT&gt;/BBOOK/DATAPROVIDER[./META/PROPS/ID='BIP_OPE_AID']/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51 PM&lt;/DYNAMIZEDON&gt;&lt;LASTUPDATEDBY&gt;milotlu&lt;/LASTUPDATEDBY&gt;&lt;LASTUPDATEDON&gt;5/31/2020 8:31:35 PM&lt;/LASTUPDATEDON&gt;&lt;UTC&gt;1&lt;/UTC&gt;&lt;/UPDATE&gt;&lt;QUERIES bbk=&quot;18983&quot; bbkdesc=&quot;2019 Annual Accounts/EDF from Master Report/DC - Notes to the financial statements&quot; datapro=&quot;BIP_OPE_COFI&quot; tdatapro=&quot;BIP_OPE_COFI&quot; author=&quot;&quot; modtime=&quot;5/31/2020 8:29:57 PM&quot; moduser=&quot;MILOTLU&quot; rolluptime=&quot;&quot; syuser=&quot;MILOTLU&quot; syuzeit=&quot;5/31/2020 8:29:57 PM&quot; root=&quot;/BBOOK/DATAPROVIDER[./META/PROPS/ID='BIP_OPE_COFI']/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COFI&quot; infos=&quot;&quot; iscomment=&quot;0&quot;&gt;&lt;SELECT&gt;/BBOOK/DATAPROVIDER[./META/PROPS/ID='BIP_OPE_CO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20 PM&lt;/DYNAMIZEDON&gt;&lt;LASTUPDATEDBY&gt;milotlu&lt;/LASTUPDATEDBY&gt;&lt;LASTUPDATEDON&gt;5/31/2020 8:31:43 PM&lt;/LASTUPDATEDON&gt;&lt;UTC&gt;1&lt;/UTC&gt;&lt;/UPDATE&gt;&lt;QUERIES bbk=&quot;18983&quot; bbkdesc=&quot;2019 Annual Accounts/EDF from Master Report/DC - Notes to the financial statements&quot; datapro=&quot;BIP_OPE_BMM&quot; tdatapro=&quot;BIP_OPE_BMM&quot; author=&quot;&quot; modtime=&quot;5/31/2020 8:29:57 PM&quot; moduser=&quot;MILOTLU&quot; rolluptime=&quot;&quot; syuser=&quot;MILOTLU&quot; syuzeit=&quot;5/31/2020 8:29:57 PM&quot; root=&quot;/BBOOK/DATAPROVIDER[./META/PROPS/ID='BIP_OPE_BMM']/DATA&quot; colcount=&quot;3&quot; rowcount=&quot;1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BMM&quot; infos=&quot;&quot; iscomment=&quot;0&quot;&gt;&lt;SELECT&gt;/BBOOK/DATAPROVIDER[./META/PROPS/ID='BIP_OPE_BMM']/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54 PM&lt;/DYNAMIZEDON&gt;&lt;LASTUPDATEDBY&gt;milotlu&lt;/LASTUPDATEDBY&gt;&lt;LASTUPDATEDON&gt;5/31/2020 8:31:29 PM&lt;/LASTUPDATEDON&gt;&lt;UTC&gt;1&lt;/UTC&gt;&lt;/UPDATE&gt;&lt;QUERIES bbk=&quot;18983&quot; bbkdesc=&quot;2019 Annual Accounts/EDF from Master Report/DC - Notes to the financial statements&quot; datapro=&quot;BIP_FINCOST&quot; tdatapro=&quot;BIP_FINCOST&quot; author=&quot;&quot; modtime=&quot;5/31/2020 8:29:57 PM&quot; moduser=&quot;MILOTLU&quot; rolluptime=&quot;&quot; syuser=&quot;MILOTLU&quot; syuzeit=&quot;5/31/2020 8:29:57 PM&quot; root=&quot;/BBOOK/DATAPROVIDER[./META/PROPS/ID='BIP_FINCOST']/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FINCOST&quot; infos=&quot;&quot; iscomment=&quot;0&quot;&gt;&lt;SELECT&gt;/BBOOK/DATAPROVIDER[./META/PROPS/ID='BIP_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21 PM&lt;/DYNAMIZEDON&gt;&lt;LASTUPDATEDBY&gt;milotlu&lt;/LASTUPDATEDBY&gt;&lt;LASTUPDATEDON&gt;5/31/2020 8:31:54 PM&lt;/LASTUPDATEDON&gt;&lt;UTC&gt;1&lt;/UTC&gt;&lt;/UPDATE&gt;&lt;QUERIES bbk=&quot;18983&quot; bbkdesc=&quot;2019 Annual Accounts/EDF from Master Report/DC - Notes to the financial statements&quot; datapro=&quot;BIP_OTHEXP&quot; tdatapro=&quot;BIP_OTHEXP&quot; author=&quot;&quot; modtime=&quot;5/31/2020 8:29:57 PM&quot; moduser=&quot;MILOTLU&quot; rolluptime=&quot;&quot; syuser=&quot;MILOTLU&quot; syuzeit=&quot;5/31/2020 8:29:57 PM&quot; root=&quot;/BBOOK/DATAPROVIDER[./META/PROPS/ID='BIP_OTHEXP']/DATA&quot; colcount=&quot;7&quot; rowcount=&quot;7&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THEXP&quot; infos=&quot;&quot; iscomment=&quot;0&quot;&gt;&lt;SELECT&gt;/BBOOK/DATAPROVIDER[./META/PROPS/ID='BIP_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48 PM&lt;/DYNAMIZEDON&gt;&lt;LASTUPDATEDBY&gt;milotlu&lt;/LASTUPDATEDBY&gt;&lt;LASTUPDATEDON&gt;5/31/2020 8:31:50 PM&lt;/LASTUPDATEDON&gt;&lt;UTC&gt;1&lt;/UTC&gt;&lt;/UPDATE&gt;&lt;QUERIES bbk=&quot;18983&quot; bbkdesc=&quot;2019 Annual Accounts/EDF from Master Report/DC - Notes to the financial statements&quot; datapro=&quot;BIP_CONTGASSTS&quot; tdatapro=&quot;BIP_CONTGASSTS&quot; author=&quot;&quot; modtime=&quot;5/31/2020 8:29:57 PM&quot; moduser=&quot;MILOTLU&quot; rolluptime=&quot;&quot; syuser=&quot;MILOTLU&quot; syuzeit=&quot;5/31/2020 8:29:57 PM&quot; root=&quot;/BBOOK/DATAPROVIDER[./META/PROPS/ID='BIP_CONTGASSTS']/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ONTGASSTS&quot; infos=&quot;&quot; iscomment=&quot;0&quot;&gt;&lt;SELECT&gt;/BBOOK/DATAPROVIDER[./META/PROPS/ID='BIP_CONTGASST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49 PM&lt;/DYNAMIZEDON&gt;&lt;LASTUPDATEDBY&gt;MILOTLU&lt;/LASTUPDATEDBY&gt;&lt;LASTUPDATEDON&gt;5/31/2020 8:11:41 PM&lt;/LASTUPDATEDON&gt;&lt;UTC&gt;1&lt;/UTC&gt;&lt;/UPDATE&gt;&lt;QUERIES bbk=&quot;19001&quot; bbkdesc=&quot;2019 Annual Accounts/EDF from Master Report/DC - Currency risk and other Inform tables&quot; datapro=&quot;BIP_FARC&quot; tdatapro=&quot;BIP_FARC&quot; author=&quot;&quot; modtime=&quot;5/31/2020 8:11:26 PM&quot; moduser=&quot;MILOTLU&quot; rolluptime=&quot;&quot; syuser=&quot;MILOTLU&quot; syuzeit=&quot;5/31/2020 8:11:26 PM&quot; root=&quot;/BBOOK/DATAPROVIDER[./META/PROPS/ID='BIP_FARC']/DATA&quot; colcount=&quot;7&quot; rowcount=&quot;14&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FARC&quot; infos=&quot;&quot; iscomment=&quot;0&quot;&gt;&lt;SELECT&gt;/BBOOK/DATAPROVIDER[./META/PROPS/ID='BIP_FARC']/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2:43 PM&lt;/DYNAMIZEDON&gt;&lt;LASTUPDATEDBY&gt;MILOTLU&lt;/LASTUPDATEDBY&gt;&lt;LASTUPDATEDON&gt;5/31/2020 8:11:41 PM&lt;/LASTUPDATEDON&gt;&lt;UTC&gt;1&lt;/UTC&gt;&lt;/UPDATE&gt;&lt;QUERIES bbk=&quot;19001&quot; bbkdesc=&quot;2019 Annual Accounts/EDF from Master Report/DC - Currency risk and other Inform tables&quot; datapro=&quot;BIP_LR&quot; tdatapro=&quot;BIP_LR&quot; author=&quot;&quot; modtime=&quot;5/31/2020 8:11:26 PM&quot; moduser=&quot;MILOTLU&quot; rolluptime=&quot;&quot; syuser=&quot;MILOTLU&quot; syuzeit=&quot;5/31/2020 8:11:26 PM&quot; root=&quot;/BBOOK/DATAPROVIDER[./META/PROPS/ID='BIP_LR']/DATA&quot; colcount=&quot;5&quot; rowcount=&quot;6&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LR&quot; infos=&quot;&quot; iscomment=&quot;0&quot;&gt;&lt;SELECT&gt;/BBOOK/DATAPROVIDER[./META/PROPS/ID='BIP_LR']/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8:18 PM&lt;/DYNAMIZEDON&gt;&lt;LASTUPDATEDBY&gt;MILOTLU&lt;/LASTUPDATEDBY&gt;&lt;LASTUPDATEDON&gt;5/31/2020 8:11:41 PM&lt;/LASTUPDATEDON&gt;&lt;UTC&gt;1&lt;/UTC&gt;&lt;/UPDATE&gt;&lt;QUERIES bbk=&quot;19001&quot; bbkdesc=&quot;2019 Annual Accounts/EDF from Master Report/DC - Currency risk and other Inform tables&quot; datapro=&quot;BIP_ECRBDGR&quot; tdatapro=&quot;BIP_ECRBDGR&quot; author=&quot;&quot; modtime=&quot;5/31/2020 8:11:26 PM&quot; moduser=&quot;MILOTLU&quot; rolluptime=&quot;&quot; syuser=&quot;MILOTLU&quot; syuzeit=&quot;5/31/2020 8:11:26 PM&quot; root=&quot;/BBOOK/DATAPROVIDER[./META/PROPS/ID='BIP_ECRBDGR']/DATA&quot; colcount=&quot;3&quot; rowcount=&quot;18&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ECRBDGR&quot; infos=&quot;&quot; iscomment=&quot;0&quot;&gt;&lt;SELECT&gt;/BBOOK/DATAPROVIDER[./META/PROPS/ID='BIP_ECRBDGR']/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8:47 PM&lt;/DYNAMIZEDON&gt;&lt;LASTUPDATEDBY&gt;MILOTLU&lt;/LASTUPDATEDBY&gt;&lt;LASTUPDATEDON&gt;5/31/2020 8:11:43 PM&lt;/LASTUPDATEDON&gt;&lt;UTC&gt;1&lt;/UTC&gt;&lt;/UPDATE&gt;&lt;QUERIES bbk=&quot;18319&quot; bbkdesc=&quot;2019 Annual Accounts/New BEKOU Annual accounts/DC - Financial Statements&quot; datapro=&quot;BIP_BS&quot; tdatapro=&quot;BIP_BS&quot; author=&quot;&quot; modtime=&quot;4/28/2020 12:58:44 PM&quot; moduser=&quot;MILOTLU&quot; rolluptime=&quot;&quot; syuser=&quot;MILOTLU&quot; syuzeit=&quot;4/28/2020 12:58:44 PM&quot; root=&quot;/BBOOK/DATAPROVIDER[./META/PROPS/ID='BIP_BS']/DATA&quot; colcount=&quot;4&quot; rowcount=&quot;28&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BS&quot; infos=&quot;&quot; iscomment=&quot;0&quot;&gt;&lt;SELECT&gt;/BBOOK/DATAPROVIDER[./META/PROPS/ID='BIP_BS']/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9:21 PM&lt;/DYNAMIZEDON&gt;&lt;LASTUPDATEDBY&gt;MILOTLU&lt;/LASTUPDATEDBY&gt;&lt;LASTUPDATEDON&gt;5/31/2020 8:11:43 PM&lt;/LASTUPDATEDON&gt;&lt;UTC&gt;1&lt;/UTC&gt;&lt;/UPDATE&gt;&lt;QUERIES bbk=&quot;18319&quot; bbkdesc=&quot;2019 Annual Accounts/New BEKOU Annual accounts/DC - Financial Statements&quot; datapro=&quot;BIP_FP&quot; tdatapro=&quot;BIP_FP&quot; author=&quot;&quot; modtime=&quot;4/28/2020 12:58:44 PM&quot; moduser=&quot;MILOTLU&quot; rolluptime=&quot;&quot; syuser=&quot;MILOTLU&quot; syuzeit=&quot;4/28/2020 12:58:44 PM&quot; root=&quot;/BBOOK/DATAPROVIDER[./META/PROPS/ID='BIP_FP']/DATA&quot; colcount=&quot;4&quot; rowcount=&quot;16&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FP&quot; infos=&quot;&quot; iscomment=&quot;0&quot;&gt;&lt;SELECT&gt;/BBOOK/DATAPROVIDER[./META/PROPS/ID='BIP_FP']/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9:56 PM&lt;/DYNAMIZEDON&gt;&lt;LASTUPDATEDBY&gt;MILOTLU&lt;/LASTUPDATEDBY&gt;&lt;LASTUPDATEDON&gt;5/31/2020 8:11:43 PM&lt;/LASTUPDATEDON&gt;&lt;UTC&gt;1&lt;/UTC&gt;&lt;/UPDATE&gt;&lt;QUERIES bbk=&quot;18319&quot; bbkdesc=&quot;2019 Annual Accounts/New BEKOU Annual accounts/DC - Financial Statements&quot; datapro=&quot;BIP_CF&quot; tdatapro=&quot;BIP_CF&quot; author=&quot;&quot; modtime=&quot;4/28/2020 12:58:44 PM&quot; moduser=&quot;MILOTLU&quot; rolluptime=&quot;&quot; syuser=&quot;MILOTLU&quot; syuzeit=&quot;4/28/2020 12:58:44 PM&quot; root=&quot;/BBOOK/DATAPROVIDER[./META/PROPS/ID='BIP_CF']/DATA&quot; colcount=&quot;3&quot; rowcount=&quot;12&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CF&quot; infos=&quot;&quot; iscomment=&quot;0&quot;&gt;&lt;SELECT&gt;/BBOOK/DATAPROVIDER[./META/PROPS/ID='BIP_CF']/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3:31 PM&lt;/DYNAMIZEDON&gt;&lt;LASTUPDATEDBY&gt;MILOTLU&lt;/LASTUPDATEDBY&gt;&lt;LASTUPDATEDON&gt;5/31/2020 8:11:43 PM&lt;/LASTUPDATEDON&gt;&lt;UTC&gt;1&lt;/UTC&gt;&lt;/UPDATE&gt;&lt;QUERIES bbk=&quot;17933&quot; bbkdesc=&quot;2019 Annual Accounts/New AFRICA Annual Accounts/DC - Financial Statements&quot; datapro=&quot;BIP_BS&quot; tdatapro=&quot;BIP_BS&quot; author=&quot;&quot; modtime=&quot;4/30/2020 4:11:42 PM&quot; moduser=&quot;MILOTLU&quot; rolluptime=&quot;&quot; syuser=&quot;MILOTLU&quot; syuzeit=&quot;4/30/2020 4:11:42 PM&quot; root=&quot;/BBOOK/DATAPROVIDER[./META/PROPS/ID='BIP_BS']/DATA&quot; colcount=&quot;4&quot; rowcount=&quot;28&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BS&quot; infos=&quot;&quot; iscomment=&quot;0&quot;&gt;&lt;SELECT&gt;/BBOOK/DATAPROVIDER[./META/PROPS/ID='BIP_BS']/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4:28 PM&lt;/DYNAMIZEDON&gt;&lt;LASTUPDATEDBY&gt;MILOTLU&lt;/LASTUPDATEDBY&gt;&lt;LASTUPDATEDON&gt;5/31/2020 8:11:43 PM&lt;/LASTUPDATEDON&gt;&lt;UTC&gt;1&lt;/UTC&gt;&lt;/UPDATE&gt;&lt;QUERIES bbk=&quot;17933&quot; bbkdesc=&quot;2019 Annual Accounts/New AFRICA Annual Accounts/DC - Financial Statements&quot; datapro=&quot;BIP_FP&quot; tdatapro=&quot;BIP_FP&quot; author=&quot;&quot; modtime=&quot;4/30/2020 4:11:42 PM&quot; moduser=&quot;MILOTLU&quot; rolluptime=&quot;&quot; syuser=&quot;MILOTLU&quot; syuzeit=&quot;4/30/2020 4:11:42 PM&quot; root=&quot;/BBOOK/DATAPROVIDER[./META/PROPS/ID='BIP_FP']/DATA&quot; colcount=&quot;4&quot; rowcount=&quot;18&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FP&quot; infos=&quot;&quot; iscomment=&quot;0&quot;&gt;&lt;SELECT&gt;/BBOOK/DATAPROVIDER[./META/PROPS/ID='BIP_FP']/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6:34 PM&lt;/DYNAMIZEDON&gt;&lt;LASTUPDATEDBY&gt;MILOTLU&lt;/LASTUPDATEDBY&gt;&lt;LASTUPDATEDON&gt;5/31/2020 8:11:43 PM&lt;/LASTUPDATEDON&gt;&lt;UTC&gt;1&lt;/UTC&gt;&lt;/UPDATE&gt;&lt;QUERIES bbk=&quot;17933&quot; bbkdesc=&quot;2019 Annual Accounts/New AFRICA Annual Accounts/DC - Financial Statements&quot; datapro=&quot;BIP_CF&quot; tdatapro=&quot;BIP_CF&quot; author=&quot;&quot; modtime=&quot;4/30/2020 4:11:42 PM&quot; moduser=&quot;MILOTLU&quot; rolluptime=&quot;&quot; syuser=&quot;MILOTLU&quot; syuzeit=&quot;4/30/2020 4:11:42 PM&quot; root=&quot;/BBOOK/DATAPROVIDER[./META/PROPS/ID='BIP_CF']/DATA&quot; colcount=&quot;3&quot; rowcount=&quot;14&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CF&quot; infos=&quot;&quot; iscomment=&quot;0&quot;&gt;&lt;SELECT&gt;/BBOOK/DATAPROVIDER[./META/PROPS/ID='BIP_CF']/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1/2020 4:36:57 PM&lt;/DYNAMIZEDON&gt;&lt;LASTUPDATEDBY&gt;MILOTLU&lt;/LASTUPDATEDBY&gt;&lt;LASTUPDATEDON&gt;5/31/2020 8:11:43 PM&lt;/LASTUPDATEDON&gt;&lt;UTC&gt;1&lt;/UTC&gt;&lt;/UPDATE&gt;&lt;QUERIES bbk=&quot;18992&quot; bbkdesc=&quot;2019 Annual Accounts/EDF from Master Report/DC - Conso Statements EDF_TFs&quot; datapro=&quot;BIP_CONSBS&quot; tdatapro=&quot;BIP_CONSBS&quot; author=&quot;&quot; modtime=&quot;5/31/2020 8:11:24 PM&quot; moduser=&quot;MILOTLU&quot; rolluptime=&quot;&quot; syuser=&quot;MILOTLU&quot; syuzeit=&quot;5/31/2020 8:11:24 PM&quot; root=&quot;/BBOOK/DATAPROVIDER[./META/PROPS/ID='BIP_CONSBS']/DATA&quot; colcount=&quot;3&quot; rowcount=&quot;31&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BS&quot; infos=&quot;&quot; iscomment=&quot;0&quot;&gt;&lt;SELECT&gt;/BBOOK/DATAPROVIDER[./META/PROPS/ID='BIP_CONSBS']/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23/03/2020 15:47:14&lt;/DYNAMIZEDON&gt;&lt;LASTUPDATEDBY&gt;MILOTLU&lt;/LASTUPDATEDBY&gt;&lt;LASTUPDATEDON&gt;5/31/2020 8:11:43 PM&lt;/LASTUPDATEDON&gt;&lt;UTC&gt;1&lt;/UTC&gt;&lt;/UPDATE&gt;&lt;QUERIES bbk=&quot;18992&quot; bbkdesc=&quot;2019 Annual Accounts/EDF from Master Report/DC - Conso Statements EDF_TFs&quot; datapro=&quot;BIP_CONSPL&quot; tdatapro=&quot;BIP_CONSPL&quot; author=&quot;&quot; modtime=&quot;5/31/2020 8:11:24 PM&quot; moduser=&quot;MILOTLU&quot; rolluptime=&quot;&quot; syuser=&quot;MILOTLU&quot; syuzeit=&quot;5/31/2020 8:11:24 PM&quot; root=&quot;/BBOOK/DATAPROVIDER[./META/PROPS/ID='BIP_CONSPL']/DATA&quot; colcount=&quot;3&quot; rowcount=&quot;21&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PL&quot; infos=&quot;&quot; iscomment=&quot;0&quot;&gt;&lt;SELECT&gt;/BBOOK/DATAPROVIDER[./META/PROPS/ID='BIP_CONSPL']/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6/2020 10:42:12 AM&lt;/DYNAMIZEDON&gt;&lt;LASTUPDATEDBY&gt;MILOTLU&lt;/LASTUPDATEDBY&gt;&lt;LASTUPDATEDON&gt;5/31/2020 8:11:43 PM&lt;/LASTUPDATEDON&gt;&lt;UTC&gt;1&lt;/UTC&gt;&lt;/UPDATE&gt;&lt;QUERIES bbk=&quot;18992&quot; bbkdesc=&quot;2019 Annual Accounts/EDF from Master Report/DC - Conso Statements EDF_TFs&quot; datapro=&quot;BIP_CONSCF&quot; tdatapro=&quot;BIP_CONSCF&quot; author=&quot;&quot; modtime=&quot;5/31/2020 8:11:24 PM&quot; moduser=&quot;MILOTLU&quot; rolluptime=&quot;&quot; syuser=&quot;MILOTLU&quot; syuzeit=&quot;5/31/2020 8:11:24 PM&quot; root=&quot;/BBOOK/DATAPROVIDER[./META/PROPS/ID='BIP_CONSCF']/DATA&quot; colcount=&quot;3&quot; rowcount=&quot;20&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CF&quot; infos=&quot;&quot; iscomment=&quot;0&quot;&gt;&lt;SELECT&gt;/BBOOK/DATAPROVIDER[./META/PROPS/ID='BIP_CONSCF']/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27:45 PM&lt;/DYNAMIZEDON&gt;&lt;LASTUPDATEDBY&gt;MILOTLU&lt;/LASTUPDATEDBY&gt;&lt;LASTUPDATEDON&gt;5/31/2020 8:11:44 PM&lt;/LASTUPDATEDON&gt;&lt;UTC&gt;1&lt;/UTC&gt;&lt;/UPDATE&gt;&lt;QUERIES bbk=&quot;18992&quot; bbkdesc=&quot;2019 Annual Accounts/EDF from Master Report/DC - Conso Statements EDF_TFs&quot; datapro=&quot;BIP_CONSNA&quot; tdatapro=&quot;BIP_CONSNA&quot; author=&quot;&quot; modtime=&quot;5/31/2020 8:11:24 PM&quot; moduser=&quot;MILOTLU&quot; rolluptime=&quot;&quot; syuser=&quot;MILOTLU&quot; syuzeit=&quot;5/31/2020 8:11:24 PM&quot; root=&quot;/BBOOK/DATAPROVIDER[./META/PROPS/ID='BIP_CONSNA']/DATA&quot; colcount=&quot;8&quot; rowcount=&quot;10&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NA&quot; infos=&quot;&quot; iscomment=&quot;0&quot;&gt;&lt;SELECT&gt;/BBOOK/DATAPROVIDER[./META/PROPS/ID='BIP_CONSNA']/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09/03/2020 4:47:44 PM&lt;/DYNAMIZEDON&gt;&lt;LASTUPDATEDBY&gt;MILOTLU&lt;/LASTUPDATEDBY&gt;&lt;LASTUPDATEDON&gt;5/31/2020 8:11:45 PM&lt;/LASTUPDATEDON&gt;&lt;UTC&gt;1&lt;/UTC&gt;&lt;/UPDATE&gt;&lt;QUERIES bbk=&quot;19004&quot; bbkdesc=&quot;2019 Annual Accounts/EDF from Master Report/DC - DEVCO uploads&quot; datapro=&quot;BIP_Table1.1&quot; tdatapro=&quot;BIP_Table1.1&quot; author=&quot;&quot; modtime=&quot;3/11/2020 1:05:33 PM&quot; moduser=&quot;kythrst&quot; rolluptime=&quot;&quot; syuser=&quot;kythrst&quot; syuzeit=&quot;3/11/2020 1:05:33 PM&quot; root=&quot;/BBOOK/DATAPROVIDER[./META/PROPS/ID='BIP_Table1.1']/DATA&quot; colcount=&quot;7&quot; rowcount=&quot;40&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1.1&quot; infos=&quot;&quot; iscomment=&quot;0&quot;&gt;&lt;SELECT&gt;/BBOOK/DATAPROVIDER[./META/PROPS/ID='BIP_Table1.1']/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1:43 PM&lt;/DYNAMIZEDON&gt;&lt;LASTUPDATEDBY&gt;MILOTLU&lt;/LASTUPDATEDBY&gt;&lt;LASTUPDATEDON&gt;5/31/2020 8:11:45 PM&lt;/LASTUPDATEDON&gt;&lt;UTC&gt;1&lt;/UTC&gt;&lt;/UPDATE&gt;&lt;QUERIES bbk=&quot;19004&quot; bbkdesc=&quot;2019 Annual Accounts/EDF from Master Report/DC - DEVCO uploads&quot; datapro=&quot;BIP_Table_1.2&quot; tdatapro=&quot;BIP_Table_1.2&quot; author=&quot;&quot; modtime=&quot;3/11/2020 1:05:33 PM&quot; moduser=&quot;kythrst&quot; rolluptime=&quot;&quot; syuser=&quot;kythrst&quot; syuzeit=&quot;3/11/2020 1:05:33 PM&quot; root=&quot;/BBOOK/DATAPROVIDER[./META/PROPS/ID='BIP_Table_1.2']/DATA&quot; colcount=&quot;7&quot; rowcount=&quot;4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2&quot; infos=&quot;&quot; iscomment=&quot;0&quot;&gt;&lt;SELECT&gt;/BBOOK/DATAPROVIDER[./META/PROPS/ID='BIP_Table_1.2']/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3:09 PM&lt;/DYNAMIZEDON&gt;&lt;LASTUPDATEDBY&gt;MILOTLU&lt;/LASTUPDATEDBY&gt;&lt;LASTUPDATEDON&gt;5/31/2020 8:11:45 PM&lt;/LASTUPDATEDON&gt;&lt;UTC&gt;1&lt;/UTC&gt;&lt;/UPDATE&gt;&lt;QUERIES bbk=&quot;19004&quot; bbkdesc=&quot;2019 Annual Accounts/EDF from Master Report/DC - DEVCO uploads&quot; datapro=&quot;BIP_Table_1.3&quot; tdatapro=&quot;BIP_Table_1.3&quot; author=&quot;&quot; modtime=&quot;3/11/2020 1:05:33 PM&quot; moduser=&quot;kythrst&quot; rolluptime=&quot;&quot; syuser=&quot;kythrst&quot; syuzeit=&quot;3/11/2020 1:05:33 PM&quot; root=&quot;/BBOOK/DATAPROVIDER[./META/PROPS/ID='BIP_Table_1.3']/DATA&quot; colcount=&quot;7&quot; rowcount=&quot;4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3&quot; infos=&quot;&quot; iscomment=&quot;0&quot;&gt;&lt;SELECT&gt;/BBOOK/DATAPROVIDER[./META/PROPS/ID='BIP_Table_1.3']/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4:13 PM&lt;/DYNAMIZEDON&gt;&lt;LASTUPDATEDBY&gt;MILOTLU&lt;/LASTUPDATEDBY&gt;&lt;LASTUPDATEDON&gt;5/31/2020 8:11:45 PM&lt;/LASTUPDATEDON&gt;&lt;UTC&gt;1&lt;/UTC&gt;&lt;/UPDATE&gt;&lt;QUERIES bbk=&quot;19004&quot; bbkdesc=&quot;2019 Annual Accounts/EDF from Master Report/DC - DEVCO uploads&quot; datapro=&quot;BIP_Table_1.4&quot; tdatapro=&quot;BIP_Table_1.4&quot; author=&quot;&quot; modtime=&quot;3/11/2020 1:05:33 PM&quot; moduser=&quot;kythrst&quot; rolluptime=&quot;&quot; syuser=&quot;kythrst&quot; syuzeit=&quot;3/11/2020 1:05:33 PM&quot; root=&quot;/BBOOK/DATAPROVIDER[./META/PROPS/ID='BIP_Table_1.4']/DATA&quot; colcount=&quot;7&quot; rowcount=&quot;54&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4&quot; infos=&quot;&quot; iscomment=&quot;0&quot;&gt;&lt;SELECT&gt;/BBOOK/DATAPROVIDER[./META/PROPS/ID='BIP_Table_1.4']/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7:54 PM&lt;/DYNAMIZEDON&gt;&lt;LASTUPDATEDBY&gt;MILOTLU&lt;/LASTUPDATEDBY&gt;&lt;LASTUPDATEDON&gt;5/31/2020 8:11:46 PM&lt;/LASTUPDATEDON&gt;&lt;UTC&gt;1&lt;/UTC&gt;&lt;/UPDATE&gt;&lt;QUERIES bbk=&quot;19004&quot; bbkdesc=&quot;2019 Annual Accounts/EDF from Master Report/DC - DEVCO uploads&quot; datapro=&quot;BIP_Table_2.1a&quot; tdatapro=&quot;BIP_Table_2.1a&quot; author=&quot;&quot; modtime=&quot;3/11/2020 1:05:33 PM&quot; moduser=&quot;kythrst&quot; rolluptime=&quot;&quot; syuser=&quot;kythrst&quot; syuzeit=&quot;3/11/2020 1:05:33 PM&quot; root=&quot;/BBOOK/DATAPROVIDER[./META/PROPS/ID='BIP_Table_2.1a']/DATA&quot; colcount=&quot;11&quot; rowcount=&quot;38&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1a&quot; infos=&quot;&quot; iscomment=&quot;0&quot;&gt;&lt;SELECT&gt;/BBOOK/DATAPROVIDER[./META/PROPS/ID='BIP_Table_2.1a']/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23:13 PM&lt;/DYNAMIZEDON&gt;&lt;LASTUPDATEDBY&gt;MILOTLU&lt;/LASTUPDATEDBY&gt;&lt;LASTUPDATEDON&gt;5/31/2020 8:11:47 PM&lt;/LASTUPDATEDON&gt;&lt;UTC&gt;1&lt;/UTC&gt;&lt;/UPDATE&gt;&lt;QUERIES bbk=&quot;19004&quot; bbkdesc=&quot;2019 Annual Accounts/EDF from Master Report/DC - DEVCO uploads&quot; datapro=&quot;BIP_Table_2.1b&quot; tdatapro=&quot;BIP_Table_2.1b&quot; author=&quot;&quot; modtime=&quot;3/11/2020 1:05:33 PM&quot; moduser=&quot;kythrst&quot; rolluptime=&quot;&quot; syuser=&quot;kythrst&quot; syuzeit=&quot;3/11/2020 1:05:33 PM&quot; root=&quot;/BBOOK/DATAPROVIDER[./META/PROPS/ID='BIP_Table_2.1b']/DATA&quot; colcount=&quot;18&quot; rowcount=&quot;21&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1b&quot; infos=&quot;&quot; iscomment=&quot;0&quot;&gt;&lt;SELECT&gt;/BBOOK/DATAPROVIDER[./META/PROPS/ID='BIP_Table_2.1b']/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1/03/2020 1:07:10 PM&lt;/DYNAMIZEDON&gt;&lt;LASTUPDATEDBY&gt;MILOTLU&lt;/LASTUPDATEDBY&gt;&lt;LASTUPDATEDON&gt;5/31/2020 8:11:48 PM&lt;/LASTUPDATEDON&gt;&lt;UTC&gt;1&lt;/UTC&gt;&lt;/UPDATE&gt;&lt;QUERIES bbk=&quot;19004&quot; bbkdesc=&quot;2019 Annual Accounts/EDF from Master Report/DC - DEVCO uploads&quot; datapro=&quot;BIP_Table_2.2&quot; tdatapro=&quot;BIP_Table_2.2&quot; author=&quot;&quot; modtime=&quot;3/11/2020 1:05:33 PM&quot; moduser=&quot;kythrst&quot; rolluptime=&quot;&quot; syuser=&quot;kythrst&quot; syuzeit=&quot;3/11/2020 1:05:33 PM&quot; root=&quot;/BBOOK/DATAPROVIDER[./META/PROPS/ID='BIP_Table_2.2']/DATA&quot; colcount=&quot;19&quot; rowcount=&quot;135&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2&quot; infos=&quot;&quot; iscomment=&quot;0&quot;&gt;&lt;SELECT&gt;/BBOOK/DATAPROVIDER[./META/PROPS/ID='BIP_Table_2.2']/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7:05 PM&lt;/DYNAMIZEDON&gt;&lt;LASTUPDATEDBY&gt;MILOTLU&lt;/LASTUPDATEDBY&gt;&lt;LASTUPDATEDON&gt;5/31/2020 8:11:49 PM&lt;/LASTUPDATEDON&gt;&lt;UTC&gt;1&lt;/UTC&gt;&lt;/UPDATE&gt;&lt;QUERIES bbk=&quot;19004&quot; bbkdesc=&quot;2019 Annual Accounts/EDF from Master Report/DC - DEVCO uploads&quot; datapro=&quot;BIP_Table_2.3&quot; tdatapro=&quot;BIP_Table_2.3&quot; author=&quot;&quot; modtime=&quot;3/11/2020 1:05:33 PM&quot; moduser=&quot;kythrst&quot; rolluptime=&quot;&quot; syuser=&quot;kythrst&quot; syuzeit=&quot;3/11/2020 1:05:33 PM&quot; root=&quot;/BBOOK/DATAPROVIDER[./META/PROPS/ID='BIP_Table_2.3']/DATA&quot; colcount=&quot;14&quot; rowcount=&quot;5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3&quot; infos=&quot;&quot; iscomment=&quot;0&quot;&gt;&lt;SELECT&gt;/BBOOK/DATAPROVIDER[./META/PROPS/ID='BIP_Table_2.3']/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8:24 PM&lt;/DYNAMIZEDON&gt;&lt;LASTUPDATEDBY&gt;MILOTLU&lt;/LASTUPDATEDBY&gt;&lt;LASTUPDATEDON&gt;5/31/2020 8:11:50 PM&lt;/LASTUPDATEDON&gt;&lt;UTC&gt;1&lt;/UTC&gt;&lt;/UPDATE&gt;&lt;QUERIES bbk=&quot;19004&quot; bbkdesc=&quot;2019 Annual Accounts/EDF from Master Report/DC - DEVCO uploads&quot; datapro=&quot;BIP_Table_2.4&quot; tdatapro=&quot;BIP_Table_2.4&quot; author=&quot;&quot; modtime=&quot;3/11/2020 1:05:33 PM&quot; moduser=&quot;kythrst&quot; rolluptime=&quot;&quot; syuser=&quot;kythrst&quot; syuzeit=&quot;3/11/2020 1:05:33 PM&quot; root=&quot;/BBOOK/DATAPROVIDER[./META/PROPS/ID='BIP_Table_2.4']/DATA&quot; colcount=&quot;14&quot; rowcount=&quot;79&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4&quot; infos=&quot;&quot; iscomment=&quot;0&quot;&gt;&lt;SELECT&gt;/BBOOK/DATAPROVIDER[./META/PROPS/ID='BIP_Table_2.4']/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9:22 PM&lt;/DYNAMIZEDON&gt;&lt;LASTUPDATEDBY&gt;MILOTLU&lt;/LASTUPDATEDBY&gt;&lt;LASTUPDATEDON&gt;5/31/2020 8:11:49 PM&lt;/LASTUPDATEDON&gt;&lt;UTC&gt;1&lt;/UTC&gt;&lt;/UPDATE&gt;&lt;QUERIES bbk=&quot;19004&quot; bbkdesc=&quot;2019 Annual Accounts/EDF from Master Report/DC - DEVCO uploads&quot; datapro=&quot;BIP_Table_2.5&quot; tdatapro=&quot;BIP_Table_2.5&quot; author=&quot;&quot; modtime=&quot;3/11/2020 1:05:33 PM&quot; moduser=&quot;kythrst&quot; rolluptime=&quot;&quot; syuser=&quot;kythrst&quot; syuzeit=&quot;3/11/2020 1:05:33 PM&quot; root=&quot;/BBOOK/DATAPROVIDER[./META/PROPS/ID='BIP_Table_2.5']/DATA&quot; colcount=&quot;14&quot; rowcount=&quot;90&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5&quot; infos=&quot;&quot; iscomment=&quot;0&quot;&gt;&lt;SELECT&gt;/BBOOK/DATAPROVIDER[./META/PROPS/ID='BIP_Table_2.5']/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41:02 PM&lt;/DYNAMIZEDON&gt;&lt;LASTUPDATEDBY&gt;MILOTLU&lt;/LASTUPDATEDBY&gt;&lt;LASTUPDATEDON&gt;5/31/2020 8:11:49 PM&lt;/LASTUPDATEDON&gt;&lt;UTC&gt;1&lt;/UTC&gt;&lt;/UPDATE&gt;&lt;QUERIES bbk=&quot;19004&quot; bbkdesc=&quot;2019 Annual Accounts/EDF from Master Report/DC - DEVCO uploads&quot; datapro=&quot;BIP_Table_2.6&quot; tdatapro=&quot;BIP_Table_2.6&quot; author=&quot;&quot; modtime=&quot;3/11/2020 1:05:33 PM&quot; moduser=&quot;kythrst&quot; rolluptime=&quot;&quot; syuser=&quot;kythrst&quot; syuzeit=&quot;3/11/2020 1:05:33 PM&quot; root=&quot;/BBOOK/DATAPROVIDER[./META/PROPS/ID='BIP_Table_2.6']/DATA&quot; colcount=&quot;14&quot; rowcount=&quot;105&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6&quot; infos=&quot;&quot; iscomment=&quot;0&quot;&gt;&lt;SELECT&gt;/BBOOK/DATAPROVIDER[./META/PROPS/ID='BIP_Table_2.6']/DATA/ROW&lt;/SELECT&gt;&lt;FILTERS&gt;&lt;FILTER&gt;&lt;/FILTER&gt;&lt;/FILTERS&gt;&lt;/QUERY&gt;&lt;/QUERIES&gt;&lt;/OBJECT&gt;"/>
    <w:docVar w:name="BIP_VARIABLES" w:val="&lt;BBOOKS&gt;&lt;BBOOK bbname=&quot;DefaultVariables&quot;&gt;&lt;VARIABLES /&gt;&lt;/BBOOK&gt;&lt;BBOOK bbname=&quot;18949&quot; bbdesc=&quot;2019 Annual Accounts/Master Report/DC - Financial Statements&quot; dsname=&quot;SAP Disclosure Management - Production&quot;&gt;&lt;VARIABLES&gt;&lt;/VARIABLES&gt;&lt;/BBOOK&gt;&lt;BBOOK bbname=&quot;18983&quot; bbdesc=&quot;2019 Annual Accounts/EDF from Master Report/DC - Notes to the financial statements&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1041&quot; bbdesc=&quot;2013 Annual Accounts/EEAS Annual Accounts/DC - Balance Sheet (xlsx)&quot; dsname=&quot;SAP Disclosure Management - Production&quot;&gt;&lt;VARIABLES /&gt;&lt;/BBOOK&gt;&lt;BBOOK bbname=&quot;5999&quot; bbdesc=&quot;2015 Annual Accounts/2015 BBI JU Annual accounts/DC - Balance Sheet (xlsx)&quot; dsname=&quot;SAP Disclosure Management - Production&quot;&gt;&lt;VARIABLES /&gt;&lt;/BBOOK&gt;&lt;BBOOK bbname=&quot;1042&quot; bbdesc=&quot;2013 Annual Accounts/EEAS Annual Accounts/DC - Statement of Financial Performance (xlsx)&quot; dsname=&quot;SAP Disclosure Management - Production&quot;&gt;&lt;VARIABLES /&gt;&lt;/BBOOK&gt;&lt;BBOOK bbname=&quot;2827&quot; bbdesc=&quot;2014 Annual Accounts/EDPS Annual accounts 2014/DC - Statement of Financial Performance del (xlsx)&quot; dsname=&quot;SAP Disclosure Management - Production&quot;&gt;&lt;VARIABLES /&gt;&lt;/BBOOK&gt;&lt;BBOOK bbname=&quot;6014&quot; bbdesc=&quot;2015 Annual Accounts/2015 BBI JU Annual accounts/DC - Statement of Financial Performance (xlsx)&quot; dsname=&quot;SAP Disclosure Management - Production&quot;&gt;&lt;VARIABLES /&gt;&lt;/BBOOK&gt;&lt;BBOOK bbname=&quot;1089&quot; bbdesc=&quot;2013 Annual Accounts/EEAS Annual Accounts/DC - Cashflow statement automated (xlsx)&quot; dsname=&quot;SAP Disclosure Management - Production&quot;&gt;&lt;VARIABLES /&gt;&lt;/BBOOK&gt;&lt;BBOOK bbname=&quot;6001&quot; bbdesc=&quot;2015 Annual Accounts/2015 BBI JU Annual accounts/DC - Cashflow statement (xlsx)&quot; dsname=&quot;SAP Disclosure Management - Production&quot;&gt;&lt;VARIABLES /&gt;&lt;/BBOOK&gt;&lt;BBOOK bbname=&quot;6000&quot; bbdesc=&quot;2015 Annual Accounts/2015 BBI JU Annual accounts/DC - Statement of changes in net assets (xlsx)&quot; dsname=&quot;SAP Disclosure Management - Production&quot;&gt;&lt;VARIABLES /&gt;&lt;/BBOOK&gt;&lt;BBOOK bbname=&quot;6041&quot; bbdesc=&quot;2015 Annual Accounts/2015 BBI JU Annual accounts/DC - Accrued charges and Deferred income (xlsx)&quot; dsname=&quot;SAP Disclosure Management - Production&quot;&gt;&lt;VARIABLES /&gt;&lt;/BBOOK&gt;&lt;BBOOK bbname=&quot;5383&quot; bbdesc=&quot;2015 Annual Accounts/EEAS Annual accounts/DC - DeprecRates (xlsx)&quot; dsname=&quot;SAP Disclosure Management - Production&quot;&gt;&lt;VARIABLES /&gt;&lt;/BBOOK&gt;&lt;BBOOK bbname=&quot;2532&quot; bbdesc=&quot;2014 Annual Accounts/EC Annual Accounts/DC - Intangible assets (xlsx)&quot; dsname=&quot;SAP Disclosure Management - Production&quot;&gt;&lt;VARIABLES /&gt;&lt;/BBOOK&gt;&lt;BBOOK bbname=&quot;3083&quot; bbdesc=&quot;2014 Annual Accounts/EEAS Annual Accounts 2014/DC - Intangible fixed assets and PPE CY (xlsx)&quot; dsname=&quot;SAP Disclosure Management - Production&quot;&gt;&lt;VARIABLES /&gt;&lt;/BBOOK&gt;&lt;BBOOK bbname=&quot;2533&quot; bbdesc=&quot;2014 Annual Accounts/EC Annual Accounts/DC - Property plant and equipment (xlsx)&quot; dsname=&quot;SAP Disclosure Management - Production&quot;&gt;&lt;VARIABLES /&gt;&lt;/BBOOK&gt;&lt;BBOOK bbname=&quot;6030&quot; bbdesc=&quot;2015 Annual Accounts/2015 BBI JU Annual accounts/DC - PPE CY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3090&quot; bbdesc=&quot;2014 Annual Accounts/EEAS Annual Accounts 2014/DC - Pre-financing (xlsx)&quot; dsname=&quot;SAP Disclosure Management - Production&quot;&gt;&lt;VARIABLES /&gt;&lt;/BBOOK&gt;&lt;BBOOK bbname=&quot;3091&quot; bbdesc=&quot;2014 Annual Accounts/EEAS Annual Accounts 2014/DC - Pre-financing detailed (xlsx)&quot; dsname=&quot;SAP Disclosure Management - Production&quot;&gt;&lt;VARIABLES /&gt;&lt;/BBOOK&gt;&lt;BBOOK bbname=&quot;6036&quot; bbdesc=&quot;2015 Annual Accounts/2015 BBI JU Annual accounts/DC - Pre-financing (xlsx)&quot; dsname=&quot;SAP Disclosure Management - Production&quot;&gt;&lt;VARIABLES /&gt;&lt;/BBOOK&gt;&lt;BBOOK bbname=&quot;2440&quot; bbdesc=&quot;2014 Annual Accounts/EC Annual Accounts/DC - Exchange receivables and Non-exchange recoverables (xlsx)&quot; dsname=&quot;SAP Disclosure Management - Production&quot;&gt;&lt;VARIABLES /&gt;&lt;/BBOOK&gt;&lt;BBOOK bbname=&quot;2442&quot; bbdesc=&quot;2014 Annual Accounts/EC Annual Accounts/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2444&quot; bbdesc=&quot;2014 Annual Accounts/EC Annual Accounts/DC - Accrued income and Deferred charges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3085&quot; bbdesc=&quot;2014 Annual Accounts/EEAS Annual Accounts 2014/DC - Exchange receivables and Non-exchange recoverables (xlsx)&quot; dsname=&quot;SAP Disclosure Management - Production&quot;&gt;&lt;VARIABLES /&gt;&lt;/BBOOK&gt;&lt;BBOOK bbname=&quot;3086&quot; bbdesc=&quot;2014 Annual Accounts/EEAS Annual Accounts 2014/DC - Recoverables from Member States (xlsx)&quot; dsname=&quot;SAP Disclosure Management - Production&quot;&gt;&lt;VARIABLES /&gt;&lt;/BBOOK&gt;&lt;BBOOK bbname=&quot;3087&quot; bbdesc=&quot;2014 Annual Accounts/EEAS Annual Accounts 2014/DC - Accrued income and Deferred charges (xlsx)&quot; dsname=&quot;SAP Disclosure Management - Production&quot;&gt;&lt;VARIABLES /&gt;&lt;/BBOOK&gt;&lt;BBOOK bbname=&quot;6032&quot; bbdesc=&quot;2015 Annual Accounts/2015 BBI JU Annual accounts/DC - Exchange receivables and Non-exchange recoverables (xlsx)&quot; dsname=&quot;SAP Disclosure Management - Production&quot;&gt;&lt;VARIABLES /&gt;&lt;/BBOOK&gt;&lt;BBOOK bbname=&quot;3201&quot; bbdesc=&quot;2014 Annual Accounts/FCH JU Annual accounts 2014/DC - Accrued income and Deferred charges (xlsx)&quot; dsname=&quot;SAP Disclosure Management - Production&quot;&gt;&lt;VARIABLES /&gt;&lt;/BBOOK&gt;&lt;BBOOK bbname=&quot;2540&quot; bbdesc=&quot;2014 Annual Accounts/EC Annual Accounts/DC - Provisions (xlsx)&quot; dsname=&quot;SAP Disclosure Management - Production&quot;&gt;&lt;VARIABLES /&gt;&lt;/BBOOK&gt;&lt;BBOOK bbname=&quot;3097&quot; bbdesc=&quot;2014 Annual Accounts/EEAS Annual Accounts 2014/DC - Provisions (xlsx)&quot; dsname=&quot;SAP Disclosure Management - Production&quot;&gt;&lt;VARIABLES /&gt;&lt;/BBOOK&gt;&lt;BBOOK bbname=&quot;3203&quot; bbdesc=&quot;2014 Annual Accounts/FCH JU Annual accounts 2014/DC - Provisions (xlsx)&quot; dsname=&quot;SAP Disclosure Management - Production&quot;&gt;&lt;VARIABLES /&gt;&lt;/BBOOK&gt;&lt;BBOOK bbname=&quot;2903&quot; bbdesc=&quot;2014 Annual Accounts/EEAS Annual Accounts 2014/DC - Payables (xlsx)&quot; dsname=&quot;SAP Disclosure Management - Production&quot;&gt;&lt;VARIABLES /&gt;&lt;/BBOOK&gt;&lt;BBOOK bbname=&quot;3283&quot; bbdesc=&quot;2014 Annual Accounts/CEPOL Annual accounts 2014/DC - Payables (xlsx)&quot; dsname=&quot;SAP Disclosure Management - Production&quot;&gt;&lt;VARIABLES /&gt;&lt;/BBOOK&gt;&lt;BBOOK bbname=&quot;6043&quot; bbdesc=&quot;2015 Annual Accounts/2015 BBI JU Annual accounts/DC - Payables (xlsx)&quot; dsname=&quot;SAP Disclosure Management - Production&quot;&gt;&lt;VARIABLES /&gt;&lt;/BBOOK&gt;&lt;BBOOK bbname=&quot;3112&quot; bbdesc=&quot;2014 Annual Accounts/EEAS Annual Accounts 2014/DC - Accrued charges and Deferred income (xlsx)&quot; dsname=&quot;SAP Disclosure Management - Production&quot;&gt;&lt;VARIABLES /&gt;&lt;/BBOOK&gt;&lt;BBOOK bbname=&quot;5303&quot; bbdesc=&quot;2015 Annual Accounts/2015 FCH JU Annual accounts/DC - Accrued charges and Deferred income (xlsx)&quot; dsname=&quot;SAP Disclosure Management - Production&quot;&gt;&lt;VARIABLES /&gt;&lt;/BBOOK&gt;&lt;BBOOK bbname=&quot;2546&quot; bbdesc=&quot;2014 Annual Accounts/EC Annual Accounts/DC - Reserves (xlsx)&quot; dsname=&quot;SAP Disclosure Management - Production&quot;&gt;&lt;VARIABLES /&gt;&lt;/BBOOK&gt;&lt;BBOOK bbname=&quot;2547&quot; bbdesc=&quot;2014 Annual Accounts/EC Annual Accounts/DC - Amounts to be called from member states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3207&quot; bbdesc=&quot;2014 Annual Accounts/FCH JU Annual accounts 2014/DC - Accrued charges and Deferred income (xlsx)&quot; dsname=&quot;SAP Disclosure Management - Production&quot;&gt;&lt;VARIABLES /&gt;&lt;/BBOOK&gt;&lt;BBOOK bbname=&quot;6017&quot; bbdesc=&quot;2015 Annual Accounts/2015 FCH JU Annual accounts/DC - FP7 Contributions (xlsx)&quot; dsname=&quot;SAP Disclosure Management - Production&quot;&gt;&lt;VARIABLES /&gt;&lt;/BBOOK&gt;&lt;BBOOK bbname=&quot;6050&quot; bbdesc=&quot;2015 Annual Accounts/2015 BBI JU Annual accounts/DC - H2020 Contributions (xlsx)&quot; dsname=&quot;SAP Disclosure Management - Production&quot;&gt;&lt;VARIABLES /&gt;&lt;/BBOOK&gt;&lt;BBOOK bbname=&quot;6073&quot; bbdesc=&quot;2015 Annual Accounts/2015 BBI JU Annual accounts/Upload Contributions H2020_voting rights (xlsx)&quot; dsname=&quot;SAP Disclosure Management - Production&quot;&gt;&lt;VARIABLES /&gt;&lt;/BBOOK&gt;&lt;BBOOK bbname=&quot;6072&quot; bbdesc=&quot;2015 Annual Accounts/2015 BBI JU Annual accounts/DC - H2020 Contribution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3041&quot; bbdesc=&quot;2014 Annual Accounts/EEAS Annual Accounts 2014/DC - Recovery of expenses (xlsx)&quot; dsname=&quot;SAP Disclosure Management - Production&quot;&gt;&lt;VARIABLES /&gt;&lt;/BBOOK&gt;&lt;BBOOK bbname=&quot;3209&quot; bbdesc=&quot;2014 Annual Accounts/FCH JU Annual accounts 2014/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3043&quot; bbdesc=&quot;2014 Annual Accounts/EEAS Annual Accounts 2014/DC - Other non-exchange revenue (xlsx)&quot; dsname=&quot;SAP Disclosure Management - Production&quot;&gt;&lt;VARIABLES /&gt;&lt;/BBOOK&gt;&lt;BBOOK bbname=&quot;6024&quot; bbdesc=&quot;2015 Annual Accounts/2015 BBI JU Annual accounts/DC - Other non-exchange revenue (xlsx)&quot; dsname=&quot;SAP Disclosure Management - Production&quot;&gt;&lt;VARIABLES /&gt;&lt;/BBOOK&gt;&lt;BBOOK bbname=&quot;2550&quot; bbdesc=&quot;2014 Annual Accounts/EC Annual Accounts/DC - Other exchange revenue (xlsx)&quot; dsname=&quot;SAP Disclosure Management - Production&quot;&gt;&lt;VARIABLES /&gt;&lt;/BBOOK&gt;&lt;BBOOK bbname=&quot;3047&quot; bbdesc=&quot;2014 Annual Accounts/EEAS Annual Accounts 2014/DC - Other exchange revenue (xlsx)&quot; dsname=&quot;SAP Disclosure Management - Production&quot;&gt;&lt;VARIABLES /&gt;&lt;/BBOOK&gt;&lt;BBOOK bbname=&quot;3993&quot; bbdesc=&quot;2015 Annual Accounts/2015 CEPOL Annual accounts/DC - Other exchange revenue (xlsx)&quot; dsname=&quot;SAP Disclosure Management - Production&quot;&gt;&lt;VARIABLES /&gt;&lt;/BBOOK&gt;&lt;BBOOK bbname=&quot;6086&quot; bbdesc=&quot;2015 Annual Accounts/2015 BBI JU Annual accounts/DC - Other exchange revenue (xlsx)&quot; dsname=&quot;SAP Disclosure Management - Production&quot;&gt;&lt;VARIABLES /&gt;&lt;/BBOOK&gt;&lt;BBOOK bbname=&quot;5288&quot; bbdesc=&quot;2015 Annual Accounts/2015 FCH JU Annual accounts/DC - Other expenses (xlsx)&quot; dsname=&quot;SAP Disclosure Management - Production&quot;&gt;&lt;VARIABLES /&gt;&lt;/BBOOK&gt;&lt;BBOOK bbname=&quot;5289&quot; bbdesc=&quot;2015 Annual Accounts/2015 FCH JU Annual accounts/DC - Property plant and equipment related expenses (xlsx)&quot; dsname=&quot;SAP Disclosure Management - Production&quot;&gt;&lt;VARIABLES /&gt;&lt;/BBOOK&gt;&lt;BBOOK bbname=&quot;5287&quot; bbdesc=&quot;2015 Annual Accounts/2015 FCH JU Annual accounts/DC - Operating costs (xlsx)&quot; dsname=&quot;SAP Disclosure Management - Production&quot;&gt;&lt;VARIABLES /&gt;&lt;/BBOOK&gt;&lt;BBOOK bbname=&quot;6025&quot; bbdesc=&quot;2015 Annual Accounts/2015 BBI JU Annual accounts/DC - Operating costs (xlsx)&quot; dsname=&quot;SAP Disclosure Management - Production&quot;&gt;&lt;VARIABLES /&gt;&lt;/BBOOK&gt;&lt;BBOOK bbname=&quot;3213&quot; bbdesc=&quot;2014 Annual Accounts/FCH JU Annual accounts 2014/DC - Other expenses (xlsx)&quot; dsname=&quot;SAP Disclosure Management - Production&quot;&gt;&lt;VARIABLES /&gt;&lt;/BBOOK&gt;&lt;BBOOK bbname=&quot;3494&quot; bbdesc=&quot;2014 Annual Accounts/FCH JU Annual accounts 2014/DC - Property plant and equipment related expenses (xlsx)&quot; dsname=&quot;SAP Disclosure Management - Production&quot;&gt;&lt;VARIABLES /&gt;&lt;/BBOOK&gt;&lt;BBOOK bbname=&quot;6026&quot; bbdesc=&quot;2015 Annual Accounts/2015 BBI JU Annual accounts/DC - Other expenses (xlsx)&quot; dsname=&quot;SAP Disclosure Management - Production&quot;&gt;&lt;VARIABLES /&gt;&lt;/BBOOK&gt;&lt;BBOOK bbname=&quot;6027&quot; bbdesc=&quot;2015 Annual Accounts/2015 BBI JU Annual accounts/DC - Property plant and equipment related expenses (xlsx)&quot; dsname=&quot;SAP Disclosure Management - Production&quot;&gt;&lt;VARIABLES /&gt;&lt;/BBOOK&gt;&lt;BBOOK bbname=&quot;2530&quot; bbdesc=&quot;2014 Annual Accounts/EC Annual Accounts/DC - Outstanding commitments not yet expensed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3314&quot; bbdesc=&quot;2014 Annual Accounts/FCH JU Annual accounts 2014/DC - Outstanding commitments not yet expensed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3319&quot; bbdesc=&quot;2014 Annual Accounts/FCH JU Annual accounts 2014/DC - Exposure of the EC to currency risk at year end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3323&quot; bbdesc=&quot;2014 Annual Accounts/FCH JU Annual accounts 2014/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3327&quot; bbdesc=&quot;2014 Annual Accounts/FCH JU Annual accounts 2014/DC - Maturity analysis of financial liabilities (xlsx)&quot; dsname=&quot;SAP Disclosure Management - Production&quot;&gt;&lt;VARIABLES /&gt;&lt;/BBOOK&gt;&lt;BBOOK bbname=&quot;3308&quot; bbdesc=&quot;2014 Annual Accounts/CEPOL Annual accounts 2014/DC - Reconciliation of economic result with budget result (xlsx)&quot; dsname=&quot;SAP Disclosure Management - Production&quot;&gt;&lt;VARIABLES /&gt;&lt;/BBOOK&gt;&lt;BBOOK bbname=&quot;3971&quot; bbdesc=&quot;2014 Annual Accounts/CEPOL Annual accounts 2014/DC - Reports on the implementation of the budget (xlsx)&quot; dsname=&quot;SAP Disclosure Management - Production&quot;&gt;&lt;VARIABLES /&gt;&lt;/BBOOK&gt;&lt;BBOOK bbname=&quot;5993&quot; bbdesc=&quot;2015 Annual Accounts/2015 BBI JU Annual accounts/DC - Reports on the implementation of the budget (xlsx)&quot; dsname=&quot;SAP Disclosure Management - Production&quot;&gt;&lt;VARIABLES /&gt;&lt;/BBOOK&gt;&lt;BBOOK bbname=&quot;5255&quot; bbdesc=&quot;2015 Annual Accounts/2015 FCH JU Annual accounts/DC - Reports on the implementation of the budget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7185&quot; bbdesc=&quot;2019 Annual Accounts/EU Annual Accounts/DC - Currency table and Deprec. Rates&quot; dsname=&quot;SAP Disclosure Management - Production&quot;&gt;&lt;VARIABLES /&gt;&lt;/BBOOK&gt;&lt;BBOOK bbname=&quot;9322&quot; bbdesc=&quot;2016 Annual Accounts/EEAS Annual accounts/DC - Accrued charges and Deferred income (xlsx)&quot; dsname=&quot;SAP Disclosure Management - Production&quot;&gt;&lt;VARIABLES /&gt;&lt;/BBOOK&gt;&lt;BBOOK bbname=&quot;16800&quot; bbdesc=&quot;2018 Annual Accounts/EEAS Annual accounts/DC - DeprecRates&quot; dsname=&quot;SAP Disclosure Management - Production&quot;&gt;&lt;VARIABLES /&gt;&lt;/BBOOK&gt;&lt;BBOOK bbname=&quot;19001&quot; bbdesc=&quot;2019 Annual Accounts/EDF from Master Report/DC - Currency risk and other Inform tables&quot; dsname=&quot;SAP Disclosure Management - Production&quot;&gt;&lt;VARIABLES /&gt;&lt;/BBOOK&gt;&lt;BBOOK bbname=&quot;18319&quot; bbdesc=&quot;2019 Annual Accounts/New BEKOU Annual accounts/DC - Financial Statements&quot; dsname=&quot;SAP Disclosure Management - Production&quot;&gt;&lt;VARIABLES /&gt;&lt;/BBOOK&gt;&lt;BBOOK bbname=&quot;17933&quot; bbdesc=&quot;2019 Annual Accounts/New AFRICA Annual Accounts/DC - Financial Statements&quot; dsname=&quot;SAP Disclosure Management - Production&quot;&gt;&lt;VARIABLES /&gt;&lt;/BBOOK&gt;&lt;BBOOK bbname=&quot;18992&quot; bbdesc=&quot;2019 Annual Accounts/EDF from Master Report/DC - Conso Statements EDF_TFs&quot; dsname=&quot;SAP Disclosure Management - Production&quot;&gt;&lt;VARIABLES /&gt;&lt;/BBOOK&gt;&lt;BBOOK bbname=&quot;19004&quot; bbdesc=&quot;2019 Annual Accounts/EDF from Master Report/DC - DEVCO uploads&quot; dsname=&quot;SAP Disclosure Management - Production&quot;&gt;&lt;VARIABLES /&gt;&lt;/BBOOK&gt;&lt;/BBOOKS&gt;"/>
    <w:docVar w:name="DM_WB_C17676_METADATA" w:val="&lt;ChapterMetadata&gt;&lt;ChapterId&gt;17676&lt;/ChapterId&gt;&lt;ChapterName&gt;Significant accounting policies (Master External Entities)&lt;/ChapterName&gt;&lt;ChapterNoOfPages&gt;-1&lt;/ChapterNoOfPages&gt;&lt;ChapterVersion&gt;18&lt;/ChapterVersion&gt;&lt;/ChapterMetadata&gt;"/>
    <w:docVar w:name="DM_WB_C18490_METADATA" w:val="&lt;ChapterMetadata&gt;&lt;ChapterId&gt;18490&lt;/ChapterId&gt;&lt;ChapterName&gt;Significant accounting policies EDF&lt;/ChapterName&gt;&lt;ChapterNoOfPages&gt;-1&lt;/ChapterNoOfPages&gt;&lt;ChapterVersion&gt;1&lt;/ChapterVersion&gt;&lt;/ChapterMetadata&gt;"/>
    <w:docVar w:name="DM_WB_C18937_METADATA" w:val="&lt;ChapterMetadata&gt;&lt;ChapterId&gt;18937&lt;/ChapterId&gt;&lt;ChapterName&gt;Glossary&lt;/ChapterName&gt;&lt;ChapterNoOfPages&gt;-1&lt;/ChapterNoOfPages&gt;&lt;ChapterVersion&gt;1&lt;/ChapterVersion&gt;&lt;/ChapterMetadata&gt;"/>
    <w:docVar w:name="DM_WB_C18940_METADATA" w:val="&lt;ChapterMetadata&gt;&lt;ChapterId&gt;18940&lt;/ChapterId&gt;&lt;ChapterName&gt;Cover and first page&lt;/ChapterName&gt;&lt;ChapterNoOfPages&gt;-1&lt;/ChapterNoOfPages&gt;&lt;ChapterVersion&gt;3&lt;/ChapterVersion&gt;&lt;/ChapterMetadata&gt;"/>
    <w:docVar w:name="DM_WB_C18944_METADATA" w:val="&lt;ChapterMetadata&gt;&lt;ChapterId&gt;18944&lt;/ChapterId&gt;&lt;ChapterName&gt;Aggregated financial statements&lt;/ChapterName&gt;&lt;ChapterNoOfPages&gt;-1&lt;/ChapterNoOfPages&gt;&lt;ChapterVersion&gt;66&lt;/ChapterVersion&gt;&lt;/ChapterMetadata&gt;"/>
    <w:docVar w:name="DM_WB_C18950_METADATA" w:val="&lt;ChapterMetadata&gt;&lt;ChapterId&gt;18950&lt;/ChapterId&gt;&lt;ChapterName&gt;Certification AccO_final accts&lt;/ChapterName&gt;&lt;ChapterNoOfPages&gt;-1&lt;/ChapterNoOfPages&gt;&lt;ChapterVersion&gt;4&lt;/ChapterVersion&gt;&lt;/ChapterMetadata&gt;"/>
    <w:docVar w:name="DM_WB_C18954_METADATA" w:val="&lt;ChapterMetadata&gt;&lt;ChapterId&gt;18954&lt;/ChapterId&gt;&lt;ChapterName&gt;Background information&lt;/ChapterName&gt;&lt;ChapterNoOfPages&gt;-1&lt;/ChapterNoOfPages&gt;&lt;ChapterVersion&gt;13&lt;/ChapterVersion&gt;&lt;/ChapterMetadata&gt;"/>
    <w:docVar w:name="DM_WB_C18958_METADATA" w:val="&lt;ChapterMetadata&gt;&lt;ChapterId&gt;18958&lt;/ChapterId&gt;&lt;ChapterName&gt;Table of Content&lt;/ChapterName&gt;&lt;ChapterNoOfPages&gt;-1&lt;/ChapterNoOfPages&gt;&lt;ChapterVersion&gt;3&lt;/ChapterVersion&gt;&lt;/ChapterMetadata&gt;"/>
    <w:docVar w:name="DM_WB_C18979_METADATA" w:val="&lt;ChapterMetadata&gt;&lt;ChapterId&gt;18979&lt;/ChapterId&gt;&lt;ChapterName&gt;Net Assets and Financial Statements by EDF&lt;/ChapterName&gt;&lt;ChapterNoOfPages&gt;-1&lt;/ChapterNoOfPages&gt;&lt;ChapterVersion&gt;63&lt;/ChapterVersion&gt;&lt;/ChapterMetadata&gt;"/>
    <w:docVar w:name="DM_WB_C18995_METADATA" w:val="&lt;ChapterMetadata&gt;&lt;ChapterId&gt;18995&lt;/ChapterId&gt;&lt;ChapterName&gt;Cover page Notes to the FS EDF&lt;/ChapterName&gt;&lt;ChapterNoOfPages&gt;-1&lt;/ChapterNoOfPages&gt;&lt;ChapterVersion&gt;5&lt;/ChapterVersion&gt;&lt;/ChapterMetadata&gt;"/>
    <w:docVar w:name="DM_WB_C18996_METADATA" w:val="&lt;ChapterMetadata&gt;&lt;ChapterId&gt;18996&lt;/ChapterId&gt;&lt;ChapterName&gt;Notes to the BS and SFP&lt;/ChapterName&gt;&lt;ChapterNoOfPages&gt;-1&lt;/ChapterNoOfPages&gt;&lt;ChapterVersion&gt;143&lt;/ChapterVersion&gt;&lt;/ChapterMetadata&gt;"/>
    <w:docVar w:name="DM_WB_C18997_METADATA" w:val="&lt;ChapterMetadata&gt;&lt;ChapterId&gt;18997&lt;/ChapterId&gt;&lt;ChapterName&gt;Currency risk&lt;/ChapterName&gt;&lt;ChapterNoOfPages&gt;-1&lt;/ChapterNoOfPages&gt;&lt;ChapterVersion&gt;51&lt;/ChapterVersion&gt;&lt;/ChapterMetadata&gt;"/>
    <w:docVar w:name="DM_WB_C18998_METADATA" w:val="&lt;ChapterMetadata&gt;&lt;ChapterId&gt;18998&lt;/ChapterId&gt;&lt;ChapterName&gt;Other risk and notes (vertical)&lt;/ChapterName&gt;&lt;ChapterNoOfPages&gt;-1&lt;/ChapterNoOfPages&gt;&lt;ChapterVersion&gt;78&lt;/ChapterVersion&gt;&lt;/ChapterMetadata&gt;"/>
    <w:docVar w:name="DM_WB_C18999_METADATA" w:val="&lt;ChapterMetadata&gt;&lt;ChapterId&gt;18999&lt;/ChapterId&gt;&lt;ChapterName&gt;Trust Funds Financial Statements&lt;/ChapterName&gt;&lt;ChapterNoOfPages&gt;-1&lt;/ChapterNoOfPages&gt;&lt;ChapterVersion&gt;62&lt;/ChapterVersion&gt;&lt;/ChapterMetadata&gt;"/>
    <w:docVar w:name="DM_WB_C19000_METADATA" w:val="&lt;ChapterMetadata&gt;&lt;ChapterId&gt;19000&lt;/ChapterId&gt;&lt;ChapterName&gt;Conso - Statements of ChNA -Horizontal&lt;/ChapterName&gt;&lt;ChapterNoOfPages&gt;-1&lt;/ChapterNoOfPages&gt;&lt;ChapterVersion&gt;46&lt;/ChapterVersion&gt;&lt;/ChapterMetadata&gt;"/>
    <w:docVar w:name="DM_WB_C19002_METADATA" w:val="&lt;ChapterMetadata&gt;&lt;ChapterId&gt;19002&lt;/ChapterId&gt;&lt;ChapterName&gt;EIB Report&lt;/ChapterName&gt;&lt;ChapterNoOfPages&gt;-1&lt;/ChapterNoOfPages&gt;&lt;ChapterVersion&gt;16&lt;/ChapterVersion&gt;&lt;/ChapterMetadata&gt;"/>
    <w:docVar w:name="DM_WB_C19005_METADATA" w:val="&lt;ChapterMetadata&gt;&lt;ChapterId&gt;19005&lt;/ChapterId&gt;&lt;ChapterName&gt;Introductory Note&lt;/ChapterName&gt;&lt;ChapterNoOfPages&gt;-1&lt;/ChapterNoOfPages&gt;&lt;ChapterVersion&gt;9&lt;/ChapterVersion&gt;&lt;/ChapterMetadata&gt;"/>
    <w:docVar w:name="DM_WB_C19006_METADATA" w:val="&lt;ChapterMetadata&gt;&lt;ChapterId&gt;19006&lt;/ChapterId&gt;&lt;ChapterName&gt;Tables 1.1-1.4 Horizontal&lt;/ChapterName&gt;&lt;ChapterNoOfPages&gt;-1&lt;/ChapterNoOfPages&gt;&lt;ChapterVersion&gt;43&lt;/ChapterVersion&gt;&lt;/ChapterMetadata&gt;"/>
    <w:docVar w:name="DM_WB_C19007_METADATA" w:val="&lt;ChapterMetadata&gt;&lt;ChapterId&gt;19007&lt;/ChapterId&gt;&lt;ChapterName&gt;Table 2.1 Vertical&lt;/ChapterName&gt;&lt;ChapterNoOfPages&gt;-1&lt;/ChapterNoOfPages&gt;&lt;ChapterVersion&gt;36&lt;/ChapterVersion&gt;&lt;/ChapterMetadata&gt;"/>
    <w:docVar w:name="DM_WB_C19008_METADATA" w:val="&lt;ChapterMetadata&gt;&lt;ChapterId&gt;19008&lt;/ChapterId&gt;&lt;ChapterName&gt;Table 2.1b Horizontal&lt;/ChapterName&gt;&lt;ChapterNoOfPages&gt;-1&lt;/ChapterNoOfPages&gt;&lt;ChapterVersion&gt;36&lt;/ChapterVersion&gt;&lt;/ChapterMetadata&gt;"/>
    <w:docVar w:name="DM_WB_C19009_METADATA" w:val="&lt;ChapterMetadata&gt;&lt;ChapterId&gt;19009&lt;/ChapterId&gt;&lt;ChapterName&gt;Table 2.2 Vertical&lt;/ChapterName&gt;&lt;ChapterNoOfPages&gt;-1&lt;/ChapterNoOfPages&gt;&lt;ChapterVersion&gt;38&lt;/ChapterVersion&gt;&lt;/ChapterMetadata&gt;"/>
    <w:docVar w:name="DM_WB_C19010_METADATA" w:val="&lt;ChapterMetadata&gt;&lt;ChapterId&gt;19010&lt;/ChapterId&gt;&lt;ChapterName&gt;Tables 2.3-2.6 Vertical&lt;/ChapterName&gt;&lt;ChapterNoOfPages&gt;-1&lt;/ChapterNoOfPages&gt;&lt;ChapterVersion&gt;41&lt;/ChapterVersion&gt;&lt;/ChapterMetadata&gt;"/>
    <w:docVar w:name="doc_tbl00011_1_1" w:val="Currency|@|1|2057"/>
    <w:docVar w:name="doc_tbl00013_1_1" w:val="EUR million|@|1|2057"/>
    <w:docVar w:name="DOC_TBL00038_1_1" w:val="|@|1|2057"/>
    <w:docVar w:name="doc_tbl00057_1_1" w:val="|@|1|2057"/>
    <w:docVar w:name="DocStatus" w:val="Green"/>
    <w:docVar w:name="LW_COVERPAGE_EXISTS" w:val="True"/>
    <w:docVar w:name="LW_COVERPAGE_GUID" w:val="9E1C75F9-DC18-4BB6-AAF2-92EF981D41FC"/>
    <w:docVar w:name="LW_COVERPAGE_TYPE" w:val="1"/>
    <w:docVar w:name="LW_CROSSREFERENCE" w:val="&lt;UNUSED&gt;"/>
    <w:docVar w:name="LW_DocType" w:val="TEMPLATE_EEAS_2014_FINAL ACCTS"/>
    <w:docVar w:name="LW_EMISSION" w:val="26.6.2020"/>
    <w:docVar w:name="LW_EMISSION_ISODATE" w:val="2020-06-26"/>
    <w:docVar w:name="LW_EMISSION_LOCATION" w:val="BRX"/>
    <w:docVar w:name="LW_EMISSION_PREFIX" w:val="Брюксел, "/>
    <w:docVar w:name="LW_EMISSION_SUFFIX" w:val=" \u1075?."/>
    <w:docVar w:name="LW_ID_DOCTYPE_NONLW" w:val="CP-040"/>
    <w:docVar w:name="LW_INTERETEEE.CP" w:val="&lt;UNUSED&gt;"/>
    <w:docVar w:name="LW_LANGUE" w:val="BG"/>
    <w:docVar w:name="LW_LANGUESFAISANTFOI.CP" w:val="&lt;UNUSED&gt;"/>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0) 29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Microsoft Sans Serif&gt;\u1043?\u1086?\u1076?\u1080?\u1096?\u1085?\u1080? \u1086?\u1090?\u1095?\u1077?\u1090?\u1080? \u1085?\u1072? \u1045?\u1074?\u1088?\u1086?\u1087?\u1077?\u1081?\u1089?\u1082?\u1080?\u1103? \u1092?\u1086?\u1085?\u1076? \u1079?\u1072? \u1088?\u1072?\u1079?\u1074?\u1080?\u1090?\u1080?\u1077? - 2019 \u1075?.&lt;/FMT&gt;"/>
    <w:docVar w:name="LW_TYPE.DOC.CP" w:val="\u1057?\u1098?\u1086?\u1073?\u1097?\u1077?\u1085?\u1080?\u1077? \u1085?\u1072? \u1050?\u1086?\u1084?\u1080?\u1089?\u1080?\u1103?\u1090?\u1072? \u1076?\u1086? \u1045?\u1074?\u1088?\u1086?\u1087?\u1077?\u1081?\u1089?\u1082?\u1080?\u1103? \u1087?\u1072?\u1088?\u1083?\u1072?\u1084?\u1077?\u1085?\u1090?, \u1057?\u1098?\u1074?\u1077?\u1090?\u1072? \u1080? \u1057?\u1084?\u1077?\u1090?\u1085?\u1072?\u1090?\u1072? \u1087?\u1072?\u1083?\u1072?\u1090?\u1072?"/>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Normal"/>
    <w:qFormat/>
    <w:pPr>
      <w:numPr>
        <w:numId w:val="4"/>
      </w:numPr>
      <w:tabs>
        <w:tab w:val="left" w:pos="907"/>
      </w:tabs>
      <w:spacing w:after="240"/>
      <w:jc w:val="both"/>
    </w:pPr>
    <w:rPr>
      <w:rFonts w:ascii="Verdana" w:hAnsi="Verdana"/>
      <w:b/>
      <w:color w:val="016794"/>
      <w:sz w:val="32"/>
      <w:szCs w:val="32"/>
    </w:r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rPr>
      <w:lang w:val="fr-BE"/>
    </w:rPr>
  </w:style>
  <w:style w:type="paragraph" w:customStyle="1" w:styleId="HEADER2PartBUDG">
    <w:name w:val="HEADER 2_Part BUDG"/>
    <w:basedOn w:val="HEADER2Part1"/>
    <w:qFormat/>
    <w:rPr>
      <w:lang w:val="fr-BE"/>
    </w:rPr>
  </w:style>
  <w:style w:type="paragraph" w:customStyle="1" w:styleId="HEADER3PartBUGD">
    <w:name w:val="HEADER 3_Part BUGD"/>
    <w:basedOn w:val="HEADER3Part1"/>
    <w:qFormat/>
    <w:rPr>
      <w:lang w:val="fr-BE"/>
    </w:rPr>
  </w:style>
  <w:style w:type="paragraph" w:customStyle="1" w:styleId="HEADER4PartBUDG">
    <w:name w:val="HEADER 4_Part BUDG"/>
    <w:basedOn w:val="HEADER4Part1"/>
    <w:qFormat/>
    <w:rPr>
      <w:lang w:val="fr-BE"/>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character" w:styleId="FootnoteReference">
    <w:name w:val="footnote reference"/>
    <w:basedOn w:val="DefaultParagraphFont"/>
    <w:uiPriority w:val="99"/>
    <w:semiHidden/>
    <w:unhideWhenUsed/>
    <w:rPr>
      <w:vertAlign w:val="superscript"/>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DMETW18949BIPAGGBS">
    <w:name w:val="DM_ETW_18949_BIP_AGGBS"/>
    <w:rPr>
      <w:rFonts w:eastAsia="Calibri"/>
    </w:rPr>
  </w:style>
  <w:style w:type="paragraph" w:customStyle="1" w:styleId="DMETW18949BIPAGGPL">
    <w:name w:val="DM_ETW_18949_BIP_AGGPL"/>
    <w:rPr>
      <w:rFonts w:eastAsia="Calibri"/>
    </w:rPr>
  </w:style>
  <w:style w:type="paragraph" w:customStyle="1" w:styleId="DMETW18949BIPAGGCF">
    <w:name w:val="DM_ETW_18949_BIP_AGGCF"/>
    <w:rPr>
      <w:rFonts w:eastAsia="Calibri"/>
    </w:rPr>
  </w:style>
  <w:style w:type="paragraph" w:customStyle="1" w:styleId="DMETW18949BIPAGGNA">
    <w:name w:val="DM_ETW_18949_BIP_AGGNA"/>
    <w:rPr>
      <w:rFonts w:eastAsia="Calibri"/>
    </w:rPr>
  </w:style>
  <w:style w:type="paragraph" w:customStyle="1" w:styleId="DMETW18983BIPBSEDF">
    <w:name w:val="DM_ETW_18983_BIP_BSEDF"/>
    <w:rPr>
      <w:rFonts w:eastAsia="Calibri"/>
    </w:rPr>
  </w:style>
  <w:style w:type="paragraph" w:customStyle="1" w:styleId="DMETW18983BIPPLEDF">
    <w:name w:val="DM_ETW_18983_BIP_PLEDF"/>
    <w:rPr>
      <w:rFonts w:eastAsia="Calibri"/>
    </w:rPr>
  </w:style>
  <w:style w:type="paragraph" w:customStyle="1" w:styleId="DMETW18983BIPCNA8">
    <w:name w:val="DM_ETW_18983_BIP_CNA8"/>
    <w:rPr>
      <w:rFonts w:eastAsia="Calibri"/>
    </w:rPr>
  </w:style>
  <w:style w:type="paragraph" w:customStyle="1" w:styleId="DMETW18983BIPCNA9">
    <w:name w:val="DM_ETW_18983_BIP_CNA9"/>
    <w:rPr>
      <w:rFonts w:eastAsia="Calibri"/>
    </w:rPr>
  </w:style>
  <w:style w:type="paragraph" w:customStyle="1" w:styleId="DMETW18983BIPCNA10">
    <w:name w:val="DM_ETW_18983_BIP_CNA10"/>
    <w:rPr>
      <w:rFonts w:eastAsia="Calibri"/>
    </w:rPr>
  </w:style>
  <w:style w:type="paragraph" w:customStyle="1" w:styleId="DMETW18983BIPCNA11">
    <w:name w:val="DM_ETW_18983_BIP_CNA11"/>
    <w:rPr>
      <w:rFonts w:eastAsia="Calibri"/>
    </w:rPr>
  </w:style>
  <w:style w:type="paragraph" w:customStyle="1" w:styleId="DMETW17185BIPCURR">
    <w:name w:val="DM_ETW_17185_BIP_CURR"/>
    <w:rPr>
      <w:rFonts w:eastAsia="Calibri"/>
    </w:rPr>
  </w:style>
  <w:style w:type="paragraph" w:customStyle="1" w:styleId="DMETW17185BIPDRCAS">
    <w:name w:val="DM_ETW_17185_BIP_DR_CAS"/>
    <w:rPr>
      <w:rFonts w:eastAsia="Calibri"/>
    </w:rPr>
  </w:style>
  <w:style w:type="paragraph" w:customStyle="1" w:styleId="DGTextstand-alone">
    <w:name w:val="DG_Text_stand-alone"/>
    <w:link w:val="DGTextstand-aloneChar"/>
    <w:pPr>
      <w:spacing w:before="240" w:after="240"/>
      <w:jc w:val="both"/>
    </w:pPr>
    <w:rPr>
      <w:rFonts w:ascii="Verdana" w:eastAsia="Calibri" w:hAnsi="Verdana"/>
      <w:noProof/>
      <w:sz w:val="18"/>
      <w:szCs w:val="18"/>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DMETW18983BIPPF">
    <w:name w:val="DM_ETW_18983_BIP_PF"/>
    <w:rPr>
      <w:rFonts w:eastAsia="Calibri"/>
    </w:rPr>
  </w:style>
  <w:style w:type="paragraph" w:customStyle="1" w:styleId="DMETW18983BIPNCPFBMM">
    <w:name w:val="DM_ETW_18983_BIP_NCPF_BMM"/>
    <w:rPr>
      <w:rFonts w:eastAsia="Calibri"/>
    </w:rPr>
  </w:style>
  <w:style w:type="paragraph" w:customStyle="1" w:styleId="DMETW18983BIPCPF">
    <w:name w:val="DM_ETW_18983_BIP_CPF"/>
    <w:rPr>
      <w:rFonts w:eastAsia="Calibri"/>
    </w:rPr>
  </w:style>
  <w:style w:type="paragraph" w:customStyle="1" w:styleId="DMETW18983BIPTFCONTR">
    <w:name w:val="DM_ETW_18983_BIP_TFCONTR"/>
    <w:rPr>
      <w:rFonts w:eastAsia="Calibri"/>
    </w:rPr>
  </w:style>
  <w:style w:type="paragraph" w:customStyle="1" w:styleId="DMETW18983BIPERNER">
    <w:name w:val="DM_ETW_18983_BIP_ERNER"/>
    <w:rPr>
      <w:rFonts w:eastAsia="Calibri"/>
    </w:rPr>
  </w:style>
  <w:style w:type="paragraph" w:customStyle="1" w:styleId="DMETW18983BIPRNET">
    <w:name w:val="DM_ETW_18983_BIP_RNET"/>
    <w:rPr>
      <w:rFonts w:eastAsia="Calibri"/>
    </w:rPr>
  </w:style>
  <w:style w:type="paragraph" w:customStyle="1" w:styleId="DMETW18983BIPRET">
    <w:name w:val="DM_ETW_18983_BIP_RET"/>
    <w:rPr>
      <w:rFonts w:eastAsia="Calibri"/>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DMETW18983BIPCASH">
    <w:name w:val="DM_ETW_18983_BIP_CASH"/>
    <w:rPr>
      <w:rFonts w:eastAsia="Calibri"/>
    </w:rPr>
  </w:style>
  <w:style w:type="paragraph" w:customStyle="1" w:styleId="DMETW18983BIPCOFINPAY">
    <w:name w:val="DM_ETW_18983_BIP_COFINPAY"/>
    <w:rPr>
      <w:rFonts w:eastAsia="Calibri"/>
    </w:rPr>
  </w:style>
  <w:style w:type="paragraph" w:customStyle="1" w:styleId="DMETW18983BIPPAY">
    <w:name w:val="DM_ETW_18983_BIP_PAY"/>
    <w:rPr>
      <w:rFonts w:eastAsia="Calibri"/>
    </w:rPr>
  </w:style>
  <w:style w:type="paragraph" w:customStyle="1" w:styleId="DMETW18983BIPCURPAY">
    <w:name w:val="DM_ETW_18983_BIP_CURPAY"/>
    <w:rPr>
      <w:rFonts w:eastAsia="Calibri"/>
    </w:rPr>
  </w:style>
  <w:style w:type="paragraph" w:customStyle="1" w:styleId="DMETW18983BIPSUNPAY">
    <w:name w:val="DM_ETW_18983_BIP_SUNPAY"/>
    <w:rPr>
      <w:rFonts w:eastAsia="Calibri"/>
    </w:rPr>
  </w:style>
  <w:style w:type="paragraph" w:customStyle="1" w:styleId="DMETW18983BIPACCDEF">
    <w:name w:val="DM_ETW_18983_BIP_ACCDEF"/>
    <w:rPr>
      <w:rFonts w:eastAsia="Calibri"/>
    </w:rPr>
  </w:style>
  <w:style w:type="paragraph" w:customStyle="1" w:styleId="DMETW18983BIPFVMAFS">
    <w:name w:val="DM_ETW_18983_BIP_FVMAFS"/>
    <w:rPr>
      <w:rFonts w:eastAsia="Calibri"/>
    </w:rPr>
  </w:style>
  <w:style w:type="paragraph" w:customStyle="1" w:styleId="DMETW18983BIPCLDFCAP">
    <w:name w:val="DM_ETW_18983_BIP_CLDFCAP"/>
    <w:rPr>
      <w:rFonts w:eastAsia="Calibri"/>
    </w:rPr>
  </w:style>
  <w:style w:type="paragraph" w:customStyle="1" w:styleId="DMETW18983BIPCLDFCAPMS11">
    <w:name w:val="DM_ETW_18983_BIP_CLDFCAP_MS11"/>
    <w:rPr>
      <w:rFonts w:eastAsia="Calibri"/>
    </w:rPr>
  </w:style>
  <w:style w:type="paragraph" w:customStyle="1" w:styleId="DMETW18983BIPCLDFCAPTFTCLS">
    <w:name w:val="DM_ETW_18983_BIP_CLDFCAP_TFT_CLS"/>
    <w:rPr>
      <w:rFonts w:eastAsia="Calibri"/>
    </w:rPr>
  </w:style>
  <w:style w:type="paragraph" w:customStyle="1" w:styleId="DMETW18983BIPCLDFCAPTFTACT">
    <w:name w:val="DM_ETW_18983_BIP_CLDFCAP_TFT_ACT"/>
    <w:rPr>
      <w:rFonts w:eastAsia="Calibri"/>
    </w:rPr>
  </w:style>
  <w:style w:type="paragraph" w:customStyle="1" w:styleId="DMETW18983BIPREV">
    <w:name w:val="DM_ETW_18983_BIP_REV"/>
    <w:rPr>
      <w:rFonts w:eastAsia="Calibri"/>
    </w:rPr>
  </w:style>
  <w:style w:type="paragraph" w:customStyle="1" w:styleId="DMETW18983BIPNEXREV">
    <w:name w:val="DM_ETW_18983_BIP_NEXREV"/>
    <w:rPr>
      <w:rFonts w:eastAsia="Calibri"/>
    </w:rPr>
  </w:style>
  <w:style w:type="paragraph" w:customStyle="1" w:styleId="DMETW18983BIPNEXREVBMM">
    <w:name w:val="DM_ETW_18983_BIP_NEXREV_BMM"/>
    <w:rPr>
      <w:rFonts w:eastAsia="Calibri"/>
    </w:rPr>
  </w:style>
  <w:style w:type="paragraph" w:customStyle="1" w:styleId="DMETW18983BIPEXREV">
    <w:name w:val="DM_ETW_18983_BIP_EXREV"/>
    <w:rPr>
      <w:rFonts w:eastAsia="Calibri"/>
    </w:rPr>
  </w:style>
  <w:style w:type="paragraph" w:customStyle="1" w:styleId="DMETW18983BIPOPEAID">
    <w:name w:val="DM_ETW_18983_BIP_OPE_AID"/>
    <w:rPr>
      <w:rFonts w:eastAsia="Calibri"/>
    </w:rPr>
  </w:style>
  <w:style w:type="paragraph" w:customStyle="1" w:styleId="DMETW18983BIPOPECOFI">
    <w:name w:val="DM_ETW_18983_BIP_OPE_COFI"/>
    <w:rPr>
      <w:rFonts w:eastAsia="Calibri"/>
    </w:rPr>
  </w:style>
  <w:style w:type="paragraph" w:customStyle="1" w:styleId="DMETW18983BIPOPEBMM">
    <w:name w:val="DM_ETW_18983_BIP_OPE_BMM"/>
    <w:rPr>
      <w:rFonts w:eastAsia="Calibri"/>
    </w:rPr>
  </w:style>
  <w:style w:type="paragraph" w:customStyle="1" w:styleId="DMETW18983BIPFINCOST">
    <w:name w:val="DM_ETW_18983_BIP_FINCOST"/>
    <w:rPr>
      <w:rFonts w:eastAsia="Calibri"/>
    </w:rPr>
  </w:style>
  <w:style w:type="paragraph" w:customStyle="1" w:styleId="DMETW18983BIPOTHEXP">
    <w:name w:val="DM_ETW_18983_BIP_OTHEXP"/>
    <w:rPr>
      <w:rFonts w:eastAsia="Calibri"/>
    </w:rPr>
  </w:style>
  <w:style w:type="paragraph" w:customStyle="1" w:styleId="DMETW18983BIPCONTGASSTS">
    <w:name w:val="DM_ETW_18983_BIP_CONTGASSTS"/>
    <w:rPr>
      <w:rFonts w:eastAsia="Calibri"/>
    </w:rPr>
  </w:style>
  <w:style w:type="paragraph" w:customStyle="1" w:styleId="DMETW18983BIPOCNYE">
    <w:name w:val="DM_ETW_18983_BIP_OCNYE"/>
    <w:rPr>
      <w:rFonts w:eastAsia="Calibri"/>
    </w:rPr>
  </w:style>
  <w:style w:type="paragraph" w:customStyle="1" w:styleId="DMETW19001BIPCR">
    <w:name w:val="DM_ETW_19001_BIP_CR"/>
    <w:rPr>
      <w:rFonts w:eastAsia="Calibri"/>
    </w:rPr>
  </w:style>
  <w:style w:type="paragraph" w:customStyle="1" w:styleId="DMETW19001BIPCDTR">
    <w:name w:val="DM_ETW_19001_BIP_CDTR"/>
    <w:rPr>
      <w:rFonts w:eastAsia="Calibri"/>
    </w:rPr>
  </w:style>
  <w:style w:type="paragraph" w:customStyle="1" w:styleId="DMETW19001BIPFARC">
    <w:name w:val="DM_ETW_19001_BIP_FARC"/>
    <w:rPr>
      <w:rFonts w:eastAsia="Calibri"/>
    </w:rPr>
  </w:style>
  <w:style w:type="paragraph" w:customStyle="1" w:styleId="DMETW19001BIPLR">
    <w:name w:val="DM_ETW_19001_BIP_LR"/>
    <w:rPr>
      <w:rFonts w:eastAsia="Calibri"/>
    </w:rPr>
  </w:style>
  <w:style w:type="paragraph" w:customStyle="1" w:styleId="DMETW19001BIPECRBDGR">
    <w:name w:val="DM_ETW_19001_BIP_ECRBDGR"/>
    <w:rPr>
      <w:rFonts w:eastAsia="Calibri"/>
    </w:rPr>
  </w:style>
  <w:style w:type="paragraph" w:customStyle="1" w:styleId="DMETW18319BIPBS">
    <w:name w:val="DM_ETW_18319_BIP_BS"/>
    <w:rPr>
      <w:rFonts w:eastAsia="Calibri"/>
    </w:rPr>
  </w:style>
  <w:style w:type="paragraph" w:customStyle="1" w:styleId="DMETW18319BIPFP">
    <w:name w:val="DM_ETW_18319_BIP_FP"/>
    <w:rPr>
      <w:rFonts w:eastAsia="Calibri"/>
    </w:rPr>
  </w:style>
  <w:style w:type="paragraph" w:customStyle="1" w:styleId="DMETW18319BIPCF">
    <w:name w:val="DM_ETW_18319_BIP_CF"/>
    <w:rPr>
      <w:rFonts w:eastAsia="Calibri"/>
    </w:rPr>
  </w:style>
  <w:style w:type="paragraph" w:customStyle="1" w:styleId="DMETW17933BIPBS">
    <w:name w:val="DM_ETW_17933_BIP_BS"/>
    <w:rPr>
      <w:rFonts w:eastAsia="Calibri"/>
    </w:rPr>
  </w:style>
  <w:style w:type="paragraph" w:customStyle="1" w:styleId="DMETW17933BIPFP">
    <w:name w:val="DM_ETW_17933_BIP_FP"/>
    <w:rPr>
      <w:rFonts w:eastAsia="Calibri"/>
    </w:rPr>
  </w:style>
  <w:style w:type="paragraph" w:customStyle="1" w:styleId="DMETW17933BIPCF">
    <w:name w:val="DM_ETW_17933_BIP_CF"/>
    <w:rPr>
      <w:rFonts w:eastAsia="Calibri"/>
    </w:rPr>
  </w:style>
  <w:style w:type="paragraph" w:customStyle="1" w:styleId="DMETW18992BIPCONSBS">
    <w:name w:val="DM_ETW_18992_BIP_CONSBS"/>
    <w:rPr>
      <w:rFonts w:eastAsia="Calibri"/>
    </w:rPr>
  </w:style>
  <w:style w:type="paragraph" w:customStyle="1" w:styleId="DMETW18992BIPCONSPL">
    <w:name w:val="DM_ETW_18992_BIP_CONSPL"/>
    <w:rPr>
      <w:rFonts w:eastAsia="Calibri"/>
    </w:rPr>
  </w:style>
  <w:style w:type="paragraph" w:customStyle="1" w:styleId="DMETW18992BIPCONSCF">
    <w:name w:val="DM_ETW_18992_BIP_CONSCF"/>
    <w:rPr>
      <w:rFonts w:eastAsia="Calibri"/>
    </w:rPr>
  </w:style>
  <w:style w:type="paragraph" w:customStyle="1" w:styleId="DMETW18992BIPCONSNA">
    <w:name w:val="DM_ETW_18992_BIP_CONSNA"/>
    <w:rPr>
      <w:rFonts w:eastAsia="Calibri"/>
    </w:rPr>
  </w:style>
  <w:style w:type="paragraph" w:customStyle="1" w:styleId="HEADERTITLE0">
    <w:name w:val="HEADER_TITLE_0"/>
    <w:basedOn w:val="HEADERTITLE"/>
    <w:qFormat/>
    <w:pPr>
      <w:jc w:val="both"/>
    </w:pPr>
  </w:style>
  <w:style w:type="paragraph" w:customStyle="1" w:styleId="ListBullet1">
    <w:name w:val="List Bullet 1"/>
    <w:basedOn w:val="Normal"/>
    <w:pPr>
      <w:numPr>
        <w:numId w:val="21"/>
      </w:numPr>
      <w:spacing w:before="120" w:after="120"/>
      <w:jc w:val="both"/>
    </w:pPr>
    <w:rPr>
      <w:lang w:eastAsia="de-DE"/>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ListDash">
    <w:name w:val="List Dash"/>
    <w:basedOn w:val="Normal"/>
    <w:pPr>
      <w:numPr>
        <w:numId w:val="23"/>
      </w:numPr>
      <w:spacing w:before="120" w:after="120"/>
      <w:jc w:val="both"/>
    </w:pPr>
    <w:rPr>
      <w:lang w:eastAsia="de-DE"/>
    </w:rPr>
  </w:style>
  <w:style w:type="paragraph" w:customStyle="1" w:styleId="DMETW19004BIPTable11">
    <w:name w:val="DM_ETW_19004_BIP_Table1.1"/>
    <w:rPr>
      <w:rFonts w:eastAsia="Calibri"/>
    </w:rPr>
  </w:style>
  <w:style w:type="paragraph" w:customStyle="1" w:styleId="DMETW19004BIPTable12">
    <w:name w:val="DM_ETW_19004_BIP_Table_1.2"/>
    <w:rPr>
      <w:rFonts w:eastAsia="Calibri"/>
    </w:rPr>
  </w:style>
  <w:style w:type="paragraph" w:customStyle="1" w:styleId="DMETW19004BIPTable13">
    <w:name w:val="DM_ETW_19004_BIP_Table_1.3"/>
    <w:rPr>
      <w:rFonts w:eastAsia="Calibri"/>
    </w:rPr>
  </w:style>
  <w:style w:type="paragraph" w:customStyle="1" w:styleId="DMETW19004BIPTable14">
    <w:name w:val="DM_ETW_19004_BIP_Table_1.4"/>
    <w:rPr>
      <w:rFonts w:eastAsia="Calibri"/>
    </w:rPr>
  </w:style>
  <w:style w:type="paragraph" w:customStyle="1" w:styleId="DMETW19004BIPTable21a">
    <w:name w:val="DM_ETW_19004_BIP_Table_2.1a"/>
    <w:rPr>
      <w:rFonts w:eastAsia="Calibri"/>
    </w:rPr>
  </w:style>
  <w:style w:type="paragraph" w:customStyle="1" w:styleId="DMETW19004BIPTable21b">
    <w:name w:val="DM_ETW_19004_BIP_Table_2.1b"/>
    <w:rPr>
      <w:rFonts w:eastAsia="Calibri"/>
    </w:rPr>
  </w:style>
  <w:style w:type="paragraph" w:customStyle="1" w:styleId="DMETW19004BIPTable22">
    <w:name w:val="DM_ETW_19004_BIP_Table_2.2"/>
    <w:rPr>
      <w:rFonts w:eastAsia="Calibri"/>
    </w:rPr>
  </w:style>
  <w:style w:type="paragraph" w:customStyle="1" w:styleId="DMETW19004BIPTable23">
    <w:name w:val="DM_ETW_19004_BIP_Table_2.3"/>
    <w:rPr>
      <w:rFonts w:eastAsia="Calibri"/>
    </w:rPr>
  </w:style>
  <w:style w:type="paragraph" w:customStyle="1" w:styleId="DMETW19004BIPTable24">
    <w:name w:val="DM_ETW_19004_BIP_Table_2.4"/>
    <w:rPr>
      <w:rFonts w:eastAsia="Calibri"/>
    </w:rPr>
  </w:style>
  <w:style w:type="paragraph" w:customStyle="1" w:styleId="DMETW19004BIPTable25">
    <w:name w:val="DM_ETW_19004_BIP_Table_2.5"/>
    <w:rPr>
      <w:rFonts w:eastAsia="Calibri"/>
    </w:rPr>
  </w:style>
  <w:style w:type="paragraph" w:customStyle="1" w:styleId="DMETW19004BIPTable26">
    <w:name w:val="DM_ETW_19004_BIP_Table_2.6"/>
    <w:rPr>
      <w:rFonts w:eastAsia="Calibri"/>
    </w:rPr>
  </w:style>
  <w:style w:type="paragraph" w:customStyle="1" w:styleId="Normal20">
    <w:name w:val="Normal_2_0"/>
    <w:qFormat/>
    <w:rPr>
      <w:rFonts w:ascii="Times New Roman" w:hAnsi="Times New Roman"/>
    </w:rPr>
  </w:style>
  <w:style w:type="paragraph" w:customStyle="1" w:styleId="Header10">
    <w:name w:val="Header_1_0"/>
    <w:basedOn w:val="Normal20"/>
    <w:link w:val="HeaderChar10"/>
    <w:uiPriority w:val="99"/>
    <w:unhideWhenUsed/>
    <w:pPr>
      <w:tabs>
        <w:tab w:val="center" w:pos="4680"/>
        <w:tab w:val="right" w:pos="9360"/>
      </w:tabs>
    </w:pPr>
    <w:rPr>
      <w:rFonts w:ascii="Calibri" w:eastAsia="Calibri" w:hAnsi="Calibri" w:cs="Arial"/>
      <w:lang w:val="en-US" w:eastAsia="en-US"/>
    </w:rPr>
  </w:style>
  <w:style w:type="character" w:customStyle="1" w:styleId="HeaderChar10">
    <w:name w:val="Header Char_1_0"/>
    <w:basedOn w:val="DefaultParagraphFont"/>
    <w:link w:val="Header10"/>
    <w:uiPriority w:val="99"/>
    <w:rPr>
      <w:rFonts w:eastAsia="Calibri" w:cs="Arial"/>
      <w:lang w:val="en-US" w:eastAsia="en-US"/>
    </w:rPr>
  </w:style>
  <w:style w:type="paragraph" w:customStyle="1" w:styleId="Normal41">
    <w:name w:val="Normal_4_1"/>
    <w:qFormat/>
    <w:rPr>
      <w:rFonts w:eastAsia="Calibri" w:cs="Arial"/>
      <w:lang w:val="en-US" w:eastAsia="en-US"/>
    </w:rPr>
  </w:style>
  <w:style w:type="paragraph" w:customStyle="1" w:styleId="Normal76">
    <w:name w:val="Normal_76"/>
    <w:qFormat/>
    <w:rPr>
      <w:rFonts w:ascii="Times New Roman" w:hAnsi="Times New Roman"/>
      <w:sz w:val="24"/>
      <w:szCs w:val="24"/>
    </w:rPr>
  </w:style>
  <w:style w:type="paragraph" w:customStyle="1" w:styleId="Normal0">
    <w:name w:val="Normal_0"/>
    <w:qFormat/>
    <w:pPr>
      <w:suppressAutoHyphens/>
    </w:pPr>
    <w:rPr>
      <w:rFonts w:ascii="Times New Roman" w:hAnsi="Times New Roman"/>
      <w:sz w:val="24"/>
      <w:szCs w:val="24"/>
      <w:lang w:eastAsia="ar-SA"/>
    </w:rPr>
  </w:style>
  <w:style w:type="paragraph" w:customStyle="1" w:styleId="Textstand-alonenumberingLetters0">
    <w:name w:val="Text_stand-alone_(numbering Letters)_0"/>
    <w:basedOn w:val="Normal"/>
    <w:qFormat/>
    <w:pPr>
      <w:numPr>
        <w:numId w:val="24"/>
      </w:numPr>
      <w:spacing w:after="240"/>
    </w:pPr>
    <w:rPr>
      <w:rFonts w:ascii="Verdana" w:hAnsi="Verdana"/>
      <w:sz w:val="18"/>
      <w:szCs w:val="18"/>
    </w:rPr>
  </w:style>
  <w:style w:type="paragraph" w:customStyle="1" w:styleId="Normal8">
    <w:name w:val="Normal_8"/>
    <w:qFormat/>
    <w:pPr>
      <w:suppressAutoHyphens/>
    </w:pPr>
    <w:rPr>
      <w:rFonts w:ascii="Times New Roman" w:hAnsi="Times New Roman"/>
      <w:sz w:val="24"/>
      <w:szCs w:val="24"/>
      <w:lang w:eastAsia="ar-SA"/>
    </w:rPr>
  </w:style>
  <w:style w:type="table" w:customStyle="1" w:styleId="CDMRange1">
    <w:name w:val="CDM Range 1"/>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
    <w:name w:val="CDM Range 2"/>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0">
    <w:name w:val="CDM Range 1_0"/>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0">
    <w:name w:val="CDM Range 2_0"/>
    <w:basedOn w:val="TableNormal"/>
    <w:next w:val="TableNormal"/>
    <w:semiHidden/>
    <w:rPr>
      <w:rFonts w:ascii="Times New Roman" w:hAnsi="Times New Roman"/>
    </w:rPr>
    <w:tblPr/>
  </w:style>
  <w:style w:type="paragraph" w:customStyle="1" w:styleId="Header0">
    <w:name w:val="Header_0"/>
    <w:basedOn w:val="Normal0"/>
    <w:link w:val="HeaderChar0"/>
    <w:uiPriority w:val="99"/>
    <w:pPr>
      <w:tabs>
        <w:tab w:val="center" w:pos="4153"/>
        <w:tab w:val="right" w:pos="8306"/>
      </w:tabs>
    </w:p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lang w:val="en-GB"/>
    </w:rPr>
  </w:style>
  <w:style w:type="character" w:customStyle="1" w:styleId="NotesChar0">
    <w:name w:val="Notes Char_0"/>
    <w:link w:val="Notes0"/>
    <w:rPr>
      <w:rFonts w:ascii="Arial" w:hAnsi="Arial"/>
      <w:b/>
      <w:szCs w:val="24"/>
      <w:lang w:val="en-US" w:eastAsia="ar-SA"/>
    </w:rPr>
  </w:style>
  <w:style w:type="paragraph" w:customStyle="1" w:styleId="Title10">
    <w:name w:val="Title 1_0"/>
    <w:basedOn w:val="Notes0"/>
    <w:pPr>
      <w:spacing w:before="0" w:after="0"/>
    </w:pPr>
  </w:style>
  <w:style w:type="paragraph" w:customStyle="1" w:styleId="Normal3">
    <w:name w:val="Normal_3"/>
    <w:qFormat/>
    <w:pPr>
      <w:suppressAutoHyphens/>
    </w:pPr>
    <w:rPr>
      <w:rFonts w:ascii="Times New Roman" w:hAnsi="Times New Roman"/>
      <w:sz w:val="24"/>
      <w:szCs w:val="24"/>
      <w:lang w:eastAsia="ar-SA"/>
    </w:rPr>
  </w:style>
  <w:style w:type="paragraph" w:customStyle="1" w:styleId="Header2">
    <w:name w:val="Header_2"/>
    <w:basedOn w:val="Normal3"/>
    <w:link w:val="HeaderChar2"/>
    <w:pPr>
      <w:tabs>
        <w:tab w:val="center" w:pos="4153"/>
        <w:tab w:val="right" w:pos="8306"/>
      </w:tabs>
    </w:pPr>
  </w:style>
  <w:style w:type="character" w:customStyle="1" w:styleId="HeaderChar2">
    <w:name w:val="Header Char_2"/>
    <w:link w:val="Header2"/>
    <w:rPr>
      <w:rFonts w:ascii="Times New Roman" w:hAnsi="Times New Roman"/>
      <w:sz w:val="24"/>
      <w:szCs w:val="24"/>
      <w:lang w:eastAsia="ar-SA"/>
    </w:rPr>
  </w:style>
  <w:style w:type="paragraph" w:customStyle="1" w:styleId="Notes2">
    <w:name w:val="Notes_2"/>
    <w:basedOn w:val="Header2"/>
    <w:link w:val="NotesChar2"/>
    <w:pPr>
      <w:numPr>
        <w:numId w:val="2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lang w:val="en-GB"/>
    </w:rPr>
  </w:style>
  <w:style w:type="character" w:customStyle="1" w:styleId="NotesChar2">
    <w:name w:val="Notes Char_2"/>
    <w:link w:val="Notes2"/>
    <w:rPr>
      <w:rFonts w:ascii="Arial" w:hAnsi="Arial"/>
      <w:b/>
      <w:szCs w:val="24"/>
      <w:lang w:val="en-US" w:eastAsia="ar-SA"/>
    </w:rPr>
  </w:style>
  <w:style w:type="paragraph" w:customStyle="1" w:styleId="Normal2">
    <w:name w:val="Normal_2"/>
    <w:qFormat/>
    <w:pPr>
      <w:suppressAutoHyphens/>
    </w:pPr>
    <w:rPr>
      <w:rFonts w:ascii="Times New Roman" w:hAnsi="Times New Roman"/>
      <w:sz w:val="24"/>
      <w:szCs w:val="24"/>
      <w:lang w:eastAsia="ar-SA"/>
    </w:rPr>
  </w:style>
  <w:style w:type="paragraph" w:customStyle="1" w:styleId="Header1">
    <w:name w:val="Header_1"/>
    <w:basedOn w:val="Normal2"/>
    <w:link w:val="HeaderChar1"/>
    <w:uiPriority w:val="99"/>
    <w:pPr>
      <w:tabs>
        <w:tab w:val="center" w:pos="4153"/>
        <w:tab w:val="right" w:pos="8306"/>
      </w:tabs>
    </w:pPr>
  </w:style>
  <w:style w:type="character" w:customStyle="1" w:styleId="HeaderChar1">
    <w:name w:val="Header Char_1"/>
    <w:link w:val="Header1"/>
    <w:uiPriority w:val="99"/>
    <w:rPr>
      <w:rFonts w:ascii="Times New Roman" w:hAnsi="Times New Roman"/>
      <w:sz w:val="24"/>
      <w:szCs w:val="24"/>
      <w:lang w:eastAsia="ar-SA"/>
    </w:rPr>
  </w:style>
  <w:style w:type="paragraph" w:customStyle="1" w:styleId="Notes1">
    <w:name w:val="Notes_1"/>
    <w:basedOn w:val="Header1"/>
    <w:link w:val="NotesChar1"/>
    <w:pPr>
      <w:numPr>
        <w:numId w:val="2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lang w:val="en-GB"/>
    </w:rPr>
  </w:style>
  <w:style w:type="character" w:customStyle="1" w:styleId="NotesChar1">
    <w:name w:val="Notes Char_1"/>
    <w:link w:val="Notes1"/>
    <w:locked/>
    <w:rPr>
      <w:rFonts w:ascii="Arial" w:hAnsi="Arial"/>
      <w:b/>
      <w:szCs w:val="24"/>
      <w:lang w:val="en-US" w:eastAsia="ar-SA"/>
    </w:rPr>
  </w:style>
  <w:style w:type="paragraph" w:customStyle="1" w:styleId="Title116">
    <w:name w:val="Title 1_1"/>
    <w:basedOn w:val="Notes1"/>
    <w:pPr>
      <w:spacing w:before="0" w:after="0"/>
    </w:pPr>
  </w:style>
  <w:style w:type="paragraph" w:customStyle="1" w:styleId="Normal77">
    <w:name w:val="Normal_77"/>
    <w:qFormat/>
    <w:rPr>
      <w:rFonts w:ascii="Times New Roman" w:hAnsi="Times New Roman"/>
      <w:sz w:val="24"/>
      <w:szCs w:val="24"/>
    </w:r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
    <w:name w:val="Normal_1_0_0"/>
    <w:qFormat/>
    <w:pPr>
      <w:spacing w:line="190" w:lineRule="atLeast"/>
      <w:jc w:val="both"/>
    </w:pPr>
    <w:rPr>
      <w:rFonts w:ascii="Arial" w:hAnsi="Arial"/>
      <w:sz w:val="15"/>
      <w:szCs w:val="24"/>
    </w:rPr>
  </w:style>
  <w:style w:type="paragraph" w:customStyle="1" w:styleId="Normal900">
    <w:name w:val="Normal_9_0_0"/>
    <w:qFormat/>
    <w:pPr>
      <w:spacing w:line="190" w:lineRule="atLeast"/>
      <w:jc w:val="both"/>
    </w:pPr>
    <w:rPr>
      <w:rFonts w:ascii="Arial" w:hAnsi="Arial"/>
      <w:sz w:val="15"/>
      <w:szCs w:val="24"/>
    </w:rPr>
  </w:style>
  <w:style w:type="paragraph" w:customStyle="1" w:styleId="Normal400">
    <w:name w:val="Normal_4_0_0"/>
    <w:qFormat/>
    <w:rPr>
      <w:rFonts w:eastAsia="Calibri" w:cs="Arial"/>
      <w:lang w:val="en-US" w:eastAsia="en-US"/>
    </w:rPr>
  </w:style>
  <w:style w:type="paragraph" w:customStyle="1" w:styleId="Normal901">
    <w:name w:val="Normal_9_0_1"/>
    <w:qFormat/>
    <w:pPr>
      <w:suppressAutoHyphens/>
    </w:pPr>
    <w:rPr>
      <w:rFonts w:ascii="Times New Roman" w:hAnsi="Times New Roman"/>
      <w:sz w:val="24"/>
      <w:szCs w:val="24"/>
      <w:lang w:eastAsia="ar-SA"/>
    </w:rPr>
  </w:style>
  <w:style w:type="paragraph" w:customStyle="1" w:styleId="Title1110">
    <w:name w:val="Title 1.1.1_0"/>
    <w:basedOn w:val="Notes1"/>
    <w:link w:val="Title111Char0"/>
    <w:pPr>
      <w:numPr>
        <w:ilvl w:val="2"/>
        <w:numId w:val="38"/>
      </w:numPr>
      <w:tabs>
        <w:tab w:val="clear" w:pos="4320"/>
        <w:tab w:val="clear" w:pos="8640"/>
        <w:tab w:val="right" w:pos="-2700"/>
      </w:tabs>
      <w:spacing w:before="0" w:after="0"/>
    </w:pPr>
    <w:rPr>
      <w:b w:val="0"/>
      <w:szCs w:val="20"/>
      <w:lang w:val="en-GB"/>
    </w:rPr>
  </w:style>
  <w:style w:type="character" w:customStyle="1" w:styleId="Title111Char0">
    <w:name w:val="Title 1.1.1 Char_0"/>
    <w:link w:val="Title1110"/>
    <w:rPr>
      <w:rFonts w:ascii="Arial" w:hAnsi="Arial"/>
      <w:lang w:eastAsia="ar-SA"/>
    </w:rPr>
  </w:style>
  <w:style w:type="paragraph" w:customStyle="1" w:styleId="Normal910">
    <w:name w:val="Normal_9_1_0"/>
    <w:qFormat/>
    <w:pPr>
      <w:spacing w:line="190" w:lineRule="atLeast"/>
      <w:jc w:val="both"/>
    </w:pPr>
    <w:rPr>
      <w:rFonts w:ascii="Arial" w:hAnsi="Arial"/>
      <w:sz w:val="15"/>
      <w:szCs w:val="24"/>
    </w:rPr>
  </w:style>
  <w:style w:type="paragraph" w:customStyle="1" w:styleId="Normal1000">
    <w:name w:val="Normal_10_0"/>
    <w:qFormat/>
    <w:pPr>
      <w:suppressAutoHyphens/>
    </w:pPr>
    <w:rPr>
      <w:rFonts w:ascii="Times New Roman" w:hAnsi="Times New Roman"/>
      <w:sz w:val="24"/>
      <w:szCs w:val="24"/>
      <w:lang w:eastAsia="ar-SA"/>
    </w:rPr>
  </w:style>
  <w:style w:type="paragraph" w:customStyle="1" w:styleId="Notes10">
    <w:name w:val="Notes_1_0"/>
    <w:basedOn w:val="Normal77"/>
    <w:link w:val="NotesChar10"/>
    <w:pPr>
      <w:numPr>
        <w:numId w:val="44"/>
      </w:numPr>
      <w:tabs>
        <w:tab w:val="center" w:pos="4320"/>
        <w:tab w:val="right" w:pos="8640"/>
      </w:tabs>
      <w:spacing w:before="120" w:after="120"/>
      <w:jc w:val="both"/>
    </w:pPr>
    <w:rPr>
      <w:rFonts w:ascii="Arial" w:hAnsi="Arial"/>
      <w:b/>
      <w:sz w:val="20"/>
      <w:lang w:val="en-US"/>
    </w:rPr>
  </w:style>
  <w:style w:type="character" w:customStyle="1" w:styleId="NotesChar10">
    <w:name w:val="Notes Char_1_0"/>
    <w:link w:val="Notes10"/>
    <w:locked/>
    <w:rPr>
      <w:rFonts w:ascii="Arial" w:hAnsi="Arial"/>
      <w:b/>
      <w:szCs w:val="24"/>
      <w:lang w:val="en-US"/>
    </w:rPr>
  </w:style>
  <w:style w:type="paragraph" w:customStyle="1" w:styleId="ListParagraph0">
    <w:name w:val="List Paragraph_0"/>
    <w:basedOn w:val="Normal2"/>
    <w:uiPriority w:val="34"/>
    <w:qFormat/>
    <w:pPr>
      <w:ind w:left="720"/>
      <w:contextualSpacing/>
    </w:pPr>
  </w:style>
  <w:style w:type="paragraph" w:customStyle="1" w:styleId="Normal160">
    <w:name w:val="Normal_16_0"/>
    <w:qFormat/>
    <w:rPr>
      <w:rFonts w:ascii="Times New Roman" w:hAnsi="Times New Roman"/>
      <w:sz w:val="24"/>
      <w:szCs w:val="24"/>
    </w:rPr>
  </w:style>
  <w:style w:type="paragraph" w:customStyle="1" w:styleId="Default0">
    <w:name w:val="Default_0"/>
    <w:pPr>
      <w:autoSpaceDE w:val="0"/>
      <w:autoSpaceDN w:val="0"/>
      <w:adjustRightInd w:val="0"/>
    </w:pPr>
    <w:rPr>
      <w:rFonts w:ascii="Arial" w:eastAsia="Calibri" w:hAnsi="Arial" w:cs="Arial"/>
      <w:color w:val="000000"/>
      <w:sz w:val="24"/>
      <w:szCs w:val="24"/>
      <w:lang w:eastAsia="en-US"/>
    </w:rPr>
  </w:style>
  <w:style w:type="paragraph" w:customStyle="1" w:styleId="xx0">
    <w:name w:val="xx_0"/>
    <w:basedOn w:val="Normal2"/>
    <w:pPr>
      <w:jc w:val="both"/>
    </w:pPr>
    <w:rPr>
      <w:rFonts w:ascii="Univers (WN)" w:hAnsi="Univers (WN)"/>
      <w:sz w:val="20"/>
      <w:szCs w:val="20"/>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paragraph" w:customStyle="1" w:styleId="Notes5">
    <w:name w:val="Notes_5"/>
    <w:basedOn w:val="Header50"/>
    <w:link w:val="NotesChar5"/>
    <w:pPr>
      <w:numPr>
        <w:numId w:val="5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lang w:val="en-GB"/>
    </w:rPr>
  </w:style>
  <w:style w:type="character" w:customStyle="1" w:styleId="NotesChar5">
    <w:name w:val="Notes Char_5"/>
    <w:link w:val="Notes5"/>
    <w:rPr>
      <w:rFonts w:ascii="Arial" w:hAnsi="Arial"/>
      <w:b/>
      <w:szCs w:val="24"/>
      <w:lang w:val="en-US" w:eastAsia="ar-SA"/>
    </w:rPr>
  </w:style>
  <w:style w:type="paragraph" w:customStyle="1" w:styleId="Title12">
    <w:name w:val="Title 1_2"/>
    <w:basedOn w:val="Notes2"/>
    <w:pPr>
      <w:spacing w:before="0" w:after="0"/>
    </w:pPr>
  </w:style>
  <w:style w:type="paragraph" w:customStyle="1" w:styleId="Normal78">
    <w:name w:val="Normal_78"/>
    <w:qFormat/>
    <w:rPr>
      <w:rFonts w:ascii="Times New Roman" w:hAnsi="Times New Roman"/>
      <w:sz w:val="24"/>
      <w:szCs w:val="24"/>
    </w:rPr>
  </w:style>
  <w:style w:type="paragraph" w:customStyle="1" w:styleId="Normal79">
    <w:name w:val="Normal_79"/>
    <w:qFormat/>
    <w:rPr>
      <w:rFonts w:ascii="Times New Roman" w:hAnsi="Times New Roman"/>
      <w:sz w:val="24"/>
      <w:szCs w:val="24"/>
    </w:rPr>
  </w:style>
  <w:style w:type="paragraph" w:customStyle="1" w:styleId="Title321">
    <w:name w:val="Title 3.2.1."/>
    <w:basedOn w:val="Notes5"/>
    <w:pPr>
      <w:numPr>
        <w:ilvl w:val="2"/>
        <w:numId w:val="56"/>
      </w:numPr>
      <w:tabs>
        <w:tab w:val="clear" w:pos="4320"/>
        <w:tab w:val="clear" w:pos="8640"/>
        <w:tab w:val="right" w:pos="-2700"/>
      </w:tabs>
      <w:spacing w:before="240"/>
    </w:pPr>
    <w:rPr>
      <w:szCs w:val="20"/>
      <w:lang w:val="en-GB"/>
    </w:rPr>
  </w:style>
  <w:style w:type="paragraph" w:customStyle="1" w:styleId="Normal9">
    <w:name w:val="Normal_9"/>
    <w:qFormat/>
    <w:pPr>
      <w:suppressAutoHyphens/>
    </w:pPr>
    <w:rPr>
      <w:rFonts w:ascii="Times New Roman" w:hAnsi="Times New Roman"/>
      <w:sz w:val="24"/>
      <w:szCs w:val="24"/>
      <w:lang w:eastAsia="ar-SA"/>
    </w:rPr>
  </w:style>
  <w:style w:type="paragraph" w:customStyle="1" w:styleId="Header7">
    <w:name w:val="Header_7"/>
    <w:basedOn w:val="Normal9"/>
    <w:link w:val="HeaderChar7"/>
    <w:pPr>
      <w:tabs>
        <w:tab w:val="center" w:pos="4153"/>
        <w:tab w:val="right" w:pos="8306"/>
      </w:tabs>
    </w:pPr>
  </w:style>
  <w:style w:type="character" w:customStyle="1" w:styleId="HeaderChar7">
    <w:name w:val="Header Char_7"/>
    <w:link w:val="Header7"/>
    <w:rPr>
      <w:rFonts w:ascii="Times New Roman" w:hAnsi="Times New Roman"/>
      <w:sz w:val="24"/>
      <w:szCs w:val="24"/>
      <w:lang w:eastAsia="ar-SA"/>
    </w:rPr>
  </w:style>
  <w:style w:type="paragraph" w:customStyle="1" w:styleId="Notes7">
    <w:name w:val="Notes_7"/>
    <w:basedOn w:val="Header7"/>
    <w:link w:val="NotesChar7"/>
    <w:pPr>
      <w:numPr>
        <w:numId w:val="5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lang w:val="en-GB"/>
    </w:rPr>
  </w:style>
  <w:style w:type="character" w:customStyle="1" w:styleId="NotesChar7">
    <w:name w:val="Notes Char_7"/>
    <w:link w:val="Notes7"/>
    <w:rPr>
      <w:rFonts w:ascii="Arial" w:hAnsi="Arial"/>
      <w:b/>
      <w:szCs w:val="24"/>
      <w:lang w:val="en-US" w:eastAsia="ar-SA"/>
    </w:rPr>
  </w:style>
  <w:style w:type="paragraph" w:customStyle="1" w:styleId="Normal80">
    <w:name w:val="Normal_80"/>
    <w:qFormat/>
    <w:rPr>
      <w:rFonts w:ascii="Times New Roman" w:hAnsi="Times New Roman"/>
      <w:sz w:val="24"/>
      <w:szCs w:val="24"/>
    </w:rPr>
  </w:style>
  <w:style w:type="paragraph" w:customStyle="1" w:styleId="Normal81">
    <w:name w:val="Normal_81"/>
    <w:qFormat/>
    <w:rPr>
      <w:rFonts w:ascii="Times New Roman" w:hAnsi="Times New Roman"/>
      <w:sz w:val="24"/>
      <w:szCs w:val="24"/>
    </w:rPr>
  </w:style>
  <w:style w:type="table" w:customStyle="1" w:styleId="CDMRange11">
    <w:name w:val="CDM Range 1_1"/>
    <w:basedOn w:val="TableNormal"/>
    <w:next w:val="TableNormal"/>
    <w:semiHidden/>
    <w:rPr>
      <w:rFonts w:ascii="Times New Roman" w:hAnsi="Times New Roman"/>
    </w:rPr>
    <w:tblPr/>
  </w:style>
  <w:style w:type="paragraph" w:customStyle="1" w:styleId="Normal10">
    <w:name w:val="Normal_10"/>
    <w:qFormat/>
    <w:pPr>
      <w:suppressAutoHyphens/>
    </w:pPr>
    <w:rPr>
      <w:rFonts w:ascii="Times New Roman" w:hAnsi="Times New Roman"/>
      <w:sz w:val="24"/>
      <w:szCs w:val="24"/>
      <w:lang w:eastAsia="ar-SA"/>
    </w:rPr>
  </w:style>
  <w:style w:type="paragraph" w:customStyle="1" w:styleId="Header8">
    <w:name w:val="Header_8"/>
    <w:basedOn w:val="Normal10"/>
    <w:link w:val="HeaderChar8"/>
    <w:pPr>
      <w:tabs>
        <w:tab w:val="center" w:pos="4153"/>
        <w:tab w:val="right" w:pos="8306"/>
      </w:tabs>
    </w:pPr>
  </w:style>
  <w:style w:type="character" w:customStyle="1" w:styleId="HeaderChar8">
    <w:name w:val="Header Char_8"/>
    <w:link w:val="Header8"/>
    <w:rPr>
      <w:rFonts w:ascii="Times New Roman" w:hAnsi="Times New Roman"/>
      <w:sz w:val="24"/>
      <w:szCs w:val="24"/>
      <w:lang w:eastAsia="ar-SA"/>
    </w:rPr>
  </w:style>
  <w:style w:type="paragraph" w:customStyle="1" w:styleId="Notes8">
    <w:name w:val="Notes_8"/>
    <w:basedOn w:val="Header8"/>
    <w:link w:val="NotesChar8"/>
    <w:pPr>
      <w:numPr>
        <w:numId w:val="5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lang w:val="en-GB"/>
    </w:rPr>
  </w:style>
  <w:style w:type="character" w:customStyle="1" w:styleId="NotesChar8">
    <w:name w:val="Notes Char_8"/>
    <w:link w:val="Notes8"/>
    <w:rPr>
      <w:rFonts w:ascii="Arial" w:hAnsi="Arial"/>
      <w:b/>
      <w:szCs w:val="24"/>
      <w:lang w:val="en-US" w:eastAsia="ar-SA"/>
    </w:rPr>
  </w:style>
  <w:style w:type="paragraph" w:customStyle="1" w:styleId="Normal82">
    <w:name w:val="Normal_82"/>
    <w:qFormat/>
    <w:rPr>
      <w:rFonts w:ascii="Times New Roman" w:hAnsi="Times New Roman"/>
      <w:sz w:val="24"/>
      <w:szCs w:val="24"/>
    </w:rPr>
  </w:style>
  <w:style w:type="paragraph" w:customStyle="1" w:styleId="FootnoteText0">
    <w:name w:val="Footnote Text_0"/>
    <w:basedOn w:val="Normal82"/>
    <w:link w:val="FootnoteTextChar0"/>
    <w:unhideWhenUsed/>
    <w:rPr>
      <w:sz w:val="20"/>
      <w:szCs w:val="20"/>
    </w:rPr>
  </w:style>
  <w:style w:type="character" w:customStyle="1" w:styleId="FootnoteTextChar0">
    <w:name w:val="Footnote Text Char_0"/>
    <w:basedOn w:val="DefaultParagraphFont"/>
    <w:link w:val="FootnoteText0"/>
    <w:rPr>
      <w:rFonts w:ascii="Times New Roman" w:hAnsi="Times New Roman"/>
      <w:lang w:eastAsia="ar-SA"/>
    </w:rPr>
  </w:style>
  <w:style w:type="paragraph" w:customStyle="1" w:styleId="Listi0">
    <w:name w:val="List i)_0"/>
    <w:basedOn w:val="Normal6"/>
    <w:next w:val="Normal6"/>
    <w:pPr>
      <w:keepNext/>
      <w:numPr>
        <w:numId w:val="61"/>
      </w:numPr>
      <w:tabs>
        <w:tab w:val="clear" w:pos="1080"/>
        <w:tab w:val="num" w:pos="180"/>
      </w:tabs>
      <w:suppressAutoHyphens w:val="0"/>
      <w:autoSpaceDE w:val="0"/>
      <w:autoSpaceDN w:val="0"/>
      <w:adjustRightInd w:val="0"/>
      <w:spacing w:after="80" w:line="190" w:lineRule="atLeast"/>
      <w:jc w:val="both"/>
    </w:pPr>
    <w:rPr>
      <w:rFonts w:ascii="Arial" w:hAnsi="Arial"/>
      <w:noProof/>
      <w:sz w:val="15"/>
      <w:szCs w:val="20"/>
      <w:lang w:eastAsia="en-GB"/>
    </w:r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ListParagraph2">
    <w:name w:val="List Paragraph_2"/>
    <w:basedOn w:val="Normal25"/>
    <w:uiPriority w:val="34"/>
    <w:qFormat/>
    <w:pPr>
      <w:ind w:left="720"/>
      <w:contextualSpacing/>
    </w:p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0">
    <w:name w:val="Normal_85_0"/>
    <w:qFormat/>
    <w:pPr>
      <w:spacing w:line="190" w:lineRule="atLeast"/>
      <w:jc w:val="both"/>
    </w:pPr>
    <w:rPr>
      <w:rFonts w:ascii="Arial" w:hAnsi="Arial"/>
      <w:sz w:val="15"/>
      <w:szCs w:val="24"/>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Notes40">
    <w:name w:val="Notes_4_0"/>
    <w:basedOn w:val="Normal21"/>
    <w:link w:val="NotesChar40"/>
    <w:pPr>
      <w:tabs>
        <w:tab w:val="num" w:pos="720"/>
        <w:tab w:val="center" w:pos="4320"/>
        <w:tab w:val="right" w:pos="8640"/>
      </w:tabs>
      <w:spacing w:before="120" w:after="120"/>
      <w:ind w:left="720" w:hanging="360"/>
      <w:jc w:val="both"/>
    </w:pPr>
    <w:rPr>
      <w:rFonts w:ascii="Arial" w:hAnsi="Arial" w:cs="Arial"/>
      <w:b/>
      <w:sz w:val="20"/>
      <w:lang w:val="en-US"/>
    </w:rPr>
  </w:style>
  <w:style w:type="character" w:customStyle="1" w:styleId="NotesChar40">
    <w:name w:val="Notes Char_4_0"/>
    <w:link w:val="Notes40"/>
    <w:locked/>
    <w:rPr>
      <w:rFonts w:ascii="Arial" w:hAnsi="Arial" w:cs="Arial"/>
      <w:b/>
      <w:szCs w:val="24"/>
      <w:lang w:val="en-US" w:eastAsia="ar-SA"/>
    </w:rPr>
  </w:style>
  <w:style w:type="paragraph" w:customStyle="1" w:styleId="Normal11">
    <w:name w:val="Normal_11"/>
    <w:qFormat/>
    <w:pPr>
      <w:suppressAutoHyphens/>
    </w:pPr>
    <w:rPr>
      <w:rFonts w:ascii="Times New Roman" w:hAnsi="Times New Roman"/>
      <w:sz w:val="24"/>
      <w:szCs w:val="24"/>
      <w:lang w:eastAsia="ar-SA"/>
    </w:rPr>
  </w:style>
  <w:style w:type="paragraph" w:customStyle="1" w:styleId="Header9">
    <w:name w:val="Header_9"/>
    <w:basedOn w:val="Normal11"/>
    <w:link w:val="HeaderChar9"/>
    <w:pPr>
      <w:tabs>
        <w:tab w:val="center" w:pos="4153"/>
        <w:tab w:val="right" w:pos="8306"/>
      </w:tabs>
    </w:pPr>
  </w:style>
  <w:style w:type="character" w:customStyle="1" w:styleId="HeaderChar9">
    <w:name w:val="Header Char_9"/>
    <w:link w:val="Header9"/>
    <w:rPr>
      <w:rFonts w:ascii="Times New Roman" w:hAnsi="Times New Roman"/>
      <w:sz w:val="24"/>
      <w:szCs w:val="24"/>
      <w:lang w:eastAsia="ar-SA"/>
    </w:rPr>
  </w:style>
  <w:style w:type="paragraph" w:customStyle="1" w:styleId="Notes9">
    <w:name w:val="Notes_9"/>
    <w:basedOn w:val="Header9"/>
    <w:link w:val="NotesChar9"/>
    <w:pPr>
      <w:numPr>
        <w:numId w:val="6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lang w:val="en-GB"/>
    </w:rPr>
  </w:style>
  <w:style w:type="character" w:customStyle="1" w:styleId="NotesChar9">
    <w:name w:val="Notes Char_9"/>
    <w:link w:val="Notes9"/>
    <w:rPr>
      <w:rFonts w:ascii="Arial" w:hAnsi="Arial"/>
      <w:b/>
      <w:szCs w:val="24"/>
      <w:lang w:val="en-US" w:eastAsia="ar-SA"/>
    </w:rPr>
  </w:style>
  <w:style w:type="paragraph" w:customStyle="1" w:styleId="Normal84">
    <w:name w:val="Normal_84"/>
    <w:qFormat/>
    <w:rPr>
      <w:rFonts w:ascii="Times New Roman" w:hAnsi="Times New Roman"/>
      <w:sz w:val="24"/>
      <w:szCs w:val="24"/>
    </w:rPr>
  </w:style>
  <w:style w:type="table" w:customStyle="1" w:styleId="CDMRange21">
    <w:name w:val="CDM Range 2_1"/>
    <w:basedOn w:val="TableNormal"/>
    <w:next w:val="TableNormal"/>
    <w:semiHidden/>
    <w:rPr>
      <w:rFonts w:ascii="Times New Roman" w:hAnsi="Times New Roman"/>
    </w:rPr>
    <w:tblPr/>
  </w:style>
  <w:style w:type="paragraph" w:customStyle="1" w:styleId="Normal12">
    <w:name w:val="Normal_12"/>
    <w:qFormat/>
    <w:pPr>
      <w:suppressAutoHyphens/>
    </w:pPr>
    <w:rPr>
      <w:rFonts w:ascii="Times New Roman" w:hAnsi="Times New Roman"/>
      <w:sz w:val="24"/>
      <w:szCs w:val="24"/>
      <w:lang w:eastAsia="ar-SA"/>
    </w:rPr>
  </w:style>
  <w:style w:type="paragraph" w:customStyle="1" w:styleId="Header100">
    <w:name w:val="Header_10"/>
    <w:basedOn w:val="Normal12"/>
    <w:link w:val="HeaderChar100"/>
    <w:pPr>
      <w:tabs>
        <w:tab w:val="center" w:pos="4153"/>
        <w:tab w:val="right" w:pos="8306"/>
      </w:tabs>
    </w:pPr>
  </w:style>
  <w:style w:type="character" w:customStyle="1" w:styleId="HeaderChar100">
    <w:name w:val="Header Char_10"/>
    <w:link w:val="Header100"/>
    <w:rPr>
      <w:rFonts w:ascii="Times New Roman" w:hAnsi="Times New Roman"/>
      <w:sz w:val="24"/>
      <w:szCs w:val="24"/>
      <w:lang w:eastAsia="ar-SA"/>
    </w:rPr>
  </w:style>
  <w:style w:type="paragraph" w:customStyle="1" w:styleId="Notes100">
    <w:name w:val="Notes_10"/>
    <w:basedOn w:val="Header100"/>
    <w:link w:val="NotesChar100"/>
    <w:pPr>
      <w:numPr>
        <w:numId w:val="6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0">
    <w:name w:val="Title 1.1_10"/>
    <w:basedOn w:val="Notes100"/>
    <w:pPr>
      <w:numPr>
        <w:ilvl w:val="1"/>
      </w:numPr>
      <w:tabs>
        <w:tab w:val="clear" w:pos="4320"/>
        <w:tab w:val="clear" w:pos="8640"/>
        <w:tab w:val="right" w:pos="-2700"/>
        <w:tab w:val="right" w:pos="720"/>
      </w:tabs>
      <w:spacing w:before="0" w:after="0"/>
    </w:pPr>
    <w:rPr>
      <w:b w:val="0"/>
      <w:szCs w:val="20"/>
      <w:lang w:val="en-GB"/>
    </w:rPr>
  </w:style>
  <w:style w:type="character" w:customStyle="1" w:styleId="NotesChar100">
    <w:name w:val="Notes Char_10"/>
    <w:link w:val="Notes100"/>
    <w:rPr>
      <w:rFonts w:ascii="Arial" w:hAnsi="Arial"/>
      <w:b/>
      <w:szCs w:val="24"/>
      <w:lang w:val="en-US" w:eastAsia="ar-SA"/>
    </w:rPr>
  </w:style>
  <w:style w:type="paragraph" w:customStyle="1" w:styleId="Normal87">
    <w:name w:val="Normal_87"/>
    <w:qFormat/>
    <w:rPr>
      <w:rFonts w:ascii="Times New Roman" w:hAnsi="Times New Roman"/>
      <w:sz w:val="24"/>
      <w:szCs w:val="24"/>
    </w:rPr>
  </w:style>
  <w:style w:type="table" w:customStyle="1" w:styleId="CDMRange12">
    <w:name w:val="CDM Range 1_2"/>
    <w:basedOn w:val="TableNormal"/>
    <w:next w:val="TableNormal"/>
    <w:semiHidden/>
    <w:rPr>
      <w:rFonts w:ascii="Times New Roman" w:hAnsi="Times New Roman"/>
    </w:rPr>
    <w:tblPr/>
  </w:style>
  <w:style w:type="paragraph" w:customStyle="1" w:styleId="Normal13">
    <w:name w:val="Normal_13"/>
    <w:qFormat/>
    <w:pPr>
      <w:suppressAutoHyphens/>
    </w:pPr>
    <w:rPr>
      <w:rFonts w:ascii="Times New Roman" w:hAnsi="Times New Roman"/>
      <w:sz w:val="24"/>
      <w:szCs w:val="24"/>
      <w:lang w:eastAsia="ar-SA"/>
    </w:rPr>
  </w:style>
  <w:style w:type="paragraph" w:customStyle="1" w:styleId="Header11">
    <w:name w:val="Header_11"/>
    <w:basedOn w:val="Normal13"/>
    <w:link w:val="HeaderChar11"/>
    <w:pPr>
      <w:tabs>
        <w:tab w:val="center" w:pos="4153"/>
        <w:tab w:val="right" w:pos="8306"/>
      </w:tabs>
    </w:pPr>
  </w:style>
  <w:style w:type="character" w:customStyle="1" w:styleId="HeaderChar11">
    <w:name w:val="Header Char_11"/>
    <w:link w:val="Header11"/>
    <w:rPr>
      <w:rFonts w:ascii="Times New Roman" w:hAnsi="Times New Roman"/>
      <w:sz w:val="24"/>
      <w:szCs w:val="24"/>
      <w:lang w:eastAsia="ar-SA"/>
    </w:rPr>
  </w:style>
  <w:style w:type="paragraph" w:customStyle="1" w:styleId="Notes11">
    <w:name w:val="Notes_11"/>
    <w:basedOn w:val="Header11"/>
    <w:link w:val="NotesChar11"/>
    <w:pPr>
      <w:numPr>
        <w:numId w:val="6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1">
    <w:name w:val="Title 1.1_11"/>
    <w:basedOn w:val="Notes11"/>
    <w:pPr>
      <w:numPr>
        <w:ilvl w:val="1"/>
      </w:numPr>
      <w:tabs>
        <w:tab w:val="clear" w:pos="4320"/>
        <w:tab w:val="clear" w:pos="8640"/>
        <w:tab w:val="right" w:pos="-2700"/>
        <w:tab w:val="right" w:pos="720"/>
      </w:tabs>
      <w:spacing w:before="0" w:after="0"/>
    </w:pPr>
    <w:rPr>
      <w:b w:val="0"/>
      <w:szCs w:val="20"/>
      <w:lang w:val="en-GB"/>
    </w:rPr>
  </w:style>
  <w:style w:type="character" w:customStyle="1" w:styleId="NotesChar11">
    <w:name w:val="Notes Char_11"/>
    <w:link w:val="Notes11"/>
    <w:rPr>
      <w:rFonts w:ascii="Arial" w:hAnsi="Arial"/>
      <w:b/>
      <w:szCs w:val="24"/>
      <w:lang w:val="en-US" w:eastAsia="ar-SA"/>
    </w:rPr>
  </w:style>
  <w:style w:type="paragraph" w:customStyle="1" w:styleId="Normal89">
    <w:name w:val="Normal_89"/>
    <w:qFormat/>
    <w:rPr>
      <w:rFonts w:ascii="Times New Roman" w:hAnsi="Times New Roman"/>
      <w:sz w:val="24"/>
      <w:szCs w:val="24"/>
    </w:rPr>
  </w:style>
  <w:style w:type="table" w:customStyle="1" w:styleId="CDMRange22">
    <w:name w:val="CDM Range 2_2"/>
    <w:basedOn w:val="TableNormal"/>
    <w:next w:val="TableNormal"/>
    <w:semiHidden/>
    <w:rPr>
      <w:rFonts w:ascii="Times New Roman" w:hAnsi="Times New Roman"/>
    </w:rPr>
    <w:tblPr/>
  </w:style>
  <w:style w:type="paragraph" w:customStyle="1" w:styleId="Normal14">
    <w:name w:val="Normal_14"/>
    <w:qFormat/>
    <w:pPr>
      <w:suppressAutoHyphens/>
    </w:pPr>
    <w:rPr>
      <w:rFonts w:ascii="Times New Roman" w:hAnsi="Times New Roman"/>
      <w:sz w:val="24"/>
      <w:szCs w:val="24"/>
      <w:lang w:eastAsia="ar-SA"/>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Pr>
      <w:rFonts w:ascii="Times New Roman" w:hAnsi="Times New Roman"/>
      <w:sz w:val="24"/>
      <w:szCs w:val="24"/>
      <w:lang w:eastAsia="ar-SA"/>
    </w:rPr>
  </w:style>
  <w:style w:type="paragraph" w:customStyle="1" w:styleId="Notes12">
    <w:name w:val="Notes_12"/>
    <w:basedOn w:val="Header12"/>
    <w:link w:val="NotesChar12"/>
    <w:pPr>
      <w:numPr>
        <w:numId w:val="6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2">
    <w:name w:val="Title 1.1_12"/>
    <w:basedOn w:val="Notes12"/>
    <w:pPr>
      <w:numPr>
        <w:ilvl w:val="1"/>
      </w:numPr>
      <w:tabs>
        <w:tab w:val="clear" w:pos="4320"/>
        <w:tab w:val="clear" w:pos="8640"/>
        <w:tab w:val="right" w:pos="720"/>
      </w:tabs>
      <w:spacing w:before="0" w:after="0"/>
    </w:pPr>
    <w:rPr>
      <w:b w:val="0"/>
      <w:lang w:val="en-GB"/>
    </w:rPr>
  </w:style>
  <w:style w:type="character" w:customStyle="1" w:styleId="NotesChar12">
    <w:name w:val="Notes Char_12"/>
    <w:link w:val="Notes12"/>
    <w:rPr>
      <w:rFonts w:ascii="Arial" w:hAnsi="Arial"/>
      <w:b/>
      <w:szCs w:val="24"/>
      <w:lang w:val="en-US" w:eastAsia="ar-SA"/>
    </w:rPr>
  </w:style>
  <w:style w:type="paragraph" w:customStyle="1" w:styleId="Normal902">
    <w:name w:val="Normal_90"/>
    <w:qFormat/>
    <w:rPr>
      <w:rFonts w:ascii="Times New Roman" w:hAnsi="Times New Roman"/>
      <w:sz w:val="24"/>
      <w:szCs w:val="24"/>
    </w:rPr>
  </w:style>
  <w:style w:type="paragraph" w:customStyle="1" w:styleId="Normal91">
    <w:name w:val="Normal_91"/>
    <w:qFormat/>
    <w:rPr>
      <w:rFonts w:ascii="Times New Roman" w:hAnsi="Times New Roman"/>
      <w:sz w:val="24"/>
      <w:szCs w:val="24"/>
    </w:rPr>
  </w:style>
  <w:style w:type="table" w:customStyle="1" w:styleId="CDMRange13">
    <w:name w:val="CDM Range 1_3"/>
    <w:basedOn w:val="TableNormal"/>
    <w:next w:val="TableNormal"/>
    <w:semiHidden/>
    <w:rPr>
      <w:rFonts w:ascii="Times New Roman" w:hAnsi="Times New Roman"/>
    </w:rPr>
    <w:tblPr/>
  </w:style>
  <w:style w:type="paragraph" w:customStyle="1" w:styleId="Normal92">
    <w:name w:val="Normal_92"/>
    <w:qFormat/>
    <w:rPr>
      <w:rFonts w:eastAsia="Calibri" w:cs="Arial"/>
      <w:lang w:val="en-US" w:eastAsia="en-US"/>
    </w:rPr>
  </w:style>
  <w:style w:type="table" w:customStyle="1" w:styleId="CDMRange23">
    <w:name w:val="CDM Range 2_3"/>
    <w:basedOn w:val="TableNormal"/>
    <w:next w:val="TableNormal"/>
    <w:semiHidden/>
    <w:rPr>
      <w:rFonts w:ascii="Times New Roman" w:hAnsi="Times New Roman"/>
    </w:rPr>
    <w:tblPr/>
  </w:style>
  <w:style w:type="paragraph" w:customStyle="1" w:styleId="Normal93">
    <w:name w:val="Normal_93"/>
    <w:qFormat/>
    <w:rPr>
      <w:rFonts w:ascii="Times New Roman" w:hAnsi="Times New Roman"/>
      <w:sz w:val="24"/>
      <w:szCs w:val="24"/>
    </w:rPr>
  </w:style>
  <w:style w:type="paragraph" w:styleId="ListParagraph">
    <w:name w:val="List Paragraph"/>
    <w:basedOn w:val="Normal"/>
    <w:uiPriority w:val="34"/>
    <w:qFormat/>
    <w:pPr>
      <w:suppressAutoHyphens/>
      <w:ind w:left="720"/>
      <w:contextualSpacing/>
    </w:pPr>
    <w:rPr>
      <w:lang w:eastAsia="ar-SA"/>
    </w:rPr>
  </w:style>
  <w:style w:type="table" w:customStyle="1" w:styleId="CDMRange14">
    <w:name w:val="CDM Range 1_4"/>
    <w:basedOn w:val="TableNormal"/>
    <w:next w:val="TableNormal"/>
    <w:semiHidden/>
    <w:rPr>
      <w:rFonts w:ascii="Times New Roman" w:hAnsi="Times New Roman"/>
    </w:rPr>
    <w:tbl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paragraph" w:customStyle="1" w:styleId="Notes13">
    <w:name w:val="Notes_13"/>
    <w:basedOn w:val="Header13"/>
    <w:link w:val="NotesChar13"/>
    <w:pPr>
      <w:numPr>
        <w:numId w:val="7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lang w:val="en-GB"/>
    </w:rPr>
  </w:style>
  <w:style w:type="character" w:customStyle="1" w:styleId="NotesChar13">
    <w:name w:val="Notes Char_13"/>
    <w:link w:val="Notes13"/>
    <w:rPr>
      <w:rFonts w:ascii="Arial" w:hAnsi="Arial"/>
      <w:b/>
      <w:szCs w:val="24"/>
      <w:lang w:val="en-US" w:eastAsia="ar-SA"/>
    </w:rPr>
  </w:style>
  <w:style w:type="paragraph" w:customStyle="1" w:styleId="Normal94">
    <w:name w:val="Normal_94"/>
    <w:qFormat/>
    <w:pPr>
      <w:suppressAutoHyphens/>
    </w:pPr>
    <w:rPr>
      <w:rFonts w:ascii="Times New Roman" w:hAnsi="Times New Roman"/>
      <w:sz w:val="24"/>
      <w:szCs w:val="24"/>
      <w:lang w:eastAsia="ar-SA"/>
    </w:rPr>
  </w:style>
  <w:style w:type="paragraph" w:customStyle="1" w:styleId="Normal95">
    <w:name w:val="Normal_95"/>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16">
    <w:name w:val="Normal_16"/>
    <w:qFormat/>
    <w:pPr>
      <w:suppressAutoHyphens/>
    </w:pPr>
    <w:rPr>
      <w:rFonts w:ascii="Times New Roman" w:hAnsi="Times New Roman"/>
      <w:sz w:val="24"/>
      <w:szCs w:val="24"/>
      <w:lang w:eastAsia="ar-SA"/>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Pr>
      <w:rFonts w:ascii="Times New Roman" w:hAnsi="Times New Roman"/>
      <w:sz w:val="24"/>
      <w:szCs w:val="24"/>
      <w:lang w:eastAsia="ar-SA"/>
    </w:rPr>
  </w:style>
  <w:style w:type="paragraph" w:customStyle="1" w:styleId="Notes14">
    <w:name w:val="Notes_14"/>
    <w:basedOn w:val="Header14"/>
    <w:link w:val="NotesChar14"/>
    <w:pPr>
      <w:numPr>
        <w:numId w:val="7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lang w:val="en-GB"/>
    </w:rPr>
  </w:style>
  <w:style w:type="character" w:customStyle="1" w:styleId="NotesChar14">
    <w:name w:val="Notes Char_14"/>
    <w:link w:val="Notes14"/>
    <w:rPr>
      <w:rFonts w:ascii="Arial" w:hAnsi="Arial"/>
      <w:b/>
      <w:szCs w:val="24"/>
      <w:lang w:val="en-US" w:eastAsia="ar-SA"/>
    </w:rPr>
  </w:style>
  <w:style w:type="paragraph" w:customStyle="1" w:styleId="Normal96">
    <w:name w:val="Normal_96"/>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97">
    <w:name w:val="Normal_97"/>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98">
    <w:name w:val="Normal_98"/>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Title3211">
    <w:name w:val="Title 3.2.1._1"/>
    <w:basedOn w:val="Notes5"/>
    <w:pPr>
      <w:numPr>
        <w:ilvl w:val="2"/>
        <w:numId w:val="75"/>
      </w:numPr>
      <w:tabs>
        <w:tab w:val="clear" w:pos="4320"/>
        <w:tab w:val="clear" w:pos="8640"/>
        <w:tab w:val="right" w:pos="-2700"/>
      </w:tabs>
      <w:spacing w:before="240"/>
    </w:pPr>
    <w:rPr>
      <w:szCs w:val="20"/>
      <w:lang w:val="en-GB"/>
    </w:rPr>
  </w:style>
  <w:style w:type="paragraph" w:customStyle="1" w:styleId="Normal99">
    <w:name w:val="Normal_99"/>
    <w:qFormat/>
    <w:pPr>
      <w:suppressAutoHyphens/>
    </w:pPr>
    <w:rPr>
      <w:rFonts w:ascii="Times New Roman" w:hAnsi="Times New Roman"/>
      <w:sz w:val="24"/>
      <w:szCs w:val="24"/>
      <w:lang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paragraph" w:customStyle="1" w:styleId="Notes15">
    <w:name w:val="Notes_15"/>
    <w:basedOn w:val="Header15"/>
    <w:link w:val="NotesChar15"/>
    <w:pPr>
      <w:numPr>
        <w:numId w:val="7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lang w:val="en-GB"/>
    </w:rPr>
  </w:style>
  <w:style w:type="character" w:customStyle="1" w:styleId="NotesChar15">
    <w:name w:val="Notes Char_15"/>
    <w:link w:val="Notes15"/>
    <w:rPr>
      <w:rFonts w:ascii="Arial" w:hAnsi="Arial"/>
      <w:b/>
      <w:szCs w:val="24"/>
      <w:lang w:val="en-US" w:eastAsia="ar-SA"/>
    </w:rPr>
  </w:style>
  <w:style w:type="paragraph" w:customStyle="1" w:styleId="Notes130">
    <w:name w:val="Notes_13_0"/>
    <w:basedOn w:val="Normal99"/>
    <w:link w:val="NotesChar130"/>
    <w:pPr>
      <w:tabs>
        <w:tab w:val="num" w:pos="720"/>
        <w:tab w:val="center" w:pos="4320"/>
        <w:tab w:val="right" w:pos="8640"/>
      </w:tabs>
      <w:spacing w:before="120" w:after="120"/>
      <w:ind w:left="720" w:hanging="360"/>
      <w:jc w:val="both"/>
    </w:pPr>
    <w:rPr>
      <w:rFonts w:ascii="Arial" w:hAnsi="Arial" w:cs="Arial"/>
      <w:b/>
      <w:sz w:val="20"/>
      <w:lang w:val="en-US"/>
    </w:rPr>
  </w:style>
  <w:style w:type="character" w:customStyle="1" w:styleId="NotesChar130">
    <w:name w:val="Notes Char_13_0"/>
    <w:link w:val="Notes130"/>
    <w:locked/>
    <w:rPr>
      <w:rFonts w:ascii="Arial" w:hAnsi="Arial" w:cs="Arial"/>
      <w:b/>
      <w:szCs w:val="24"/>
      <w:lang w:val="en-US" w:eastAsia="ar-SA"/>
    </w:rPr>
  </w:style>
  <w:style w:type="paragraph" w:customStyle="1" w:styleId="Normal1001">
    <w:name w:val="Normal_100"/>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101">
    <w:name w:val="Normal_101"/>
    <w:qFormat/>
    <w:pPr>
      <w:suppressAutoHyphens/>
    </w:pPr>
    <w:rPr>
      <w:rFonts w:ascii="Times New Roman" w:hAnsi="Times New Roman"/>
      <w:sz w:val="24"/>
      <w:szCs w:val="24"/>
      <w:lang w:eastAsia="ar-SA"/>
    </w:rPr>
  </w:style>
  <w:style w:type="paragraph" w:customStyle="1" w:styleId="Normal19">
    <w:name w:val="Normal_19"/>
    <w:qFormat/>
    <w:pPr>
      <w:suppressAutoHyphens/>
    </w:pPr>
    <w:rPr>
      <w:rFonts w:ascii="Times New Roman" w:hAnsi="Times New Roman"/>
      <w:sz w:val="24"/>
      <w:szCs w:val="24"/>
      <w:lang w:eastAsia="ar-SA"/>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rFonts w:ascii="Times New Roman" w:hAnsi="Times New Roman"/>
      <w:sz w:val="24"/>
      <w:szCs w:val="24"/>
      <w:lang w:eastAsia="ar-SA"/>
    </w:rPr>
  </w:style>
  <w:style w:type="paragraph" w:customStyle="1" w:styleId="Notes17">
    <w:name w:val="Notes_17"/>
    <w:basedOn w:val="Header17"/>
    <w:link w:val="NotesChar17"/>
    <w:pPr>
      <w:numPr>
        <w:numId w:val="7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lang w:val="en-GB"/>
    </w:rPr>
  </w:style>
  <w:style w:type="character" w:customStyle="1" w:styleId="NotesChar17">
    <w:name w:val="Notes Char_17"/>
    <w:link w:val="Notes17"/>
    <w:rPr>
      <w:rFonts w:ascii="Arial" w:hAnsi="Arial"/>
      <w:b/>
      <w:szCs w:val="24"/>
      <w:lang w:val="en-US" w:eastAsia="ar-SA"/>
    </w:rPr>
  </w:style>
  <w:style w:type="paragraph" w:customStyle="1" w:styleId="Normal200">
    <w:name w:val="Normal_20"/>
    <w:qFormat/>
    <w:pPr>
      <w:suppressAutoHyphens/>
    </w:pPr>
    <w:rPr>
      <w:rFonts w:ascii="Times New Roman" w:hAnsi="Times New Roman"/>
      <w:sz w:val="24"/>
      <w:szCs w:val="24"/>
      <w:lang w:eastAsia="ar-SA"/>
    </w:rPr>
  </w:style>
  <w:style w:type="paragraph" w:customStyle="1" w:styleId="Header18">
    <w:name w:val="Header_18"/>
    <w:basedOn w:val="Normal200"/>
    <w:link w:val="HeaderChar18"/>
    <w:pPr>
      <w:tabs>
        <w:tab w:val="center" w:pos="4153"/>
        <w:tab w:val="right" w:pos="8306"/>
      </w:tabs>
    </w:pPr>
  </w:style>
  <w:style w:type="character" w:customStyle="1" w:styleId="HeaderChar18">
    <w:name w:val="Header Char_18"/>
    <w:link w:val="Header18"/>
    <w:rPr>
      <w:rFonts w:ascii="Times New Roman" w:hAnsi="Times New Roman"/>
      <w:sz w:val="24"/>
      <w:szCs w:val="24"/>
      <w:lang w:eastAsia="ar-SA"/>
    </w:rPr>
  </w:style>
  <w:style w:type="paragraph" w:customStyle="1" w:styleId="Notes18">
    <w:name w:val="Notes_18"/>
    <w:basedOn w:val="Header18"/>
    <w:link w:val="NotesChar18"/>
    <w:pPr>
      <w:numPr>
        <w:numId w:val="7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lang w:val="en-GB"/>
    </w:rPr>
  </w:style>
  <w:style w:type="character" w:customStyle="1" w:styleId="NotesChar18">
    <w:name w:val="Notes Char_18"/>
    <w:link w:val="Notes18"/>
    <w:rPr>
      <w:rFonts w:ascii="Arial" w:hAnsi="Arial"/>
      <w:b/>
      <w:szCs w:val="24"/>
      <w:lang w:val="en-US" w:eastAsia="ar-SA"/>
    </w:rPr>
  </w:style>
  <w:style w:type="paragraph" w:customStyle="1" w:styleId="Normal103">
    <w:name w:val="Normal_103"/>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paragraph" w:customStyle="1" w:styleId="Notes19">
    <w:name w:val="Notes_19"/>
    <w:basedOn w:val="Header19"/>
    <w:link w:val="NotesChar19"/>
    <w:pPr>
      <w:numPr>
        <w:numId w:val="8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lang w:val="en-GB"/>
    </w:rPr>
  </w:style>
  <w:style w:type="character" w:customStyle="1" w:styleId="NotesChar19">
    <w:name w:val="Notes Char_19"/>
    <w:link w:val="Notes19"/>
    <w:rPr>
      <w:rFonts w:ascii="Arial" w:hAnsi="Arial"/>
      <w:b/>
      <w:szCs w:val="24"/>
      <w:lang w:val="en-US" w:eastAsia="ar-SA"/>
    </w:rPr>
  </w:style>
  <w:style w:type="paragraph" w:customStyle="1" w:styleId="Title3212">
    <w:name w:val="Title 3.2.1._2"/>
    <w:basedOn w:val="Notes12"/>
    <w:pPr>
      <w:numPr>
        <w:ilvl w:val="2"/>
        <w:numId w:val="83"/>
      </w:numPr>
      <w:tabs>
        <w:tab w:val="clear" w:pos="4320"/>
        <w:tab w:val="clear" w:pos="8640"/>
        <w:tab w:val="right" w:pos="-2700"/>
      </w:tabs>
      <w:spacing w:before="240"/>
    </w:pPr>
    <w:rPr>
      <w:szCs w:val="20"/>
      <w:lang w:val="en-GB"/>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paragraph" w:customStyle="1" w:styleId="Notes20">
    <w:name w:val="Notes_20"/>
    <w:basedOn w:val="Header20"/>
    <w:link w:val="NotesChar20"/>
    <w:pPr>
      <w:numPr>
        <w:numId w:val="8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lang w:val="en-GB"/>
    </w:rPr>
  </w:style>
  <w:style w:type="character" w:customStyle="1" w:styleId="NotesChar20">
    <w:name w:val="Notes Char_20"/>
    <w:link w:val="Notes20"/>
    <w:rPr>
      <w:rFonts w:ascii="Arial" w:hAnsi="Arial"/>
      <w:b/>
      <w:szCs w:val="24"/>
      <w:lang w:val="en-US" w:eastAsia="ar-SA"/>
    </w:rPr>
  </w:style>
  <w:style w:type="paragraph" w:customStyle="1" w:styleId="Normal18">
    <w:name w:val="Normal_18"/>
    <w:qFormat/>
    <w:pPr>
      <w:suppressAutoHyphens/>
    </w:pPr>
    <w:rPr>
      <w:rFonts w:ascii="Times New Roman" w:hAnsi="Times New Roman"/>
      <w:sz w:val="24"/>
      <w:szCs w:val="24"/>
      <w:lang w:eastAsia="ar-SA"/>
    </w:rPr>
  </w:style>
  <w:style w:type="paragraph" w:customStyle="1" w:styleId="Notes160">
    <w:name w:val="Notes_16_0"/>
    <w:basedOn w:val="Normal18"/>
    <w:link w:val="NotesChar160"/>
    <w:pPr>
      <w:numPr>
        <w:numId w:val="85"/>
      </w:numPr>
      <w:tabs>
        <w:tab w:val="center" w:pos="4320"/>
        <w:tab w:val="right" w:pos="8640"/>
      </w:tabs>
      <w:spacing w:before="120" w:after="120"/>
      <w:jc w:val="both"/>
    </w:pPr>
    <w:rPr>
      <w:rFonts w:ascii="Arial" w:hAnsi="Arial" w:cs="Arial"/>
      <w:b/>
      <w:sz w:val="20"/>
      <w:lang w:val="en-US"/>
    </w:rPr>
  </w:style>
  <w:style w:type="paragraph" w:customStyle="1" w:styleId="Title11160">
    <w:name w:val="Title 1.1_16_0"/>
    <w:basedOn w:val="Notes160"/>
    <w:pPr>
      <w:numPr>
        <w:ilvl w:val="1"/>
      </w:numPr>
      <w:tabs>
        <w:tab w:val="clear" w:pos="431"/>
        <w:tab w:val="clear" w:pos="4320"/>
        <w:tab w:val="clear" w:pos="8640"/>
        <w:tab w:val="num" w:pos="576"/>
      </w:tabs>
      <w:spacing w:before="0" w:after="0"/>
    </w:pPr>
    <w:rPr>
      <w:b w:val="0"/>
      <w:lang w:val="en-GB"/>
    </w:rPr>
  </w:style>
  <w:style w:type="character" w:customStyle="1" w:styleId="NotesChar160">
    <w:name w:val="Notes Char_16_0"/>
    <w:link w:val="Notes160"/>
    <w:locked/>
    <w:rPr>
      <w:rFonts w:ascii="Arial" w:hAnsi="Arial" w:cs="Arial"/>
      <w:b/>
      <w:szCs w:val="24"/>
      <w:lang w:val="en-US" w:eastAsia="ar-SA"/>
    </w:rPr>
  </w:style>
  <w:style w:type="paragraph" w:customStyle="1" w:styleId="Normal106">
    <w:name w:val="Normal_106"/>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
    <w:name w:val="Normal_4"/>
    <w:qFormat/>
    <w:pPr>
      <w:suppressAutoHyphens/>
    </w:pPr>
    <w:rPr>
      <w:rFonts w:ascii="Times New Roman" w:hAnsi="Times New Roman"/>
      <w:sz w:val="24"/>
      <w:szCs w:val="24"/>
      <w:lang w:eastAsia="ar-SA"/>
    </w:rPr>
  </w:style>
  <w:style w:type="paragraph" w:customStyle="1" w:styleId="Header3">
    <w:name w:val="Header_3"/>
    <w:basedOn w:val="Normal4"/>
    <w:link w:val="HeaderChar3"/>
    <w:pPr>
      <w:tabs>
        <w:tab w:val="center" w:pos="4153"/>
        <w:tab w:val="right" w:pos="8306"/>
      </w:tabs>
    </w:pPr>
  </w:style>
  <w:style w:type="character" w:customStyle="1" w:styleId="HeaderChar3">
    <w:name w:val="Header Char_3"/>
    <w:link w:val="Header3"/>
    <w:rPr>
      <w:rFonts w:ascii="Times New Roman" w:hAnsi="Times New Roman"/>
      <w:sz w:val="24"/>
      <w:szCs w:val="24"/>
      <w:lang w:eastAsia="ar-SA"/>
    </w:rPr>
  </w:style>
  <w:style w:type="paragraph" w:customStyle="1" w:styleId="Notes3">
    <w:name w:val="Notes_3"/>
    <w:basedOn w:val="Header3"/>
    <w:link w:val="NotesChar3"/>
    <w:pPr>
      <w:numPr>
        <w:numId w:val="8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lang w:val="en-GB"/>
    </w:rPr>
  </w:style>
  <w:style w:type="character" w:customStyle="1" w:styleId="NotesChar3">
    <w:name w:val="Notes Char_3"/>
    <w:link w:val="Notes3"/>
    <w:locked/>
    <w:rPr>
      <w:rFonts w:ascii="Arial" w:hAnsi="Arial"/>
      <w:b/>
      <w:szCs w:val="24"/>
      <w:lang w:val="en-US" w:eastAsia="ar-SA"/>
    </w:rPr>
  </w:style>
  <w:style w:type="paragraph" w:customStyle="1" w:styleId="Normal26">
    <w:name w:val="Normal_26"/>
    <w:qFormat/>
    <w:pPr>
      <w:suppressAutoHyphens/>
    </w:pPr>
    <w:rPr>
      <w:rFonts w:ascii="Times New Roman" w:hAnsi="Times New Roman"/>
      <w:sz w:val="24"/>
      <w:szCs w:val="24"/>
      <w:lang w:eastAsia="ar-SA"/>
    </w:rPr>
  </w:style>
  <w:style w:type="paragraph" w:customStyle="1" w:styleId="Header24">
    <w:name w:val="Header_24"/>
    <w:basedOn w:val="Normal26"/>
    <w:link w:val="HeaderChar24"/>
    <w:pPr>
      <w:tabs>
        <w:tab w:val="center" w:pos="4153"/>
        <w:tab w:val="right" w:pos="8306"/>
      </w:tabs>
    </w:pPr>
  </w:style>
  <w:style w:type="character" w:customStyle="1" w:styleId="HeaderChar24">
    <w:name w:val="Header Char_24"/>
    <w:link w:val="Header24"/>
    <w:rPr>
      <w:rFonts w:ascii="Times New Roman" w:hAnsi="Times New Roman"/>
      <w:sz w:val="24"/>
      <w:szCs w:val="24"/>
      <w:lang w:eastAsia="ar-SA"/>
    </w:rPr>
  </w:style>
  <w:style w:type="paragraph" w:customStyle="1" w:styleId="Notes22">
    <w:name w:val="Notes_22"/>
    <w:basedOn w:val="Header24"/>
    <w:link w:val="NotesChar22"/>
    <w:pPr>
      <w:numPr>
        <w:numId w:val="8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lang w:val="en-GB"/>
    </w:rPr>
  </w:style>
  <w:style w:type="character" w:customStyle="1" w:styleId="NotesChar22">
    <w:name w:val="Notes Char_22"/>
    <w:link w:val="Notes22"/>
    <w:rPr>
      <w:rFonts w:ascii="Arial" w:hAnsi="Arial"/>
      <w:b/>
      <w:szCs w:val="24"/>
      <w:lang w:val="en-US" w:eastAsia="ar-SA"/>
    </w:rPr>
  </w:style>
  <w:style w:type="paragraph" w:customStyle="1" w:styleId="Normal108">
    <w:name w:val="Normal_108"/>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109">
    <w:name w:val="Normal_109"/>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Normal5">
    <w:name w:val="Normal_5"/>
    <w:qFormat/>
    <w:pPr>
      <w:suppressAutoHyphens/>
    </w:pPr>
    <w:rPr>
      <w:rFonts w:ascii="Times New Roman" w:hAnsi="Times New Roman"/>
      <w:sz w:val="24"/>
      <w:szCs w:val="24"/>
      <w:lang w:eastAsia="ar-SA"/>
    </w:rPr>
  </w:style>
  <w:style w:type="paragraph" w:customStyle="1" w:styleId="Header4">
    <w:name w:val="Header_4"/>
    <w:basedOn w:val="Normal5"/>
    <w:link w:val="HeaderChar4"/>
    <w:uiPriority w:val="99"/>
    <w:pPr>
      <w:tabs>
        <w:tab w:val="center" w:pos="4153"/>
        <w:tab w:val="right" w:pos="8306"/>
      </w:tabs>
    </w:pPr>
  </w:style>
  <w:style w:type="character" w:customStyle="1" w:styleId="HeaderChar4">
    <w:name w:val="Header Char_4"/>
    <w:link w:val="Header4"/>
    <w:uiPriority w:val="99"/>
    <w:rPr>
      <w:rFonts w:ascii="Times New Roman" w:hAnsi="Times New Roman"/>
      <w:sz w:val="24"/>
      <w:szCs w:val="24"/>
      <w:lang w:eastAsia="ar-SA"/>
    </w:rPr>
  </w:style>
  <w:style w:type="paragraph" w:customStyle="1" w:styleId="Notes4">
    <w:name w:val="Notes_4"/>
    <w:basedOn w:val="Header4"/>
    <w:link w:val="NotesChar4"/>
    <w:pPr>
      <w:numPr>
        <w:numId w:val="8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lang w:val="en-GB"/>
    </w:rPr>
  </w:style>
  <w:style w:type="character" w:customStyle="1" w:styleId="NotesChar4">
    <w:name w:val="Notes Char_4"/>
    <w:link w:val="Notes4"/>
    <w:locked/>
    <w:rPr>
      <w:rFonts w:ascii="Arial" w:hAnsi="Arial"/>
      <w:b/>
      <w:szCs w:val="24"/>
      <w:lang w:val="en-US" w:eastAsia="ar-SA"/>
    </w:rPr>
  </w:style>
  <w:style w:type="paragraph" w:customStyle="1" w:styleId="Normal27">
    <w:name w:val="Normal_27"/>
    <w:qFormat/>
    <w:pPr>
      <w:suppressAutoHyphens/>
    </w:pPr>
    <w:rPr>
      <w:rFonts w:ascii="Times New Roman" w:hAnsi="Times New Roman"/>
      <w:sz w:val="24"/>
      <w:szCs w:val="24"/>
      <w:lang w:eastAsia="ar-SA"/>
    </w:rPr>
  </w:style>
  <w:style w:type="paragraph" w:customStyle="1" w:styleId="Header25">
    <w:name w:val="Header_25"/>
    <w:basedOn w:val="Normal27"/>
    <w:link w:val="HeaderChar25"/>
    <w:pPr>
      <w:tabs>
        <w:tab w:val="center" w:pos="4153"/>
        <w:tab w:val="right" w:pos="8306"/>
      </w:tabs>
    </w:p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9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lang w:val="en-GB"/>
    </w:rPr>
  </w:style>
  <w:style w:type="character" w:customStyle="1" w:styleId="NotesChar23">
    <w:name w:val="Notes Char_23"/>
    <w:link w:val="Notes23"/>
    <w:rPr>
      <w:rFonts w:ascii="Arial" w:hAnsi="Arial"/>
      <w:b/>
      <w:szCs w:val="24"/>
      <w:lang w:val="en-US" w:eastAsia="ar-SA"/>
    </w:rPr>
  </w:style>
  <w:style w:type="paragraph" w:customStyle="1" w:styleId="Normal111">
    <w:name w:val="Normal_111"/>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112">
    <w:name w:val="Normal_112"/>
    <w:qFormat/>
    <w:pPr>
      <w:suppressAutoHyphens/>
    </w:pPr>
    <w:rPr>
      <w:rFonts w:ascii="Times New Roman" w:hAnsi="Times New Roman"/>
      <w:sz w:val="24"/>
      <w:szCs w:val="24"/>
      <w:lang w:eastAsia="ar-SA"/>
    </w:rPr>
  </w:style>
  <w:style w:type="paragraph" w:customStyle="1" w:styleId="Normal28">
    <w:name w:val="Normal_28"/>
    <w:qFormat/>
    <w:pPr>
      <w:suppressAutoHyphens/>
    </w:pPr>
    <w:rPr>
      <w:rFonts w:ascii="Times New Roman" w:hAnsi="Times New Roman"/>
      <w:sz w:val="24"/>
      <w:szCs w:val="24"/>
      <w:lang w:eastAsia="ar-SA"/>
    </w:rPr>
  </w:style>
  <w:style w:type="paragraph" w:customStyle="1" w:styleId="Header26">
    <w:name w:val="Header_26"/>
    <w:basedOn w:val="Normal28"/>
    <w:link w:val="HeaderChar26"/>
    <w:pPr>
      <w:tabs>
        <w:tab w:val="center" w:pos="4153"/>
        <w:tab w:val="right" w:pos="8306"/>
      </w:tabs>
    </w:pPr>
  </w:style>
  <w:style w:type="character" w:customStyle="1" w:styleId="HeaderChar26">
    <w:name w:val="Header Char_26"/>
    <w:link w:val="Header26"/>
    <w:rPr>
      <w:rFonts w:ascii="Times New Roman" w:hAnsi="Times New Roman"/>
      <w:sz w:val="24"/>
      <w:szCs w:val="24"/>
      <w:lang w:eastAsia="ar-SA"/>
    </w:rPr>
  </w:style>
  <w:style w:type="paragraph" w:customStyle="1" w:styleId="Notes24">
    <w:name w:val="Notes_24"/>
    <w:basedOn w:val="Header26"/>
    <w:link w:val="NotesChar24"/>
    <w:pPr>
      <w:numPr>
        <w:numId w:val="9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lang w:val="en-GB"/>
    </w:rPr>
  </w:style>
  <w:style w:type="character" w:customStyle="1" w:styleId="NotesChar24">
    <w:name w:val="Notes Char_24"/>
    <w:link w:val="Notes24"/>
    <w:rPr>
      <w:rFonts w:ascii="Arial" w:hAnsi="Arial"/>
      <w:b/>
      <w:szCs w:val="24"/>
      <w:lang w:val="en-US"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113">
    <w:name w:val="Normal_113"/>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114">
    <w:name w:val="Normal_114"/>
    <w:qFormat/>
    <w:pPr>
      <w:suppressAutoHyphens/>
    </w:pPr>
    <w:rPr>
      <w:rFonts w:ascii="Times New Roman" w:hAnsi="Times New Roman"/>
      <w:sz w:val="24"/>
      <w:szCs w:val="24"/>
      <w:lang w:eastAsia="ar-SA"/>
    </w:rPr>
  </w:style>
  <w:style w:type="paragraph" w:customStyle="1" w:styleId="Normal29">
    <w:name w:val="Normal_29"/>
    <w:qFormat/>
    <w:pPr>
      <w:suppressAutoHyphens/>
    </w:pPr>
    <w:rPr>
      <w:rFonts w:ascii="Times New Roman" w:hAnsi="Times New Roman"/>
      <w:sz w:val="24"/>
      <w:szCs w:val="24"/>
      <w:lang w:eastAsia="ar-SA"/>
    </w:rPr>
  </w:style>
  <w:style w:type="paragraph" w:customStyle="1" w:styleId="Header27">
    <w:name w:val="Header_27"/>
    <w:basedOn w:val="Normal29"/>
    <w:link w:val="HeaderChar27"/>
    <w:pPr>
      <w:tabs>
        <w:tab w:val="center" w:pos="4153"/>
        <w:tab w:val="right" w:pos="8306"/>
      </w:tabs>
    </w:pPr>
  </w:style>
  <w:style w:type="character" w:customStyle="1" w:styleId="HeaderChar27">
    <w:name w:val="Header Char_27"/>
    <w:link w:val="Header27"/>
    <w:rPr>
      <w:rFonts w:ascii="Times New Roman" w:hAnsi="Times New Roman"/>
      <w:sz w:val="24"/>
      <w:szCs w:val="24"/>
      <w:lang w:eastAsia="ar-SA"/>
    </w:rPr>
  </w:style>
  <w:style w:type="paragraph" w:customStyle="1" w:styleId="Notes25">
    <w:name w:val="Notes_25"/>
    <w:basedOn w:val="Header27"/>
    <w:link w:val="NotesChar25"/>
    <w:pPr>
      <w:numPr>
        <w:numId w:val="9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lang w:val="en-GB"/>
    </w:rPr>
  </w:style>
  <w:style w:type="character" w:customStyle="1" w:styleId="NotesChar25">
    <w:name w:val="Notes Char_25"/>
    <w:link w:val="Notes25"/>
    <w:rPr>
      <w:rFonts w:ascii="Arial" w:hAnsi="Arial"/>
      <w:b/>
      <w:szCs w:val="24"/>
      <w:lang w:val="en-US" w:eastAsia="ar-SA"/>
    </w:rPr>
  </w:style>
  <w:style w:type="paragraph" w:customStyle="1" w:styleId="Normal182">
    <w:name w:val="Normal_18_2"/>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rmal30">
    <w:name w:val="Normal_30"/>
    <w:qFormat/>
    <w:pPr>
      <w:suppressAutoHyphens/>
    </w:pPr>
    <w:rPr>
      <w:rFonts w:ascii="Times New Roman" w:hAnsi="Times New Roman"/>
      <w:sz w:val="24"/>
      <w:szCs w:val="24"/>
      <w:lang w:eastAsia="ar-SA"/>
    </w:rPr>
  </w:style>
  <w:style w:type="paragraph" w:customStyle="1" w:styleId="Header28">
    <w:name w:val="Header_28"/>
    <w:basedOn w:val="Normal30"/>
    <w:link w:val="HeaderChar28"/>
    <w:pPr>
      <w:tabs>
        <w:tab w:val="center" w:pos="4153"/>
        <w:tab w:val="right" w:pos="8306"/>
      </w:tabs>
    </w:pPr>
  </w:style>
  <w:style w:type="character" w:customStyle="1" w:styleId="HeaderChar28">
    <w:name w:val="Header Char_28"/>
    <w:link w:val="Header28"/>
    <w:rPr>
      <w:rFonts w:ascii="Times New Roman" w:hAnsi="Times New Roman"/>
      <w:sz w:val="24"/>
      <w:szCs w:val="24"/>
      <w:lang w:eastAsia="ar-SA"/>
    </w:rPr>
  </w:style>
  <w:style w:type="paragraph" w:customStyle="1" w:styleId="Notes26">
    <w:name w:val="Notes_26"/>
    <w:basedOn w:val="Header28"/>
    <w:link w:val="NotesChar26"/>
    <w:pPr>
      <w:numPr>
        <w:numId w:val="9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lang w:val="en-GB"/>
    </w:rPr>
  </w:style>
  <w:style w:type="character" w:customStyle="1" w:styleId="NotesChar26">
    <w:name w:val="Notes Char_26"/>
    <w:link w:val="Notes26"/>
    <w:rPr>
      <w:rFonts w:ascii="Arial" w:hAnsi="Arial"/>
      <w:b/>
      <w:szCs w:val="24"/>
      <w:lang w:val="en-US"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link w:val="NotesChar210"/>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ink w:val="Notes210"/>
    <w:locked/>
    <w:rPr>
      <w:rFonts w:ascii="Arial" w:hAnsi="Arial"/>
      <w:b/>
      <w:szCs w:val="24"/>
      <w:lang w:eastAsia="ar-SA"/>
    </w:rPr>
  </w:style>
  <w:style w:type="paragraph" w:customStyle="1" w:styleId="Normal1810">
    <w:name w:val="Normal_18_1_0"/>
    <w:qFormat/>
    <w:pPr>
      <w:suppressAutoHyphens/>
    </w:pPr>
    <w:rPr>
      <w:rFonts w:ascii="Times New Roman" w:hAnsi="Times New Roman"/>
      <w:sz w:val="24"/>
      <w:szCs w:val="24"/>
      <w:lang w:eastAsia="ar-SA"/>
    </w:rPr>
  </w:style>
  <w:style w:type="paragraph" w:customStyle="1" w:styleId="Normal115">
    <w:name w:val="Normal_115"/>
    <w:qFormat/>
    <w:pPr>
      <w:suppressAutoHyphens/>
    </w:pPr>
    <w:rPr>
      <w:rFonts w:ascii="Times New Roman" w:hAnsi="Times New Roman"/>
      <w:sz w:val="24"/>
      <w:szCs w:val="24"/>
      <w:lang w:eastAsia="ar-SA"/>
    </w:rPr>
  </w:style>
  <w:style w:type="paragraph" w:customStyle="1" w:styleId="Normal116">
    <w:name w:val="Normal_116"/>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117">
    <w:name w:val="Normal_117"/>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118">
    <w:name w:val="Normal_118"/>
    <w:qFormat/>
    <w:pPr>
      <w:suppressAutoHyphens/>
    </w:pPr>
    <w:rPr>
      <w:rFonts w:ascii="Times New Roman" w:hAnsi="Times New Roman"/>
      <w:sz w:val="24"/>
      <w:szCs w:val="24"/>
      <w:lang w:eastAsia="ar-SA"/>
    </w:rPr>
  </w:style>
  <w:style w:type="paragraph" w:customStyle="1" w:styleId="ListParagraph3">
    <w:name w:val="List Paragraph_3"/>
    <w:basedOn w:val="Normal29"/>
    <w:uiPriority w:val="34"/>
    <w:qFormat/>
    <w:pPr>
      <w:ind w:left="720"/>
      <w:contextualSpacing/>
    </w:pPr>
  </w:style>
  <w:style w:type="paragraph" w:customStyle="1" w:styleId="Normal31">
    <w:name w:val="Normal_31"/>
    <w:qFormat/>
    <w:pPr>
      <w:suppressAutoHyphens/>
    </w:pPr>
    <w:rPr>
      <w:rFonts w:ascii="Times New Roman" w:hAnsi="Times New Roman"/>
      <w:sz w:val="24"/>
      <w:szCs w:val="24"/>
      <w:lang w:eastAsia="ar-SA"/>
    </w:rPr>
  </w:style>
  <w:style w:type="paragraph" w:customStyle="1" w:styleId="ListParagraph4">
    <w:name w:val="List Paragraph_4"/>
    <w:basedOn w:val="Normal31"/>
    <w:uiPriority w:val="34"/>
    <w:qFormat/>
    <w:pPr>
      <w:ind w:left="720"/>
      <w:contextualSpacing/>
    </w:pPr>
  </w:style>
  <w:style w:type="paragraph" w:customStyle="1" w:styleId="Normal119">
    <w:name w:val="Normal_119"/>
    <w:qFormat/>
    <w:pPr>
      <w:suppressAutoHyphens/>
    </w:pPr>
    <w:rPr>
      <w:rFonts w:ascii="Times New Roman" w:hAnsi="Times New Roman"/>
      <w:sz w:val="24"/>
      <w:szCs w:val="24"/>
      <w:lang w:eastAsia="ar-SA"/>
    </w:rPr>
  </w:style>
  <w:style w:type="paragraph" w:customStyle="1" w:styleId="Normal120">
    <w:name w:val="Normal_120"/>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Header29">
    <w:name w:val="Header_29"/>
    <w:basedOn w:val="Normal31"/>
    <w:link w:val="HeaderChar29"/>
    <w:pPr>
      <w:tabs>
        <w:tab w:val="center" w:pos="4153"/>
        <w:tab w:val="right" w:pos="8306"/>
      </w:tabs>
    </w:pPr>
  </w:style>
  <w:style w:type="character" w:customStyle="1" w:styleId="HeaderChar29">
    <w:name w:val="Header Char_29"/>
    <w:link w:val="Header29"/>
    <w:rPr>
      <w:rFonts w:ascii="Times New Roman" w:hAnsi="Times New Roman"/>
      <w:sz w:val="24"/>
      <w:szCs w:val="24"/>
      <w:lang w:eastAsia="ar-SA"/>
    </w:rPr>
  </w:style>
  <w:style w:type="paragraph" w:customStyle="1" w:styleId="Notes27">
    <w:name w:val="Notes_27"/>
    <w:basedOn w:val="Header29"/>
    <w:link w:val="NotesChar27"/>
    <w:pPr>
      <w:numPr>
        <w:numId w:val="10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lang w:val="en-GB"/>
    </w:rPr>
  </w:style>
  <w:style w:type="character" w:customStyle="1" w:styleId="NotesChar27">
    <w:name w:val="Notes Char_27"/>
    <w:link w:val="Notes27"/>
    <w:rPr>
      <w:rFonts w:ascii="Arial" w:hAnsi="Arial"/>
      <w:b/>
      <w:szCs w:val="24"/>
      <w:lang w:val="en-US" w:eastAsia="ar-SA"/>
    </w:rPr>
  </w:style>
  <w:style w:type="paragraph" w:customStyle="1" w:styleId="Normal121">
    <w:name w:val="Normal_121"/>
    <w:qFormat/>
    <w:pPr>
      <w:suppressAutoHyphens/>
    </w:pPr>
    <w:rPr>
      <w:rFonts w:ascii="Times New Roman" w:hAnsi="Times New Roman"/>
      <w:sz w:val="24"/>
      <w:szCs w:val="24"/>
      <w:lang w:eastAsia="ar-SA"/>
    </w:rPr>
  </w:style>
  <w:style w:type="paragraph" w:customStyle="1" w:styleId="Normal210">
    <w:name w:val="Normal_2_1"/>
    <w:qFormat/>
    <w:rPr>
      <w:rFonts w:ascii="Times New Roman" w:hAnsi="Times New Roman"/>
    </w:rPr>
  </w:style>
  <w:style w:type="paragraph" w:customStyle="1" w:styleId="Header110">
    <w:name w:val="Header_1_1"/>
    <w:basedOn w:val="Normal210"/>
    <w:link w:val="HeaderChar110"/>
    <w:uiPriority w:val="99"/>
    <w:unhideWhenUsed/>
    <w:pPr>
      <w:tabs>
        <w:tab w:val="center" w:pos="4680"/>
        <w:tab w:val="right" w:pos="9360"/>
      </w:tabs>
    </w:pPr>
    <w:rPr>
      <w:rFonts w:ascii="Calibri" w:eastAsia="Calibri" w:hAnsi="Calibri" w:cs="Arial"/>
      <w:lang w:val="en-US" w:eastAsia="en-US"/>
    </w:rPr>
  </w:style>
  <w:style w:type="character" w:customStyle="1" w:styleId="HeaderChar110">
    <w:name w:val="Header Char_1_1"/>
    <w:basedOn w:val="DefaultParagraphFont"/>
    <w:link w:val="Header110"/>
    <w:uiPriority w:val="99"/>
    <w:rPr>
      <w:rFonts w:eastAsia="Calibri" w:cs="Arial"/>
      <w:lang w:val="en-US" w:eastAsia="en-US"/>
    </w:rPr>
  </w:style>
  <w:style w:type="paragraph" w:customStyle="1" w:styleId="Normal42">
    <w:name w:val="Normal_4_2"/>
    <w:qFormat/>
    <w:rPr>
      <w:rFonts w:eastAsia="Calibri" w:cs="Arial"/>
      <w:lang w:val="en-US" w:eastAsia="en-US"/>
    </w:rPr>
  </w:style>
  <w:style w:type="paragraph" w:customStyle="1" w:styleId="Normal122">
    <w:name w:val="Normal_122"/>
    <w:qFormat/>
    <w:pPr>
      <w:suppressAutoHyphens/>
    </w:pPr>
    <w:rPr>
      <w:rFonts w:ascii="Times New Roman" w:hAnsi="Times New Roman"/>
      <w:sz w:val="24"/>
      <w:szCs w:val="24"/>
      <w:lang w:eastAsia="ar-SA"/>
    </w:rPr>
  </w:style>
  <w:style w:type="paragraph" w:customStyle="1" w:styleId="Normal32">
    <w:name w:val="Normal_32"/>
    <w:qFormat/>
    <w:rPr>
      <w:rFonts w:eastAsia="Calibri" w:cs="Arial"/>
      <w:lang w:val="en-US" w:eastAsia="en-US"/>
    </w:rPr>
  </w:style>
  <w:style w:type="paragraph" w:customStyle="1" w:styleId="Header30">
    <w:name w:val="Header_30"/>
    <w:basedOn w:val="Normal32"/>
    <w:link w:val="HeaderChar30"/>
    <w:uiPriority w:val="99"/>
    <w:semiHidden/>
    <w:unhideWhenUsed/>
    <w:pPr>
      <w:tabs>
        <w:tab w:val="center" w:pos="4680"/>
        <w:tab w:val="right" w:pos="9360"/>
      </w:tabs>
    </w:pPr>
  </w:style>
  <w:style w:type="character" w:customStyle="1" w:styleId="HeaderChar30">
    <w:name w:val="Header Char_30"/>
    <w:basedOn w:val="DefaultParagraphFont"/>
    <w:link w:val="Header30"/>
    <w:uiPriority w:val="99"/>
    <w:semiHidden/>
    <w:rPr>
      <w:rFonts w:eastAsia="Calibri" w:cs="Arial"/>
      <w:lang w:val="en-US" w:eastAsia="en-US"/>
    </w:rPr>
  </w:style>
  <w:style w:type="paragraph" w:customStyle="1" w:styleId="Notes28">
    <w:name w:val="Notes_28"/>
    <w:basedOn w:val="Header30"/>
    <w:link w:val="NotesChar28"/>
    <w:pPr>
      <w:numPr>
        <w:numId w:val="102"/>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character" w:customStyle="1" w:styleId="NotesChar28">
    <w:name w:val="Notes Char_28"/>
    <w:link w:val="Notes28"/>
    <w:rPr>
      <w:rFonts w:ascii="Arial" w:eastAsia="Calibri" w:hAnsi="Arial" w:cs="Arial"/>
      <w:b/>
      <w:szCs w:val="24"/>
      <w:lang w:val="en-US" w:eastAsia="ar-SA"/>
    </w:rPr>
  </w:style>
  <w:style w:type="paragraph" w:customStyle="1" w:styleId="Title1150">
    <w:name w:val="Title 1.1_5_0"/>
    <w:basedOn w:val="Normal122"/>
    <w:pPr>
      <w:tabs>
        <w:tab w:val="right" w:pos="-2700"/>
        <w:tab w:val="right" w:pos="720"/>
      </w:tabs>
      <w:ind w:left="720" w:hanging="360"/>
      <w:jc w:val="both"/>
    </w:pPr>
    <w:rPr>
      <w:rFonts w:ascii="Arial" w:hAnsi="Arial"/>
      <w:sz w:val="20"/>
      <w:szCs w:val="20"/>
    </w:rPr>
  </w:style>
  <w:style w:type="paragraph" w:customStyle="1" w:styleId="Normal123">
    <w:name w:val="Normal_123"/>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tes29">
    <w:name w:val="Notes_29"/>
    <w:basedOn w:val="Header26"/>
    <w:link w:val="NotesChar29"/>
    <w:pPr>
      <w:tabs>
        <w:tab w:val="clear" w:pos="4153"/>
        <w:tab w:val="clear" w:pos="8306"/>
        <w:tab w:val="center" w:pos="4320"/>
        <w:tab w:val="right" w:pos="8640"/>
      </w:tabs>
      <w:spacing w:before="120" w:after="120"/>
      <w:ind w:left="360" w:hanging="360"/>
      <w:jc w:val="both"/>
    </w:pPr>
    <w:rPr>
      <w:rFonts w:ascii="Arial" w:hAnsi="Arial"/>
      <w:b/>
      <w:sz w:val="20"/>
      <w:lang w:val="en-US"/>
    </w:rPr>
  </w:style>
  <w:style w:type="character" w:customStyle="1" w:styleId="NotesChar29">
    <w:name w:val="Notes Char_29"/>
    <w:link w:val="Notes29"/>
    <w:rPr>
      <w:rFonts w:ascii="Arial" w:hAnsi="Arial"/>
      <w:b/>
      <w:szCs w:val="24"/>
      <w:lang w:val="en-US" w:eastAsia="ar-SA"/>
    </w:rPr>
  </w:style>
  <w:style w:type="paragraph" w:customStyle="1" w:styleId="Normal124">
    <w:name w:val="Normal_124"/>
    <w:qFormat/>
    <w:pPr>
      <w:suppressAutoHyphens/>
    </w:pPr>
    <w:rPr>
      <w:rFonts w:ascii="Times New Roman" w:hAnsi="Times New Roman"/>
      <w:sz w:val="24"/>
      <w:szCs w:val="24"/>
      <w:lang w:eastAsia="ar-SA"/>
    </w:rPr>
  </w:style>
  <w:style w:type="paragraph" w:customStyle="1" w:styleId="Title1151">
    <w:name w:val="Title 1.1_5_1"/>
    <w:basedOn w:val="Normal124"/>
    <w:pPr>
      <w:tabs>
        <w:tab w:val="right" w:pos="-2700"/>
        <w:tab w:val="right" w:pos="720"/>
      </w:tabs>
      <w:ind w:left="720" w:hanging="360"/>
      <w:jc w:val="both"/>
    </w:pPr>
    <w:rPr>
      <w:rFonts w:ascii="Arial" w:hAnsi="Arial"/>
      <w:sz w:val="20"/>
      <w:szCs w:val="20"/>
    </w:rPr>
  </w:style>
  <w:style w:type="paragraph" w:customStyle="1" w:styleId="Normal125">
    <w:name w:val="Normal_125"/>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220">
    <w:name w:val="Normal_2_2"/>
    <w:qFormat/>
    <w:rPr>
      <w:rFonts w:ascii="Times New Roman" w:hAnsi="Times New Roman"/>
    </w:rPr>
  </w:style>
  <w:style w:type="paragraph" w:customStyle="1" w:styleId="Header120">
    <w:name w:val="Header_1_2"/>
    <w:basedOn w:val="Normal220"/>
    <w:link w:val="HeaderChar120"/>
    <w:uiPriority w:val="99"/>
    <w:unhideWhenUsed/>
    <w:pPr>
      <w:tabs>
        <w:tab w:val="center" w:pos="4680"/>
        <w:tab w:val="right" w:pos="9360"/>
      </w:tabs>
    </w:pPr>
    <w:rPr>
      <w:rFonts w:ascii="Calibri" w:eastAsia="Calibri" w:hAnsi="Calibri" w:cs="Arial"/>
      <w:lang w:val="en-US" w:eastAsia="en-US"/>
    </w:rPr>
  </w:style>
  <w:style w:type="character" w:customStyle="1" w:styleId="HeaderChar120">
    <w:name w:val="Header Char_1_2"/>
    <w:basedOn w:val="DefaultParagraphFont"/>
    <w:link w:val="Header120"/>
    <w:uiPriority w:val="99"/>
    <w:rPr>
      <w:rFonts w:ascii="Times New Roman" w:hAnsi="Times New Roman"/>
    </w:rPr>
  </w:style>
  <w:style w:type="paragraph" w:customStyle="1" w:styleId="Normal43">
    <w:name w:val="Normal_4_3"/>
    <w:qFormat/>
    <w:rPr>
      <w:rFonts w:eastAsia="Calibri" w:cs="Arial"/>
      <w:lang w:val="en-US" w:eastAsia="en-US"/>
    </w:rPr>
  </w:style>
  <w:style w:type="paragraph" w:customStyle="1" w:styleId="Normal126">
    <w:name w:val="Normal_126"/>
    <w:qFormat/>
    <w:pPr>
      <w:suppressAutoHyphens/>
    </w:pPr>
    <w:rPr>
      <w:rFonts w:ascii="Times New Roman" w:hAnsi="Times New Roman"/>
      <w:sz w:val="24"/>
      <w:szCs w:val="24"/>
      <w:lang w:eastAsia="ar-SA"/>
    </w:rPr>
  </w:style>
  <w:style w:type="paragraph" w:customStyle="1" w:styleId="ListParagraph5">
    <w:name w:val="List Paragraph_5"/>
    <w:basedOn w:val="Normal126"/>
    <w:uiPriority w:val="34"/>
    <w:qFormat/>
    <w:pPr>
      <w:ind w:left="720"/>
      <w:contextualSpacing/>
    </w:p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Normal127">
    <w:name w:val="Normal_127"/>
    <w:qFormat/>
    <w:pPr>
      <w:suppressAutoHyphens/>
    </w:pPr>
    <w:rPr>
      <w:rFonts w:ascii="Times New Roman" w:hAnsi="Times New Roman"/>
      <w:sz w:val="24"/>
      <w:szCs w:val="24"/>
      <w:lang w:eastAsia="ar-SA"/>
    </w:rPr>
  </w:style>
  <w:style w:type="paragraph" w:customStyle="1" w:styleId="Normal128">
    <w:name w:val="Normal_128"/>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129">
    <w:name w:val="Normal_129"/>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tes">
    <w:name w:val="Notes"/>
    <w:basedOn w:val="Header"/>
    <w:link w:val="NotesChar"/>
    <w:pPr>
      <w:numPr>
        <w:numId w:val="106"/>
      </w:numPr>
      <w:tabs>
        <w:tab w:val="clear" w:pos="4677"/>
        <w:tab w:val="clear" w:pos="9355"/>
        <w:tab w:val="center" w:pos="4320"/>
        <w:tab w:val="right" w:pos="8640"/>
      </w:tabs>
      <w:suppressAutoHyphens/>
      <w:spacing w:before="120" w:after="120"/>
      <w:jc w:val="both"/>
    </w:pPr>
    <w:rPr>
      <w:rFonts w:ascii="Arial" w:hAnsi="Arial"/>
      <w:b/>
      <w:sz w:val="20"/>
      <w:lang w:val="en-US"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lang w:val="en-GB"/>
    </w:rPr>
  </w:style>
  <w:style w:type="character" w:customStyle="1" w:styleId="NotesChar">
    <w:name w:val="Notes Char"/>
    <w:link w:val="Notes"/>
    <w:rPr>
      <w:rFonts w:ascii="Arial" w:hAnsi="Arial"/>
      <w:b/>
      <w:szCs w:val="24"/>
      <w:lang w:val="en-US" w:eastAsia="ar-SA"/>
    </w:rPr>
  </w:style>
  <w:style w:type="paragraph" w:customStyle="1" w:styleId="Normal130">
    <w:name w:val="Normal_130"/>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tes32">
    <w:name w:val="Notes_32"/>
    <w:basedOn w:val="Header29"/>
    <w:link w:val="NotesChar32"/>
    <w:pPr>
      <w:tabs>
        <w:tab w:val="clear" w:pos="4153"/>
        <w:tab w:val="clear" w:pos="8306"/>
        <w:tab w:val="center" w:pos="4320"/>
        <w:tab w:val="right" w:pos="8640"/>
      </w:tabs>
      <w:spacing w:before="120" w:after="120"/>
      <w:ind w:left="360" w:hanging="360"/>
      <w:jc w:val="both"/>
    </w:pPr>
    <w:rPr>
      <w:rFonts w:ascii="Arial" w:hAnsi="Arial"/>
      <w:b/>
      <w:sz w:val="20"/>
      <w:lang w:val="en-US"/>
    </w:rPr>
  </w:style>
  <w:style w:type="character" w:customStyle="1" w:styleId="NotesChar32">
    <w:name w:val="Notes Char_32"/>
    <w:link w:val="Notes32"/>
    <w:rPr>
      <w:rFonts w:ascii="Arial" w:hAnsi="Arial"/>
      <w:b/>
      <w:szCs w:val="24"/>
      <w:lang w:val="en-US" w:eastAsia="ar-SA"/>
    </w:rPr>
  </w:style>
  <w:style w:type="paragraph" w:customStyle="1" w:styleId="Normal131">
    <w:name w:val="Normal_131"/>
    <w:qFormat/>
    <w:pPr>
      <w:suppressAutoHyphens/>
    </w:pPr>
    <w:rPr>
      <w:rFonts w:ascii="Times New Roman" w:hAnsi="Times New Roman"/>
      <w:sz w:val="24"/>
      <w:szCs w:val="24"/>
      <w:lang w:eastAsia="ar-SA"/>
    </w:rPr>
  </w:style>
  <w:style w:type="paragraph" w:customStyle="1" w:styleId="ListParagraph6">
    <w:name w:val="List Paragraph_6"/>
    <w:basedOn w:val="Normal131"/>
    <w:uiPriority w:val="34"/>
    <w:qFormat/>
    <w:pPr>
      <w:ind w:left="720"/>
      <w:contextualSpacing/>
    </w:pPr>
  </w:style>
  <w:style w:type="paragraph" w:customStyle="1" w:styleId="Normal690">
    <w:name w:val="Normal_69_0"/>
    <w:qFormat/>
    <w:pPr>
      <w:suppressAutoHyphens/>
    </w:pPr>
    <w:rPr>
      <w:rFonts w:ascii="Times New Roman" w:hAnsi="Times New Roman"/>
      <w:sz w:val="24"/>
      <w:szCs w:val="24"/>
      <w:lang w:eastAsia="ar-SA"/>
    </w:rPr>
  </w:style>
  <w:style w:type="paragraph" w:customStyle="1" w:styleId="Normal132">
    <w:name w:val="Normal_132"/>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133">
    <w:name w:val="Normal_133"/>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135">
    <w:name w:val="Normal_135"/>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Title1">
    <w:name w:val="Title 1"/>
    <w:basedOn w:val="Notes"/>
    <w:link w:val="Title1Char"/>
    <w:pPr>
      <w:spacing w:before="0" w:after="0"/>
    </w:pPr>
  </w:style>
  <w:style w:type="character" w:customStyle="1" w:styleId="Title1Char">
    <w:name w:val="Title 1 Char"/>
    <w:basedOn w:val="NotesChar"/>
    <w:link w:val="Title1"/>
    <w:rPr>
      <w:rFonts w:ascii="Arial" w:hAnsi="Arial"/>
      <w:b/>
      <w:szCs w:val="24"/>
      <w:lang w:val="en-US" w:eastAsia="ar-SA"/>
    </w:rPr>
  </w:style>
  <w:style w:type="paragraph" w:customStyle="1" w:styleId="Normal136">
    <w:name w:val="Normal_136"/>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137">
    <w:name w:val="Normal_137"/>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138">
    <w:name w:val="Normal_138"/>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paragraph" w:customStyle="1" w:styleId="Normal139">
    <w:name w:val="Normal_139"/>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1400">
    <w:name w:val="Normal_140"/>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141">
    <w:name w:val="Normal_141"/>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142">
    <w:name w:val="Normal_142"/>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143">
    <w:name w:val="Normal_143"/>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144">
    <w:name w:val="Normal_144"/>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145">
    <w:name w:val="Normal_145"/>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146">
    <w:name w:val="Normal_146"/>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147">
    <w:name w:val="Normal_147"/>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148">
    <w:name w:val="Normal_148"/>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tes33">
    <w:name w:val="Notes_33"/>
    <w:basedOn w:val="Header30"/>
    <w:link w:val="NotesChar33"/>
    <w:pPr>
      <w:numPr>
        <w:numId w:val="108"/>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character" w:customStyle="1" w:styleId="NotesChar33">
    <w:name w:val="Notes Char_33"/>
    <w:link w:val="Notes33"/>
    <w:locked/>
    <w:rPr>
      <w:rFonts w:ascii="Arial" w:eastAsia="Calibri" w:hAnsi="Arial" w:cs="Arial"/>
      <w:b/>
      <w:szCs w:val="24"/>
      <w:lang w:val="en-US" w:eastAsia="ar-SA"/>
    </w:rPr>
  </w:style>
  <w:style w:type="paragraph" w:customStyle="1" w:styleId="Normal149">
    <w:name w:val="Normal_149"/>
    <w:qFormat/>
    <w:rPr>
      <w:rFonts w:eastAsia="Calibri" w:cs="Arial"/>
      <w:lang w:val="en-US" w:eastAsia="en-US"/>
    </w:rPr>
  </w:style>
  <w:style w:type="table" w:customStyle="1" w:styleId="TableGrid0">
    <w:name w:val="Table Grid_0"/>
    <w:basedOn w:val="TableNormal"/>
    <w:uiPriority w:val="59"/>
    <w:rPr>
      <w:rFonts w:eastAsia="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0">
    <w:name w:val="Normal_150"/>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7">
    <w:name w:val="Normal_7"/>
    <w:qFormat/>
    <w:pPr>
      <w:suppressAutoHyphens/>
    </w:pPr>
    <w:rPr>
      <w:rFonts w:ascii="Times New Roman" w:hAnsi="Times New Roman"/>
      <w:sz w:val="24"/>
      <w:szCs w:val="24"/>
      <w:lang w:eastAsia="ar-SA"/>
    </w:rPr>
  </w:style>
  <w:style w:type="paragraph" w:customStyle="1" w:styleId="Normal151">
    <w:name w:val="Normal_151"/>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StyleTextstand-aloneCustomColorRGB1">
    <w:name w:val="Style Text_stand-alone + Custom Color(RGB(1"/>
    <w:basedOn w:val="Textstand-alone"/>
    <w:pPr>
      <w:spacing w:before="120" w:after="0"/>
    </w:pPr>
    <w:rPr>
      <w:color w:val="016794"/>
      <w:szCs w:val="20"/>
    </w:rPr>
  </w:style>
  <w:style w:type="paragraph" w:customStyle="1" w:styleId="Text9pItalicLeft025">
    <w:name w:val="Text_9p_Italic_Left_0.25"/>
    <w:basedOn w:val="Normal"/>
    <w:qFormat/>
    <w:pPr>
      <w:ind w:left="142"/>
    </w:pPr>
    <w:rPr>
      <w:rFonts w:ascii="Verdana" w:eastAsia="Calibri" w:hAnsi="Verdana" w:cstheme="minorBidi"/>
      <w:i/>
      <w:noProof/>
      <w:sz w:val="18"/>
      <w:szCs w:val="18"/>
      <w:lang w:eastAsia="en-US"/>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Normal"/>
    <w:qFormat/>
    <w:pPr>
      <w:numPr>
        <w:numId w:val="4"/>
      </w:numPr>
      <w:tabs>
        <w:tab w:val="left" w:pos="907"/>
      </w:tabs>
      <w:spacing w:after="240"/>
      <w:jc w:val="both"/>
    </w:pPr>
    <w:rPr>
      <w:rFonts w:ascii="Verdana" w:hAnsi="Verdana"/>
      <w:b/>
      <w:color w:val="016794"/>
      <w:sz w:val="32"/>
      <w:szCs w:val="32"/>
    </w:r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rPr>
      <w:lang w:val="fr-BE"/>
    </w:rPr>
  </w:style>
  <w:style w:type="paragraph" w:customStyle="1" w:styleId="HEADER2PartBUDG">
    <w:name w:val="HEADER 2_Part BUDG"/>
    <w:basedOn w:val="HEADER2Part1"/>
    <w:qFormat/>
    <w:rPr>
      <w:lang w:val="fr-BE"/>
    </w:rPr>
  </w:style>
  <w:style w:type="paragraph" w:customStyle="1" w:styleId="HEADER3PartBUGD">
    <w:name w:val="HEADER 3_Part BUGD"/>
    <w:basedOn w:val="HEADER3Part1"/>
    <w:qFormat/>
    <w:rPr>
      <w:lang w:val="fr-BE"/>
    </w:rPr>
  </w:style>
  <w:style w:type="paragraph" w:customStyle="1" w:styleId="HEADER4PartBUDG">
    <w:name w:val="HEADER 4_Part BUDG"/>
    <w:basedOn w:val="HEADER4Part1"/>
    <w:qFormat/>
    <w:rPr>
      <w:lang w:val="fr-BE"/>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character" w:styleId="FootnoteReference">
    <w:name w:val="footnote reference"/>
    <w:basedOn w:val="DefaultParagraphFont"/>
    <w:uiPriority w:val="99"/>
    <w:semiHidden/>
    <w:unhideWhenUsed/>
    <w:rPr>
      <w:vertAlign w:val="superscript"/>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DMETW18949BIPAGGBS">
    <w:name w:val="DM_ETW_18949_BIP_AGGBS"/>
    <w:rPr>
      <w:rFonts w:eastAsia="Calibri"/>
    </w:rPr>
  </w:style>
  <w:style w:type="paragraph" w:customStyle="1" w:styleId="DMETW18949BIPAGGPL">
    <w:name w:val="DM_ETW_18949_BIP_AGGPL"/>
    <w:rPr>
      <w:rFonts w:eastAsia="Calibri"/>
    </w:rPr>
  </w:style>
  <w:style w:type="paragraph" w:customStyle="1" w:styleId="DMETW18949BIPAGGCF">
    <w:name w:val="DM_ETW_18949_BIP_AGGCF"/>
    <w:rPr>
      <w:rFonts w:eastAsia="Calibri"/>
    </w:rPr>
  </w:style>
  <w:style w:type="paragraph" w:customStyle="1" w:styleId="DMETW18949BIPAGGNA">
    <w:name w:val="DM_ETW_18949_BIP_AGGNA"/>
    <w:rPr>
      <w:rFonts w:eastAsia="Calibri"/>
    </w:rPr>
  </w:style>
  <w:style w:type="paragraph" w:customStyle="1" w:styleId="DMETW18983BIPBSEDF">
    <w:name w:val="DM_ETW_18983_BIP_BSEDF"/>
    <w:rPr>
      <w:rFonts w:eastAsia="Calibri"/>
    </w:rPr>
  </w:style>
  <w:style w:type="paragraph" w:customStyle="1" w:styleId="DMETW18983BIPPLEDF">
    <w:name w:val="DM_ETW_18983_BIP_PLEDF"/>
    <w:rPr>
      <w:rFonts w:eastAsia="Calibri"/>
    </w:rPr>
  </w:style>
  <w:style w:type="paragraph" w:customStyle="1" w:styleId="DMETW18983BIPCNA8">
    <w:name w:val="DM_ETW_18983_BIP_CNA8"/>
    <w:rPr>
      <w:rFonts w:eastAsia="Calibri"/>
    </w:rPr>
  </w:style>
  <w:style w:type="paragraph" w:customStyle="1" w:styleId="DMETW18983BIPCNA9">
    <w:name w:val="DM_ETW_18983_BIP_CNA9"/>
    <w:rPr>
      <w:rFonts w:eastAsia="Calibri"/>
    </w:rPr>
  </w:style>
  <w:style w:type="paragraph" w:customStyle="1" w:styleId="DMETW18983BIPCNA10">
    <w:name w:val="DM_ETW_18983_BIP_CNA10"/>
    <w:rPr>
      <w:rFonts w:eastAsia="Calibri"/>
    </w:rPr>
  </w:style>
  <w:style w:type="paragraph" w:customStyle="1" w:styleId="DMETW18983BIPCNA11">
    <w:name w:val="DM_ETW_18983_BIP_CNA11"/>
    <w:rPr>
      <w:rFonts w:eastAsia="Calibri"/>
    </w:rPr>
  </w:style>
  <w:style w:type="paragraph" w:customStyle="1" w:styleId="DMETW17185BIPCURR">
    <w:name w:val="DM_ETW_17185_BIP_CURR"/>
    <w:rPr>
      <w:rFonts w:eastAsia="Calibri"/>
    </w:rPr>
  </w:style>
  <w:style w:type="paragraph" w:customStyle="1" w:styleId="DMETW17185BIPDRCAS">
    <w:name w:val="DM_ETW_17185_BIP_DR_CAS"/>
    <w:rPr>
      <w:rFonts w:eastAsia="Calibri"/>
    </w:rPr>
  </w:style>
  <w:style w:type="paragraph" w:customStyle="1" w:styleId="DGTextstand-alone">
    <w:name w:val="DG_Text_stand-alone"/>
    <w:link w:val="DGTextstand-aloneChar"/>
    <w:pPr>
      <w:spacing w:before="240" w:after="240"/>
      <w:jc w:val="both"/>
    </w:pPr>
    <w:rPr>
      <w:rFonts w:ascii="Verdana" w:eastAsia="Calibri" w:hAnsi="Verdana"/>
      <w:noProof/>
      <w:sz w:val="18"/>
      <w:szCs w:val="18"/>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DMETW18983BIPPF">
    <w:name w:val="DM_ETW_18983_BIP_PF"/>
    <w:rPr>
      <w:rFonts w:eastAsia="Calibri"/>
    </w:rPr>
  </w:style>
  <w:style w:type="paragraph" w:customStyle="1" w:styleId="DMETW18983BIPNCPFBMM">
    <w:name w:val="DM_ETW_18983_BIP_NCPF_BMM"/>
    <w:rPr>
      <w:rFonts w:eastAsia="Calibri"/>
    </w:rPr>
  </w:style>
  <w:style w:type="paragraph" w:customStyle="1" w:styleId="DMETW18983BIPCPF">
    <w:name w:val="DM_ETW_18983_BIP_CPF"/>
    <w:rPr>
      <w:rFonts w:eastAsia="Calibri"/>
    </w:rPr>
  </w:style>
  <w:style w:type="paragraph" w:customStyle="1" w:styleId="DMETW18983BIPTFCONTR">
    <w:name w:val="DM_ETW_18983_BIP_TFCONTR"/>
    <w:rPr>
      <w:rFonts w:eastAsia="Calibri"/>
    </w:rPr>
  </w:style>
  <w:style w:type="paragraph" w:customStyle="1" w:styleId="DMETW18983BIPERNER">
    <w:name w:val="DM_ETW_18983_BIP_ERNER"/>
    <w:rPr>
      <w:rFonts w:eastAsia="Calibri"/>
    </w:rPr>
  </w:style>
  <w:style w:type="paragraph" w:customStyle="1" w:styleId="DMETW18983BIPRNET">
    <w:name w:val="DM_ETW_18983_BIP_RNET"/>
    <w:rPr>
      <w:rFonts w:eastAsia="Calibri"/>
    </w:rPr>
  </w:style>
  <w:style w:type="paragraph" w:customStyle="1" w:styleId="DMETW18983BIPRET">
    <w:name w:val="DM_ETW_18983_BIP_RET"/>
    <w:rPr>
      <w:rFonts w:eastAsia="Calibri"/>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DMETW18983BIPCASH">
    <w:name w:val="DM_ETW_18983_BIP_CASH"/>
    <w:rPr>
      <w:rFonts w:eastAsia="Calibri"/>
    </w:rPr>
  </w:style>
  <w:style w:type="paragraph" w:customStyle="1" w:styleId="DMETW18983BIPCOFINPAY">
    <w:name w:val="DM_ETW_18983_BIP_COFINPAY"/>
    <w:rPr>
      <w:rFonts w:eastAsia="Calibri"/>
    </w:rPr>
  </w:style>
  <w:style w:type="paragraph" w:customStyle="1" w:styleId="DMETW18983BIPPAY">
    <w:name w:val="DM_ETW_18983_BIP_PAY"/>
    <w:rPr>
      <w:rFonts w:eastAsia="Calibri"/>
    </w:rPr>
  </w:style>
  <w:style w:type="paragraph" w:customStyle="1" w:styleId="DMETW18983BIPCURPAY">
    <w:name w:val="DM_ETW_18983_BIP_CURPAY"/>
    <w:rPr>
      <w:rFonts w:eastAsia="Calibri"/>
    </w:rPr>
  </w:style>
  <w:style w:type="paragraph" w:customStyle="1" w:styleId="DMETW18983BIPSUNPAY">
    <w:name w:val="DM_ETW_18983_BIP_SUNPAY"/>
    <w:rPr>
      <w:rFonts w:eastAsia="Calibri"/>
    </w:rPr>
  </w:style>
  <w:style w:type="paragraph" w:customStyle="1" w:styleId="DMETW18983BIPACCDEF">
    <w:name w:val="DM_ETW_18983_BIP_ACCDEF"/>
    <w:rPr>
      <w:rFonts w:eastAsia="Calibri"/>
    </w:rPr>
  </w:style>
  <w:style w:type="paragraph" w:customStyle="1" w:styleId="DMETW18983BIPFVMAFS">
    <w:name w:val="DM_ETW_18983_BIP_FVMAFS"/>
    <w:rPr>
      <w:rFonts w:eastAsia="Calibri"/>
    </w:rPr>
  </w:style>
  <w:style w:type="paragraph" w:customStyle="1" w:styleId="DMETW18983BIPCLDFCAP">
    <w:name w:val="DM_ETW_18983_BIP_CLDFCAP"/>
    <w:rPr>
      <w:rFonts w:eastAsia="Calibri"/>
    </w:rPr>
  </w:style>
  <w:style w:type="paragraph" w:customStyle="1" w:styleId="DMETW18983BIPCLDFCAPMS11">
    <w:name w:val="DM_ETW_18983_BIP_CLDFCAP_MS11"/>
    <w:rPr>
      <w:rFonts w:eastAsia="Calibri"/>
    </w:rPr>
  </w:style>
  <w:style w:type="paragraph" w:customStyle="1" w:styleId="DMETW18983BIPCLDFCAPTFTCLS">
    <w:name w:val="DM_ETW_18983_BIP_CLDFCAP_TFT_CLS"/>
    <w:rPr>
      <w:rFonts w:eastAsia="Calibri"/>
    </w:rPr>
  </w:style>
  <w:style w:type="paragraph" w:customStyle="1" w:styleId="DMETW18983BIPCLDFCAPTFTACT">
    <w:name w:val="DM_ETW_18983_BIP_CLDFCAP_TFT_ACT"/>
    <w:rPr>
      <w:rFonts w:eastAsia="Calibri"/>
    </w:rPr>
  </w:style>
  <w:style w:type="paragraph" w:customStyle="1" w:styleId="DMETW18983BIPREV">
    <w:name w:val="DM_ETW_18983_BIP_REV"/>
    <w:rPr>
      <w:rFonts w:eastAsia="Calibri"/>
    </w:rPr>
  </w:style>
  <w:style w:type="paragraph" w:customStyle="1" w:styleId="DMETW18983BIPNEXREV">
    <w:name w:val="DM_ETW_18983_BIP_NEXREV"/>
    <w:rPr>
      <w:rFonts w:eastAsia="Calibri"/>
    </w:rPr>
  </w:style>
  <w:style w:type="paragraph" w:customStyle="1" w:styleId="DMETW18983BIPNEXREVBMM">
    <w:name w:val="DM_ETW_18983_BIP_NEXREV_BMM"/>
    <w:rPr>
      <w:rFonts w:eastAsia="Calibri"/>
    </w:rPr>
  </w:style>
  <w:style w:type="paragraph" w:customStyle="1" w:styleId="DMETW18983BIPEXREV">
    <w:name w:val="DM_ETW_18983_BIP_EXREV"/>
    <w:rPr>
      <w:rFonts w:eastAsia="Calibri"/>
    </w:rPr>
  </w:style>
  <w:style w:type="paragraph" w:customStyle="1" w:styleId="DMETW18983BIPOPEAID">
    <w:name w:val="DM_ETW_18983_BIP_OPE_AID"/>
    <w:rPr>
      <w:rFonts w:eastAsia="Calibri"/>
    </w:rPr>
  </w:style>
  <w:style w:type="paragraph" w:customStyle="1" w:styleId="DMETW18983BIPOPECOFI">
    <w:name w:val="DM_ETW_18983_BIP_OPE_COFI"/>
    <w:rPr>
      <w:rFonts w:eastAsia="Calibri"/>
    </w:rPr>
  </w:style>
  <w:style w:type="paragraph" w:customStyle="1" w:styleId="DMETW18983BIPOPEBMM">
    <w:name w:val="DM_ETW_18983_BIP_OPE_BMM"/>
    <w:rPr>
      <w:rFonts w:eastAsia="Calibri"/>
    </w:rPr>
  </w:style>
  <w:style w:type="paragraph" w:customStyle="1" w:styleId="DMETW18983BIPFINCOST">
    <w:name w:val="DM_ETW_18983_BIP_FINCOST"/>
    <w:rPr>
      <w:rFonts w:eastAsia="Calibri"/>
    </w:rPr>
  </w:style>
  <w:style w:type="paragraph" w:customStyle="1" w:styleId="DMETW18983BIPOTHEXP">
    <w:name w:val="DM_ETW_18983_BIP_OTHEXP"/>
    <w:rPr>
      <w:rFonts w:eastAsia="Calibri"/>
    </w:rPr>
  </w:style>
  <w:style w:type="paragraph" w:customStyle="1" w:styleId="DMETW18983BIPCONTGASSTS">
    <w:name w:val="DM_ETW_18983_BIP_CONTGASSTS"/>
    <w:rPr>
      <w:rFonts w:eastAsia="Calibri"/>
    </w:rPr>
  </w:style>
  <w:style w:type="paragraph" w:customStyle="1" w:styleId="DMETW18983BIPOCNYE">
    <w:name w:val="DM_ETW_18983_BIP_OCNYE"/>
    <w:rPr>
      <w:rFonts w:eastAsia="Calibri"/>
    </w:rPr>
  </w:style>
  <w:style w:type="paragraph" w:customStyle="1" w:styleId="DMETW19001BIPCR">
    <w:name w:val="DM_ETW_19001_BIP_CR"/>
    <w:rPr>
      <w:rFonts w:eastAsia="Calibri"/>
    </w:rPr>
  </w:style>
  <w:style w:type="paragraph" w:customStyle="1" w:styleId="DMETW19001BIPCDTR">
    <w:name w:val="DM_ETW_19001_BIP_CDTR"/>
    <w:rPr>
      <w:rFonts w:eastAsia="Calibri"/>
    </w:rPr>
  </w:style>
  <w:style w:type="paragraph" w:customStyle="1" w:styleId="DMETW19001BIPFARC">
    <w:name w:val="DM_ETW_19001_BIP_FARC"/>
    <w:rPr>
      <w:rFonts w:eastAsia="Calibri"/>
    </w:rPr>
  </w:style>
  <w:style w:type="paragraph" w:customStyle="1" w:styleId="DMETW19001BIPLR">
    <w:name w:val="DM_ETW_19001_BIP_LR"/>
    <w:rPr>
      <w:rFonts w:eastAsia="Calibri"/>
    </w:rPr>
  </w:style>
  <w:style w:type="paragraph" w:customStyle="1" w:styleId="DMETW19001BIPECRBDGR">
    <w:name w:val="DM_ETW_19001_BIP_ECRBDGR"/>
    <w:rPr>
      <w:rFonts w:eastAsia="Calibri"/>
    </w:rPr>
  </w:style>
  <w:style w:type="paragraph" w:customStyle="1" w:styleId="DMETW18319BIPBS">
    <w:name w:val="DM_ETW_18319_BIP_BS"/>
    <w:rPr>
      <w:rFonts w:eastAsia="Calibri"/>
    </w:rPr>
  </w:style>
  <w:style w:type="paragraph" w:customStyle="1" w:styleId="DMETW18319BIPFP">
    <w:name w:val="DM_ETW_18319_BIP_FP"/>
    <w:rPr>
      <w:rFonts w:eastAsia="Calibri"/>
    </w:rPr>
  </w:style>
  <w:style w:type="paragraph" w:customStyle="1" w:styleId="DMETW18319BIPCF">
    <w:name w:val="DM_ETW_18319_BIP_CF"/>
    <w:rPr>
      <w:rFonts w:eastAsia="Calibri"/>
    </w:rPr>
  </w:style>
  <w:style w:type="paragraph" w:customStyle="1" w:styleId="DMETW17933BIPBS">
    <w:name w:val="DM_ETW_17933_BIP_BS"/>
    <w:rPr>
      <w:rFonts w:eastAsia="Calibri"/>
    </w:rPr>
  </w:style>
  <w:style w:type="paragraph" w:customStyle="1" w:styleId="DMETW17933BIPFP">
    <w:name w:val="DM_ETW_17933_BIP_FP"/>
    <w:rPr>
      <w:rFonts w:eastAsia="Calibri"/>
    </w:rPr>
  </w:style>
  <w:style w:type="paragraph" w:customStyle="1" w:styleId="DMETW17933BIPCF">
    <w:name w:val="DM_ETW_17933_BIP_CF"/>
    <w:rPr>
      <w:rFonts w:eastAsia="Calibri"/>
    </w:rPr>
  </w:style>
  <w:style w:type="paragraph" w:customStyle="1" w:styleId="DMETW18992BIPCONSBS">
    <w:name w:val="DM_ETW_18992_BIP_CONSBS"/>
    <w:rPr>
      <w:rFonts w:eastAsia="Calibri"/>
    </w:rPr>
  </w:style>
  <w:style w:type="paragraph" w:customStyle="1" w:styleId="DMETW18992BIPCONSPL">
    <w:name w:val="DM_ETW_18992_BIP_CONSPL"/>
    <w:rPr>
      <w:rFonts w:eastAsia="Calibri"/>
    </w:rPr>
  </w:style>
  <w:style w:type="paragraph" w:customStyle="1" w:styleId="DMETW18992BIPCONSCF">
    <w:name w:val="DM_ETW_18992_BIP_CONSCF"/>
    <w:rPr>
      <w:rFonts w:eastAsia="Calibri"/>
    </w:rPr>
  </w:style>
  <w:style w:type="paragraph" w:customStyle="1" w:styleId="DMETW18992BIPCONSNA">
    <w:name w:val="DM_ETW_18992_BIP_CONSNA"/>
    <w:rPr>
      <w:rFonts w:eastAsia="Calibri"/>
    </w:rPr>
  </w:style>
  <w:style w:type="paragraph" w:customStyle="1" w:styleId="HEADERTITLE0">
    <w:name w:val="HEADER_TITLE_0"/>
    <w:basedOn w:val="HEADERTITLE"/>
    <w:qFormat/>
    <w:pPr>
      <w:jc w:val="both"/>
    </w:pPr>
  </w:style>
  <w:style w:type="paragraph" w:customStyle="1" w:styleId="ListBullet1">
    <w:name w:val="List Bullet 1"/>
    <w:basedOn w:val="Normal"/>
    <w:pPr>
      <w:numPr>
        <w:numId w:val="21"/>
      </w:numPr>
      <w:spacing w:before="120" w:after="120"/>
      <w:jc w:val="both"/>
    </w:pPr>
    <w:rPr>
      <w:lang w:eastAsia="de-DE"/>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ListDash">
    <w:name w:val="List Dash"/>
    <w:basedOn w:val="Normal"/>
    <w:pPr>
      <w:numPr>
        <w:numId w:val="23"/>
      </w:numPr>
      <w:spacing w:before="120" w:after="120"/>
      <w:jc w:val="both"/>
    </w:pPr>
    <w:rPr>
      <w:lang w:eastAsia="de-DE"/>
    </w:rPr>
  </w:style>
  <w:style w:type="paragraph" w:customStyle="1" w:styleId="DMETW19004BIPTable11">
    <w:name w:val="DM_ETW_19004_BIP_Table1.1"/>
    <w:rPr>
      <w:rFonts w:eastAsia="Calibri"/>
    </w:rPr>
  </w:style>
  <w:style w:type="paragraph" w:customStyle="1" w:styleId="DMETW19004BIPTable12">
    <w:name w:val="DM_ETW_19004_BIP_Table_1.2"/>
    <w:rPr>
      <w:rFonts w:eastAsia="Calibri"/>
    </w:rPr>
  </w:style>
  <w:style w:type="paragraph" w:customStyle="1" w:styleId="DMETW19004BIPTable13">
    <w:name w:val="DM_ETW_19004_BIP_Table_1.3"/>
    <w:rPr>
      <w:rFonts w:eastAsia="Calibri"/>
    </w:rPr>
  </w:style>
  <w:style w:type="paragraph" w:customStyle="1" w:styleId="DMETW19004BIPTable14">
    <w:name w:val="DM_ETW_19004_BIP_Table_1.4"/>
    <w:rPr>
      <w:rFonts w:eastAsia="Calibri"/>
    </w:rPr>
  </w:style>
  <w:style w:type="paragraph" w:customStyle="1" w:styleId="DMETW19004BIPTable21a">
    <w:name w:val="DM_ETW_19004_BIP_Table_2.1a"/>
    <w:rPr>
      <w:rFonts w:eastAsia="Calibri"/>
    </w:rPr>
  </w:style>
  <w:style w:type="paragraph" w:customStyle="1" w:styleId="DMETW19004BIPTable21b">
    <w:name w:val="DM_ETW_19004_BIP_Table_2.1b"/>
    <w:rPr>
      <w:rFonts w:eastAsia="Calibri"/>
    </w:rPr>
  </w:style>
  <w:style w:type="paragraph" w:customStyle="1" w:styleId="DMETW19004BIPTable22">
    <w:name w:val="DM_ETW_19004_BIP_Table_2.2"/>
    <w:rPr>
      <w:rFonts w:eastAsia="Calibri"/>
    </w:rPr>
  </w:style>
  <w:style w:type="paragraph" w:customStyle="1" w:styleId="DMETW19004BIPTable23">
    <w:name w:val="DM_ETW_19004_BIP_Table_2.3"/>
    <w:rPr>
      <w:rFonts w:eastAsia="Calibri"/>
    </w:rPr>
  </w:style>
  <w:style w:type="paragraph" w:customStyle="1" w:styleId="DMETW19004BIPTable24">
    <w:name w:val="DM_ETW_19004_BIP_Table_2.4"/>
    <w:rPr>
      <w:rFonts w:eastAsia="Calibri"/>
    </w:rPr>
  </w:style>
  <w:style w:type="paragraph" w:customStyle="1" w:styleId="DMETW19004BIPTable25">
    <w:name w:val="DM_ETW_19004_BIP_Table_2.5"/>
    <w:rPr>
      <w:rFonts w:eastAsia="Calibri"/>
    </w:rPr>
  </w:style>
  <w:style w:type="paragraph" w:customStyle="1" w:styleId="DMETW19004BIPTable26">
    <w:name w:val="DM_ETW_19004_BIP_Table_2.6"/>
    <w:rPr>
      <w:rFonts w:eastAsia="Calibri"/>
    </w:rPr>
  </w:style>
  <w:style w:type="paragraph" w:customStyle="1" w:styleId="Normal20">
    <w:name w:val="Normal_2_0"/>
    <w:qFormat/>
    <w:rPr>
      <w:rFonts w:ascii="Times New Roman" w:hAnsi="Times New Roman"/>
    </w:rPr>
  </w:style>
  <w:style w:type="paragraph" w:customStyle="1" w:styleId="Header10">
    <w:name w:val="Header_1_0"/>
    <w:basedOn w:val="Normal20"/>
    <w:link w:val="HeaderChar10"/>
    <w:uiPriority w:val="99"/>
    <w:unhideWhenUsed/>
    <w:pPr>
      <w:tabs>
        <w:tab w:val="center" w:pos="4680"/>
        <w:tab w:val="right" w:pos="9360"/>
      </w:tabs>
    </w:pPr>
    <w:rPr>
      <w:rFonts w:ascii="Calibri" w:eastAsia="Calibri" w:hAnsi="Calibri" w:cs="Arial"/>
      <w:lang w:val="en-US" w:eastAsia="en-US"/>
    </w:rPr>
  </w:style>
  <w:style w:type="character" w:customStyle="1" w:styleId="HeaderChar10">
    <w:name w:val="Header Char_1_0"/>
    <w:basedOn w:val="DefaultParagraphFont"/>
    <w:link w:val="Header10"/>
    <w:uiPriority w:val="99"/>
    <w:rPr>
      <w:rFonts w:eastAsia="Calibri" w:cs="Arial"/>
      <w:lang w:val="en-US" w:eastAsia="en-US"/>
    </w:rPr>
  </w:style>
  <w:style w:type="paragraph" w:customStyle="1" w:styleId="Normal41">
    <w:name w:val="Normal_4_1"/>
    <w:qFormat/>
    <w:rPr>
      <w:rFonts w:eastAsia="Calibri" w:cs="Arial"/>
      <w:lang w:val="en-US" w:eastAsia="en-US"/>
    </w:rPr>
  </w:style>
  <w:style w:type="paragraph" w:customStyle="1" w:styleId="Normal76">
    <w:name w:val="Normal_76"/>
    <w:qFormat/>
    <w:rPr>
      <w:rFonts w:ascii="Times New Roman" w:hAnsi="Times New Roman"/>
      <w:sz w:val="24"/>
      <w:szCs w:val="24"/>
    </w:rPr>
  </w:style>
  <w:style w:type="paragraph" w:customStyle="1" w:styleId="Normal0">
    <w:name w:val="Normal_0"/>
    <w:qFormat/>
    <w:pPr>
      <w:suppressAutoHyphens/>
    </w:pPr>
    <w:rPr>
      <w:rFonts w:ascii="Times New Roman" w:hAnsi="Times New Roman"/>
      <w:sz w:val="24"/>
      <w:szCs w:val="24"/>
      <w:lang w:eastAsia="ar-SA"/>
    </w:rPr>
  </w:style>
  <w:style w:type="paragraph" w:customStyle="1" w:styleId="Textstand-alonenumberingLetters0">
    <w:name w:val="Text_stand-alone_(numbering Letters)_0"/>
    <w:basedOn w:val="Normal"/>
    <w:qFormat/>
    <w:pPr>
      <w:numPr>
        <w:numId w:val="24"/>
      </w:numPr>
      <w:spacing w:after="240"/>
    </w:pPr>
    <w:rPr>
      <w:rFonts w:ascii="Verdana" w:hAnsi="Verdana"/>
      <w:sz w:val="18"/>
      <w:szCs w:val="18"/>
    </w:rPr>
  </w:style>
  <w:style w:type="paragraph" w:customStyle="1" w:styleId="Normal8">
    <w:name w:val="Normal_8"/>
    <w:qFormat/>
    <w:pPr>
      <w:suppressAutoHyphens/>
    </w:pPr>
    <w:rPr>
      <w:rFonts w:ascii="Times New Roman" w:hAnsi="Times New Roman"/>
      <w:sz w:val="24"/>
      <w:szCs w:val="24"/>
      <w:lang w:eastAsia="ar-SA"/>
    </w:rPr>
  </w:style>
  <w:style w:type="table" w:customStyle="1" w:styleId="CDMRange1">
    <w:name w:val="CDM Range 1"/>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
    <w:name w:val="CDM Range 2"/>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0">
    <w:name w:val="CDM Range 1_0"/>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0">
    <w:name w:val="CDM Range 2_0"/>
    <w:basedOn w:val="TableNormal"/>
    <w:next w:val="TableNormal"/>
    <w:semiHidden/>
    <w:rPr>
      <w:rFonts w:ascii="Times New Roman" w:hAnsi="Times New Roman"/>
    </w:rPr>
    <w:tblPr/>
  </w:style>
  <w:style w:type="paragraph" w:customStyle="1" w:styleId="Header0">
    <w:name w:val="Header_0"/>
    <w:basedOn w:val="Normal0"/>
    <w:link w:val="HeaderChar0"/>
    <w:uiPriority w:val="99"/>
    <w:pPr>
      <w:tabs>
        <w:tab w:val="center" w:pos="4153"/>
        <w:tab w:val="right" w:pos="8306"/>
      </w:tabs>
    </w:p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lang w:val="en-GB"/>
    </w:rPr>
  </w:style>
  <w:style w:type="character" w:customStyle="1" w:styleId="NotesChar0">
    <w:name w:val="Notes Char_0"/>
    <w:link w:val="Notes0"/>
    <w:rPr>
      <w:rFonts w:ascii="Arial" w:hAnsi="Arial"/>
      <w:b/>
      <w:szCs w:val="24"/>
      <w:lang w:val="en-US" w:eastAsia="ar-SA"/>
    </w:rPr>
  </w:style>
  <w:style w:type="paragraph" w:customStyle="1" w:styleId="Title10">
    <w:name w:val="Title 1_0"/>
    <w:basedOn w:val="Notes0"/>
    <w:pPr>
      <w:spacing w:before="0" w:after="0"/>
    </w:pPr>
  </w:style>
  <w:style w:type="paragraph" w:customStyle="1" w:styleId="Normal3">
    <w:name w:val="Normal_3"/>
    <w:qFormat/>
    <w:pPr>
      <w:suppressAutoHyphens/>
    </w:pPr>
    <w:rPr>
      <w:rFonts w:ascii="Times New Roman" w:hAnsi="Times New Roman"/>
      <w:sz w:val="24"/>
      <w:szCs w:val="24"/>
      <w:lang w:eastAsia="ar-SA"/>
    </w:rPr>
  </w:style>
  <w:style w:type="paragraph" w:customStyle="1" w:styleId="Header2">
    <w:name w:val="Header_2"/>
    <w:basedOn w:val="Normal3"/>
    <w:link w:val="HeaderChar2"/>
    <w:pPr>
      <w:tabs>
        <w:tab w:val="center" w:pos="4153"/>
        <w:tab w:val="right" w:pos="8306"/>
      </w:tabs>
    </w:pPr>
  </w:style>
  <w:style w:type="character" w:customStyle="1" w:styleId="HeaderChar2">
    <w:name w:val="Header Char_2"/>
    <w:link w:val="Header2"/>
    <w:rPr>
      <w:rFonts w:ascii="Times New Roman" w:hAnsi="Times New Roman"/>
      <w:sz w:val="24"/>
      <w:szCs w:val="24"/>
      <w:lang w:eastAsia="ar-SA"/>
    </w:rPr>
  </w:style>
  <w:style w:type="paragraph" w:customStyle="1" w:styleId="Notes2">
    <w:name w:val="Notes_2"/>
    <w:basedOn w:val="Header2"/>
    <w:link w:val="NotesChar2"/>
    <w:pPr>
      <w:numPr>
        <w:numId w:val="2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lang w:val="en-GB"/>
    </w:rPr>
  </w:style>
  <w:style w:type="character" w:customStyle="1" w:styleId="NotesChar2">
    <w:name w:val="Notes Char_2"/>
    <w:link w:val="Notes2"/>
    <w:rPr>
      <w:rFonts w:ascii="Arial" w:hAnsi="Arial"/>
      <w:b/>
      <w:szCs w:val="24"/>
      <w:lang w:val="en-US" w:eastAsia="ar-SA"/>
    </w:rPr>
  </w:style>
  <w:style w:type="paragraph" w:customStyle="1" w:styleId="Normal2">
    <w:name w:val="Normal_2"/>
    <w:qFormat/>
    <w:pPr>
      <w:suppressAutoHyphens/>
    </w:pPr>
    <w:rPr>
      <w:rFonts w:ascii="Times New Roman" w:hAnsi="Times New Roman"/>
      <w:sz w:val="24"/>
      <w:szCs w:val="24"/>
      <w:lang w:eastAsia="ar-SA"/>
    </w:rPr>
  </w:style>
  <w:style w:type="paragraph" w:customStyle="1" w:styleId="Header1">
    <w:name w:val="Header_1"/>
    <w:basedOn w:val="Normal2"/>
    <w:link w:val="HeaderChar1"/>
    <w:uiPriority w:val="99"/>
    <w:pPr>
      <w:tabs>
        <w:tab w:val="center" w:pos="4153"/>
        <w:tab w:val="right" w:pos="8306"/>
      </w:tabs>
    </w:pPr>
  </w:style>
  <w:style w:type="character" w:customStyle="1" w:styleId="HeaderChar1">
    <w:name w:val="Header Char_1"/>
    <w:link w:val="Header1"/>
    <w:uiPriority w:val="99"/>
    <w:rPr>
      <w:rFonts w:ascii="Times New Roman" w:hAnsi="Times New Roman"/>
      <w:sz w:val="24"/>
      <w:szCs w:val="24"/>
      <w:lang w:eastAsia="ar-SA"/>
    </w:rPr>
  </w:style>
  <w:style w:type="paragraph" w:customStyle="1" w:styleId="Notes1">
    <w:name w:val="Notes_1"/>
    <w:basedOn w:val="Header1"/>
    <w:link w:val="NotesChar1"/>
    <w:pPr>
      <w:numPr>
        <w:numId w:val="2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lang w:val="en-GB"/>
    </w:rPr>
  </w:style>
  <w:style w:type="character" w:customStyle="1" w:styleId="NotesChar1">
    <w:name w:val="Notes Char_1"/>
    <w:link w:val="Notes1"/>
    <w:locked/>
    <w:rPr>
      <w:rFonts w:ascii="Arial" w:hAnsi="Arial"/>
      <w:b/>
      <w:szCs w:val="24"/>
      <w:lang w:val="en-US" w:eastAsia="ar-SA"/>
    </w:rPr>
  </w:style>
  <w:style w:type="paragraph" w:customStyle="1" w:styleId="Title116">
    <w:name w:val="Title 1_1"/>
    <w:basedOn w:val="Notes1"/>
    <w:pPr>
      <w:spacing w:before="0" w:after="0"/>
    </w:pPr>
  </w:style>
  <w:style w:type="paragraph" w:customStyle="1" w:styleId="Normal77">
    <w:name w:val="Normal_77"/>
    <w:qFormat/>
    <w:rPr>
      <w:rFonts w:ascii="Times New Roman" w:hAnsi="Times New Roman"/>
      <w:sz w:val="24"/>
      <w:szCs w:val="24"/>
    </w:r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
    <w:name w:val="Normal_1_0_0"/>
    <w:qFormat/>
    <w:pPr>
      <w:spacing w:line="190" w:lineRule="atLeast"/>
      <w:jc w:val="both"/>
    </w:pPr>
    <w:rPr>
      <w:rFonts w:ascii="Arial" w:hAnsi="Arial"/>
      <w:sz w:val="15"/>
      <w:szCs w:val="24"/>
    </w:rPr>
  </w:style>
  <w:style w:type="paragraph" w:customStyle="1" w:styleId="Normal900">
    <w:name w:val="Normal_9_0_0"/>
    <w:qFormat/>
    <w:pPr>
      <w:spacing w:line="190" w:lineRule="atLeast"/>
      <w:jc w:val="both"/>
    </w:pPr>
    <w:rPr>
      <w:rFonts w:ascii="Arial" w:hAnsi="Arial"/>
      <w:sz w:val="15"/>
      <w:szCs w:val="24"/>
    </w:rPr>
  </w:style>
  <w:style w:type="paragraph" w:customStyle="1" w:styleId="Normal400">
    <w:name w:val="Normal_4_0_0"/>
    <w:qFormat/>
    <w:rPr>
      <w:rFonts w:eastAsia="Calibri" w:cs="Arial"/>
      <w:lang w:val="en-US" w:eastAsia="en-US"/>
    </w:rPr>
  </w:style>
  <w:style w:type="paragraph" w:customStyle="1" w:styleId="Normal901">
    <w:name w:val="Normal_9_0_1"/>
    <w:qFormat/>
    <w:pPr>
      <w:suppressAutoHyphens/>
    </w:pPr>
    <w:rPr>
      <w:rFonts w:ascii="Times New Roman" w:hAnsi="Times New Roman"/>
      <w:sz w:val="24"/>
      <w:szCs w:val="24"/>
      <w:lang w:eastAsia="ar-SA"/>
    </w:rPr>
  </w:style>
  <w:style w:type="paragraph" w:customStyle="1" w:styleId="Title1110">
    <w:name w:val="Title 1.1.1_0"/>
    <w:basedOn w:val="Notes1"/>
    <w:link w:val="Title111Char0"/>
    <w:pPr>
      <w:numPr>
        <w:ilvl w:val="2"/>
        <w:numId w:val="38"/>
      </w:numPr>
      <w:tabs>
        <w:tab w:val="clear" w:pos="4320"/>
        <w:tab w:val="clear" w:pos="8640"/>
        <w:tab w:val="right" w:pos="-2700"/>
      </w:tabs>
      <w:spacing w:before="0" w:after="0"/>
    </w:pPr>
    <w:rPr>
      <w:b w:val="0"/>
      <w:szCs w:val="20"/>
      <w:lang w:val="en-GB"/>
    </w:rPr>
  </w:style>
  <w:style w:type="character" w:customStyle="1" w:styleId="Title111Char0">
    <w:name w:val="Title 1.1.1 Char_0"/>
    <w:link w:val="Title1110"/>
    <w:rPr>
      <w:rFonts w:ascii="Arial" w:hAnsi="Arial"/>
      <w:lang w:eastAsia="ar-SA"/>
    </w:rPr>
  </w:style>
  <w:style w:type="paragraph" w:customStyle="1" w:styleId="Normal910">
    <w:name w:val="Normal_9_1_0"/>
    <w:qFormat/>
    <w:pPr>
      <w:spacing w:line="190" w:lineRule="atLeast"/>
      <w:jc w:val="both"/>
    </w:pPr>
    <w:rPr>
      <w:rFonts w:ascii="Arial" w:hAnsi="Arial"/>
      <w:sz w:val="15"/>
      <w:szCs w:val="24"/>
    </w:rPr>
  </w:style>
  <w:style w:type="paragraph" w:customStyle="1" w:styleId="Normal1000">
    <w:name w:val="Normal_10_0"/>
    <w:qFormat/>
    <w:pPr>
      <w:suppressAutoHyphens/>
    </w:pPr>
    <w:rPr>
      <w:rFonts w:ascii="Times New Roman" w:hAnsi="Times New Roman"/>
      <w:sz w:val="24"/>
      <w:szCs w:val="24"/>
      <w:lang w:eastAsia="ar-SA"/>
    </w:rPr>
  </w:style>
  <w:style w:type="paragraph" w:customStyle="1" w:styleId="Notes10">
    <w:name w:val="Notes_1_0"/>
    <w:basedOn w:val="Normal77"/>
    <w:link w:val="NotesChar10"/>
    <w:pPr>
      <w:numPr>
        <w:numId w:val="44"/>
      </w:numPr>
      <w:tabs>
        <w:tab w:val="center" w:pos="4320"/>
        <w:tab w:val="right" w:pos="8640"/>
      </w:tabs>
      <w:spacing w:before="120" w:after="120"/>
      <w:jc w:val="both"/>
    </w:pPr>
    <w:rPr>
      <w:rFonts w:ascii="Arial" w:hAnsi="Arial"/>
      <w:b/>
      <w:sz w:val="20"/>
      <w:lang w:val="en-US"/>
    </w:rPr>
  </w:style>
  <w:style w:type="character" w:customStyle="1" w:styleId="NotesChar10">
    <w:name w:val="Notes Char_1_0"/>
    <w:link w:val="Notes10"/>
    <w:locked/>
    <w:rPr>
      <w:rFonts w:ascii="Arial" w:hAnsi="Arial"/>
      <w:b/>
      <w:szCs w:val="24"/>
      <w:lang w:val="en-US"/>
    </w:rPr>
  </w:style>
  <w:style w:type="paragraph" w:customStyle="1" w:styleId="ListParagraph0">
    <w:name w:val="List Paragraph_0"/>
    <w:basedOn w:val="Normal2"/>
    <w:uiPriority w:val="34"/>
    <w:qFormat/>
    <w:pPr>
      <w:ind w:left="720"/>
      <w:contextualSpacing/>
    </w:pPr>
  </w:style>
  <w:style w:type="paragraph" w:customStyle="1" w:styleId="Normal160">
    <w:name w:val="Normal_16_0"/>
    <w:qFormat/>
    <w:rPr>
      <w:rFonts w:ascii="Times New Roman" w:hAnsi="Times New Roman"/>
      <w:sz w:val="24"/>
      <w:szCs w:val="24"/>
    </w:rPr>
  </w:style>
  <w:style w:type="paragraph" w:customStyle="1" w:styleId="Default0">
    <w:name w:val="Default_0"/>
    <w:pPr>
      <w:autoSpaceDE w:val="0"/>
      <w:autoSpaceDN w:val="0"/>
      <w:adjustRightInd w:val="0"/>
    </w:pPr>
    <w:rPr>
      <w:rFonts w:ascii="Arial" w:eastAsia="Calibri" w:hAnsi="Arial" w:cs="Arial"/>
      <w:color w:val="000000"/>
      <w:sz w:val="24"/>
      <w:szCs w:val="24"/>
      <w:lang w:eastAsia="en-US"/>
    </w:rPr>
  </w:style>
  <w:style w:type="paragraph" w:customStyle="1" w:styleId="xx0">
    <w:name w:val="xx_0"/>
    <w:basedOn w:val="Normal2"/>
    <w:pPr>
      <w:jc w:val="both"/>
    </w:pPr>
    <w:rPr>
      <w:rFonts w:ascii="Univers (WN)" w:hAnsi="Univers (WN)"/>
      <w:sz w:val="20"/>
      <w:szCs w:val="20"/>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paragraph" w:customStyle="1" w:styleId="Notes5">
    <w:name w:val="Notes_5"/>
    <w:basedOn w:val="Header50"/>
    <w:link w:val="NotesChar5"/>
    <w:pPr>
      <w:numPr>
        <w:numId w:val="5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lang w:val="en-GB"/>
    </w:rPr>
  </w:style>
  <w:style w:type="character" w:customStyle="1" w:styleId="NotesChar5">
    <w:name w:val="Notes Char_5"/>
    <w:link w:val="Notes5"/>
    <w:rPr>
      <w:rFonts w:ascii="Arial" w:hAnsi="Arial"/>
      <w:b/>
      <w:szCs w:val="24"/>
      <w:lang w:val="en-US" w:eastAsia="ar-SA"/>
    </w:rPr>
  </w:style>
  <w:style w:type="paragraph" w:customStyle="1" w:styleId="Title12">
    <w:name w:val="Title 1_2"/>
    <w:basedOn w:val="Notes2"/>
    <w:pPr>
      <w:spacing w:before="0" w:after="0"/>
    </w:pPr>
  </w:style>
  <w:style w:type="paragraph" w:customStyle="1" w:styleId="Normal78">
    <w:name w:val="Normal_78"/>
    <w:qFormat/>
    <w:rPr>
      <w:rFonts w:ascii="Times New Roman" w:hAnsi="Times New Roman"/>
      <w:sz w:val="24"/>
      <w:szCs w:val="24"/>
    </w:rPr>
  </w:style>
  <w:style w:type="paragraph" w:customStyle="1" w:styleId="Normal79">
    <w:name w:val="Normal_79"/>
    <w:qFormat/>
    <w:rPr>
      <w:rFonts w:ascii="Times New Roman" w:hAnsi="Times New Roman"/>
      <w:sz w:val="24"/>
      <w:szCs w:val="24"/>
    </w:rPr>
  </w:style>
  <w:style w:type="paragraph" w:customStyle="1" w:styleId="Title321">
    <w:name w:val="Title 3.2.1."/>
    <w:basedOn w:val="Notes5"/>
    <w:pPr>
      <w:numPr>
        <w:ilvl w:val="2"/>
        <w:numId w:val="56"/>
      </w:numPr>
      <w:tabs>
        <w:tab w:val="clear" w:pos="4320"/>
        <w:tab w:val="clear" w:pos="8640"/>
        <w:tab w:val="right" w:pos="-2700"/>
      </w:tabs>
      <w:spacing w:before="240"/>
    </w:pPr>
    <w:rPr>
      <w:szCs w:val="20"/>
      <w:lang w:val="en-GB"/>
    </w:rPr>
  </w:style>
  <w:style w:type="paragraph" w:customStyle="1" w:styleId="Normal9">
    <w:name w:val="Normal_9"/>
    <w:qFormat/>
    <w:pPr>
      <w:suppressAutoHyphens/>
    </w:pPr>
    <w:rPr>
      <w:rFonts w:ascii="Times New Roman" w:hAnsi="Times New Roman"/>
      <w:sz w:val="24"/>
      <w:szCs w:val="24"/>
      <w:lang w:eastAsia="ar-SA"/>
    </w:rPr>
  </w:style>
  <w:style w:type="paragraph" w:customStyle="1" w:styleId="Header7">
    <w:name w:val="Header_7"/>
    <w:basedOn w:val="Normal9"/>
    <w:link w:val="HeaderChar7"/>
    <w:pPr>
      <w:tabs>
        <w:tab w:val="center" w:pos="4153"/>
        <w:tab w:val="right" w:pos="8306"/>
      </w:tabs>
    </w:pPr>
  </w:style>
  <w:style w:type="character" w:customStyle="1" w:styleId="HeaderChar7">
    <w:name w:val="Header Char_7"/>
    <w:link w:val="Header7"/>
    <w:rPr>
      <w:rFonts w:ascii="Times New Roman" w:hAnsi="Times New Roman"/>
      <w:sz w:val="24"/>
      <w:szCs w:val="24"/>
      <w:lang w:eastAsia="ar-SA"/>
    </w:rPr>
  </w:style>
  <w:style w:type="paragraph" w:customStyle="1" w:styleId="Notes7">
    <w:name w:val="Notes_7"/>
    <w:basedOn w:val="Header7"/>
    <w:link w:val="NotesChar7"/>
    <w:pPr>
      <w:numPr>
        <w:numId w:val="5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lang w:val="en-GB"/>
    </w:rPr>
  </w:style>
  <w:style w:type="character" w:customStyle="1" w:styleId="NotesChar7">
    <w:name w:val="Notes Char_7"/>
    <w:link w:val="Notes7"/>
    <w:rPr>
      <w:rFonts w:ascii="Arial" w:hAnsi="Arial"/>
      <w:b/>
      <w:szCs w:val="24"/>
      <w:lang w:val="en-US" w:eastAsia="ar-SA"/>
    </w:rPr>
  </w:style>
  <w:style w:type="paragraph" w:customStyle="1" w:styleId="Normal80">
    <w:name w:val="Normal_80"/>
    <w:qFormat/>
    <w:rPr>
      <w:rFonts w:ascii="Times New Roman" w:hAnsi="Times New Roman"/>
      <w:sz w:val="24"/>
      <w:szCs w:val="24"/>
    </w:rPr>
  </w:style>
  <w:style w:type="paragraph" w:customStyle="1" w:styleId="Normal81">
    <w:name w:val="Normal_81"/>
    <w:qFormat/>
    <w:rPr>
      <w:rFonts w:ascii="Times New Roman" w:hAnsi="Times New Roman"/>
      <w:sz w:val="24"/>
      <w:szCs w:val="24"/>
    </w:rPr>
  </w:style>
  <w:style w:type="table" w:customStyle="1" w:styleId="CDMRange11">
    <w:name w:val="CDM Range 1_1"/>
    <w:basedOn w:val="TableNormal"/>
    <w:next w:val="TableNormal"/>
    <w:semiHidden/>
    <w:rPr>
      <w:rFonts w:ascii="Times New Roman" w:hAnsi="Times New Roman"/>
    </w:rPr>
    <w:tblPr/>
  </w:style>
  <w:style w:type="paragraph" w:customStyle="1" w:styleId="Normal10">
    <w:name w:val="Normal_10"/>
    <w:qFormat/>
    <w:pPr>
      <w:suppressAutoHyphens/>
    </w:pPr>
    <w:rPr>
      <w:rFonts w:ascii="Times New Roman" w:hAnsi="Times New Roman"/>
      <w:sz w:val="24"/>
      <w:szCs w:val="24"/>
      <w:lang w:eastAsia="ar-SA"/>
    </w:rPr>
  </w:style>
  <w:style w:type="paragraph" w:customStyle="1" w:styleId="Header8">
    <w:name w:val="Header_8"/>
    <w:basedOn w:val="Normal10"/>
    <w:link w:val="HeaderChar8"/>
    <w:pPr>
      <w:tabs>
        <w:tab w:val="center" w:pos="4153"/>
        <w:tab w:val="right" w:pos="8306"/>
      </w:tabs>
    </w:pPr>
  </w:style>
  <w:style w:type="character" w:customStyle="1" w:styleId="HeaderChar8">
    <w:name w:val="Header Char_8"/>
    <w:link w:val="Header8"/>
    <w:rPr>
      <w:rFonts w:ascii="Times New Roman" w:hAnsi="Times New Roman"/>
      <w:sz w:val="24"/>
      <w:szCs w:val="24"/>
      <w:lang w:eastAsia="ar-SA"/>
    </w:rPr>
  </w:style>
  <w:style w:type="paragraph" w:customStyle="1" w:styleId="Notes8">
    <w:name w:val="Notes_8"/>
    <w:basedOn w:val="Header8"/>
    <w:link w:val="NotesChar8"/>
    <w:pPr>
      <w:numPr>
        <w:numId w:val="5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lang w:val="en-GB"/>
    </w:rPr>
  </w:style>
  <w:style w:type="character" w:customStyle="1" w:styleId="NotesChar8">
    <w:name w:val="Notes Char_8"/>
    <w:link w:val="Notes8"/>
    <w:rPr>
      <w:rFonts w:ascii="Arial" w:hAnsi="Arial"/>
      <w:b/>
      <w:szCs w:val="24"/>
      <w:lang w:val="en-US" w:eastAsia="ar-SA"/>
    </w:rPr>
  </w:style>
  <w:style w:type="paragraph" w:customStyle="1" w:styleId="Normal82">
    <w:name w:val="Normal_82"/>
    <w:qFormat/>
    <w:rPr>
      <w:rFonts w:ascii="Times New Roman" w:hAnsi="Times New Roman"/>
      <w:sz w:val="24"/>
      <w:szCs w:val="24"/>
    </w:rPr>
  </w:style>
  <w:style w:type="paragraph" w:customStyle="1" w:styleId="FootnoteText0">
    <w:name w:val="Footnote Text_0"/>
    <w:basedOn w:val="Normal82"/>
    <w:link w:val="FootnoteTextChar0"/>
    <w:unhideWhenUsed/>
    <w:rPr>
      <w:sz w:val="20"/>
      <w:szCs w:val="20"/>
    </w:rPr>
  </w:style>
  <w:style w:type="character" w:customStyle="1" w:styleId="FootnoteTextChar0">
    <w:name w:val="Footnote Text Char_0"/>
    <w:basedOn w:val="DefaultParagraphFont"/>
    <w:link w:val="FootnoteText0"/>
    <w:rPr>
      <w:rFonts w:ascii="Times New Roman" w:hAnsi="Times New Roman"/>
      <w:lang w:eastAsia="ar-SA"/>
    </w:rPr>
  </w:style>
  <w:style w:type="paragraph" w:customStyle="1" w:styleId="Listi0">
    <w:name w:val="List i)_0"/>
    <w:basedOn w:val="Normal6"/>
    <w:next w:val="Normal6"/>
    <w:pPr>
      <w:keepNext/>
      <w:numPr>
        <w:numId w:val="61"/>
      </w:numPr>
      <w:tabs>
        <w:tab w:val="clear" w:pos="1080"/>
        <w:tab w:val="num" w:pos="180"/>
      </w:tabs>
      <w:suppressAutoHyphens w:val="0"/>
      <w:autoSpaceDE w:val="0"/>
      <w:autoSpaceDN w:val="0"/>
      <w:adjustRightInd w:val="0"/>
      <w:spacing w:after="80" w:line="190" w:lineRule="atLeast"/>
      <w:jc w:val="both"/>
    </w:pPr>
    <w:rPr>
      <w:rFonts w:ascii="Arial" w:hAnsi="Arial"/>
      <w:noProof/>
      <w:sz w:val="15"/>
      <w:szCs w:val="20"/>
      <w:lang w:eastAsia="en-GB"/>
    </w:r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ListParagraph2">
    <w:name w:val="List Paragraph_2"/>
    <w:basedOn w:val="Normal25"/>
    <w:uiPriority w:val="34"/>
    <w:qFormat/>
    <w:pPr>
      <w:ind w:left="720"/>
      <w:contextualSpacing/>
    </w:p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0">
    <w:name w:val="Normal_85_0"/>
    <w:qFormat/>
    <w:pPr>
      <w:spacing w:line="190" w:lineRule="atLeast"/>
      <w:jc w:val="both"/>
    </w:pPr>
    <w:rPr>
      <w:rFonts w:ascii="Arial" w:hAnsi="Arial"/>
      <w:sz w:val="15"/>
      <w:szCs w:val="24"/>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Notes40">
    <w:name w:val="Notes_4_0"/>
    <w:basedOn w:val="Normal21"/>
    <w:link w:val="NotesChar40"/>
    <w:pPr>
      <w:tabs>
        <w:tab w:val="num" w:pos="720"/>
        <w:tab w:val="center" w:pos="4320"/>
        <w:tab w:val="right" w:pos="8640"/>
      </w:tabs>
      <w:spacing w:before="120" w:after="120"/>
      <w:ind w:left="720" w:hanging="360"/>
      <w:jc w:val="both"/>
    </w:pPr>
    <w:rPr>
      <w:rFonts w:ascii="Arial" w:hAnsi="Arial" w:cs="Arial"/>
      <w:b/>
      <w:sz w:val="20"/>
      <w:lang w:val="en-US"/>
    </w:rPr>
  </w:style>
  <w:style w:type="character" w:customStyle="1" w:styleId="NotesChar40">
    <w:name w:val="Notes Char_4_0"/>
    <w:link w:val="Notes40"/>
    <w:locked/>
    <w:rPr>
      <w:rFonts w:ascii="Arial" w:hAnsi="Arial" w:cs="Arial"/>
      <w:b/>
      <w:szCs w:val="24"/>
      <w:lang w:val="en-US" w:eastAsia="ar-SA"/>
    </w:rPr>
  </w:style>
  <w:style w:type="paragraph" w:customStyle="1" w:styleId="Normal11">
    <w:name w:val="Normal_11"/>
    <w:qFormat/>
    <w:pPr>
      <w:suppressAutoHyphens/>
    </w:pPr>
    <w:rPr>
      <w:rFonts w:ascii="Times New Roman" w:hAnsi="Times New Roman"/>
      <w:sz w:val="24"/>
      <w:szCs w:val="24"/>
      <w:lang w:eastAsia="ar-SA"/>
    </w:rPr>
  </w:style>
  <w:style w:type="paragraph" w:customStyle="1" w:styleId="Header9">
    <w:name w:val="Header_9"/>
    <w:basedOn w:val="Normal11"/>
    <w:link w:val="HeaderChar9"/>
    <w:pPr>
      <w:tabs>
        <w:tab w:val="center" w:pos="4153"/>
        <w:tab w:val="right" w:pos="8306"/>
      </w:tabs>
    </w:pPr>
  </w:style>
  <w:style w:type="character" w:customStyle="1" w:styleId="HeaderChar9">
    <w:name w:val="Header Char_9"/>
    <w:link w:val="Header9"/>
    <w:rPr>
      <w:rFonts w:ascii="Times New Roman" w:hAnsi="Times New Roman"/>
      <w:sz w:val="24"/>
      <w:szCs w:val="24"/>
      <w:lang w:eastAsia="ar-SA"/>
    </w:rPr>
  </w:style>
  <w:style w:type="paragraph" w:customStyle="1" w:styleId="Notes9">
    <w:name w:val="Notes_9"/>
    <w:basedOn w:val="Header9"/>
    <w:link w:val="NotesChar9"/>
    <w:pPr>
      <w:numPr>
        <w:numId w:val="6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lang w:val="en-GB"/>
    </w:rPr>
  </w:style>
  <w:style w:type="character" w:customStyle="1" w:styleId="NotesChar9">
    <w:name w:val="Notes Char_9"/>
    <w:link w:val="Notes9"/>
    <w:rPr>
      <w:rFonts w:ascii="Arial" w:hAnsi="Arial"/>
      <w:b/>
      <w:szCs w:val="24"/>
      <w:lang w:val="en-US" w:eastAsia="ar-SA"/>
    </w:rPr>
  </w:style>
  <w:style w:type="paragraph" w:customStyle="1" w:styleId="Normal84">
    <w:name w:val="Normal_84"/>
    <w:qFormat/>
    <w:rPr>
      <w:rFonts w:ascii="Times New Roman" w:hAnsi="Times New Roman"/>
      <w:sz w:val="24"/>
      <w:szCs w:val="24"/>
    </w:rPr>
  </w:style>
  <w:style w:type="table" w:customStyle="1" w:styleId="CDMRange21">
    <w:name w:val="CDM Range 2_1"/>
    <w:basedOn w:val="TableNormal"/>
    <w:next w:val="TableNormal"/>
    <w:semiHidden/>
    <w:rPr>
      <w:rFonts w:ascii="Times New Roman" w:hAnsi="Times New Roman"/>
    </w:rPr>
    <w:tblPr/>
  </w:style>
  <w:style w:type="paragraph" w:customStyle="1" w:styleId="Normal12">
    <w:name w:val="Normal_12"/>
    <w:qFormat/>
    <w:pPr>
      <w:suppressAutoHyphens/>
    </w:pPr>
    <w:rPr>
      <w:rFonts w:ascii="Times New Roman" w:hAnsi="Times New Roman"/>
      <w:sz w:val="24"/>
      <w:szCs w:val="24"/>
      <w:lang w:eastAsia="ar-SA"/>
    </w:rPr>
  </w:style>
  <w:style w:type="paragraph" w:customStyle="1" w:styleId="Header100">
    <w:name w:val="Header_10"/>
    <w:basedOn w:val="Normal12"/>
    <w:link w:val="HeaderChar100"/>
    <w:pPr>
      <w:tabs>
        <w:tab w:val="center" w:pos="4153"/>
        <w:tab w:val="right" w:pos="8306"/>
      </w:tabs>
    </w:pPr>
  </w:style>
  <w:style w:type="character" w:customStyle="1" w:styleId="HeaderChar100">
    <w:name w:val="Header Char_10"/>
    <w:link w:val="Header100"/>
    <w:rPr>
      <w:rFonts w:ascii="Times New Roman" w:hAnsi="Times New Roman"/>
      <w:sz w:val="24"/>
      <w:szCs w:val="24"/>
      <w:lang w:eastAsia="ar-SA"/>
    </w:rPr>
  </w:style>
  <w:style w:type="paragraph" w:customStyle="1" w:styleId="Notes100">
    <w:name w:val="Notes_10"/>
    <w:basedOn w:val="Header100"/>
    <w:link w:val="NotesChar100"/>
    <w:pPr>
      <w:numPr>
        <w:numId w:val="6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0">
    <w:name w:val="Title 1.1_10"/>
    <w:basedOn w:val="Notes100"/>
    <w:pPr>
      <w:numPr>
        <w:ilvl w:val="1"/>
      </w:numPr>
      <w:tabs>
        <w:tab w:val="clear" w:pos="4320"/>
        <w:tab w:val="clear" w:pos="8640"/>
        <w:tab w:val="right" w:pos="-2700"/>
        <w:tab w:val="right" w:pos="720"/>
      </w:tabs>
      <w:spacing w:before="0" w:after="0"/>
    </w:pPr>
    <w:rPr>
      <w:b w:val="0"/>
      <w:szCs w:val="20"/>
      <w:lang w:val="en-GB"/>
    </w:rPr>
  </w:style>
  <w:style w:type="character" w:customStyle="1" w:styleId="NotesChar100">
    <w:name w:val="Notes Char_10"/>
    <w:link w:val="Notes100"/>
    <w:rPr>
      <w:rFonts w:ascii="Arial" w:hAnsi="Arial"/>
      <w:b/>
      <w:szCs w:val="24"/>
      <w:lang w:val="en-US" w:eastAsia="ar-SA"/>
    </w:rPr>
  </w:style>
  <w:style w:type="paragraph" w:customStyle="1" w:styleId="Normal87">
    <w:name w:val="Normal_87"/>
    <w:qFormat/>
    <w:rPr>
      <w:rFonts w:ascii="Times New Roman" w:hAnsi="Times New Roman"/>
      <w:sz w:val="24"/>
      <w:szCs w:val="24"/>
    </w:rPr>
  </w:style>
  <w:style w:type="table" w:customStyle="1" w:styleId="CDMRange12">
    <w:name w:val="CDM Range 1_2"/>
    <w:basedOn w:val="TableNormal"/>
    <w:next w:val="TableNormal"/>
    <w:semiHidden/>
    <w:rPr>
      <w:rFonts w:ascii="Times New Roman" w:hAnsi="Times New Roman"/>
    </w:rPr>
    <w:tblPr/>
  </w:style>
  <w:style w:type="paragraph" w:customStyle="1" w:styleId="Normal13">
    <w:name w:val="Normal_13"/>
    <w:qFormat/>
    <w:pPr>
      <w:suppressAutoHyphens/>
    </w:pPr>
    <w:rPr>
      <w:rFonts w:ascii="Times New Roman" w:hAnsi="Times New Roman"/>
      <w:sz w:val="24"/>
      <w:szCs w:val="24"/>
      <w:lang w:eastAsia="ar-SA"/>
    </w:rPr>
  </w:style>
  <w:style w:type="paragraph" w:customStyle="1" w:styleId="Header11">
    <w:name w:val="Header_11"/>
    <w:basedOn w:val="Normal13"/>
    <w:link w:val="HeaderChar11"/>
    <w:pPr>
      <w:tabs>
        <w:tab w:val="center" w:pos="4153"/>
        <w:tab w:val="right" w:pos="8306"/>
      </w:tabs>
    </w:pPr>
  </w:style>
  <w:style w:type="character" w:customStyle="1" w:styleId="HeaderChar11">
    <w:name w:val="Header Char_11"/>
    <w:link w:val="Header11"/>
    <w:rPr>
      <w:rFonts w:ascii="Times New Roman" w:hAnsi="Times New Roman"/>
      <w:sz w:val="24"/>
      <w:szCs w:val="24"/>
      <w:lang w:eastAsia="ar-SA"/>
    </w:rPr>
  </w:style>
  <w:style w:type="paragraph" w:customStyle="1" w:styleId="Notes11">
    <w:name w:val="Notes_11"/>
    <w:basedOn w:val="Header11"/>
    <w:link w:val="NotesChar11"/>
    <w:pPr>
      <w:numPr>
        <w:numId w:val="6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1">
    <w:name w:val="Title 1.1_11"/>
    <w:basedOn w:val="Notes11"/>
    <w:pPr>
      <w:numPr>
        <w:ilvl w:val="1"/>
      </w:numPr>
      <w:tabs>
        <w:tab w:val="clear" w:pos="4320"/>
        <w:tab w:val="clear" w:pos="8640"/>
        <w:tab w:val="right" w:pos="-2700"/>
        <w:tab w:val="right" w:pos="720"/>
      </w:tabs>
      <w:spacing w:before="0" w:after="0"/>
    </w:pPr>
    <w:rPr>
      <w:b w:val="0"/>
      <w:szCs w:val="20"/>
      <w:lang w:val="en-GB"/>
    </w:rPr>
  </w:style>
  <w:style w:type="character" w:customStyle="1" w:styleId="NotesChar11">
    <w:name w:val="Notes Char_11"/>
    <w:link w:val="Notes11"/>
    <w:rPr>
      <w:rFonts w:ascii="Arial" w:hAnsi="Arial"/>
      <w:b/>
      <w:szCs w:val="24"/>
      <w:lang w:val="en-US" w:eastAsia="ar-SA"/>
    </w:rPr>
  </w:style>
  <w:style w:type="paragraph" w:customStyle="1" w:styleId="Normal89">
    <w:name w:val="Normal_89"/>
    <w:qFormat/>
    <w:rPr>
      <w:rFonts w:ascii="Times New Roman" w:hAnsi="Times New Roman"/>
      <w:sz w:val="24"/>
      <w:szCs w:val="24"/>
    </w:rPr>
  </w:style>
  <w:style w:type="table" w:customStyle="1" w:styleId="CDMRange22">
    <w:name w:val="CDM Range 2_2"/>
    <w:basedOn w:val="TableNormal"/>
    <w:next w:val="TableNormal"/>
    <w:semiHidden/>
    <w:rPr>
      <w:rFonts w:ascii="Times New Roman" w:hAnsi="Times New Roman"/>
    </w:rPr>
    <w:tblPr/>
  </w:style>
  <w:style w:type="paragraph" w:customStyle="1" w:styleId="Normal14">
    <w:name w:val="Normal_14"/>
    <w:qFormat/>
    <w:pPr>
      <w:suppressAutoHyphens/>
    </w:pPr>
    <w:rPr>
      <w:rFonts w:ascii="Times New Roman" w:hAnsi="Times New Roman"/>
      <w:sz w:val="24"/>
      <w:szCs w:val="24"/>
      <w:lang w:eastAsia="ar-SA"/>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Pr>
      <w:rFonts w:ascii="Times New Roman" w:hAnsi="Times New Roman"/>
      <w:sz w:val="24"/>
      <w:szCs w:val="24"/>
      <w:lang w:eastAsia="ar-SA"/>
    </w:rPr>
  </w:style>
  <w:style w:type="paragraph" w:customStyle="1" w:styleId="Notes12">
    <w:name w:val="Notes_12"/>
    <w:basedOn w:val="Header12"/>
    <w:link w:val="NotesChar12"/>
    <w:pPr>
      <w:numPr>
        <w:numId w:val="6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2">
    <w:name w:val="Title 1.1_12"/>
    <w:basedOn w:val="Notes12"/>
    <w:pPr>
      <w:numPr>
        <w:ilvl w:val="1"/>
      </w:numPr>
      <w:tabs>
        <w:tab w:val="clear" w:pos="4320"/>
        <w:tab w:val="clear" w:pos="8640"/>
        <w:tab w:val="right" w:pos="720"/>
      </w:tabs>
      <w:spacing w:before="0" w:after="0"/>
    </w:pPr>
    <w:rPr>
      <w:b w:val="0"/>
      <w:lang w:val="en-GB"/>
    </w:rPr>
  </w:style>
  <w:style w:type="character" w:customStyle="1" w:styleId="NotesChar12">
    <w:name w:val="Notes Char_12"/>
    <w:link w:val="Notes12"/>
    <w:rPr>
      <w:rFonts w:ascii="Arial" w:hAnsi="Arial"/>
      <w:b/>
      <w:szCs w:val="24"/>
      <w:lang w:val="en-US" w:eastAsia="ar-SA"/>
    </w:rPr>
  </w:style>
  <w:style w:type="paragraph" w:customStyle="1" w:styleId="Normal902">
    <w:name w:val="Normal_90"/>
    <w:qFormat/>
    <w:rPr>
      <w:rFonts w:ascii="Times New Roman" w:hAnsi="Times New Roman"/>
      <w:sz w:val="24"/>
      <w:szCs w:val="24"/>
    </w:rPr>
  </w:style>
  <w:style w:type="paragraph" w:customStyle="1" w:styleId="Normal91">
    <w:name w:val="Normal_91"/>
    <w:qFormat/>
    <w:rPr>
      <w:rFonts w:ascii="Times New Roman" w:hAnsi="Times New Roman"/>
      <w:sz w:val="24"/>
      <w:szCs w:val="24"/>
    </w:rPr>
  </w:style>
  <w:style w:type="table" w:customStyle="1" w:styleId="CDMRange13">
    <w:name w:val="CDM Range 1_3"/>
    <w:basedOn w:val="TableNormal"/>
    <w:next w:val="TableNormal"/>
    <w:semiHidden/>
    <w:rPr>
      <w:rFonts w:ascii="Times New Roman" w:hAnsi="Times New Roman"/>
    </w:rPr>
    <w:tblPr/>
  </w:style>
  <w:style w:type="paragraph" w:customStyle="1" w:styleId="Normal92">
    <w:name w:val="Normal_92"/>
    <w:qFormat/>
    <w:rPr>
      <w:rFonts w:eastAsia="Calibri" w:cs="Arial"/>
      <w:lang w:val="en-US" w:eastAsia="en-US"/>
    </w:rPr>
  </w:style>
  <w:style w:type="table" w:customStyle="1" w:styleId="CDMRange23">
    <w:name w:val="CDM Range 2_3"/>
    <w:basedOn w:val="TableNormal"/>
    <w:next w:val="TableNormal"/>
    <w:semiHidden/>
    <w:rPr>
      <w:rFonts w:ascii="Times New Roman" w:hAnsi="Times New Roman"/>
    </w:rPr>
    <w:tblPr/>
  </w:style>
  <w:style w:type="paragraph" w:customStyle="1" w:styleId="Normal93">
    <w:name w:val="Normal_93"/>
    <w:qFormat/>
    <w:rPr>
      <w:rFonts w:ascii="Times New Roman" w:hAnsi="Times New Roman"/>
      <w:sz w:val="24"/>
      <w:szCs w:val="24"/>
    </w:rPr>
  </w:style>
  <w:style w:type="paragraph" w:styleId="ListParagraph">
    <w:name w:val="List Paragraph"/>
    <w:basedOn w:val="Normal"/>
    <w:uiPriority w:val="34"/>
    <w:qFormat/>
    <w:pPr>
      <w:suppressAutoHyphens/>
      <w:ind w:left="720"/>
      <w:contextualSpacing/>
    </w:pPr>
    <w:rPr>
      <w:lang w:eastAsia="ar-SA"/>
    </w:rPr>
  </w:style>
  <w:style w:type="table" w:customStyle="1" w:styleId="CDMRange14">
    <w:name w:val="CDM Range 1_4"/>
    <w:basedOn w:val="TableNormal"/>
    <w:next w:val="TableNormal"/>
    <w:semiHidden/>
    <w:rPr>
      <w:rFonts w:ascii="Times New Roman" w:hAnsi="Times New Roman"/>
    </w:rPr>
    <w:tbl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paragraph" w:customStyle="1" w:styleId="Notes13">
    <w:name w:val="Notes_13"/>
    <w:basedOn w:val="Header13"/>
    <w:link w:val="NotesChar13"/>
    <w:pPr>
      <w:numPr>
        <w:numId w:val="7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lang w:val="en-GB"/>
    </w:rPr>
  </w:style>
  <w:style w:type="character" w:customStyle="1" w:styleId="NotesChar13">
    <w:name w:val="Notes Char_13"/>
    <w:link w:val="Notes13"/>
    <w:rPr>
      <w:rFonts w:ascii="Arial" w:hAnsi="Arial"/>
      <w:b/>
      <w:szCs w:val="24"/>
      <w:lang w:val="en-US" w:eastAsia="ar-SA"/>
    </w:rPr>
  </w:style>
  <w:style w:type="paragraph" w:customStyle="1" w:styleId="Normal94">
    <w:name w:val="Normal_94"/>
    <w:qFormat/>
    <w:pPr>
      <w:suppressAutoHyphens/>
    </w:pPr>
    <w:rPr>
      <w:rFonts w:ascii="Times New Roman" w:hAnsi="Times New Roman"/>
      <w:sz w:val="24"/>
      <w:szCs w:val="24"/>
      <w:lang w:eastAsia="ar-SA"/>
    </w:rPr>
  </w:style>
  <w:style w:type="paragraph" w:customStyle="1" w:styleId="Normal95">
    <w:name w:val="Normal_95"/>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16">
    <w:name w:val="Normal_16"/>
    <w:qFormat/>
    <w:pPr>
      <w:suppressAutoHyphens/>
    </w:pPr>
    <w:rPr>
      <w:rFonts w:ascii="Times New Roman" w:hAnsi="Times New Roman"/>
      <w:sz w:val="24"/>
      <w:szCs w:val="24"/>
      <w:lang w:eastAsia="ar-SA"/>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Pr>
      <w:rFonts w:ascii="Times New Roman" w:hAnsi="Times New Roman"/>
      <w:sz w:val="24"/>
      <w:szCs w:val="24"/>
      <w:lang w:eastAsia="ar-SA"/>
    </w:rPr>
  </w:style>
  <w:style w:type="paragraph" w:customStyle="1" w:styleId="Notes14">
    <w:name w:val="Notes_14"/>
    <w:basedOn w:val="Header14"/>
    <w:link w:val="NotesChar14"/>
    <w:pPr>
      <w:numPr>
        <w:numId w:val="7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lang w:val="en-GB"/>
    </w:rPr>
  </w:style>
  <w:style w:type="character" w:customStyle="1" w:styleId="NotesChar14">
    <w:name w:val="Notes Char_14"/>
    <w:link w:val="Notes14"/>
    <w:rPr>
      <w:rFonts w:ascii="Arial" w:hAnsi="Arial"/>
      <w:b/>
      <w:szCs w:val="24"/>
      <w:lang w:val="en-US" w:eastAsia="ar-SA"/>
    </w:rPr>
  </w:style>
  <w:style w:type="paragraph" w:customStyle="1" w:styleId="Normal96">
    <w:name w:val="Normal_96"/>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97">
    <w:name w:val="Normal_97"/>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98">
    <w:name w:val="Normal_98"/>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Title3211">
    <w:name w:val="Title 3.2.1._1"/>
    <w:basedOn w:val="Notes5"/>
    <w:pPr>
      <w:numPr>
        <w:ilvl w:val="2"/>
        <w:numId w:val="75"/>
      </w:numPr>
      <w:tabs>
        <w:tab w:val="clear" w:pos="4320"/>
        <w:tab w:val="clear" w:pos="8640"/>
        <w:tab w:val="right" w:pos="-2700"/>
      </w:tabs>
      <w:spacing w:before="240"/>
    </w:pPr>
    <w:rPr>
      <w:szCs w:val="20"/>
      <w:lang w:val="en-GB"/>
    </w:rPr>
  </w:style>
  <w:style w:type="paragraph" w:customStyle="1" w:styleId="Normal99">
    <w:name w:val="Normal_99"/>
    <w:qFormat/>
    <w:pPr>
      <w:suppressAutoHyphens/>
    </w:pPr>
    <w:rPr>
      <w:rFonts w:ascii="Times New Roman" w:hAnsi="Times New Roman"/>
      <w:sz w:val="24"/>
      <w:szCs w:val="24"/>
      <w:lang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paragraph" w:customStyle="1" w:styleId="Notes15">
    <w:name w:val="Notes_15"/>
    <w:basedOn w:val="Header15"/>
    <w:link w:val="NotesChar15"/>
    <w:pPr>
      <w:numPr>
        <w:numId w:val="7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lang w:val="en-GB"/>
    </w:rPr>
  </w:style>
  <w:style w:type="character" w:customStyle="1" w:styleId="NotesChar15">
    <w:name w:val="Notes Char_15"/>
    <w:link w:val="Notes15"/>
    <w:rPr>
      <w:rFonts w:ascii="Arial" w:hAnsi="Arial"/>
      <w:b/>
      <w:szCs w:val="24"/>
      <w:lang w:val="en-US" w:eastAsia="ar-SA"/>
    </w:rPr>
  </w:style>
  <w:style w:type="paragraph" w:customStyle="1" w:styleId="Notes130">
    <w:name w:val="Notes_13_0"/>
    <w:basedOn w:val="Normal99"/>
    <w:link w:val="NotesChar130"/>
    <w:pPr>
      <w:tabs>
        <w:tab w:val="num" w:pos="720"/>
        <w:tab w:val="center" w:pos="4320"/>
        <w:tab w:val="right" w:pos="8640"/>
      </w:tabs>
      <w:spacing w:before="120" w:after="120"/>
      <w:ind w:left="720" w:hanging="360"/>
      <w:jc w:val="both"/>
    </w:pPr>
    <w:rPr>
      <w:rFonts w:ascii="Arial" w:hAnsi="Arial" w:cs="Arial"/>
      <w:b/>
      <w:sz w:val="20"/>
      <w:lang w:val="en-US"/>
    </w:rPr>
  </w:style>
  <w:style w:type="character" w:customStyle="1" w:styleId="NotesChar130">
    <w:name w:val="Notes Char_13_0"/>
    <w:link w:val="Notes130"/>
    <w:locked/>
    <w:rPr>
      <w:rFonts w:ascii="Arial" w:hAnsi="Arial" w:cs="Arial"/>
      <w:b/>
      <w:szCs w:val="24"/>
      <w:lang w:val="en-US" w:eastAsia="ar-SA"/>
    </w:rPr>
  </w:style>
  <w:style w:type="paragraph" w:customStyle="1" w:styleId="Normal1001">
    <w:name w:val="Normal_100"/>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101">
    <w:name w:val="Normal_101"/>
    <w:qFormat/>
    <w:pPr>
      <w:suppressAutoHyphens/>
    </w:pPr>
    <w:rPr>
      <w:rFonts w:ascii="Times New Roman" w:hAnsi="Times New Roman"/>
      <w:sz w:val="24"/>
      <w:szCs w:val="24"/>
      <w:lang w:eastAsia="ar-SA"/>
    </w:rPr>
  </w:style>
  <w:style w:type="paragraph" w:customStyle="1" w:styleId="Normal19">
    <w:name w:val="Normal_19"/>
    <w:qFormat/>
    <w:pPr>
      <w:suppressAutoHyphens/>
    </w:pPr>
    <w:rPr>
      <w:rFonts w:ascii="Times New Roman" w:hAnsi="Times New Roman"/>
      <w:sz w:val="24"/>
      <w:szCs w:val="24"/>
      <w:lang w:eastAsia="ar-SA"/>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rFonts w:ascii="Times New Roman" w:hAnsi="Times New Roman"/>
      <w:sz w:val="24"/>
      <w:szCs w:val="24"/>
      <w:lang w:eastAsia="ar-SA"/>
    </w:rPr>
  </w:style>
  <w:style w:type="paragraph" w:customStyle="1" w:styleId="Notes17">
    <w:name w:val="Notes_17"/>
    <w:basedOn w:val="Header17"/>
    <w:link w:val="NotesChar17"/>
    <w:pPr>
      <w:numPr>
        <w:numId w:val="7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lang w:val="en-GB"/>
    </w:rPr>
  </w:style>
  <w:style w:type="character" w:customStyle="1" w:styleId="NotesChar17">
    <w:name w:val="Notes Char_17"/>
    <w:link w:val="Notes17"/>
    <w:rPr>
      <w:rFonts w:ascii="Arial" w:hAnsi="Arial"/>
      <w:b/>
      <w:szCs w:val="24"/>
      <w:lang w:val="en-US" w:eastAsia="ar-SA"/>
    </w:rPr>
  </w:style>
  <w:style w:type="paragraph" w:customStyle="1" w:styleId="Normal200">
    <w:name w:val="Normal_20"/>
    <w:qFormat/>
    <w:pPr>
      <w:suppressAutoHyphens/>
    </w:pPr>
    <w:rPr>
      <w:rFonts w:ascii="Times New Roman" w:hAnsi="Times New Roman"/>
      <w:sz w:val="24"/>
      <w:szCs w:val="24"/>
      <w:lang w:eastAsia="ar-SA"/>
    </w:rPr>
  </w:style>
  <w:style w:type="paragraph" w:customStyle="1" w:styleId="Header18">
    <w:name w:val="Header_18"/>
    <w:basedOn w:val="Normal200"/>
    <w:link w:val="HeaderChar18"/>
    <w:pPr>
      <w:tabs>
        <w:tab w:val="center" w:pos="4153"/>
        <w:tab w:val="right" w:pos="8306"/>
      </w:tabs>
    </w:pPr>
  </w:style>
  <w:style w:type="character" w:customStyle="1" w:styleId="HeaderChar18">
    <w:name w:val="Header Char_18"/>
    <w:link w:val="Header18"/>
    <w:rPr>
      <w:rFonts w:ascii="Times New Roman" w:hAnsi="Times New Roman"/>
      <w:sz w:val="24"/>
      <w:szCs w:val="24"/>
      <w:lang w:eastAsia="ar-SA"/>
    </w:rPr>
  </w:style>
  <w:style w:type="paragraph" w:customStyle="1" w:styleId="Notes18">
    <w:name w:val="Notes_18"/>
    <w:basedOn w:val="Header18"/>
    <w:link w:val="NotesChar18"/>
    <w:pPr>
      <w:numPr>
        <w:numId w:val="7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lang w:val="en-GB"/>
    </w:rPr>
  </w:style>
  <w:style w:type="character" w:customStyle="1" w:styleId="NotesChar18">
    <w:name w:val="Notes Char_18"/>
    <w:link w:val="Notes18"/>
    <w:rPr>
      <w:rFonts w:ascii="Arial" w:hAnsi="Arial"/>
      <w:b/>
      <w:szCs w:val="24"/>
      <w:lang w:val="en-US" w:eastAsia="ar-SA"/>
    </w:rPr>
  </w:style>
  <w:style w:type="paragraph" w:customStyle="1" w:styleId="Normal103">
    <w:name w:val="Normal_103"/>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paragraph" w:customStyle="1" w:styleId="Notes19">
    <w:name w:val="Notes_19"/>
    <w:basedOn w:val="Header19"/>
    <w:link w:val="NotesChar19"/>
    <w:pPr>
      <w:numPr>
        <w:numId w:val="8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lang w:val="en-GB"/>
    </w:rPr>
  </w:style>
  <w:style w:type="character" w:customStyle="1" w:styleId="NotesChar19">
    <w:name w:val="Notes Char_19"/>
    <w:link w:val="Notes19"/>
    <w:rPr>
      <w:rFonts w:ascii="Arial" w:hAnsi="Arial"/>
      <w:b/>
      <w:szCs w:val="24"/>
      <w:lang w:val="en-US" w:eastAsia="ar-SA"/>
    </w:rPr>
  </w:style>
  <w:style w:type="paragraph" w:customStyle="1" w:styleId="Title3212">
    <w:name w:val="Title 3.2.1._2"/>
    <w:basedOn w:val="Notes12"/>
    <w:pPr>
      <w:numPr>
        <w:ilvl w:val="2"/>
        <w:numId w:val="83"/>
      </w:numPr>
      <w:tabs>
        <w:tab w:val="clear" w:pos="4320"/>
        <w:tab w:val="clear" w:pos="8640"/>
        <w:tab w:val="right" w:pos="-2700"/>
      </w:tabs>
      <w:spacing w:before="240"/>
    </w:pPr>
    <w:rPr>
      <w:szCs w:val="20"/>
      <w:lang w:val="en-GB"/>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paragraph" w:customStyle="1" w:styleId="Notes20">
    <w:name w:val="Notes_20"/>
    <w:basedOn w:val="Header20"/>
    <w:link w:val="NotesChar20"/>
    <w:pPr>
      <w:numPr>
        <w:numId w:val="8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lang w:val="en-GB"/>
    </w:rPr>
  </w:style>
  <w:style w:type="character" w:customStyle="1" w:styleId="NotesChar20">
    <w:name w:val="Notes Char_20"/>
    <w:link w:val="Notes20"/>
    <w:rPr>
      <w:rFonts w:ascii="Arial" w:hAnsi="Arial"/>
      <w:b/>
      <w:szCs w:val="24"/>
      <w:lang w:val="en-US" w:eastAsia="ar-SA"/>
    </w:rPr>
  </w:style>
  <w:style w:type="paragraph" w:customStyle="1" w:styleId="Normal18">
    <w:name w:val="Normal_18"/>
    <w:qFormat/>
    <w:pPr>
      <w:suppressAutoHyphens/>
    </w:pPr>
    <w:rPr>
      <w:rFonts w:ascii="Times New Roman" w:hAnsi="Times New Roman"/>
      <w:sz w:val="24"/>
      <w:szCs w:val="24"/>
      <w:lang w:eastAsia="ar-SA"/>
    </w:rPr>
  </w:style>
  <w:style w:type="paragraph" w:customStyle="1" w:styleId="Notes160">
    <w:name w:val="Notes_16_0"/>
    <w:basedOn w:val="Normal18"/>
    <w:link w:val="NotesChar160"/>
    <w:pPr>
      <w:numPr>
        <w:numId w:val="85"/>
      </w:numPr>
      <w:tabs>
        <w:tab w:val="center" w:pos="4320"/>
        <w:tab w:val="right" w:pos="8640"/>
      </w:tabs>
      <w:spacing w:before="120" w:after="120"/>
      <w:jc w:val="both"/>
    </w:pPr>
    <w:rPr>
      <w:rFonts w:ascii="Arial" w:hAnsi="Arial" w:cs="Arial"/>
      <w:b/>
      <w:sz w:val="20"/>
      <w:lang w:val="en-US"/>
    </w:rPr>
  </w:style>
  <w:style w:type="paragraph" w:customStyle="1" w:styleId="Title11160">
    <w:name w:val="Title 1.1_16_0"/>
    <w:basedOn w:val="Notes160"/>
    <w:pPr>
      <w:numPr>
        <w:ilvl w:val="1"/>
      </w:numPr>
      <w:tabs>
        <w:tab w:val="clear" w:pos="431"/>
        <w:tab w:val="clear" w:pos="4320"/>
        <w:tab w:val="clear" w:pos="8640"/>
        <w:tab w:val="num" w:pos="576"/>
      </w:tabs>
      <w:spacing w:before="0" w:after="0"/>
    </w:pPr>
    <w:rPr>
      <w:b w:val="0"/>
      <w:lang w:val="en-GB"/>
    </w:rPr>
  </w:style>
  <w:style w:type="character" w:customStyle="1" w:styleId="NotesChar160">
    <w:name w:val="Notes Char_16_0"/>
    <w:link w:val="Notes160"/>
    <w:locked/>
    <w:rPr>
      <w:rFonts w:ascii="Arial" w:hAnsi="Arial" w:cs="Arial"/>
      <w:b/>
      <w:szCs w:val="24"/>
      <w:lang w:val="en-US" w:eastAsia="ar-SA"/>
    </w:rPr>
  </w:style>
  <w:style w:type="paragraph" w:customStyle="1" w:styleId="Normal106">
    <w:name w:val="Normal_106"/>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
    <w:name w:val="Normal_4"/>
    <w:qFormat/>
    <w:pPr>
      <w:suppressAutoHyphens/>
    </w:pPr>
    <w:rPr>
      <w:rFonts w:ascii="Times New Roman" w:hAnsi="Times New Roman"/>
      <w:sz w:val="24"/>
      <w:szCs w:val="24"/>
      <w:lang w:eastAsia="ar-SA"/>
    </w:rPr>
  </w:style>
  <w:style w:type="paragraph" w:customStyle="1" w:styleId="Header3">
    <w:name w:val="Header_3"/>
    <w:basedOn w:val="Normal4"/>
    <w:link w:val="HeaderChar3"/>
    <w:pPr>
      <w:tabs>
        <w:tab w:val="center" w:pos="4153"/>
        <w:tab w:val="right" w:pos="8306"/>
      </w:tabs>
    </w:pPr>
  </w:style>
  <w:style w:type="character" w:customStyle="1" w:styleId="HeaderChar3">
    <w:name w:val="Header Char_3"/>
    <w:link w:val="Header3"/>
    <w:rPr>
      <w:rFonts w:ascii="Times New Roman" w:hAnsi="Times New Roman"/>
      <w:sz w:val="24"/>
      <w:szCs w:val="24"/>
      <w:lang w:eastAsia="ar-SA"/>
    </w:rPr>
  </w:style>
  <w:style w:type="paragraph" w:customStyle="1" w:styleId="Notes3">
    <w:name w:val="Notes_3"/>
    <w:basedOn w:val="Header3"/>
    <w:link w:val="NotesChar3"/>
    <w:pPr>
      <w:numPr>
        <w:numId w:val="8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lang w:val="en-GB"/>
    </w:rPr>
  </w:style>
  <w:style w:type="character" w:customStyle="1" w:styleId="NotesChar3">
    <w:name w:val="Notes Char_3"/>
    <w:link w:val="Notes3"/>
    <w:locked/>
    <w:rPr>
      <w:rFonts w:ascii="Arial" w:hAnsi="Arial"/>
      <w:b/>
      <w:szCs w:val="24"/>
      <w:lang w:val="en-US" w:eastAsia="ar-SA"/>
    </w:rPr>
  </w:style>
  <w:style w:type="paragraph" w:customStyle="1" w:styleId="Normal26">
    <w:name w:val="Normal_26"/>
    <w:qFormat/>
    <w:pPr>
      <w:suppressAutoHyphens/>
    </w:pPr>
    <w:rPr>
      <w:rFonts w:ascii="Times New Roman" w:hAnsi="Times New Roman"/>
      <w:sz w:val="24"/>
      <w:szCs w:val="24"/>
      <w:lang w:eastAsia="ar-SA"/>
    </w:rPr>
  </w:style>
  <w:style w:type="paragraph" w:customStyle="1" w:styleId="Header24">
    <w:name w:val="Header_24"/>
    <w:basedOn w:val="Normal26"/>
    <w:link w:val="HeaderChar24"/>
    <w:pPr>
      <w:tabs>
        <w:tab w:val="center" w:pos="4153"/>
        <w:tab w:val="right" w:pos="8306"/>
      </w:tabs>
    </w:pPr>
  </w:style>
  <w:style w:type="character" w:customStyle="1" w:styleId="HeaderChar24">
    <w:name w:val="Header Char_24"/>
    <w:link w:val="Header24"/>
    <w:rPr>
      <w:rFonts w:ascii="Times New Roman" w:hAnsi="Times New Roman"/>
      <w:sz w:val="24"/>
      <w:szCs w:val="24"/>
      <w:lang w:eastAsia="ar-SA"/>
    </w:rPr>
  </w:style>
  <w:style w:type="paragraph" w:customStyle="1" w:styleId="Notes22">
    <w:name w:val="Notes_22"/>
    <w:basedOn w:val="Header24"/>
    <w:link w:val="NotesChar22"/>
    <w:pPr>
      <w:numPr>
        <w:numId w:val="8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lang w:val="en-GB"/>
    </w:rPr>
  </w:style>
  <w:style w:type="character" w:customStyle="1" w:styleId="NotesChar22">
    <w:name w:val="Notes Char_22"/>
    <w:link w:val="Notes22"/>
    <w:rPr>
      <w:rFonts w:ascii="Arial" w:hAnsi="Arial"/>
      <w:b/>
      <w:szCs w:val="24"/>
      <w:lang w:val="en-US" w:eastAsia="ar-SA"/>
    </w:rPr>
  </w:style>
  <w:style w:type="paragraph" w:customStyle="1" w:styleId="Normal108">
    <w:name w:val="Normal_108"/>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109">
    <w:name w:val="Normal_109"/>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Normal5">
    <w:name w:val="Normal_5"/>
    <w:qFormat/>
    <w:pPr>
      <w:suppressAutoHyphens/>
    </w:pPr>
    <w:rPr>
      <w:rFonts w:ascii="Times New Roman" w:hAnsi="Times New Roman"/>
      <w:sz w:val="24"/>
      <w:szCs w:val="24"/>
      <w:lang w:eastAsia="ar-SA"/>
    </w:rPr>
  </w:style>
  <w:style w:type="paragraph" w:customStyle="1" w:styleId="Header4">
    <w:name w:val="Header_4"/>
    <w:basedOn w:val="Normal5"/>
    <w:link w:val="HeaderChar4"/>
    <w:uiPriority w:val="99"/>
    <w:pPr>
      <w:tabs>
        <w:tab w:val="center" w:pos="4153"/>
        <w:tab w:val="right" w:pos="8306"/>
      </w:tabs>
    </w:pPr>
  </w:style>
  <w:style w:type="character" w:customStyle="1" w:styleId="HeaderChar4">
    <w:name w:val="Header Char_4"/>
    <w:link w:val="Header4"/>
    <w:uiPriority w:val="99"/>
    <w:rPr>
      <w:rFonts w:ascii="Times New Roman" w:hAnsi="Times New Roman"/>
      <w:sz w:val="24"/>
      <w:szCs w:val="24"/>
      <w:lang w:eastAsia="ar-SA"/>
    </w:rPr>
  </w:style>
  <w:style w:type="paragraph" w:customStyle="1" w:styleId="Notes4">
    <w:name w:val="Notes_4"/>
    <w:basedOn w:val="Header4"/>
    <w:link w:val="NotesChar4"/>
    <w:pPr>
      <w:numPr>
        <w:numId w:val="8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lang w:val="en-GB"/>
    </w:rPr>
  </w:style>
  <w:style w:type="character" w:customStyle="1" w:styleId="NotesChar4">
    <w:name w:val="Notes Char_4"/>
    <w:link w:val="Notes4"/>
    <w:locked/>
    <w:rPr>
      <w:rFonts w:ascii="Arial" w:hAnsi="Arial"/>
      <w:b/>
      <w:szCs w:val="24"/>
      <w:lang w:val="en-US" w:eastAsia="ar-SA"/>
    </w:rPr>
  </w:style>
  <w:style w:type="paragraph" w:customStyle="1" w:styleId="Normal27">
    <w:name w:val="Normal_27"/>
    <w:qFormat/>
    <w:pPr>
      <w:suppressAutoHyphens/>
    </w:pPr>
    <w:rPr>
      <w:rFonts w:ascii="Times New Roman" w:hAnsi="Times New Roman"/>
      <w:sz w:val="24"/>
      <w:szCs w:val="24"/>
      <w:lang w:eastAsia="ar-SA"/>
    </w:rPr>
  </w:style>
  <w:style w:type="paragraph" w:customStyle="1" w:styleId="Header25">
    <w:name w:val="Header_25"/>
    <w:basedOn w:val="Normal27"/>
    <w:link w:val="HeaderChar25"/>
    <w:pPr>
      <w:tabs>
        <w:tab w:val="center" w:pos="4153"/>
        <w:tab w:val="right" w:pos="8306"/>
      </w:tabs>
    </w:p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9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lang w:val="en-GB"/>
    </w:rPr>
  </w:style>
  <w:style w:type="character" w:customStyle="1" w:styleId="NotesChar23">
    <w:name w:val="Notes Char_23"/>
    <w:link w:val="Notes23"/>
    <w:rPr>
      <w:rFonts w:ascii="Arial" w:hAnsi="Arial"/>
      <w:b/>
      <w:szCs w:val="24"/>
      <w:lang w:val="en-US" w:eastAsia="ar-SA"/>
    </w:rPr>
  </w:style>
  <w:style w:type="paragraph" w:customStyle="1" w:styleId="Normal111">
    <w:name w:val="Normal_111"/>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112">
    <w:name w:val="Normal_112"/>
    <w:qFormat/>
    <w:pPr>
      <w:suppressAutoHyphens/>
    </w:pPr>
    <w:rPr>
      <w:rFonts w:ascii="Times New Roman" w:hAnsi="Times New Roman"/>
      <w:sz w:val="24"/>
      <w:szCs w:val="24"/>
      <w:lang w:eastAsia="ar-SA"/>
    </w:rPr>
  </w:style>
  <w:style w:type="paragraph" w:customStyle="1" w:styleId="Normal28">
    <w:name w:val="Normal_28"/>
    <w:qFormat/>
    <w:pPr>
      <w:suppressAutoHyphens/>
    </w:pPr>
    <w:rPr>
      <w:rFonts w:ascii="Times New Roman" w:hAnsi="Times New Roman"/>
      <w:sz w:val="24"/>
      <w:szCs w:val="24"/>
      <w:lang w:eastAsia="ar-SA"/>
    </w:rPr>
  </w:style>
  <w:style w:type="paragraph" w:customStyle="1" w:styleId="Header26">
    <w:name w:val="Header_26"/>
    <w:basedOn w:val="Normal28"/>
    <w:link w:val="HeaderChar26"/>
    <w:pPr>
      <w:tabs>
        <w:tab w:val="center" w:pos="4153"/>
        <w:tab w:val="right" w:pos="8306"/>
      </w:tabs>
    </w:pPr>
  </w:style>
  <w:style w:type="character" w:customStyle="1" w:styleId="HeaderChar26">
    <w:name w:val="Header Char_26"/>
    <w:link w:val="Header26"/>
    <w:rPr>
      <w:rFonts w:ascii="Times New Roman" w:hAnsi="Times New Roman"/>
      <w:sz w:val="24"/>
      <w:szCs w:val="24"/>
      <w:lang w:eastAsia="ar-SA"/>
    </w:rPr>
  </w:style>
  <w:style w:type="paragraph" w:customStyle="1" w:styleId="Notes24">
    <w:name w:val="Notes_24"/>
    <w:basedOn w:val="Header26"/>
    <w:link w:val="NotesChar24"/>
    <w:pPr>
      <w:numPr>
        <w:numId w:val="9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lang w:val="en-GB"/>
    </w:rPr>
  </w:style>
  <w:style w:type="character" w:customStyle="1" w:styleId="NotesChar24">
    <w:name w:val="Notes Char_24"/>
    <w:link w:val="Notes24"/>
    <w:rPr>
      <w:rFonts w:ascii="Arial" w:hAnsi="Arial"/>
      <w:b/>
      <w:szCs w:val="24"/>
      <w:lang w:val="en-US"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113">
    <w:name w:val="Normal_113"/>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114">
    <w:name w:val="Normal_114"/>
    <w:qFormat/>
    <w:pPr>
      <w:suppressAutoHyphens/>
    </w:pPr>
    <w:rPr>
      <w:rFonts w:ascii="Times New Roman" w:hAnsi="Times New Roman"/>
      <w:sz w:val="24"/>
      <w:szCs w:val="24"/>
      <w:lang w:eastAsia="ar-SA"/>
    </w:rPr>
  </w:style>
  <w:style w:type="paragraph" w:customStyle="1" w:styleId="Normal29">
    <w:name w:val="Normal_29"/>
    <w:qFormat/>
    <w:pPr>
      <w:suppressAutoHyphens/>
    </w:pPr>
    <w:rPr>
      <w:rFonts w:ascii="Times New Roman" w:hAnsi="Times New Roman"/>
      <w:sz w:val="24"/>
      <w:szCs w:val="24"/>
      <w:lang w:eastAsia="ar-SA"/>
    </w:rPr>
  </w:style>
  <w:style w:type="paragraph" w:customStyle="1" w:styleId="Header27">
    <w:name w:val="Header_27"/>
    <w:basedOn w:val="Normal29"/>
    <w:link w:val="HeaderChar27"/>
    <w:pPr>
      <w:tabs>
        <w:tab w:val="center" w:pos="4153"/>
        <w:tab w:val="right" w:pos="8306"/>
      </w:tabs>
    </w:pPr>
  </w:style>
  <w:style w:type="character" w:customStyle="1" w:styleId="HeaderChar27">
    <w:name w:val="Header Char_27"/>
    <w:link w:val="Header27"/>
    <w:rPr>
      <w:rFonts w:ascii="Times New Roman" w:hAnsi="Times New Roman"/>
      <w:sz w:val="24"/>
      <w:szCs w:val="24"/>
      <w:lang w:eastAsia="ar-SA"/>
    </w:rPr>
  </w:style>
  <w:style w:type="paragraph" w:customStyle="1" w:styleId="Notes25">
    <w:name w:val="Notes_25"/>
    <w:basedOn w:val="Header27"/>
    <w:link w:val="NotesChar25"/>
    <w:pPr>
      <w:numPr>
        <w:numId w:val="9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lang w:val="en-GB"/>
    </w:rPr>
  </w:style>
  <w:style w:type="character" w:customStyle="1" w:styleId="NotesChar25">
    <w:name w:val="Notes Char_25"/>
    <w:link w:val="Notes25"/>
    <w:rPr>
      <w:rFonts w:ascii="Arial" w:hAnsi="Arial"/>
      <w:b/>
      <w:szCs w:val="24"/>
      <w:lang w:val="en-US" w:eastAsia="ar-SA"/>
    </w:rPr>
  </w:style>
  <w:style w:type="paragraph" w:customStyle="1" w:styleId="Normal182">
    <w:name w:val="Normal_18_2"/>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rmal30">
    <w:name w:val="Normal_30"/>
    <w:qFormat/>
    <w:pPr>
      <w:suppressAutoHyphens/>
    </w:pPr>
    <w:rPr>
      <w:rFonts w:ascii="Times New Roman" w:hAnsi="Times New Roman"/>
      <w:sz w:val="24"/>
      <w:szCs w:val="24"/>
      <w:lang w:eastAsia="ar-SA"/>
    </w:rPr>
  </w:style>
  <w:style w:type="paragraph" w:customStyle="1" w:styleId="Header28">
    <w:name w:val="Header_28"/>
    <w:basedOn w:val="Normal30"/>
    <w:link w:val="HeaderChar28"/>
    <w:pPr>
      <w:tabs>
        <w:tab w:val="center" w:pos="4153"/>
        <w:tab w:val="right" w:pos="8306"/>
      </w:tabs>
    </w:pPr>
  </w:style>
  <w:style w:type="character" w:customStyle="1" w:styleId="HeaderChar28">
    <w:name w:val="Header Char_28"/>
    <w:link w:val="Header28"/>
    <w:rPr>
      <w:rFonts w:ascii="Times New Roman" w:hAnsi="Times New Roman"/>
      <w:sz w:val="24"/>
      <w:szCs w:val="24"/>
      <w:lang w:eastAsia="ar-SA"/>
    </w:rPr>
  </w:style>
  <w:style w:type="paragraph" w:customStyle="1" w:styleId="Notes26">
    <w:name w:val="Notes_26"/>
    <w:basedOn w:val="Header28"/>
    <w:link w:val="NotesChar26"/>
    <w:pPr>
      <w:numPr>
        <w:numId w:val="9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lang w:val="en-GB"/>
    </w:rPr>
  </w:style>
  <w:style w:type="character" w:customStyle="1" w:styleId="NotesChar26">
    <w:name w:val="Notes Char_26"/>
    <w:link w:val="Notes26"/>
    <w:rPr>
      <w:rFonts w:ascii="Arial" w:hAnsi="Arial"/>
      <w:b/>
      <w:szCs w:val="24"/>
      <w:lang w:val="en-US"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link w:val="NotesChar210"/>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ink w:val="Notes210"/>
    <w:locked/>
    <w:rPr>
      <w:rFonts w:ascii="Arial" w:hAnsi="Arial"/>
      <w:b/>
      <w:szCs w:val="24"/>
      <w:lang w:eastAsia="ar-SA"/>
    </w:rPr>
  </w:style>
  <w:style w:type="paragraph" w:customStyle="1" w:styleId="Normal1810">
    <w:name w:val="Normal_18_1_0"/>
    <w:qFormat/>
    <w:pPr>
      <w:suppressAutoHyphens/>
    </w:pPr>
    <w:rPr>
      <w:rFonts w:ascii="Times New Roman" w:hAnsi="Times New Roman"/>
      <w:sz w:val="24"/>
      <w:szCs w:val="24"/>
      <w:lang w:eastAsia="ar-SA"/>
    </w:rPr>
  </w:style>
  <w:style w:type="paragraph" w:customStyle="1" w:styleId="Normal115">
    <w:name w:val="Normal_115"/>
    <w:qFormat/>
    <w:pPr>
      <w:suppressAutoHyphens/>
    </w:pPr>
    <w:rPr>
      <w:rFonts w:ascii="Times New Roman" w:hAnsi="Times New Roman"/>
      <w:sz w:val="24"/>
      <w:szCs w:val="24"/>
      <w:lang w:eastAsia="ar-SA"/>
    </w:rPr>
  </w:style>
  <w:style w:type="paragraph" w:customStyle="1" w:styleId="Normal116">
    <w:name w:val="Normal_116"/>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117">
    <w:name w:val="Normal_117"/>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118">
    <w:name w:val="Normal_118"/>
    <w:qFormat/>
    <w:pPr>
      <w:suppressAutoHyphens/>
    </w:pPr>
    <w:rPr>
      <w:rFonts w:ascii="Times New Roman" w:hAnsi="Times New Roman"/>
      <w:sz w:val="24"/>
      <w:szCs w:val="24"/>
      <w:lang w:eastAsia="ar-SA"/>
    </w:rPr>
  </w:style>
  <w:style w:type="paragraph" w:customStyle="1" w:styleId="ListParagraph3">
    <w:name w:val="List Paragraph_3"/>
    <w:basedOn w:val="Normal29"/>
    <w:uiPriority w:val="34"/>
    <w:qFormat/>
    <w:pPr>
      <w:ind w:left="720"/>
      <w:contextualSpacing/>
    </w:pPr>
  </w:style>
  <w:style w:type="paragraph" w:customStyle="1" w:styleId="Normal31">
    <w:name w:val="Normal_31"/>
    <w:qFormat/>
    <w:pPr>
      <w:suppressAutoHyphens/>
    </w:pPr>
    <w:rPr>
      <w:rFonts w:ascii="Times New Roman" w:hAnsi="Times New Roman"/>
      <w:sz w:val="24"/>
      <w:szCs w:val="24"/>
      <w:lang w:eastAsia="ar-SA"/>
    </w:rPr>
  </w:style>
  <w:style w:type="paragraph" w:customStyle="1" w:styleId="ListParagraph4">
    <w:name w:val="List Paragraph_4"/>
    <w:basedOn w:val="Normal31"/>
    <w:uiPriority w:val="34"/>
    <w:qFormat/>
    <w:pPr>
      <w:ind w:left="720"/>
      <w:contextualSpacing/>
    </w:pPr>
  </w:style>
  <w:style w:type="paragraph" w:customStyle="1" w:styleId="Normal119">
    <w:name w:val="Normal_119"/>
    <w:qFormat/>
    <w:pPr>
      <w:suppressAutoHyphens/>
    </w:pPr>
    <w:rPr>
      <w:rFonts w:ascii="Times New Roman" w:hAnsi="Times New Roman"/>
      <w:sz w:val="24"/>
      <w:szCs w:val="24"/>
      <w:lang w:eastAsia="ar-SA"/>
    </w:rPr>
  </w:style>
  <w:style w:type="paragraph" w:customStyle="1" w:styleId="Normal120">
    <w:name w:val="Normal_120"/>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Header29">
    <w:name w:val="Header_29"/>
    <w:basedOn w:val="Normal31"/>
    <w:link w:val="HeaderChar29"/>
    <w:pPr>
      <w:tabs>
        <w:tab w:val="center" w:pos="4153"/>
        <w:tab w:val="right" w:pos="8306"/>
      </w:tabs>
    </w:pPr>
  </w:style>
  <w:style w:type="character" w:customStyle="1" w:styleId="HeaderChar29">
    <w:name w:val="Header Char_29"/>
    <w:link w:val="Header29"/>
    <w:rPr>
      <w:rFonts w:ascii="Times New Roman" w:hAnsi="Times New Roman"/>
      <w:sz w:val="24"/>
      <w:szCs w:val="24"/>
      <w:lang w:eastAsia="ar-SA"/>
    </w:rPr>
  </w:style>
  <w:style w:type="paragraph" w:customStyle="1" w:styleId="Notes27">
    <w:name w:val="Notes_27"/>
    <w:basedOn w:val="Header29"/>
    <w:link w:val="NotesChar27"/>
    <w:pPr>
      <w:numPr>
        <w:numId w:val="10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lang w:val="en-GB"/>
    </w:rPr>
  </w:style>
  <w:style w:type="character" w:customStyle="1" w:styleId="NotesChar27">
    <w:name w:val="Notes Char_27"/>
    <w:link w:val="Notes27"/>
    <w:rPr>
      <w:rFonts w:ascii="Arial" w:hAnsi="Arial"/>
      <w:b/>
      <w:szCs w:val="24"/>
      <w:lang w:val="en-US" w:eastAsia="ar-SA"/>
    </w:rPr>
  </w:style>
  <w:style w:type="paragraph" w:customStyle="1" w:styleId="Normal121">
    <w:name w:val="Normal_121"/>
    <w:qFormat/>
    <w:pPr>
      <w:suppressAutoHyphens/>
    </w:pPr>
    <w:rPr>
      <w:rFonts w:ascii="Times New Roman" w:hAnsi="Times New Roman"/>
      <w:sz w:val="24"/>
      <w:szCs w:val="24"/>
      <w:lang w:eastAsia="ar-SA"/>
    </w:rPr>
  </w:style>
  <w:style w:type="paragraph" w:customStyle="1" w:styleId="Normal210">
    <w:name w:val="Normal_2_1"/>
    <w:qFormat/>
    <w:rPr>
      <w:rFonts w:ascii="Times New Roman" w:hAnsi="Times New Roman"/>
    </w:rPr>
  </w:style>
  <w:style w:type="paragraph" w:customStyle="1" w:styleId="Header110">
    <w:name w:val="Header_1_1"/>
    <w:basedOn w:val="Normal210"/>
    <w:link w:val="HeaderChar110"/>
    <w:uiPriority w:val="99"/>
    <w:unhideWhenUsed/>
    <w:pPr>
      <w:tabs>
        <w:tab w:val="center" w:pos="4680"/>
        <w:tab w:val="right" w:pos="9360"/>
      </w:tabs>
    </w:pPr>
    <w:rPr>
      <w:rFonts w:ascii="Calibri" w:eastAsia="Calibri" w:hAnsi="Calibri" w:cs="Arial"/>
      <w:lang w:val="en-US" w:eastAsia="en-US"/>
    </w:rPr>
  </w:style>
  <w:style w:type="character" w:customStyle="1" w:styleId="HeaderChar110">
    <w:name w:val="Header Char_1_1"/>
    <w:basedOn w:val="DefaultParagraphFont"/>
    <w:link w:val="Header110"/>
    <w:uiPriority w:val="99"/>
    <w:rPr>
      <w:rFonts w:eastAsia="Calibri" w:cs="Arial"/>
      <w:lang w:val="en-US" w:eastAsia="en-US"/>
    </w:rPr>
  </w:style>
  <w:style w:type="paragraph" w:customStyle="1" w:styleId="Normal42">
    <w:name w:val="Normal_4_2"/>
    <w:qFormat/>
    <w:rPr>
      <w:rFonts w:eastAsia="Calibri" w:cs="Arial"/>
      <w:lang w:val="en-US" w:eastAsia="en-US"/>
    </w:rPr>
  </w:style>
  <w:style w:type="paragraph" w:customStyle="1" w:styleId="Normal122">
    <w:name w:val="Normal_122"/>
    <w:qFormat/>
    <w:pPr>
      <w:suppressAutoHyphens/>
    </w:pPr>
    <w:rPr>
      <w:rFonts w:ascii="Times New Roman" w:hAnsi="Times New Roman"/>
      <w:sz w:val="24"/>
      <w:szCs w:val="24"/>
      <w:lang w:eastAsia="ar-SA"/>
    </w:rPr>
  </w:style>
  <w:style w:type="paragraph" w:customStyle="1" w:styleId="Normal32">
    <w:name w:val="Normal_32"/>
    <w:qFormat/>
    <w:rPr>
      <w:rFonts w:eastAsia="Calibri" w:cs="Arial"/>
      <w:lang w:val="en-US" w:eastAsia="en-US"/>
    </w:rPr>
  </w:style>
  <w:style w:type="paragraph" w:customStyle="1" w:styleId="Header30">
    <w:name w:val="Header_30"/>
    <w:basedOn w:val="Normal32"/>
    <w:link w:val="HeaderChar30"/>
    <w:uiPriority w:val="99"/>
    <w:semiHidden/>
    <w:unhideWhenUsed/>
    <w:pPr>
      <w:tabs>
        <w:tab w:val="center" w:pos="4680"/>
        <w:tab w:val="right" w:pos="9360"/>
      </w:tabs>
    </w:pPr>
  </w:style>
  <w:style w:type="character" w:customStyle="1" w:styleId="HeaderChar30">
    <w:name w:val="Header Char_30"/>
    <w:basedOn w:val="DefaultParagraphFont"/>
    <w:link w:val="Header30"/>
    <w:uiPriority w:val="99"/>
    <w:semiHidden/>
    <w:rPr>
      <w:rFonts w:eastAsia="Calibri" w:cs="Arial"/>
      <w:lang w:val="en-US" w:eastAsia="en-US"/>
    </w:rPr>
  </w:style>
  <w:style w:type="paragraph" w:customStyle="1" w:styleId="Notes28">
    <w:name w:val="Notes_28"/>
    <w:basedOn w:val="Header30"/>
    <w:link w:val="NotesChar28"/>
    <w:pPr>
      <w:numPr>
        <w:numId w:val="102"/>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character" w:customStyle="1" w:styleId="NotesChar28">
    <w:name w:val="Notes Char_28"/>
    <w:link w:val="Notes28"/>
    <w:rPr>
      <w:rFonts w:ascii="Arial" w:eastAsia="Calibri" w:hAnsi="Arial" w:cs="Arial"/>
      <w:b/>
      <w:szCs w:val="24"/>
      <w:lang w:val="en-US" w:eastAsia="ar-SA"/>
    </w:rPr>
  </w:style>
  <w:style w:type="paragraph" w:customStyle="1" w:styleId="Title1150">
    <w:name w:val="Title 1.1_5_0"/>
    <w:basedOn w:val="Normal122"/>
    <w:pPr>
      <w:tabs>
        <w:tab w:val="right" w:pos="-2700"/>
        <w:tab w:val="right" w:pos="720"/>
      </w:tabs>
      <w:ind w:left="720" w:hanging="360"/>
      <w:jc w:val="both"/>
    </w:pPr>
    <w:rPr>
      <w:rFonts w:ascii="Arial" w:hAnsi="Arial"/>
      <w:sz w:val="20"/>
      <w:szCs w:val="20"/>
    </w:rPr>
  </w:style>
  <w:style w:type="paragraph" w:customStyle="1" w:styleId="Normal123">
    <w:name w:val="Normal_123"/>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tes29">
    <w:name w:val="Notes_29"/>
    <w:basedOn w:val="Header26"/>
    <w:link w:val="NotesChar29"/>
    <w:pPr>
      <w:tabs>
        <w:tab w:val="clear" w:pos="4153"/>
        <w:tab w:val="clear" w:pos="8306"/>
        <w:tab w:val="center" w:pos="4320"/>
        <w:tab w:val="right" w:pos="8640"/>
      </w:tabs>
      <w:spacing w:before="120" w:after="120"/>
      <w:ind w:left="360" w:hanging="360"/>
      <w:jc w:val="both"/>
    </w:pPr>
    <w:rPr>
      <w:rFonts w:ascii="Arial" w:hAnsi="Arial"/>
      <w:b/>
      <w:sz w:val="20"/>
      <w:lang w:val="en-US"/>
    </w:rPr>
  </w:style>
  <w:style w:type="character" w:customStyle="1" w:styleId="NotesChar29">
    <w:name w:val="Notes Char_29"/>
    <w:link w:val="Notes29"/>
    <w:rPr>
      <w:rFonts w:ascii="Arial" w:hAnsi="Arial"/>
      <w:b/>
      <w:szCs w:val="24"/>
      <w:lang w:val="en-US" w:eastAsia="ar-SA"/>
    </w:rPr>
  </w:style>
  <w:style w:type="paragraph" w:customStyle="1" w:styleId="Normal124">
    <w:name w:val="Normal_124"/>
    <w:qFormat/>
    <w:pPr>
      <w:suppressAutoHyphens/>
    </w:pPr>
    <w:rPr>
      <w:rFonts w:ascii="Times New Roman" w:hAnsi="Times New Roman"/>
      <w:sz w:val="24"/>
      <w:szCs w:val="24"/>
      <w:lang w:eastAsia="ar-SA"/>
    </w:rPr>
  </w:style>
  <w:style w:type="paragraph" w:customStyle="1" w:styleId="Title1151">
    <w:name w:val="Title 1.1_5_1"/>
    <w:basedOn w:val="Normal124"/>
    <w:pPr>
      <w:tabs>
        <w:tab w:val="right" w:pos="-2700"/>
        <w:tab w:val="right" w:pos="720"/>
      </w:tabs>
      <w:ind w:left="720" w:hanging="360"/>
      <w:jc w:val="both"/>
    </w:pPr>
    <w:rPr>
      <w:rFonts w:ascii="Arial" w:hAnsi="Arial"/>
      <w:sz w:val="20"/>
      <w:szCs w:val="20"/>
    </w:rPr>
  </w:style>
  <w:style w:type="paragraph" w:customStyle="1" w:styleId="Normal125">
    <w:name w:val="Normal_125"/>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220">
    <w:name w:val="Normal_2_2"/>
    <w:qFormat/>
    <w:rPr>
      <w:rFonts w:ascii="Times New Roman" w:hAnsi="Times New Roman"/>
    </w:rPr>
  </w:style>
  <w:style w:type="paragraph" w:customStyle="1" w:styleId="Header120">
    <w:name w:val="Header_1_2"/>
    <w:basedOn w:val="Normal220"/>
    <w:link w:val="HeaderChar120"/>
    <w:uiPriority w:val="99"/>
    <w:unhideWhenUsed/>
    <w:pPr>
      <w:tabs>
        <w:tab w:val="center" w:pos="4680"/>
        <w:tab w:val="right" w:pos="9360"/>
      </w:tabs>
    </w:pPr>
    <w:rPr>
      <w:rFonts w:ascii="Calibri" w:eastAsia="Calibri" w:hAnsi="Calibri" w:cs="Arial"/>
      <w:lang w:val="en-US" w:eastAsia="en-US"/>
    </w:rPr>
  </w:style>
  <w:style w:type="character" w:customStyle="1" w:styleId="HeaderChar120">
    <w:name w:val="Header Char_1_2"/>
    <w:basedOn w:val="DefaultParagraphFont"/>
    <w:link w:val="Header120"/>
    <w:uiPriority w:val="99"/>
    <w:rPr>
      <w:rFonts w:ascii="Times New Roman" w:hAnsi="Times New Roman"/>
    </w:rPr>
  </w:style>
  <w:style w:type="paragraph" w:customStyle="1" w:styleId="Normal43">
    <w:name w:val="Normal_4_3"/>
    <w:qFormat/>
    <w:rPr>
      <w:rFonts w:eastAsia="Calibri" w:cs="Arial"/>
      <w:lang w:val="en-US" w:eastAsia="en-US"/>
    </w:rPr>
  </w:style>
  <w:style w:type="paragraph" w:customStyle="1" w:styleId="Normal126">
    <w:name w:val="Normal_126"/>
    <w:qFormat/>
    <w:pPr>
      <w:suppressAutoHyphens/>
    </w:pPr>
    <w:rPr>
      <w:rFonts w:ascii="Times New Roman" w:hAnsi="Times New Roman"/>
      <w:sz w:val="24"/>
      <w:szCs w:val="24"/>
      <w:lang w:eastAsia="ar-SA"/>
    </w:rPr>
  </w:style>
  <w:style w:type="paragraph" w:customStyle="1" w:styleId="ListParagraph5">
    <w:name w:val="List Paragraph_5"/>
    <w:basedOn w:val="Normal126"/>
    <w:uiPriority w:val="34"/>
    <w:qFormat/>
    <w:pPr>
      <w:ind w:left="720"/>
      <w:contextualSpacing/>
    </w:p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Normal127">
    <w:name w:val="Normal_127"/>
    <w:qFormat/>
    <w:pPr>
      <w:suppressAutoHyphens/>
    </w:pPr>
    <w:rPr>
      <w:rFonts w:ascii="Times New Roman" w:hAnsi="Times New Roman"/>
      <w:sz w:val="24"/>
      <w:szCs w:val="24"/>
      <w:lang w:eastAsia="ar-SA"/>
    </w:rPr>
  </w:style>
  <w:style w:type="paragraph" w:customStyle="1" w:styleId="Normal128">
    <w:name w:val="Normal_128"/>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129">
    <w:name w:val="Normal_129"/>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tes">
    <w:name w:val="Notes"/>
    <w:basedOn w:val="Header"/>
    <w:link w:val="NotesChar"/>
    <w:pPr>
      <w:numPr>
        <w:numId w:val="106"/>
      </w:numPr>
      <w:tabs>
        <w:tab w:val="clear" w:pos="4677"/>
        <w:tab w:val="clear" w:pos="9355"/>
        <w:tab w:val="center" w:pos="4320"/>
        <w:tab w:val="right" w:pos="8640"/>
      </w:tabs>
      <w:suppressAutoHyphens/>
      <w:spacing w:before="120" w:after="120"/>
      <w:jc w:val="both"/>
    </w:pPr>
    <w:rPr>
      <w:rFonts w:ascii="Arial" w:hAnsi="Arial"/>
      <w:b/>
      <w:sz w:val="20"/>
      <w:lang w:val="en-US"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lang w:val="en-GB"/>
    </w:rPr>
  </w:style>
  <w:style w:type="character" w:customStyle="1" w:styleId="NotesChar">
    <w:name w:val="Notes Char"/>
    <w:link w:val="Notes"/>
    <w:rPr>
      <w:rFonts w:ascii="Arial" w:hAnsi="Arial"/>
      <w:b/>
      <w:szCs w:val="24"/>
      <w:lang w:val="en-US" w:eastAsia="ar-SA"/>
    </w:rPr>
  </w:style>
  <w:style w:type="paragraph" w:customStyle="1" w:styleId="Normal130">
    <w:name w:val="Normal_130"/>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tes32">
    <w:name w:val="Notes_32"/>
    <w:basedOn w:val="Header29"/>
    <w:link w:val="NotesChar32"/>
    <w:pPr>
      <w:tabs>
        <w:tab w:val="clear" w:pos="4153"/>
        <w:tab w:val="clear" w:pos="8306"/>
        <w:tab w:val="center" w:pos="4320"/>
        <w:tab w:val="right" w:pos="8640"/>
      </w:tabs>
      <w:spacing w:before="120" w:after="120"/>
      <w:ind w:left="360" w:hanging="360"/>
      <w:jc w:val="both"/>
    </w:pPr>
    <w:rPr>
      <w:rFonts w:ascii="Arial" w:hAnsi="Arial"/>
      <w:b/>
      <w:sz w:val="20"/>
      <w:lang w:val="en-US"/>
    </w:rPr>
  </w:style>
  <w:style w:type="character" w:customStyle="1" w:styleId="NotesChar32">
    <w:name w:val="Notes Char_32"/>
    <w:link w:val="Notes32"/>
    <w:rPr>
      <w:rFonts w:ascii="Arial" w:hAnsi="Arial"/>
      <w:b/>
      <w:szCs w:val="24"/>
      <w:lang w:val="en-US" w:eastAsia="ar-SA"/>
    </w:rPr>
  </w:style>
  <w:style w:type="paragraph" w:customStyle="1" w:styleId="Normal131">
    <w:name w:val="Normal_131"/>
    <w:qFormat/>
    <w:pPr>
      <w:suppressAutoHyphens/>
    </w:pPr>
    <w:rPr>
      <w:rFonts w:ascii="Times New Roman" w:hAnsi="Times New Roman"/>
      <w:sz w:val="24"/>
      <w:szCs w:val="24"/>
      <w:lang w:eastAsia="ar-SA"/>
    </w:rPr>
  </w:style>
  <w:style w:type="paragraph" w:customStyle="1" w:styleId="ListParagraph6">
    <w:name w:val="List Paragraph_6"/>
    <w:basedOn w:val="Normal131"/>
    <w:uiPriority w:val="34"/>
    <w:qFormat/>
    <w:pPr>
      <w:ind w:left="720"/>
      <w:contextualSpacing/>
    </w:pPr>
  </w:style>
  <w:style w:type="paragraph" w:customStyle="1" w:styleId="Normal690">
    <w:name w:val="Normal_69_0"/>
    <w:qFormat/>
    <w:pPr>
      <w:suppressAutoHyphens/>
    </w:pPr>
    <w:rPr>
      <w:rFonts w:ascii="Times New Roman" w:hAnsi="Times New Roman"/>
      <w:sz w:val="24"/>
      <w:szCs w:val="24"/>
      <w:lang w:eastAsia="ar-SA"/>
    </w:rPr>
  </w:style>
  <w:style w:type="paragraph" w:customStyle="1" w:styleId="Normal132">
    <w:name w:val="Normal_132"/>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133">
    <w:name w:val="Normal_133"/>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135">
    <w:name w:val="Normal_135"/>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Title1">
    <w:name w:val="Title 1"/>
    <w:basedOn w:val="Notes"/>
    <w:link w:val="Title1Char"/>
    <w:pPr>
      <w:spacing w:before="0" w:after="0"/>
    </w:pPr>
  </w:style>
  <w:style w:type="character" w:customStyle="1" w:styleId="Title1Char">
    <w:name w:val="Title 1 Char"/>
    <w:basedOn w:val="NotesChar"/>
    <w:link w:val="Title1"/>
    <w:rPr>
      <w:rFonts w:ascii="Arial" w:hAnsi="Arial"/>
      <w:b/>
      <w:szCs w:val="24"/>
      <w:lang w:val="en-US" w:eastAsia="ar-SA"/>
    </w:rPr>
  </w:style>
  <w:style w:type="paragraph" w:customStyle="1" w:styleId="Normal136">
    <w:name w:val="Normal_136"/>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137">
    <w:name w:val="Normal_137"/>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138">
    <w:name w:val="Normal_138"/>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paragraph" w:customStyle="1" w:styleId="Normal139">
    <w:name w:val="Normal_139"/>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1400">
    <w:name w:val="Normal_140"/>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141">
    <w:name w:val="Normal_141"/>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142">
    <w:name w:val="Normal_142"/>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143">
    <w:name w:val="Normal_143"/>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144">
    <w:name w:val="Normal_144"/>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145">
    <w:name w:val="Normal_145"/>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146">
    <w:name w:val="Normal_146"/>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147">
    <w:name w:val="Normal_147"/>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148">
    <w:name w:val="Normal_148"/>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tes33">
    <w:name w:val="Notes_33"/>
    <w:basedOn w:val="Header30"/>
    <w:link w:val="NotesChar33"/>
    <w:pPr>
      <w:numPr>
        <w:numId w:val="108"/>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character" w:customStyle="1" w:styleId="NotesChar33">
    <w:name w:val="Notes Char_33"/>
    <w:link w:val="Notes33"/>
    <w:locked/>
    <w:rPr>
      <w:rFonts w:ascii="Arial" w:eastAsia="Calibri" w:hAnsi="Arial" w:cs="Arial"/>
      <w:b/>
      <w:szCs w:val="24"/>
      <w:lang w:val="en-US" w:eastAsia="ar-SA"/>
    </w:rPr>
  </w:style>
  <w:style w:type="paragraph" w:customStyle="1" w:styleId="Normal149">
    <w:name w:val="Normal_149"/>
    <w:qFormat/>
    <w:rPr>
      <w:rFonts w:eastAsia="Calibri" w:cs="Arial"/>
      <w:lang w:val="en-US" w:eastAsia="en-US"/>
    </w:rPr>
  </w:style>
  <w:style w:type="table" w:customStyle="1" w:styleId="TableGrid0">
    <w:name w:val="Table Grid_0"/>
    <w:basedOn w:val="TableNormal"/>
    <w:uiPriority w:val="59"/>
    <w:rPr>
      <w:rFonts w:eastAsia="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0">
    <w:name w:val="Normal_150"/>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7">
    <w:name w:val="Normal_7"/>
    <w:qFormat/>
    <w:pPr>
      <w:suppressAutoHyphens/>
    </w:pPr>
    <w:rPr>
      <w:rFonts w:ascii="Times New Roman" w:hAnsi="Times New Roman"/>
      <w:sz w:val="24"/>
      <w:szCs w:val="24"/>
      <w:lang w:eastAsia="ar-SA"/>
    </w:rPr>
  </w:style>
  <w:style w:type="paragraph" w:customStyle="1" w:styleId="Normal151">
    <w:name w:val="Normal_151"/>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StyleTextstand-aloneCustomColorRGB1">
    <w:name w:val="Style Text_stand-alone + Custom Color(RGB(1"/>
    <w:basedOn w:val="Textstand-alone"/>
    <w:pPr>
      <w:spacing w:before="120" w:after="0"/>
    </w:pPr>
    <w:rPr>
      <w:color w:val="016794"/>
      <w:szCs w:val="20"/>
    </w:rPr>
  </w:style>
  <w:style w:type="paragraph" w:customStyle="1" w:styleId="Text9pItalicLeft025">
    <w:name w:val="Text_9p_Italic_Left_0.25"/>
    <w:basedOn w:val="Normal"/>
    <w:qFormat/>
    <w:pPr>
      <w:ind w:left="142"/>
    </w:pPr>
    <w:rPr>
      <w:rFonts w:ascii="Verdana" w:eastAsia="Calibri" w:hAnsi="Verdana" w:cstheme="minorBidi"/>
      <w:i/>
      <w:noProof/>
      <w:sz w:val="18"/>
      <w:szCs w:val="18"/>
      <w:lang w:eastAsia="en-US"/>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header" Target="header158.xml"/><Relationship Id="rId366" Type="http://schemas.openxmlformats.org/officeDocument/2006/relationships/header" Target="header179.xml"/><Relationship Id="rId170" Type="http://schemas.openxmlformats.org/officeDocument/2006/relationships/footer" Target="footer80.xml"/><Relationship Id="rId226" Type="http://schemas.openxmlformats.org/officeDocument/2006/relationships/footer" Target="footer108.xml"/><Relationship Id="rId433" Type="http://schemas.openxmlformats.org/officeDocument/2006/relationships/footer" Target="footer211.xml"/><Relationship Id="rId268" Type="http://schemas.openxmlformats.org/officeDocument/2006/relationships/footer" Target="footer129.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63.xml"/><Relationship Id="rId377" Type="http://schemas.openxmlformats.org/officeDocument/2006/relationships/header" Target="header184.xml"/><Relationship Id="rId5" Type="http://schemas.microsoft.com/office/2007/relationships/stylesWithEffects" Target="stylesWithEffect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header" Target="header197.xml"/><Relationship Id="rId279" Type="http://schemas.openxmlformats.org/officeDocument/2006/relationships/header" Target="header135.xml"/><Relationship Id="rId444" Type="http://schemas.openxmlformats.org/officeDocument/2006/relationships/theme" Target="theme/theme1.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footer" Target="footer147.xml"/><Relationship Id="rId346" Type="http://schemas.openxmlformats.org/officeDocument/2006/relationships/footer" Target="footer168.xml"/><Relationship Id="rId388" Type="http://schemas.openxmlformats.org/officeDocument/2006/relationships/footer" Target="footer189.xml"/><Relationship Id="rId85" Type="http://schemas.openxmlformats.org/officeDocument/2006/relationships/footer" Target="footer37.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header" Target="header202.xml"/><Relationship Id="rId248" Type="http://schemas.openxmlformats.org/officeDocument/2006/relationships/footer" Target="footer119.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5.xml"/><Relationship Id="rId315" Type="http://schemas.openxmlformats.org/officeDocument/2006/relationships/header" Target="header153.xml"/><Relationship Id="rId336" Type="http://schemas.openxmlformats.org/officeDocument/2006/relationships/header" Target="header164.xml"/><Relationship Id="rId357" Type="http://schemas.openxmlformats.org/officeDocument/2006/relationships/header" Target="header174.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378" Type="http://schemas.openxmlformats.org/officeDocument/2006/relationships/header" Target="header185.xml"/><Relationship Id="rId399" Type="http://schemas.openxmlformats.org/officeDocument/2006/relationships/header" Target="header195.xml"/><Relationship Id="rId403" Type="http://schemas.openxmlformats.org/officeDocument/2006/relationships/footer" Target="footer196.xml"/><Relationship Id="rId6" Type="http://schemas.openxmlformats.org/officeDocument/2006/relationships/settings" Target="settings.xml"/><Relationship Id="rId238" Type="http://schemas.openxmlformats.org/officeDocument/2006/relationships/footer" Target="footer114.xml"/><Relationship Id="rId259" Type="http://schemas.openxmlformats.org/officeDocument/2006/relationships/footer" Target="footer124.xml"/><Relationship Id="rId424" Type="http://schemas.openxmlformats.org/officeDocument/2006/relationships/footer" Target="footer207.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header" Target="header141.xml"/><Relationship Id="rId305" Type="http://schemas.openxmlformats.org/officeDocument/2006/relationships/header" Target="header148.xml"/><Relationship Id="rId326" Type="http://schemas.openxmlformats.org/officeDocument/2006/relationships/footer" Target="footer158.xml"/><Relationship Id="rId347" Type="http://schemas.openxmlformats.org/officeDocument/2006/relationships/header" Target="header169.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368" Type="http://schemas.openxmlformats.org/officeDocument/2006/relationships/footer" Target="footer179.xml"/><Relationship Id="rId389" Type="http://schemas.openxmlformats.org/officeDocument/2006/relationships/header" Target="header190.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414" Type="http://schemas.openxmlformats.org/officeDocument/2006/relationships/header" Target="header203.xml"/><Relationship Id="rId435" Type="http://schemas.openxmlformats.org/officeDocument/2006/relationships/header" Target="header213.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5.xml"/><Relationship Id="rId281" Type="http://schemas.openxmlformats.org/officeDocument/2006/relationships/header" Target="header136.xml"/><Relationship Id="rId316" Type="http://schemas.openxmlformats.org/officeDocument/2006/relationships/footer" Target="footer153.xml"/><Relationship Id="rId337" Type="http://schemas.openxmlformats.org/officeDocument/2006/relationships/footer" Target="footer163.xml"/><Relationship Id="rId34" Type="http://schemas.openxmlformats.org/officeDocument/2006/relationships/footer" Target="footer12.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4.xml"/><Relationship Id="rId379" Type="http://schemas.openxmlformats.org/officeDocument/2006/relationships/footer" Target="footer184.xml"/><Relationship Id="rId7" Type="http://schemas.openxmlformats.org/officeDocument/2006/relationships/webSettings" Target="webSetting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390" Type="http://schemas.openxmlformats.org/officeDocument/2006/relationships/header" Target="header191.xml"/><Relationship Id="rId404" Type="http://schemas.openxmlformats.org/officeDocument/2006/relationships/footer" Target="footer197.xml"/><Relationship Id="rId425" Type="http://schemas.openxmlformats.org/officeDocument/2006/relationships/header" Target="header208.xml"/><Relationship Id="rId250" Type="http://schemas.openxmlformats.org/officeDocument/2006/relationships/footer" Target="footer120.xml"/><Relationship Id="rId271" Type="http://schemas.openxmlformats.org/officeDocument/2006/relationships/footer" Target="footer130.xml"/><Relationship Id="rId292" Type="http://schemas.openxmlformats.org/officeDocument/2006/relationships/footer" Target="footer141.xml"/><Relationship Id="rId306" Type="http://schemas.openxmlformats.org/officeDocument/2006/relationships/header" Target="header149.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header" Target="header159.xml"/><Relationship Id="rId348" Type="http://schemas.openxmlformats.org/officeDocument/2006/relationships/header" Target="header170.xml"/><Relationship Id="rId369" Type="http://schemas.openxmlformats.org/officeDocument/2006/relationships/header" Target="header180.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380" Type="http://schemas.openxmlformats.org/officeDocument/2006/relationships/footer" Target="footer185.xml"/><Relationship Id="rId415" Type="http://schemas.openxmlformats.org/officeDocument/2006/relationships/footer" Target="footer202.xml"/><Relationship Id="rId436" Type="http://schemas.openxmlformats.org/officeDocument/2006/relationships/footer" Target="footer213.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footer" Target="footer2.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17" Type="http://schemas.openxmlformats.org/officeDocument/2006/relationships/header" Target="header154.xml"/><Relationship Id="rId338" Type="http://schemas.openxmlformats.org/officeDocument/2006/relationships/footer" Target="footer164.xml"/><Relationship Id="rId359" Type="http://schemas.openxmlformats.org/officeDocument/2006/relationships/header" Target="header175.xml"/><Relationship Id="rId8" Type="http://schemas.openxmlformats.org/officeDocument/2006/relationships/footnotes" Target="foot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370" Type="http://schemas.openxmlformats.org/officeDocument/2006/relationships/footer" Target="footer180.xml"/><Relationship Id="rId391" Type="http://schemas.openxmlformats.org/officeDocument/2006/relationships/footer" Target="footer190.xml"/><Relationship Id="rId405" Type="http://schemas.openxmlformats.org/officeDocument/2006/relationships/header" Target="header198.xml"/><Relationship Id="rId426" Type="http://schemas.openxmlformats.org/officeDocument/2006/relationships/header" Target="header209.xml"/><Relationship Id="rId230" Type="http://schemas.openxmlformats.org/officeDocument/2006/relationships/footer" Target="footer110.xml"/><Relationship Id="rId251" Type="http://schemas.openxmlformats.org/officeDocument/2006/relationships/header" Target="header121.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eader" Target="header142.xml"/><Relationship Id="rId307" Type="http://schemas.openxmlformats.org/officeDocument/2006/relationships/footer" Target="footer148.xml"/><Relationship Id="rId328" Type="http://schemas.openxmlformats.org/officeDocument/2006/relationships/footer" Target="footer159.xml"/><Relationship Id="rId349" Type="http://schemas.openxmlformats.org/officeDocument/2006/relationships/footer" Target="footer169.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header" Target="header176.xml"/><Relationship Id="rId381" Type="http://schemas.openxmlformats.org/officeDocument/2006/relationships/header" Target="header186.xml"/><Relationship Id="rId416" Type="http://schemas.openxmlformats.org/officeDocument/2006/relationships/footer" Target="footer203.xml"/><Relationship Id="rId220" Type="http://schemas.openxmlformats.org/officeDocument/2006/relationships/footer" Target="footer105.xml"/><Relationship Id="rId241" Type="http://schemas.openxmlformats.org/officeDocument/2006/relationships/footer" Target="footer115.xml"/><Relationship Id="rId437" Type="http://schemas.openxmlformats.org/officeDocument/2006/relationships/header" Target="header214.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header" Target="header155.xml"/><Relationship Id="rId339" Type="http://schemas.openxmlformats.org/officeDocument/2006/relationships/header" Target="header165.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footer" Target="footer170.xml"/><Relationship Id="rId371" Type="http://schemas.openxmlformats.org/officeDocument/2006/relationships/header" Target="header181.xml"/><Relationship Id="rId406" Type="http://schemas.openxmlformats.org/officeDocument/2006/relationships/footer" Target="footer198.xml"/><Relationship Id="rId9" Type="http://schemas.openxmlformats.org/officeDocument/2006/relationships/endnotes" Target="endnotes.xml"/><Relationship Id="rId210" Type="http://schemas.openxmlformats.org/officeDocument/2006/relationships/header" Target="header101.xml"/><Relationship Id="rId392" Type="http://schemas.openxmlformats.org/officeDocument/2006/relationships/footer" Target="footer191.xml"/><Relationship Id="rId427" Type="http://schemas.openxmlformats.org/officeDocument/2006/relationships/footer" Target="footer208.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49.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5.xml"/><Relationship Id="rId361" Type="http://schemas.openxmlformats.org/officeDocument/2006/relationships/footer" Target="footer175.xml"/><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footer" Target="footer186.xml"/><Relationship Id="rId417" Type="http://schemas.openxmlformats.org/officeDocument/2006/relationships/header" Target="header204.xml"/><Relationship Id="rId438" Type="http://schemas.openxmlformats.org/officeDocument/2006/relationships/header" Target="header215.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footer" Target="footer154.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header" Target="header161.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header" Target="header171.xml"/><Relationship Id="rId372" Type="http://schemas.openxmlformats.org/officeDocument/2006/relationships/header" Target="header182.xml"/><Relationship Id="rId393" Type="http://schemas.openxmlformats.org/officeDocument/2006/relationships/header" Target="header192.xml"/><Relationship Id="rId407" Type="http://schemas.openxmlformats.org/officeDocument/2006/relationships/header" Target="header199.xml"/><Relationship Id="rId428" Type="http://schemas.openxmlformats.org/officeDocument/2006/relationships/footer" Target="footer209.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footer" Target="footer142.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5.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6.xml"/><Relationship Id="rId362" Type="http://schemas.openxmlformats.org/officeDocument/2006/relationships/footer" Target="footer176.xml"/><Relationship Id="rId383" Type="http://schemas.openxmlformats.org/officeDocument/2006/relationships/header" Target="header187.xml"/><Relationship Id="rId418" Type="http://schemas.openxmlformats.org/officeDocument/2006/relationships/footer" Target="footer204.xml"/><Relationship Id="rId439" Type="http://schemas.openxmlformats.org/officeDocument/2006/relationships/footer" Target="footer214.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50.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footer" Target="footer160.xml"/><Relationship Id="rId352" Type="http://schemas.openxmlformats.org/officeDocument/2006/relationships/footer" Target="footer171.xml"/><Relationship Id="rId373" Type="http://schemas.openxmlformats.org/officeDocument/2006/relationships/footer" Target="footer181.xml"/><Relationship Id="rId394" Type="http://schemas.openxmlformats.org/officeDocument/2006/relationships/footer" Target="footer192.xml"/><Relationship Id="rId408" Type="http://schemas.openxmlformats.org/officeDocument/2006/relationships/header" Target="header200.xml"/><Relationship Id="rId429" Type="http://schemas.openxmlformats.org/officeDocument/2006/relationships/header" Target="header210.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440" Type="http://schemas.openxmlformats.org/officeDocument/2006/relationships/footer" Target="footer215.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header" Target="header146.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6.xml"/><Relationship Id="rId342" Type="http://schemas.openxmlformats.org/officeDocument/2006/relationships/header" Target="header167.xml"/><Relationship Id="rId363" Type="http://schemas.openxmlformats.org/officeDocument/2006/relationships/header" Target="header177.xml"/><Relationship Id="rId384" Type="http://schemas.openxmlformats.org/officeDocument/2006/relationships/header" Target="header188.xml"/><Relationship Id="rId419" Type="http://schemas.openxmlformats.org/officeDocument/2006/relationships/header" Target="header205.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430" Type="http://schemas.openxmlformats.org/officeDocument/2006/relationships/footer" Target="footer210.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51.xml"/><Relationship Id="rId332" Type="http://schemas.openxmlformats.org/officeDocument/2006/relationships/footer" Target="footer161.xml"/><Relationship Id="rId353" Type="http://schemas.openxmlformats.org/officeDocument/2006/relationships/header" Target="header172.xml"/><Relationship Id="rId374" Type="http://schemas.openxmlformats.org/officeDocument/2006/relationships/footer" Target="footer182.xml"/><Relationship Id="rId395" Type="http://schemas.openxmlformats.org/officeDocument/2006/relationships/header" Target="header193.xml"/><Relationship Id="rId409" Type="http://schemas.openxmlformats.org/officeDocument/2006/relationships/footer" Target="footer199.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header" Target="header206.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41" Type="http://schemas.openxmlformats.org/officeDocument/2006/relationships/header" Target="header216.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footer" Target="footer145.xml"/><Relationship Id="rId322" Type="http://schemas.openxmlformats.org/officeDocument/2006/relationships/footer" Target="footer156.xml"/><Relationship Id="rId343" Type="http://schemas.openxmlformats.org/officeDocument/2006/relationships/footer" Target="footer166.xml"/><Relationship Id="rId364" Type="http://schemas.openxmlformats.org/officeDocument/2006/relationships/footer" Target="footer177.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footer" Target="footer187.xml"/><Relationship Id="rId19" Type="http://schemas.openxmlformats.org/officeDocument/2006/relationships/footer" Target="footer4.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footer" Target="footer200.xml"/><Relationship Id="rId431" Type="http://schemas.openxmlformats.org/officeDocument/2006/relationships/header" Target="header211.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eader" Target="header152.xml"/><Relationship Id="rId333" Type="http://schemas.openxmlformats.org/officeDocument/2006/relationships/header" Target="header162.xml"/><Relationship Id="rId354" Type="http://schemas.openxmlformats.org/officeDocument/2006/relationships/header" Target="header173.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header" Target="header183.xml"/><Relationship Id="rId396" Type="http://schemas.openxmlformats.org/officeDocument/2006/relationships/header" Target="header194.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footer" Target="footer144.xml"/><Relationship Id="rId400" Type="http://schemas.openxmlformats.org/officeDocument/2006/relationships/footer" Target="footer195.xml"/><Relationship Id="rId421" Type="http://schemas.openxmlformats.org/officeDocument/2006/relationships/footer" Target="footer205.xml"/><Relationship Id="rId442" Type="http://schemas.openxmlformats.org/officeDocument/2006/relationships/footer" Target="footer216.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header" Target="header157.xml"/><Relationship Id="rId344" Type="http://schemas.openxmlformats.org/officeDocument/2006/relationships/footer" Target="footer167.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8.xml"/><Relationship Id="rId386" Type="http://schemas.openxmlformats.org/officeDocument/2006/relationships/footer" Target="footer188.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header" Target="header201.xml"/><Relationship Id="rId432" Type="http://schemas.openxmlformats.org/officeDocument/2006/relationships/header" Target="header212.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footer" Target="footer151.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footer" Target="footer162.xml"/><Relationship Id="rId355" Type="http://schemas.openxmlformats.org/officeDocument/2006/relationships/footer" Target="footer172.xml"/><Relationship Id="rId376" Type="http://schemas.openxmlformats.org/officeDocument/2006/relationships/footer" Target="footer183.xml"/><Relationship Id="rId397" Type="http://schemas.openxmlformats.org/officeDocument/2006/relationships/footer" Target="footer193.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6.xml"/><Relationship Id="rId422" Type="http://schemas.openxmlformats.org/officeDocument/2006/relationships/footer" Target="footer206.xml"/><Relationship Id="rId443" Type="http://schemas.openxmlformats.org/officeDocument/2006/relationships/fontTable" Target="fontTable.xml"/><Relationship Id="rId303" Type="http://schemas.openxmlformats.org/officeDocument/2006/relationships/header" Target="header147.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header" Target="header168.xml"/><Relationship Id="rId387" Type="http://schemas.openxmlformats.org/officeDocument/2006/relationships/header" Target="header189.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201.xml"/><Relationship Id="rId107" Type="http://schemas.openxmlformats.org/officeDocument/2006/relationships/header" Target="header49.xml"/><Relationship Id="rId289" Type="http://schemas.openxmlformats.org/officeDocument/2006/relationships/footer" Target="footer139.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footer" Target="footer194.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header" Target="header207.xml"/><Relationship Id="rId258" Type="http://schemas.openxmlformats.org/officeDocument/2006/relationships/header" Target="header125.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footer" Target="footer157.xml"/><Relationship Id="rId367" Type="http://schemas.openxmlformats.org/officeDocument/2006/relationships/footer" Target="footer178.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footer" Target="footer2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1A683-32DA-468D-AB10-7CB9F6632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28</Pages>
  <Words>51970</Words>
  <Characters>281163</Characters>
  <Application>Microsoft Office Word</Application>
  <DocSecurity>0</DocSecurity>
  <Lines>23430</Lines>
  <Paragraphs>12812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320321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119</cp:revision>
  <dcterms:created xsi:type="dcterms:W3CDTF">2020-06-02T07:36:00Z</dcterms:created>
  <dcterms:modified xsi:type="dcterms:W3CDTF">2020-09-02T14:51:00Z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UgoAAB+LCAAAAAAABAA9lguOxCAMQ69EgPA5D/e/w/o5nZVGaqcF4sSO0xjjnXg3Xszxepy32+vtxZgv1nx368V+qX9tvZta0t7sL859Sysnq4+Wat0+eru0UPd6dnU7dJvt7ek36/Vxnza3/rR/at/Woq7gQ/dX+/t+1yf732T7eMIY2Yl+CSkQhDitluvFNKzdX9dqYPd5SSQiFWLWVXuP3u7Q4nQ6ocxDR2gBi48O5aimiFeQ9KjzV6+vy6P</vt:lpwstr>
  </property>
  <property fmtid="{D5CDD505-2E9C-101B-9397-08002B2CF9AE}" pid="10" name="frecMETA01">
    <vt:lpwstr>tujnKY913tJ9kH3VrzQi8Z3K4Hm+h0cH8+mg+1lfyr4o0L4x1SGIPV2EsPwBx106lHdBBMbnqLoU3F2EPGS6v0wERep4P4rSSY9LcKeboxkLMbn5UohVmL8hDaChsd1FDQA/R4y1BhnrqllrfxYludYl2IbgP8A3nqIXw0ZsiJXQW21AlzK6unvnNfC6LkoPaTwKXANQHMNH0ZOlwJQZd5KezDxvu8WvL0fC7gAheqCoh4sPCPEYvlhU4WahdFF</vt:lpwstr>
  </property>
  <property fmtid="{D5CDD505-2E9C-101B-9397-08002B2CF9AE}" pid="11" name="frecMETA02">
    <vt:lpwstr>cyyF5p9WlofYySBKXdJlw48n4AdFVV02eZ4Kw8LVmdJCGnU1ValA/xIr9TrCk8YKxKUmXheOJG0Q+1dVAF6Wl6XCfdbicJbeY/EF5PGB8mTofcVi+nuRdE4lyr99K5A0Yuzb0WOJ3/lnSfq6SNiAdZKgpK1T0pt1OPxAowo3oo0XiJS0ox8/TFqu5BA9VdsWB++yTaiZY83dpnw7Z20MwE3njerCqEsbjezXznpymFvF4Az1R+U77FCWG57WG1w</vt:lpwstr>
  </property>
  <property fmtid="{D5CDD505-2E9C-101B-9397-08002B2CF9AE}" pid="12" name="frecMETA03">
    <vt:lpwstr>h09RVWbKftX9PxE0ulczsBWbF6kjeW40B/Po8wF83Jtwzg5ARdgmf1KirLi8KJyOySmkG+npcEBc9nkUCCSgwi5n62uP0DIC+Izm+t3Fh7ydrBbSlt2TPG3yiTpyGVnFDVUGTVVoU7ZEZvxciK7yz4V5SlL+2oXHWqigEs487Ofa/6Um84715oQMAVb3cU22ymNhTPZZXJmT3A8Ptxew6K1+VHHtrwcMeHANKX+gjU/ee9bE4V0r/uajZRWT9Vp</vt:lpwstr>
  </property>
  <property fmtid="{D5CDD505-2E9C-101B-9397-08002B2CF9AE}" pid="13" name="frecMETA04">
    <vt:lpwstr>5CCW6GEOG5Y4Z1k9woHD4MEGWAZEHZZTdtpZQCggHkG7OANmDiTmD+h9Fu10Z9RcS3O+cB3azfBK9syt5ULYITgjPOpQl7TOiPmNufmpWQnrkPu1oHVcQxU7Ei5MulUXw7CljTQpzb6VkaJQ4VFLqcv4PLas0Q37xWTcnKoLozS+gjADZ7UzOCCR1qGSYpwgYhrepicew9hsSr+3ePCEbZ9T2B7sDBIdTQBsRvWp0RQW6SzxMJU+13VA+5LdPph</vt:lpwstr>
  </property>
  <property fmtid="{D5CDD505-2E9C-101B-9397-08002B2CF9AE}" pid="14" name="frecMETA05">
    <vt:lpwstr>m2z0BB1Wi9NGWT8cJOnOGwHgb+5WeSNHPZn8xQSQ76+Mjy5AwSoHCVOh25ZLl6giIweke30U0A95Bs9B+hgY0vhP4iLjln7MUMvfXBMPiaFXG7rIMpAxZDAF9kfSaEJZMq9JZAqqMkNO4SI/vEHJmOZXO7wNGaMkhi9Yu1KsGFQ7U/GUUWVbR/TWy+NoDI17I8Dy27sSWba/+cGi1pL4OPFqtJdWtbArIvFEJsoBSIBcm/gBwFPhXUgoAAA==</vt:lpwstr>
  </property>
  <property fmtid="{D5CDD505-2E9C-101B-9397-08002B2CF9AE}" pid="15" name="PeriodId">
    <vt:i4>10</vt:i4>
  </property>
  <property fmtid="{D5CDD505-2E9C-101B-9397-08002B2CF9AE}" pid="16" name="PeriodName">
    <vt:lpwstr>2019 Annual Accounts</vt:lpwstr>
  </property>
  <property fmtid="{D5CDD505-2E9C-101B-9397-08002B2CF9AE}" pid="17" name="ReportId">
    <vt:i4>218</vt:i4>
  </property>
  <property fmtid="{D5CDD505-2E9C-101B-9397-08002B2CF9AE}" pid="18" name="ReportName">
    <vt:lpwstr>EDF from Master Report</vt:lpwstr>
  </property>
  <property fmtid="{D5CDD505-2E9C-101B-9397-08002B2CF9AE}" pid="19" name="synchronize">
    <vt:lpwstr>on</vt:lpwstr>
  </property>
  <property fmtid="{D5CDD505-2E9C-101B-9397-08002B2CF9AE}" pid="20" name="TemplateId">
    <vt:i4>604</vt:i4>
  </property>
  <property fmtid="{D5CDD505-2E9C-101B-9397-08002B2CF9AE}" pid="21" name="UseLegacyExcelTemplate">
    <vt:bool>true</vt:bool>
  </property>
  <property fmtid="{D5CDD505-2E9C-101B-9397-08002B2CF9AE}" pid="22" name="Level of sensitivity">
    <vt:lpwstr>Standard treatment</vt:lpwstr>
  </property>
  <property fmtid="{D5CDD505-2E9C-101B-9397-08002B2CF9AE}" pid="23" name="Part">
    <vt:lpwstr>1</vt:lpwstr>
  </property>
  <property fmtid="{D5CDD505-2E9C-101B-9397-08002B2CF9AE}" pid="24" name="Total parts">
    <vt:lpwstr>1</vt:lpwstr>
  </property>
  <property fmtid="{D5CDD505-2E9C-101B-9397-08002B2CF9AE}" pid="25" name="DocStatus">
    <vt:lpwstr>Green</vt:lpwstr>
  </property>
  <property fmtid="{D5CDD505-2E9C-101B-9397-08002B2CF9AE}" pid="26" name="CPTemplateID">
    <vt:lpwstr>CP-040</vt:lpwstr>
  </property>
  <property fmtid="{D5CDD505-2E9C-101B-9397-08002B2CF9AE}" pid="27" name="Last edited using">
    <vt:lpwstr>LW 7.0, Build 20190717</vt:lpwstr>
  </property>
  <property fmtid="{D5CDD505-2E9C-101B-9397-08002B2CF9AE}" pid="28" name="Created using">
    <vt:lpwstr>LW 7.0, Build 20190717</vt:lpwstr>
  </property>
</Properties>
</file>