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03" w:rsidRDefault="00F15844" w:rsidP="00F15844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90808DC9-2CFC-4ED3-A048-FF00ED191B90" style="width:450.5pt;height:395.5pt">
            <v:imagedata r:id="rId8" o:title=""/>
          </v:shape>
        </w:pict>
      </w:r>
    </w:p>
    <w:p w:rsidR="00742503" w:rsidRDefault="00742503">
      <w:pPr>
        <w:rPr>
          <w:noProof/>
        </w:rPr>
        <w:sectPr w:rsidR="00742503" w:rsidSect="00F158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742503" w:rsidRDefault="00F15844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 w:rsidR="00742503" w:rsidRDefault="00F15844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 w:rsidR="00742503" w:rsidRDefault="00F15844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Razlozi i ciljevi prijedloga</w:t>
      </w:r>
    </w:p>
    <w:p w:rsidR="00742503" w:rsidRDefault="00F15844">
      <w:pPr>
        <w:pStyle w:val="Default"/>
        <w:jc w:val="both"/>
        <w:rPr>
          <w:noProof/>
          <w:sz w:val="23"/>
          <w:szCs w:val="23"/>
          <w:lang w:val="hr-HR"/>
        </w:rPr>
      </w:pPr>
      <w:r>
        <w:rPr>
          <w:noProof/>
          <w:sz w:val="23"/>
          <w:szCs w:val="23"/>
          <w:lang w:val="hr-HR"/>
        </w:rPr>
        <w:t xml:space="preserve">Uredbom (EU) 2018/848 Europskog parlamenta i Vijeća, donesenom 30. svibnja 2018., </w:t>
      </w:r>
      <w:r>
        <w:rPr>
          <w:noProof/>
          <w:sz w:val="23"/>
          <w:szCs w:val="23"/>
          <w:lang w:val="hr-HR"/>
        </w:rPr>
        <w:t>uspostavlja se novi regulatorni okvir kako bi se osiguralo neometano funkcioniranje unutarnjeg tržišta u pogledu ekološke proizvodnje s ciljem daljnjeg razvoja sveobuhvatnog sustava upravljanja poljoprivrednim gospodarstvima i proizvodnjom hrane u kojem su</w:t>
      </w:r>
      <w:r>
        <w:rPr>
          <w:noProof/>
          <w:sz w:val="23"/>
          <w:szCs w:val="23"/>
          <w:lang w:val="hr-HR"/>
        </w:rPr>
        <w:t xml:space="preserve"> ujedinjeni najbolja praksa u pogledu okoliša i klime, visoka razina bioraznolikosti, očuvanje prirodnih resursa te primjena visokih standarda za dobrobit životinja i visokih proizvodnih standarda koji su u skladu s potražnjom sve većeg broja potrošača za </w:t>
      </w:r>
      <w:r>
        <w:rPr>
          <w:noProof/>
          <w:sz w:val="23"/>
          <w:szCs w:val="23"/>
          <w:lang w:val="hr-HR"/>
        </w:rPr>
        <w:t>proizvodima proizvedenima uz primjenu prirodnih tvari i procesa. Stoga ekološka proizvodnja u društvu ima dvostruku ulogu, pri čemu se njome s jedne strane opskrbljuje specifično tržište koje odgovara na potražnju potrošača za ekološkim proizvodima, a s dr</w:t>
      </w:r>
      <w:r>
        <w:rPr>
          <w:noProof/>
          <w:sz w:val="23"/>
          <w:szCs w:val="23"/>
          <w:lang w:val="hr-HR"/>
        </w:rPr>
        <w:t>uge se strane osiguravaju javno dostupna dobra kojima se pridonosi ne samo ruralnom razvoju, već i zaštiti okoliša i dobrobiti životinja.</w:t>
      </w:r>
    </w:p>
    <w:p w:rsidR="00742503" w:rsidRDefault="00742503">
      <w:pPr>
        <w:pStyle w:val="Default"/>
        <w:jc w:val="both"/>
        <w:rPr>
          <w:noProof/>
          <w:sz w:val="23"/>
          <w:szCs w:val="23"/>
          <w:lang w:val="hr-HR"/>
        </w:rPr>
      </w:pPr>
    </w:p>
    <w:p w:rsidR="00742503" w:rsidRDefault="00F15844">
      <w:pPr>
        <w:pStyle w:val="Default"/>
        <w:jc w:val="both"/>
        <w:rPr>
          <w:noProof/>
          <w:sz w:val="23"/>
          <w:szCs w:val="23"/>
          <w:lang w:val="hr-HR"/>
        </w:rPr>
      </w:pPr>
      <w:r>
        <w:rPr>
          <w:noProof/>
          <w:sz w:val="23"/>
          <w:szCs w:val="23"/>
          <w:lang w:val="hr-HR"/>
        </w:rPr>
        <w:t>U okviru nedavno donesene strategije „od polja do stola”</w:t>
      </w:r>
      <w:r>
        <w:rPr>
          <w:rStyle w:val="FootnoteReference"/>
          <w:noProof/>
          <w:sz w:val="23"/>
          <w:szCs w:val="23"/>
        </w:rPr>
        <w:footnoteReference w:id="2"/>
      </w:r>
      <w:r>
        <w:rPr>
          <w:noProof/>
          <w:sz w:val="23"/>
          <w:szCs w:val="23"/>
          <w:lang w:val="hr-HR"/>
        </w:rPr>
        <w:t xml:space="preserve"> ekološka proizvodnja prepoznata je kao jedan od načina ispu</w:t>
      </w:r>
      <w:r>
        <w:rPr>
          <w:noProof/>
          <w:sz w:val="23"/>
          <w:szCs w:val="23"/>
          <w:lang w:val="hr-HR"/>
        </w:rPr>
        <w:t>njavanja zahtjeva za izgradnju održivog prehrambenog sustava. U strategiji o bioraznolikosti potvrđuje se važnost ekološke proizvodnje za očuvanje bioraznolikosti na području Europe. Stoga je čvrst i usuglašen regulatorni okvir za sljedećih deset godina kl</w:t>
      </w:r>
      <w:r>
        <w:rPr>
          <w:noProof/>
          <w:sz w:val="23"/>
          <w:szCs w:val="23"/>
          <w:lang w:val="hr-HR"/>
        </w:rPr>
        <w:t>jučan za ostvarivanje cilja da do 2030. 25 % poljoprivrednog zemljišta bude obuhvaćeno ekološkom poljoprivredom i da se znatno poveća ekološka akvakultura, što je navedeno u strategiji „od polja do stola” i u strategiji o bioraznolikosti.</w:t>
      </w:r>
    </w:p>
    <w:p w:rsidR="00742503" w:rsidRDefault="00742503">
      <w:pPr>
        <w:pStyle w:val="Default"/>
        <w:jc w:val="both"/>
        <w:rPr>
          <w:noProof/>
          <w:sz w:val="23"/>
          <w:szCs w:val="23"/>
          <w:lang w:val="hr-HR"/>
        </w:rPr>
      </w:pPr>
    </w:p>
    <w:p w:rsidR="00742503" w:rsidRDefault="00F15844">
      <w:pPr>
        <w:pStyle w:val="Default"/>
        <w:rPr>
          <w:noProof/>
          <w:sz w:val="23"/>
          <w:szCs w:val="23"/>
          <w:lang w:val="hr-HR"/>
        </w:rPr>
      </w:pPr>
      <w:hyperlink r:id="rId15" w:history="1">
        <w:r>
          <w:rPr>
            <w:rStyle w:val="Hyperlink"/>
            <w:noProof/>
            <w:sz w:val="23"/>
            <w:szCs w:val="23"/>
            <w:lang w:val="hr-HR"/>
          </w:rPr>
          <w:t>https://ec.europa.eu/food/sites/food/files/safety/docs/f2f_action-plan_2020_strategy-info_en.pdf</w:t>
        </w:r>
      </w:hyperlink>
    </w:p>
    <w:p w:rsidR="00742503" w:rsidRDefault="00742503">
      <w:pPr>
        <w:pStyle w:val="Default"/>
        <w:rPr>
          <w:noProof/>
          <w:sz w:val="23"/>
          <w:szCs w:val="23"/>
          <w:lang w:val="hr-HR"/>
        </w:rPr>
      </w:pPr>
    </w:p>
    <w:p w:rsidR="00742503" w:rsidRDefault="00F15844">
      <w:pPr>
        <w:pStyle w:val="Default"/>
        <w:jc w:val="both"/>
        <w:rPr>
          <w:noProof/>
          <w:sz w:val="23"/>
          <w:szCs w:val="23"/>
          <w:lang w:val="hr-HR"/>
        </w:rPr>
      </w:pPr>
      <w:r>
        <w:rPr>
          <w:noProof/>
          <w:sz w:val="23"/>
          <w:szCs w:val="23"/>
          <w:lang w:val="hr-HR"/>
        </w:rPr>
        <w:t>Pandemija bolesti COVID-19 i s njom povezana javnozdravstvena</w:t>
      </w:r>
      <w:r>
        <w:rPr>
          <w:noProof/>
          <w:sz w:val="23"/>
          <w:szCs w:val="23"/>
          <w:lang w:val="hr-HR"/>
        </w:rPr>
        <w:t xml:space="preserve"> kriza nezapamćen je izazov za države članice i predstavlja veliko opterećenje za nacionalna tijela i subjekte u ekološkoj proizvodnji. Pandemija bolesti COVID-19 dovela je i do izvanrednih okolnosti koje zahtijevaju znatnu prilagodbu ekološkog sektora u p</w:t>
      </w:r>
      <w:r>
        <w:rPr>
          <w:noProof/>
          <w:sz w:val="23"/>
          <w:szCs w:val="23"/>
          <w:lang w:val="hr-HR"/>
        </w:rPr>
        <w:t xml:space="preserve">ogledu proizvodnje, stavljanja na tržište, kontrola i međunarodne trgovine, a koje se nisu mogle predvidjeti u trenutku donošenja Uredbe (EU) 2018/848. </w:t>
      </w:r>
    </w:p>
    <w:p w:rsidR="00742503" w:rsidRDefault="00742503">
      <w:pPr>
        <w:pStyle w:val="Default"/>
        <w:jc w:val="both"/>
        <w:rPr>
          <w:noProof/>
          <w:sz w:val="23"/>
          <w:szCs w:val="23"/>
          <w:lang w:val="hr-HR"/>
        </w:rPr>
      </w:pPr>
    </w:p>
    <w:p w:rsidR="00742503" w:rsidRDefault="00F15844">
      <w:pPr>
        <w:pStyle w:val="Default"/>
        <w:jc w:val="both"/>
        <w:rPr>
          <w:noProof/>
          <w:sz w:val="23"/>
          <w:szCs w:val="23"/>
          <w:lang w:val="hr-HR"/>
        </w:rPr>
      </w:pPr>
      <w:r>
        <w:rPr>
          <w:noProof/>
          <w:sz w:val="23"/>
          <w:szCs w:val="23"/>
          <w:lang w:val="hr-HR"/>
        </w:rPr>
        <w:t>Te izvanredne okolnosti imaju znatan utjecaj na različita područja obuhvaćena Uredbom (EU) 2018/848 te</w:t>
      </w:r>
      <w:r>
        <w:rPr>
          <w:noProof/>
          <w:sz w:val="23"/>
          <w:szCs w:val="23"/>
          <w:lang w:val="hr-HR"/>
        </w:rPr>
        <w:t xml:space="preserve"> je stoga vrlo vjerojatno da države članice i subjekti u ekološkoj proizvodnji neće moći osigurati pravilnu provedbu i primjenu te Uredbe od 1. siječnja 2021.</w:t>
      </w:r>
    </w:p>
    <w:p w:rsidR="00742503" w:rsidRDefault="00742503">
      <w:pPr>
        <w:pStyle w:val="Default"/>
        <w:jc w:val="both"/>
        <w:rPr>
          <w:noProof/>
          <w:sz w:val="23"/>
          <w:szCs w:val="23"/>
          <w:lang w:val="hr-HR"/>
        </w:rPr>
      </w:pPr>
    </w:p>
    <w:p w:rsidR="00742503" w:rsidRDefault="00F158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  <w:szCs w:val="23"/>
        </w:rPr>
        <w:t>Kako bi se osiguralo neometano funkcioniranje unutarnjeg tržišta radi pružanja pravne sigurnosti svim subjektima u ekološkoj proizvodnji i izbjegavanja mogućih poremećaja na tržištu, nužno je odgoditi primjenu određenih odredaba Uredbe (EU) 2018/848 za jed</w:t>
      </w:r>
      <w:r>
        <w:rPr>
          <w:noProof/>
          <w:sz w:val="23"/>
          <w:szCs w:val="23"/>
        </w:rPr>
        <w:t xml:space="preserve">nu godinu. </w:t>
      </w:r>
    </w:p>
    <w:p w:rsidR="00742503" w:rsidRDefault="00F15844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SUPSIDIJARNOST I PROPORCIONALNOST</w:t>
      </w:r>
    </w:p>
    <w:p w:rsidR="00742503" w:rsidRDefault="00F1584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Pravna osnova</w:t>
      </w:r>
    </w:p>
    <w:p w:rsidR="00742503" w:rsidRDefault="00F158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  <w:szCs w:val="23"/>
        </w:rPr>
        <w:t>Prijedlog se temelji na članku 43. stavku 2. Ugovora o funkcioniranju Europske unije (UFEU).</w:t>
      </w:r>
    </w:p>
    <w:p w:rsidR="00742503" w:rsidRDefault="00F1584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Supsidijarnost</w:t>
      </w:r>
    </w:p>
    <w:p w:rsidR="00742503" w:rsidRDefault="00F158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  <w:szCs w:val="23"/>
        </w:rPr>
        <w:t>U skladu s načelom supsidijarnosti djelovanje na razini Unije može</w:t>
      </w:r>
      <w:r>
        <w:rPr>
          <w:noProof/>
          <w:sz w:val="23"/>
          <w:szCs w:val="23"/>
        </w:rPr>
        <w:t xml:space="preserve"> se poduzeti samo ako države članice predviđene ciljeve ne mogu ostvariti same. Intervencija Unije potrebna je kako bi se osiguralo neometano funkcioniranje unutarnjeg tržišta u pogledu ekološke proizvodnje i da bi se izbjegli mogući poremećaji na tržištu.</w:t>
      </w:r>
      <w:r>
        <w:rPr>
          <w:noProof/>
          <w:sz w:val="23"/>
          <w:szCs w:val="23"/>
        </w:rPr>
        <w:t xml:space="preserve"> U tom pogledu zakonodavstvo koje se izmjenjuje donosi se u potpunosti u skladu s načelom supsidijarnosti i svaka njegova izmjena mora se provesti na temelju prijedloga Komisije.</w:t>
      </w:r>
    </w:p>
    <w:p w:rsidR="00742503" w:rsidRDefault="00F15844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Proporcionalnost</w:t>
      </w:r>
    </w:p>
    <w:p w:rsidR="00742503" w:rsidRDefault="00F15844">
      <w:pPr>
        <w:pStyle w:val="Default"/>
        <w:jc w:val="both"/>
        <w:rPr>
          <w:noProof/>
          <w:sz w:val="23"/>
          <w:szCs w:val="23"/>
          <w:lang w:val="hr-HR"/>
        </w:rPr>
      </w:pPr>
      <w:r>
        <w:rPr>
          <w:noProof/>
          <w:sz w:val="23"/>
          <w:szCs w:val="23"/>
          <w:lang w:val="hr-HR"/>
        </w:rPr>
        <w:t>To djelovanje Unije nužno je kako bi se ostvario cilj da s</w:t>
      </w:r>
      <w:r>
        <w:rPr>
          <w:noProof/>
          <w:sz w:val="23"/>
          <w:szCs w:val="23"/>
          <w:lang w:val="hr-HR"/>
        </w:rPr>
        <w:t>ve uključene strane pravilno provode i primjenjuju Uredbu (EU) 2018/848 i odgovarajuće sekundarno zakonodavstvo, uzimajući u obzir razmjere aktualne pandemije bolesti COVID-19 te posljedice s njom povezane javnozdravstvene krize na ekološki sektor u pogled</w:t>
      </w:r>
      <w:r>
        <w:rPr>
          <w:noProof/>
          <w:sz w:val="23"/>
          <w:szCs w:val="23"/>
          <w:lang w:val="hr-HR"/>
        </w:rPr>
        <w:t>u proizvodnje, kontrola i trgovine. Predloženim izmjenama nastoji se osigurati ostvarivanje svrhe Uredbe (EU) 2018/848, odnosno uspostava okvira za ekološku proizvodnju s ciljem daljnjeg razvoja cjelokupnog sustava upravljanja poljoprivrednim gospodarstvim</w:t>
      </w:r>
      <w:r>
        <w:rPr>
          <w:noProof/>
          <w:sz w:val="23"/>
          <w:szCs w:val="23"/>
          <w:lang w:val="hr-HR"/>
        </w:rPr>
        <w:t>a i proizvodnjom hrane u kojem se kombiniraju najbolje prakse u području okoliša i klime, visoka razina bioraznolikosti, očuvanje prirodnih resursa i primjena visokih standarda dobrobiti životinja i visokih standarda proizvodnje u skladu s potražnjom sve v</w:t>
      </w:r>
      <w:r>
        <w:rPr>
          <w:noProof/>
          <w:sz w:val="23"/>
          <w:szCs w:val="23"/>
          <w:lang w:val="hr-HR"/>
        </w:rPr>
        <w:t>ećeg broja potrošača za proizvodima koji upotrebljavaju prirodne tvari i procese.</w:t>
      </w:r>
    </w:p>
    <w:p w:rsidR="00742503" w:rsidRDefault="00F15844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REZULTATI </w:t>
      </w:r>
      <w:r>
        <w:rPr>
          <w:i/>
          <w:iCs/>
          <w:noProof/>
        </w:rPr>
        <w:t>EX POST</w:t>
      </w:r>
      <w:r>
        <w:rPr>
          <w:noProof/>
        </w:rPr>
        <w:t xml:space="preserve"> EVALUACIJA, SAVJETOVANJA S DIONICIMA I PROCJENA UČINKA</w:t>
      </w:r>
    </w:p>
    <w:p w:rsidR="00742503" w:rsidRDefault="00F158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  <w:szCs w:val="23"/>
        </w:rPr>
        <w:t>Ovom prijedlogu nije priložena zasebna procjena učinka jer se prijedlogom ne mijenja sadržaj Uredb</w:t>
      </w:r>
      <w:r>
        <w:rPr>
          <w:noProof/>
          <w:sz w:val="23"/>
          <w:szCs w:val="23"/>
        </w:rPr>
        <w:t>e (EU) 2018/848 i ne utvrđuju se nove obveze za subjekte na koje se ona odnosi. Cilj mu je da se zbog iznimnih razloga u kontekstu pandemije bolesti COVID-19 za jednu godinu odgodi datum primjene te uredbe i određeni drugi datumi navedeni u toj uredbi koji</w:t>
      </w:r>
      <w:r>
        <w:rPr>
          <w:noProof/>
          <w:sz w:val="23"/>
          <w:szCs w:val="23"/>
        </w:rPr>
        <w:t xml:space="preserve"> proizlaze iz tog datuma.</w:t>
      </w:r>
    </w:p>
    <w:p w:rsidR="00742503" w:rsidRDefault="00F15844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 w:rsidR="00742503" w:rsidRDefault="00F1584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  <w:szCs w:val="23"/>
        </w:rPr>
        <w:t>Prijedlog ne utječe na proračun institucija EU-a.</w:t>
      </w:r>
    </w:p>
    <w:p w:rsidR="00742503" w:rsidRDefault="00742503">
      <w:pPr>
        <w:rPr>
          <w:noProof/>
        </w:rPr>
        <w:sectPr w:rsidR="00742503" w:rsidSect="00F15844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742503" w:rsidRDefault="00F15844" w:rsidP="00F15844">
      <w:pPr>
        <w:pStyle w:val="Rfrenceinterinstitutionnelle"/>
        <w:rPr>
          <w:noProof/>
        </w:rPr>
      </w:pPr>
      <w:r w:rsidRPr="00F15844">
        <w:t>2020/0231 (COD)</w:t>
      </w:r>
    </w:p>
    <w:p w:rsidR="00742503" w:rsidRDefault="00F15844" w:rsidP="00F15844">
      <w:pPr>
        <w:pStyle w:val="Statut"/>
        <w:rPr>
          <w:noProof/>
        </w:rPr>
      </w:pPr>
      <w:r w:rsidRPr="00F15844">
        <w:t>Prijedlog</w:t>
      </w:r>
    </w:p>
    <w:p w:rsidR="00742503" w:rsidRDefault="00F15844" w:rsidP="00F15844">
      <w:pPr>
        <w:pStyle w:val="Typedudocument"/>
        <w:rPr>
          <w:noProof/>
        </w:rPr>
      </w:pPr>
      <w:r w:rsidRPr="00F15844">
        <w:t>UREDBE EUROPSKOG PARLAMENTA I VIJEĆA</w:t>
      </w:r>
    </w:p>
    <w:p w:rsidR="00742503" w:rsidRDefault="00F15844" w:rsidP="00F15844">
      <w:pPr>
        <w:pStyle w:val="Titreobjet"/>
        <w:rPr>
          <w:noProof/>
        </w:rPr>
      </w:pPr>
      <w:r w:rsidRPr="00F15844">
        <w:t>o izmjeni Uredbe (EU) 2018/848 o ekološkoj proizvodnji u pogledu datuma početka njezine primjene i određenih drugih datuma iz te uredbe</w:t>
      </w:r>
    </w:p>
    <w:p w:rsidR="00742503" w:rsidRDefault="00F15844" w:rsidP="00F15844">
      <w:pPr>
        <w:pStyle w:val="IntrtEEE"/>
        <w:rPr>
          <w:noProof/>
        </w:rPr>
      </w:pPr>
      <w:r w:rsidRPr="00F15844">
        <w:t>(Tekst značajan za EGP)</w:t>
      </w:r>
    </w:p>
    <w:p w:rsidR="00742503" w:rsidRDefault="00F15844">
      <w:pPr>
        <w:pStyle w:val="Institutionquiagit"/>
        <w:rPr>
          <w:noProof/>
        </w:rPr>
      </w:pPr>
      <w:r>
        <w:rPr>
          <w:noProof/>
        </w:rPr>
        <w:t>E</w:t>
      </w:r>
      <w:r>
        <w:rPr>
          <w:noProof/>
        </w:rPr>
        <w:t>UROPSKI PARLAMENT I VIJEĆE EUROPSKE UNIJE,</w:t>
      </w:r>
    </w:p>
    <w:p w:rsidR="00742503" w:rsidRDefault="00F15844">
      <w:pPr>
        <w:rPr>
          <w:noProof/>
        </w:rPr>
      </w:pPr>
      <w:r>
        <w:rPr>
          <w:noProof/>
        </w:rPr>
        <w:t xml:space="preserve">uzimajući u obzir Ugovor o funkcioniranju Europske unije, a posebno njegov članak 43. </w:t>
      </w:r>
      <w:r>
        <w:rPr>
          <w:noProof/>
        </w:rPr>
        <w:t>stavak 2.,</w:t>
      </w:r>
    </w:p>
    <w:p w:rsidR="00742503" w:rsidRDefault="00F15844">
      <w:pPr>
        <w:rPr>
          <w:noProof/>
        </w:rPr>
      </w:pPr>
      <w:r>
        <w:rPr>
          <w:noProof/>
        </w:rPr>
        <w:t>uzimajući u obzir prijedlog Europske komisije,</w:t>
      </w:r>
    </w:p>
    <w:p w:rsidR="00742503" w:rsidRDefault="00F15844">
      <w:pPr>
        <w:rPr>
          <w:noProof/>
        </w:rPr>
      </w:pPr>
      <w:r>
        <w:rPr>
          <w:noProof/>
        </w:rPr>
        <w:t>nakon prosljeđivanja nacrta zakonodavnog akta nacionalnim parlamentima,</w:t>
      </w:r>
    </w:p>
    <w:p w:rsidR="00742503" w:rsidRDefault="00F15844">
      <w:pPr>
        <w:rPr>
          <w:noProof/>
        </w:rPr>
      </w:pPr>
      <w:r>
        <w:rPr>
          <w:noProof/>
        </w:rPr>
        <w:t>uzimajući u obzir mišljenje Europskoga gospodarskog i socijalnog odbora</w:t>
      </w:r>
      <w:r>
        <w:rPr>
          <w:rStyle w:val="FootnoteReference"/>
          <w:noProof/>
        </w:rPr>
        <w:footnoteReference w:id="3"/>
      </w:r>
      <w:r>
        <w:rPr>
          <w:noProof/>
        </w:rPr>
        <w:t>,</w:t>
      </w:r>
    </w:p>
    <w:p w:rsidR="00742503" w:rsidRDefault="00F15844">
      <w:pPr>
        <w:rPr>
          <w:noProof/>
        </w:rPr>
      </w:pPr>
      <w:r>
        <w:rPr>
          <w:noProof/>
        </w:rPr>
        <w:t>uzimajući u obzir mišljenje Odbora regija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 w:rsidR="00742503" w:rsidRDefault="00F15844">
      <w:pPr>
        <w:rPr>
          <w:noProof/>
        </w:rPr>
      </w:pPr>
      <w:r>
        <w:rPr>
          <w:noProof/>
        </w:rPr>
        <w:t xml:space="preserve">u </w:t>
      </w:r>
      <w:r>
        <w:rPr>
          <w:noProof/>
        </w:rPr>
        <w:t>skladu s redovnim zakonodavnim postupkom,</w:t>
      </w:r>
    </w:p>
    <w:p w:rsidR="00742503" w:rsidRDefault="00F15844">
      <w:pPr>
        <w:rPr>
          <w:noProof/>
        </w:rPr>
      </w:pPr>
      <w:r>
        <w:rPr>
          <w:noProof/>
        </w:rPr>
        <w:t>budući da:</w:t>
      </w:r>
    </w:p>
    <w:p w:rsidR="00742503" w:rsidRDefault="00F15844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Uredbom (EU) 2018/848 Europskog parlamenta i Vijeća</w:t>
      </w:r>
      <w:r>
        <w:rPr>
          <w:rStyle w:val="FootnoteReference"/>
          <w:noProof/>
          <w:sz w:val="23"/>
          <w:szCs w:val="23"/>
        </w:rPr>
        <w:footnoteReference w:id="5"/>
      </w:r>
      <w:r>
        <w:rPr>
          <w:noProof/>
        </w:rPr>
        <w:t>, koja je stupila na snagu 17. lipnja 2018.,</w:t>
      </w:r>
      <w:r>
        <w:rPr>
          <w:noProof/>
          <w:sz w:val="16"/>
          <w:szCs w:val="16"/>
        </w:rPr>
        <w:t xml:space="preserve"> </w:t>
      </w:r>
      <w:r>
        <w:rPr>
          <w:noProof/>
        </w:rPr>
        <w:t xml:space="preserve">uspostavlja se novi regulatorni okvir za ekološku proizvodnju. Da bi se osigurao nesmetan prijelaz sa </w:t>
      </w:r>
      <w:r>
        <w:rPr>
          <w:noProof/>
        </w:rPr>
        <w:t>starog na novi regulatorni okvir, tom se uredbom predviđa početak njegove primjene od 1. siječnja 2021.</w:t>
      </w:r>
    </w:p>
    <w:p w:rsidR="00742503" w:rsidRDefault="00F15844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Pandemija bolesti COVID-19 dovela je do izvanrednih okolnosti koje zahtijevaju znatne napore ekološkog sektora, a koje se nisu mogle predvidjeti u t</w:t>
      </w:r>
      <w:r>
        <w:rPr>
          <w:noProof/>
        </w:rPr>
        <w:t xml:space="preserve">renutku donošenja Uredbe (EU) 2018/848. </w:t>
      </w:r>
    </w:p>
    <w:p w:rsidR="00742503" w:rsidRDefault="00F15844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Pandemija bolesti COVID-19 i s njom povezana javnozdravstvena kriza nezapamćen je izazov za države članice i predstavlja veliko opterećenje za subjekte u ekološkoj proizvodnji. Subjekti su usmjerili svoje djelov</w:t>
      </w:r>
      <w:r>
        <w:rPr>
          <w:noProof/>
        </w:rPr>
        <w:t>anje na održavanje ekološke proizvodnje i trgovinskih tokova te se istodobno ne mogu pripremiti za početak primjene novih zakonskih odredaba u skladu s Uredbom (EU) 2018/848. Stoga je vrlo vjerojatno da države članice i subjekti u ekološkoj proizvodnji neć</w:t>
      </w:r>
      <w:r>
        <w:rPr>
          <w:noProof/>
        </w:rPr>
        <w:t>e moći osigurati pravilnu provedbu i primjenu te uredbe od 1. siječnja 2021.</w:t>
      </w:r>
    </w:p>
    <w:p w:rsidR="00742503" w:rsidRDefault="00F15844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Zbog toga je radi osiguravanja neometanog funkcioniranja ekološkog sektora, pružanja pravne sigurnost i izbjegavanja mogućih poremećaja na tržištu potrebno odgoditi datum poče</w:t>
      </w:r>
      <w:r>
        <w:rPr>
          <w:noProof/>
        </w:rPr>
        <w:t>tka primjene Uredbe (EU) 2018/848 i određene druge datume iz te uredbe koji proizlaze iz tog datuma. Uzimajući u obzir razmjere pandemije bolesti COVID-19 i s njom povezane javnozdravstvenu krize, njezin epidemiološki razvoj te dodatna sredstva koja su pot</w:t>
      </w:r>
      <w:r>
        <w:rPr>
          <w:noProof/>
        </w:rPr>
        <w:t>rebna državama članicama i subjektima u ekološkoj proizvodnji, primjereno je odgoditi primjenu Uredbe (EU) 2018/848 za jednu godinu.</w:t>
      </w:r>
    </w:p>
    <w:p w:rsidR="00742503" w:rsidRDefault="00F15844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To se prvenstveno odnosi na nekoliko datuma povezanih s odstupanjima, izvješćima ili ovlastima dodijeljenima Komisiji z</w:t>
      </w:r>
      <w:r>
        <w:rPr>
          <w:noProof/>
        </w:rPr>
        <w:t>a ukidanje ili produljenje odstupanja, koji izravno proizlaze iz datuma primjene Uredbe (EU) 2018/848. Stoga je primjereno da se i primjena tih datuma odgodi za jednu godinu. Ti su datumi utvrđeni uzimajući u obzir vrijeme koje je subjektima u ekološkoj pr</w:t>
      </w:r>
      <w:r>
        <w:rPr>
          <w:noProof/>
        </w:rPr>
        <w:t xml:space="preserve">oizvodnji potrebno da se prilagode prestanku odstupanja ili kako bi države članice i Komisija prikupile dostatne informacije o dostupnosti određenih unosa za koje su odobrena odstupanja ili kako bi Komisija podnijela izvješće Europskom parlamentu i Vijeću </w:t>
      </w:r>
      <w:r>
        <w:rPr>
          <w:noProof/>
        </w:rPr>
        <w:t xml:space="preserve">i pripremila zakonodavni prijedlog ili delegirane akte. </w:t>
      </w:r>
    </w:p>
    <w:p w:rsidR="00742503" w:rsidRDefault="00F15844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Pandemija bolesti COVID-19 i s njom povezana javnozdravstvena kriza predstavlja nezapamćeni izazov i za treće države te za gospodarske subjekte sa sjedištem u tim državama. Stoga bi za treće zeml</w:t>
      </w:r>
      <w:r>
        <w:rPr>
          <w:noProof/>
        </w:rPr>
        <w:t>je koje su priznate kao ekvivalentne na temelju članka 33. stavka 2. Uredbe Vijeća (EZ) br. 834/2007</w:t>
      </w:r>
      <w:r>
        <w:rPr>
          <w:rStyle w:val="FootnoteReference"/>
          <w:noProof/>
          <w:sz w:val="23"/>
          <w:szCs w:val="23"/>
        </w:rPr>
        <w:footnoteReference w:id="6"/>
      </w:r>
      <w:r>
        <w:rPr>
          <w:noProof/>
        </w:rPr>
        <w:t xml:space="preserve"> bilo primjereno produljiti datum isteka njihova priznanja za godinu dana do 31. prosinca 2026. kako bi takve treće zemlje imale dovoljno vremena promijeni</w:t>
      </w:r>
      <w:r>
        <w:rPr>
          <w:noProof/>
        </w:rPr>
        <w:t>ti svoj status sklapanjem trgovinskog sporazuma s Europskom unijom ili tako da njihovi subjekti postignu potpunu usklađenost s Uredbom (EU) 2018/848 bez nepotrebnih poremećaja u trgovini ekološkim proizvodima.</w:t>
      </w:r>
    </w:p>
    <w:p w:rsidR="00742503" w:rsidRDefault="00F15844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Slično tome, datum isteka priznanja kontro</w:t>
      </w:r>
      <w:r>
        <w:rPr>
          <w:noProof/>
        </w:rPr>
        <w:t>lnih tijela i kontrolnih ustanova u trećim zemljama dodijeljenog u skladu s člankom 33. stavkom 3. Uredbe (EZ) br. 834/2007 trebalo bi produljiti za jednu godinu do 31. prosinca 2024. kako bi se tim kontrolnim tijelima i kontrolnim ustanovama i njihovim ce</w:t>
      </w:r>
      <w:r>
        <w:rPr>
          <w:noProof/>
        </w:rPr>
        <w:t>rtificiranim subjektima u trećim zemljama omogućilo vrijeme potrebno da prevladaju posljedice pandemije bolesti COVID-19 i pripreme se za nove odredbe.</w:t>
      </w:r>
    </w:p>
    <w:p w:rsidR="00742503" w:rsidRDefault="00F15844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S obzirom na potrebu da se odmah osigura pravna sigurnost za ekološki sektor u trenutačnim okolnosti</w:t>
      </w:r>
      <w:r>
        <w:rPr>
          <w:noProof/>
        </w:rPr>
        <w:t xml:space="preserve">ma, ova bi Uredba trebala hitno stupiti na snagu sljedećeg dana od dana objave u </w:t>
      </w:r>
      <w:r>
        <w:rPr>
          <w:i/>
          <w:noProof/>
        </w:rPr>
        <w:t>Službenom listu Europske unije</w:t>
      </w:r>
      <w:r>
        <w:rPr>
          <w:noProof/>
        </w:rPr>
        <w:t>,</w:t>
      </w:r>
    </w:p>
    <w:p w:rsidR="00742503" w:rsidRDefault="00F15844">
      <w:pPr>
        <w:pStyle w:val="Formuledadoption"/>
        <w:rPr>
          <w:noProof/>
        </w:rPr>
      </w:pPr>
      <w:r>
        <w:rPr>
          <w:noProof/>
        </w:rPr>
        <w:t>DONIJELI SU OVU UREDBU:</w:t>
      </w:r>
    </w:p>
    <w:p w:rsidR="00742503" w:rsidRDefault="00F15844">
      <w:pPr>
        <w:pStyle w:val="Titrearticle"/>
        <w:rPr>
          <w:noProof/>
        </w:rPr>
      </w:pPr>
      <w:r>
        <w:rPr>
          <w:noProof/>
        </w:rPr>
        <w:t>Članak 1.</w:t>
      </w:r>
    </w:p>
    <w:p w:rsidR="00742503" w:rsidRDefault="00F15844">
      <w:pPr>
        <w:rPr>
          <w:noProof/>
        </w:rPr>
      </w:pPr>
      <w:r>
        <w:rPr>
          <w:noProof/>
        </w:rPr>
        <w:t>Uredba (EU) 2018/848 mijenja se kako slijedi:</w:t>
      </w:r>
    </w:p>
    <w:p w:rsidR="00742503" w:rsidRDefault="00F15844"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u prvoj rečenici članka 29. stavka 4. datum „31. prosinca 2</w:t>
      </w:r>
      <w:r>
        <w:rPr>
          <w:noProof/>
        </w:rPr>
        <w:t>024.” zamjenjuje se datumom „31. prosinca 2025.”;</w:t>
      </w:r>
    </w:p>
    <w:p w:rsidR="00742503" w:rsidRDefault="00F15844"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u članku 48. stavku 1. drugom podstavku datum „31. prosinca 2025.” zamjenjuje se datumom „31. prosinca 2026.”;</w:t>
      </w:r>
    </w:p>
    <w:p w:rsidR="00742503" w:rsidRDefault="00F15844"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u članku 49. datum „31. prosinca 2021.” zamjenjuje se datumom „31. prosinca 2022.”;</w:t>
      </w:r>
    </w:p>
    <w:p w:rsidR="00742503" w:rsidRDefault="00F15844"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članak 53. mijenja se kako slijedi:</w:t>
      </w:r>
    </w:p>
    <w:p w:rsidR="00742503" w:rsidRDefault="00F15844"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u stavku 1. datum „31. prosinca 2035.” zamjenjuje se datumom „31. prosinca 2036.”;</w:t>
      </w:r>
    </w:p>
    <w:p w:rsidR="00742503" w:rsidRDefault="00F15844"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stavak 2. mijenja se kako slijedi:</w:t>
      </w:r>
    </w:p>
    <w:p w:rsidR="00742503" w:rsidRDefault="00F15844">
      <w:pPr>
        <w:pStyle w:val="Point2"/>
        <w:rPr>
          <w:noProof/>
        </w:rPr>
      </w:pPr>
      <w:r>
        <w:rPr>
          <w:noProof/>
        </w:rPr>
        <w:t>i. u uvodnoj rečenici datum „1. siječnja 2028.” zamjenjuje se datumom „1. siječnja 2029.”;</w:t>
      </w:r>
    </w:p>
    <w:p w:rsidR="00742503" w:rsidRDefault="00F15844">
      <w:pPr>
        <w:pStyle w:val="Point2"/>
        <w:rPr>
          <w:noProof/>
        </w:rPr>
      </w:pPr>
      <w:r>
        <w:rPr>
          <w:noProof/>
        </w:rPr>
        <w:t>ii</w:t>
      </w:r>
      <w:r>
        <w:rPr>
          <w:noProof/>
        </w:rPr>
        <w:t>. u točki (a) datum „31. prosinca 2035.” zamjenjuje se datumom „31. prosinca 2036.”;</w:t>
      </w:r>
    </w:p>
    <w:p w:rsidR="00742503" w:rsidRDefault="00F15844"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 xml:space="preserve">u stavku 3. datum „1. siječnja 2026.” zamjenjuje se datumom „1. siječnja 2027.”; </w:t>
      </w:r>
    </w:p>
    <w:p w:rsidR="00742503" w:rsidRDefault="00F15844"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 xml:space="preserve">u stavku 4. datum „1. siječnja 2025.” zamjenjuje se datumom „1. siječnja 2026.”, </w:t>
      </w:r>
      <w:r>
        <w:rPr>
          <w:noProof/>
        </w:rPr>
        <w:t>a datum „31. prosinca 2025.” datumom „31. prosinca 2026.”;</w:t>
      </w:r>
    </w:p>
    <w:p w:rsidR="00742503" w:rsidRDefault="00F15844"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u stavku 7. datum „31. prosinca 2025.” zamjenjuje se datumom „31. prosinca 2026.”;</w:t>
      </w:r>
    </w:p>
    <w:p w:rsidR="00742503" w:rsidRDefault="00F15844"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>u članku 57. stavku 1. datum „31. prosinca 2023.” zamjenjuje se datumom „31. prosinca 2024.”;</w:t>
      </w:r>
    </w:p>
    <w:p w:rsidR="00742503" w:rsidRDefault="00F15844"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>u članku</w:t>
      </w:r>
      <w:r>
        <w:rPr>
          <w:noProof/>
        </w:rPr>
        <w:t> 60. datum „1. siječnja 2021.” zamjenjuje se datumom „1. siječnja 2022.”;</w:t>
      </w:r>
    </w:p>
    <w:p w:rsidR="00742503" w:rsidRDefault="00F15844">
      <w:pPr>
        <w:pStyle w:val="Point0"/>
        <w:rPr>
          <w:noProof/>
        </w:rPr>
      </w:pPr>
      <w:r>
        <w:t>(7)</w:t>
      </w:r>
      <w:r>
        <w:tab/>
      </w:r>
      <w:r>
        <w:rPr>
          <w:noProof/>
        </w:rPr>
        <w:t>u članku 61. drugom stavku datum „1. siječnja 2021.” zamjenjuje se datumom „1. siječnja 2022.”;</w:t>
      </w:r>
    </w:p>
    <w:p w:rsidR="00742503" w:rsidRDefault="00F15844">
      <w:pPr>
        <w:pStyle w:val="Point0"/>
        <w:rPr>
          <w:noProof/>
        </w:rPr>
      </w:pPr>
      <w:r>
        <w:t>(8)</w:t>
      </w:r>
      <w:r>
        <w:tab/>
      </w:r>
      <w:r>
        <w:rPr>
          <w:noProof/>
        </w:rPr>
        <w:t>Prilog II. mijenja se kako slijedi:</w:t>
      </w:r>
    </w:p>
    <w:p w:rsidR="00742503" w:rsidRDefault="00F15844"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u dijelu I. točka 1.5. mijenja se kako</w:t>
      </w:r>
      <w:r>
        <w:rPr>
          <w:noProof/>
        </w:rPr>
        <w:t xml:space="preserve"> slijedi:</w:t>
      </w:r>
    </w:p>
    <w:p w:rsidR="00742503" w:rsidRDefault="00F15844">
      <w:pPr>
        <w:pStyle w:val="Point2"/>
        <w:rPr>
          <w:noProof/>
        </w:rPr>
      </w:pPr>
      <w:r>
        <w:rPr>
          <w:noProof/>
        </w:rPr>
        <w:t>i. u drugom stavku datum „31. prosinca 2030.” zamjenjuje se datumom „31. prosinca 2031.”;</w:t>
      </w:r>
    </w:p>
    <w:p w:rsidR="00742503" w:rsidRDefault="00F15844">
      <w:pPr>
        <w:pStyle w:val="Point2"/>
        <w:rPr>
          <w:noProof/>
        </w:rPr>
      </w:pPr>
      <w:r>
        <w:rPr>
          <w:noProof/>
        </w:rPr>
        <w:t>ii. u trećom stavku datum „31. prosinca 2025.” zamjenjuje se datumom „31. prosinca 2026.”;</w:t>
      </w:r>
    </w:p>
    <w:p w:rsidR="00742503" w:rsidRDefault="00F15844"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dio II. mijenja se kako slijedi:</w:t>
      </w:r>
    </w:p>
    <w:p w:rsidR="00742503" w:rsidRDefault="00F15844">
      <w:pPr>
        <w:pStyle w:val="Point2"/>
        <w:rPr>
          <w:noProof/>
        </w:rPr>
      </w:pPr>
      <w:r>
        <w:rPr>
          <w:noProof/>
        </w:rPr>
        <w:t>i. u drugoj rečenici točke 1</w:t>
      </w:r>
      <w:r>
        <w:rPr>
          <w:noProof/>
        </w:rPr>
        <w:t>.9.1.1. podtočke (a) datum „1. siječnja 2023.” zamjenjuje se datumom „1. siječnja 2024.”;</w:t>
      </w:r>
    </w:p>
    <w:p w:rsidR="00742503" w:rsidRDefault="00F15844">
      <w:pPr>
        <w:pStyle w:val="Point2"/>
        <w:rPr>
          <w:noProof/>
        </w:rPr>
      </w:pPr>
      <w:r>
        <w:rPr>
          <w:noProof/>
        </w:rPr>
        <w:t>ii. u drugoj rečenici točke 1.9.2.1. podtočke (a) datum „1. siječnja 2023.” zamjenjuje se datumom „1. siječnja 2024.”;</w:t>
      </w:r>
    </w:p>
    <w:p w:rsidR="00742503" w:rsidRDefault="00F15844">
      <w:pPr>
        <w:pStyle w:val="Point2"/>
        <w:rPr>
          <w:noProof/>
        </w:rPr>
      </w:pPr>
      <w:r>
        <w:rPr>
          <w:noProof/>
        </w:rPr>
        <w:t>iii. u uvodnoj rečenici točke 1.9.3.1. podtočke</w:t>
      </w:r>
      <w:r>
        <w:rPr>
          <w:noProof/>
        </w:rPr>
        <w:t> (c) datum „31. prosinca 2025.” zamjenjuje se datumom „31. prosinca 2026.”;</w:t>
      </w:r>
    </w:p>
    <w:p w:rsidR="00742503" w:rsidRDefault="00F15844">
      <w:pPr>
        <w:pStyle w:val="Point2"/>
        <w:rPr>
          <w:noProof/>
        </w:rPr>
      </w:pPr>
      <w:r>
        <w:rPr>
          <w:noProof/>
        </w:rPr>
        <w:t>iv. u uvodnoj rečenici točke 1.9.4.2. podtočke (c) datum „31. prosinca 2025.” zamjenjuje se datumom „31. prosinca 2026.”;</w:t>
      </w:r>
    </w:p>
    <w:p w:rsidR="00742503" w:rsidRDefault="00F15844"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u dijelu III. točki 3.1.2.1. drugom stavku datum „1. s</w:t>
      </w:r>
      <w:r>
        <w:rPr>
          <w:noProof/>
        </w:rPr>
        <w:t>iječnja 2021.” zamjenjuje se datumom „1. siječnja 2022.”;</w:t>
      </w:r>
    </w:p>
    <w:p w:rsidR="00742503" w:rsidRDefault="00F15844"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u dijelu VII. u drugoj rečenici točke 1.1. datum „31. prosinca 2023.” zamjenjuje se datumom „31. prosinca 2024.”.</w:t>
      </w:r>
    </w:p>
    <w:p w:rsidR="00742503" w:rsidRDefault="00F15844">
      <w:pPr>
        <w:pStyle w:val="Titrearticle"/>
        <w:rPr>
          <w:noProof/>
        </w:rPr>
      </w:pPr>
      <w:r>
        <w:rPr>
          <w:noProof/>
        </w:rPr>
        <w:t>Članak 2.</w:t>
      </w:r>
    </w:p>
    <w:p w:rsidR="00742503" w:rsidRDefault="00F15844">
      <w:pPr>
        <w:rPr>
          <w:noProof/>
        </w:rPr>
      </w:pPr>
      <w:r>
        <w:rPr>
          <w:noProof/>
        </w:rPr>
        <w:t xml:space="preserve">Ova Uredba stupa na snagu sljedećeg dana od dana objave u </w:t>
      </w:r>
      <w:r>
        <w:rPr>
          <w:i/>
          <w:noProof/>
        </w:rPr>
        <w:t>Službenom li</w:t>
      </w:r>
      <w:r>
        <w:rPr>
          <w:i/>
          <w:noProof/>
        </w:rPr>
        <w:t>stu Europske unije</w:t>
      </w:r>
      <w:r>
        <w:rPr>
          <w:noProof/>
        </w:rPr>
        <w:t>.</w:t>
      </w:r>
    </w:p>
    <w:p w:rsidR="00742503" w:rsidRDefault="00F15844">
      <w:pPr>
        <w:pStyle w:val="Applicationdirecte"/>
        <w:rPr>
          <w:noProof/>
        </w:rPr>
      </w:pPr>
      <w:r>
        <w:rPr>
          <w:noProof/>
        </w:rPr>
        <w:t>Ova je Uredba u cijelosti obvezujuća i izravno se primjenjuje u svim državama članicama.</w:t>
      </w:r>
    </w:p>
    <w:p w:rsidR="00742503" w:rsidRDefault="00F15844" w:rsidP="00F15844">
      <w:pPr>
        <w:pStyle w:val="Fait"/>
        <w:rPr>
          <w:noProof/>
        </w:rPr>
      </w:pPr>
      <w:r w:rsidRPr="00F15844">
        <w:t>Sastavljeno u Bruxellesu,</w:t>
      </w:r>
    </w:p>
    <w:p w:rsidR="00742503" w:rsidRDefault="00F15844">
      <w:pPr>
        <w:pStyle w:val="Institutionquisigne"/>
        <w:rPr>
          <w:noProof/>
        </w:rPr>
      </w:pPr>
      <w:r>
        <w:rPr>
          <w:noProof/>
        </w:rPr>
        <w:t>Z</w:t>
      </w:r>
      <w:r>
        <w:rPr>
          <w:noProof/>
        </w:rPr>
        <w:t>a Europski parlament</w:t>
      </w:r>
      <w:r>
        <w:rPr>
          <w:noProof/>
        </w:rPr>
        <w:tab/>
        <w:t>Za Vijeće</w:t>
      </w:r>
    </w:p>
    <w:p w:rsidR="00742503" w:rsidRDefault="00F15844">
      <w:pPr>
        <w:pStyle w:val="Personnequisigne"/>
        <w:rPr>
          <w:noProof/>
        </w:rPr>
      </w:pPr>
      <w:r>
        <w:rPr>
          <w:noProof/>
        </w:rPr>
        <w:t>Predsjednik</w:t>
      </w:r>
      <w:r>
        <w:rPr>
          <w:noProof/>
        </w:rPr>
        <w:tab/>
        <w:t>Predsjednik</w:t>
      </w:r>
    </w:p>
    <w:sectPr w:rsidR="00742503" w:rsidSect="00F15844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03" w:rsidRDefault="00F15844">
      <w:pPr>
        <w:spacing w:before="0" w:after="0"/>
      </w:pPr>
      <w:r>
        <w:separator/>
      </w:r>
    </w:p>
  </w:endnote>
  <w:endnote w:type="continuationSeparator" w:id="0">
    <w:p w:rsidR="00742503" w:rsidRDefault="00F15844">
      <w:pPr>
        <w:spacing w:before="0" w:after="0"/>
      </w:pPr>
      <w:r>
        <w:continuationSeparator/>
      </w:r>
    </w:p>
  </w:endnote>
  <w:endnote w:type="continuationNotice" w:id="1">
    <w:p w:rsidR="00742503" w:rsidRDefault="0074250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4" w:rsidRPr="00F15844" w:rsidRDefault="00F15844" w:rsidP="00F15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03" w:rsidRPr="00F15844" w:rsidRDefault="00F15844" w:rsidP="00F15844">
    <w:pPr>
      <w:pStyle w:val="Footer"/>
      <w:rPr>
        <w:rFonts w:ascii="Arial" w:hAnsi="Arial" w:cs="Arial"/>
        <w:b/>
        <w:sz w:val="48"/>
      </w:rPr>
    </w:pPr>
    <w:r w:rsidRPr="00F15844">
      <w:rPr>
        <w:rFonts w:ascii="Arial" w:hAnsi="Arial" w:cs="Arial"/>
        <w:b/>
        <w:sz w:val="48"/>
      </w:rPr>
      <w:t>HR</w:t>
    </w:r>
    <w:r w:rsidRPr="00F15844">
      <w:rPr>
        <w:rFonts w:ascii="Arial" w:hAnsi="Arial" w:cs="Arial"/>
        <w:b/>
        <w:sz w:val="48"/>
      </w:rPr>
      <w:tab/>
    </w:r>
    <w:r w:rsidRPr="00F15844">
      <w:rPr>
        <w:rFonts w:ascii="Arial" w:hAnsi="Arial" w:cs="Arial"/>
        <w:b/>
        <w:sz w:val="48"/>
      </w:rPr>
      <w:tab/>
    </w:r>
    <w:r w:rsidRPr="00F15844">
      <w:tab/>
    </w:r>
    <w:r w:rsidRPr="00F15844"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4" w:rsidRPr="00F15844" w:rsidRDefault="00F15844" w:rsidP="00F158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03" w:rsidRPr="00F15844" w:rsidRDefault="00F15844" w:rsidP="00F15844">
    <w:pPr>
      <w:pStyle w:val="Footer"/>
      <w:rPr>
        <w:rFonts w:ascii="Arial" w:hAnsi="Arial" w:cs="Arial"/>
        <w:b/>
        <w:sz w:val="48"/>
      </w:rPr>
    </w:pPr>
    <w:r w:rsidRPr="00F15844">
      <w:rPr>
        <w:rFonts w:ascii="Arial" w:hAnsi="Arial" w:cs="Arial"/>
        <w:b/>
        <w:sz w:val="48"/>
      </w:rPr>
      <w:t>HR</w:t>
    </w:r>
    <w:r w:rsidRPr="00F1584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Pr="00F15844">
      <w:tab/>
    </w:r>
    <w:r w:rsidRPr="00F15844"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4" w:rsidRPr="00F15844" w:rsidRDefault="00F15844" w:rsidP="00F15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03" w:rsidRDefault="00F15844">
      <w:pPr>
        <w:spacing w:before="0" w:after="0"/>
      </w:pPr>
      <w:r>
        <w:separator/>
      </w:r>
    </w:p>
  </w:footnote>
  <w:footnote w:type="continuationSeparator" w:id="0">
    <w:p w:rsidR="00742503" w:rsidRDefault="00F15844">
      <w:pPr>
        <w:spacing w:before="0" w:after="0"/>
      </w:pPr>
      <w:r>
        <w:continuationSeparator/>
      </w:r>
    </w:p>
  </w:footnote>
  <w:footnote w:type="continuationNotice" w:id="1">
    <w:p w:rsidR="00742503" w:rsidRDefault="00742503">
      <w:pPr>
        <w:spacing w:before="0" w:after="0"/>
      </w:pPr>
    </w:p>
  </w:footnote>
  <w:footnote w:id="2">
    <w:p w:rsidR="00742503" w:rsidRDefault="00F15844">
      <w:pPr>
        <w:pStyle w:val="FootnoteText"/>
      </w:pPr>
      <w:r>
        <w:rPr>
          <w:rStyle w:val="FootnoteReference"/>
        </w:rPr>
        <w:footnoteRef/>
      </w:r>
      <w:r>
        <w:tab/>
      </w:r>
      <w:r>
        <w:t>https://ec.europa.eu/food/sites/food/files/safety/docs/f2f_action-plan_2020_strategy-info_en.pdf</w:t>
      </w:r>
    </w:p>
  </w:footnote>
  <w:footnote w:id="3">
    <w:p w:rsidR="00742503" w:rsidRDefault="00F15844">
      <w:pPr>
        <w:pStyle w:val="FootnoteText"/>
      </w:pPr>
      <w:r>
        <w:rPr>
          <w:rStyle w:val="FootnoteReference"/>
        </w:rPr>
        <w:footnoteRef/>
      </w:r>
      <w:r>
        <w:tab/>
        <w:t>SL C […, , str. .</w:t>
      </w:r>
    </w:p>
  </w:footnote>
  <w:footnote w:id="4">
    <w:p w:rsidR="00742503" w:rsidRDefault="00F15844">
      <w:pPr>
        <w:pStyle w:val="FootnoteText"/>
      </w:pPr>
      <w:r>
        <w:rPr>
          <w:rStyle w:val="FootnoteReference"/>
        </w:rPr>
        <w:footnoteRef/>
      </w:r>
      <w:r>
        <w:tab/>
        <w:t>SL C , , str. .</w:t>
      </w:r>
    </w:p>
  </w:footnote>
  <w:footnote w:id="5">
    <w:p w:rsidR="00742503" w:rsidRDefault="00F15844">
      <w:pPr>
        <w:pStyle w:val="FootnoteText"/>
      </w:pPr>
      <w:r>
        <w:rPr>
          <w:rStyle w:val="FootnoteReference"/>
        </w:rPr>
        <w:footnoteRef/>
      </w:r>
      <w:r>
        <w:tab/>
        <w:t>Uredba (EU) 2018/848 Europskog parlamenta i Vijeća od 30. svibnja 2018. o ekološkoj proizvodnji i označivanju ekoloških</w:t>
      </w:r>
      <w:r>
        <w:t xml:space="preserve"> proizvoda te stavljanju izvan snage Uredbe Vijeća (EZ) br. 834/2007 (SL L 150, 14.6.2018., str. 1.).</w:t>
      </w:r>
    </w:p>
  </w:footnote>
  <w:footnote w:id="6">
    <w:p w:rsidR="00742503" w:rsidRDefault="00F15844">
      <w:pPr>
        <w:pStyle w:val="FootnoteText"/>
      </w:pPr>
      <w:r>
        <w:rPr>
          <w:rStyle w:val="FootnoteReference"/>
        </w:rPr>
        <w:footnoteRef/>
      </w:r>
      <w:r>
        <w:tab/>
        <w:t>Uredba Vijeća (EZ) br. 834/2007 od 28. lipnja 2007. o ekološkoj proizvodnji i označivanju ekoloških proizvoda i stavljanju izvan snage Uredbe (EEZ) br. </w:t>
      </w:r>
      <w:r>
        <w:t>2092/91 (SL L 189, 20.7.2007., str. 1.).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4" w:rsidRPr="00F15844" w:rsidRDefault="00F15844" w:rsidP="00F15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4" w:rsidRPr="00F15844" w:rsidRDefault="00F15844" w:rsidP="00F15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4" w:rsidRPr="00F15844" w:rsidRDefault="00F15844" w:rsidP="00F15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4A0E1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8225A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6E485D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0F4EE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5DC2C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A00E1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BF04D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B88B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03 17:26:4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11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90808DC9-2CFC-4ED3-A048-FF00ED191B90"/>
    <w:docVar w:name="LW_COVERPAGE_TYPE" w:val="1"/>
    <w:docVar w:name="LW_CROSSREFERENCE" w:val="&lt;UNUSED&gt;"/>
    <w:docVar w:name="LW_DocType" w:val="COM"/>
    <w:docVar w:name="LW_EMISSION" w:val="4.9.2020."/>
    <w:docVar w:name="LW_EMISSION_ISODATE" w:val="2020-09-04"/>
    <w:docVar w:name="LW_EMISSION_LOCATION" w:val="BRX"/>
    <w:docVar w:name="LW_EMISSION_PREFIX" w:val="Bruxelles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kst zna\u269?ajan za EGP)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31"/>
    <w:docVar w:name="LW_REF.II.NEW.CP_YEAR" w:val="2020"/>
    <w:docVar w:name="LW_REF.INST.NEW" w:val="COM"/>
    <w:docVar w:name="LW_REF.INST.NEW_ADOPTED" w:val="final"/>
    <w:docVar w:name="LW_REF.INST.NEW_TEXT" w:val="(2020) 48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izmjeni Uredbe (EU) 2018/848 o ekolo\u353?koj proizvodnji u pogledu datuma po\u269?etka njezine primjene i odre\u273?enih drugih datuma iz te uredbe"/>
    <w:docVar w:name="LW_TYPE.DOC.CP" w:val="UREDBE EUROPSKOG PARLAMENTA I VIJE\u262?A"/>
  </w:docVars>
  <w:rsids>
    <w:rsidRoot w:val="00742503"/>
    <w:rsid w:val="00742503"/>
    <w:rsid w:val="00F1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1AF821BB-561E-40FF-9E7E-A6F371F1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844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5844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15844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15844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15844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F15844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F158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F15844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F158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food/sites/food/files/safety/docs/f2f_action-plan_2020_strategy-info_en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832449-8CA1-40BF-B026-8A1E2C81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3</TotalTime>
  <Pages>7</Pages>
  <Words>1733</Words>
  <Characters>10226</Characters>
  <Application>Microsoft Office Word</Application>
  <DocSecurity>0</DocSecurity>
  <Lines>192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WADHWANIA Nadia (SG)</cp:lastModifiedBy>
  <cp:revision>20</cp:revision>
  <dcterms:created xsi:type="dcterms:W3CDTF">2020-09-03T06:40:00Z</dcterms:created>
  <dcterms:modified xsi:type="dcterms:W3CDTF">2020-09-04T07:26:00Z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