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4A345AD-25F9-4100-9967-6B3523B69C89" style="width:450.75pt;height:366.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Tarybos reglamente (ES) 2020/672 (toliau – SURE reglamentas) nustatyta teisinė sistema, pagal kurią valstybėms narėms, kurios dėl COVID-19 protrūkio patiria didelį ekonomikos sukrėtimą arba kurioms toks sukrėtimas gresia, teikiama Sąjungos finansinė parama. Parama pagal SURE skirta pirmiausia sutrumpinto darbo laiko tvarkos ar panašioms priemonėms, kuriomis siekiama apsaugoti darbuotojus ir savarankiškai dirbančius asmenis ir taip sumažinti nedarbo ir pajamų praradimo mastą, finansuoti, taip pat naudojama kaip papildoma priemonė tam tikroms su sveikata susijusioms priemonėms, visų pirma darbo vietoje, finansuoti.</w:t>
      </w:r>
    </w:p>
    <w:p>
      <w:pPr>
        <w:rPr>
          <w:noProof/>
        </w:rPr>
      </w:pPr>
      <w:r>
        <w:rPr>
          <w:noProof/>
        </w:rPr>
        <w:t xml:space="preserve">2020 m. rugpjūčio 7 d. Čekija paprašė Sąjungos finansinės paramos pagal SURE reglamentą. Pagal SURE reglamento 6 straipsnio 2 dalį Komisija pasikonsultavo su Čekijos valdžios institucijomis, kad patikrintų, ar staiga smarkiai padidėjo reaguojant į COVID-19 pandemiją patirtos faktinės ir numatytos išlaidos, tiesiogiai susijusios su sutrumpinto darbo laiko tvarka, t. y. programa „Antivirus“ (kartu su A ir B paprogramėmis), ir panašiomis priemonėmis, skirtomis su darbo užmokesčiu nesusijusioms darbo sąnaudoms (programos „Antivirus“ C paprogramė), bei parama savarankiškai dirbantiems asmenims.  Visų pirma tai susiję su: </w:t>
      </w:r>
    </w:p>
    <w:p>
      <w:pPr>
        <w:pStyle w:val="Point0"/>
        <w:rPr>
          <w:noProof/>
        </w:rPr>
      </w:pPr>
      <w:r>
        <w:t>(a)</w:t>
      </w:r>
      <w:r>
        <w:tab/>
      </w:r>
      <w:r>
        <w:rPr>
          <w:noProof/>
        </w:rPr>
        <w:t xml:space="preserve">programos „Antivirus“ A ir B paprogramėmis, kuriomis siekiama iš dalies kompensuoti privačių darbdavių darbo užmokesčio išlaidas, nes jie buvo priversti sustabdyti savo ekonominę veiklą arba gerokai sumažinti jos mastą dėl tiesioginių priemonių, kurių ėmėsi valdžios institucijos (A paprogramė), arba dėl netiesioginio neigiamo ekonominio pandemijos poveikio (B paprogramė), pavyzdžiui, darbuotojai negali dirbti dėl kelionių apribojimų, žaliavų trūkumo ir (arba) sumažėjusios produkcijos paklausos. Pagal A paprogramę valstybės sumokama darbo užmokesčio dalis – 80 %, bet ne daugiau kaip 39 000 CZK vienam darbuotojui per mėnesį. Pagal B paprogramę valstybės sumokama darbo užmokesčio dalis – 60 %, bet ne daugiau kaip 29 000 CZK vienam darbuotojui per mėnesį. Pagal šią programą remiami darbuotojai negali būti atleidžiami, kol darbdavys dalyvauja šioje programoje. Priemonės taikomos nuo 2020 m. kovo 12 d. iki rugpjūčio 31 d.; </w:t>
      </w:r>
    </w:p>
    <w:p>
      <w:pPr>
        <w:pStyle w:val="Point0"/>
        <w:rPr>
          <w:noProof/>
        </w:rPr>
      </w:pPr>
      <w:r>
        <w:t>(b)</w:t>
      </w:r>
      <w:r>
        <w:tab/>
      </w:r>
      <w:r>
        <w:rPr>
          <w:noProof/>
        </w:rPr>
        <w:t xml:space="preserve">programos „Antivirus“ C paprograme, pagal kurią iš dalies kompensuojamos su darbo užmokesčiu nesusijusios mažų įmonių (iki 50 darbuotojų) darbo sąnaudos (pavyzdžiui, darbdavio mokamos socialinio draudimo įmokos), kai šios įmonės išlaiko darbo vietas ir bent 90 % darbo užmokesčio išlaidų, palyginti su 2020 m. kovo mėn. pabaigoje buvusiomis išlaidomis. Skaičiavimo bazės riba – 150 % vidutinio bruto darbo užmokesčio Čekijoje. Parama gali būti teikiama visą 2020 m. birželio–rugpjūčio mėn. laikotarpį arba tam tikrą to laikotarpio dalį; </w:t>
      </w:r>
    </w:p>
    <w:p>
      <w:pPr>
        <w:pStyle w:val="Point0"/>
        <w:rPr>
          <w:noProof/>
        </w:rPr>
      </w:pPr>
      <w:r>
        <w:t>(c)</w:t>
      </w:r>
      <w:r>
        <w:tab/>
      </w:r>
      <w:r>
        <w:rPr>
          <w:noProof/>
        </w:rPr>
        <w:t xml:space="preserve">programa „Pětadvacítka“, pagal kurią savarankiškai dirbantiems asmenims, kurie dėl pavojaus visuomenės sveikatai arba valdžios institucijų taikomų krizės priemonių yra priversti sustabdyti savo ekonominę veiklą arba gerokai sumažinti jos mastą, skiriama 500 CZK mokesčio nuolaida vienam asmeniui už kalendorinę dieną. Programa dalijama į du nuolaidos laikotarpius: nuo 2020 m. kovo 12 d. iki balandžio 30 d. ir nuo 2020 m. gegužės 1 d. iki birželio 8 d.; </w:t>
      </w:r>
    </w:p>
    <w:p>
      <w:pPr>
        <w:pStyle w:val="Point0"/>
        <w:rPr>
          <w:noProof/>
        </w:rPr>
      </w:pPr>
      <w:r>
        <w:t>(d)</w:t>
      </w:r>
      <w:r>
        <w:tab/>
      </w:r>
      <w:r>
        <w:rPr>
          <w:noProof/>
        </w:rPr>
        <w:t xml:space="preserve">daliniu atleidimu nuo socialinio ir sveikatos draudimo įmokų, kurias turi mokėti savarankiškai dirbantys asmenys, toliau vykdantys veiklą paramos teikimo laikotarpiu. Valstybė prisiima mokėti atitinkamas kiekvieną mėnesį mokėtinas </w:t>
      </w:r>
      <w:r>
        <w:rPr>
          <w:noProof/>
        </w:rPr>
        <w:lastRenderedPageBreak/>
        <w:t xml:space="preserve">įmokas nuo 2020 m. kovo iki rugpjūčio mėn. Suma, kurios leidžiama nemokėti, apribota įstatymu nustatytu dydžiu;  </w:t>
      </w:r>
    </w:p>
    <w:p>
      <w:pPr>
        <w:pStyle w:val="Point0"/>
        <w:rPr>
          <w:noProof/>
        </w:rPr>
      </w:pPr>
      <w:r>
        <w:t>(e)</w:t>
      </w:r>
      <w:r>
        <w:tab/>
      </w:r>
      <w:r>
        <w:rPr>
          <w:noProof/>
        </w:rPr>
        <w:t xml:space="preserve">priežiūros išmoka, mokama savarankiškai dirbantiems asmenimis, kuria kompensuojamas pajamų praradimas dėl to, kad savarankiškai dirbantys asmenys turėjo prižiūrėti vaikus arba asmenis, kuriems reikalinga priežiūra, nes buvo uždarytos vaikų ir socialinės priežiūros įstaigos. Paramos suma dienai – 424 CZK kovo mėn. ir 500 CZK balandžio–birželio mėn. </w:t>
      </w:r>
    </w:p>
    <w:p>
      <w:pPr>
        <w:rPr>
          <w:noProof/>
        </w:rPr>
      </w:pPr>
      <w:r>
        <w:rPr>
          <w:noProof/>
        </w:rPr>
        <w:t xml:space="preserve">Čekija pateikė Komisijai atitinkamą informaciją. </w:t>
      </w:r>
    </w:p>
    <w:p>
      <w:pPr>
        <w:rPr>
          <w:noProof/>
        </w:rPr>
      </w:pPr>
      <w:r>
        <w:rPr>
          <w:noProof/>
        </w:rPr>
        <w:t>Atsižvelgdama į turimus įrodymus, Komisija siūlo Tarybai priimti įgyvendinimo sprendimą suteikti Čekijai finansinę paramą pagal SURE reglamentą pirmiau nurodytoms priemonėms remti.</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rPr>
        <w:t>Suderinamumas su toje pačioje politikos srityje galiojančiomis nuostatomis</w:t>
      </w:r>
    </w:p>
    <w:p>
      <w:pPr>
        <w:pBdr>
          <w:top w:val="nil"/>
          <w:left w:val="nil"/>
          <w:bottom w:val="nil"/>
          <w:right w:val="nil"/>
          <w:between w:val="nil"/>
          <w:bar w:val="nil"/>
        </w:pBdr>
        <w:spacing w:before="0" w:after="240"/>
        <w:rPr>
          <w:noProof/>
          <w:color w:val="000000" w:themeColor="text1"/>
        </w:rPr>
      </w:pPr>
      <w:r>
        <w:rPr>
          <w:noProof/>
          <w:color w:val="000000" w:themeColor="text1"/>
        </w:rPr>
        <w:t>Šis pasiūlymas visiškai atitinka</w:t>
      </w:r>
      <w:r>
        <w:rPr>
          <w:noProof/>
        </w:rPr>
        <w:t xml:space="preserve"> Tarybos reglamentą (ES) 2020/672, pagal kurį teikiamas pasiūlymas.</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Šis pasiūlymas papildo kitą Sąjungos teisės priemonę, kuria teikiama parama valstybėms narėms ištikus nelaimei, – 2002 m. lapkričio 11 d. Tarybos reglamentą (EB) Nr. 2012/2002, įsteigiantį Europos Sąjungos solidarumo fondą (toliau – Reglamentas (EB) Nr. 2012/2002). Kovo 30 d. priimtas Europos Parlamento ir Tarybos reglamentas (ES) 2020/461, kuriuo ta priemonė iš dalies keičiama siekiant išplėsti jos taikymo sritį į ją įtraukiant didelio masto ekstremaliąsias visuomenės sveikatos situacijas ir apibrėžti konkrečius tinkamus finansuoti veiksmus. </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Suderinamumas su kitomis Sąjungos politikos sritimis</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Pasiūlymas yra dalis įvairių priemonių, parengtų reaguojant į dabartinę COVID-19 pandemiją, tokių kaip Atsako į koronaviruso grėsmę investicijų iniciatyva, ir papildo kitas priemones, kuriomis remiamas užimtumas, pavyzdžiui, Europos socialinį fondą ir Europos strateginių investicijų fondą (ESIF) / „InvestEU“. Šis pasiūlymas, kuriuo suteikiama galimybė skolinti ir skolintis siekiant šiuo konkrečiu COVID-19 protrūkio atveju paremti valstybes nares, veiks kaip antroji gynybos linija: pagal jį bus finansuojamos sutrumpinto darbo laiko tvarkos ir panašios priemonės, padedančios apsaugoti darbo vietas ir taip nuo nedarbo rizikos apsaugoti darbuotojus ir savarankiškai dirbančius asmenis. </w:t>
      </w:r>
    </w:p>
    <w:p>
      <w:pPr>
        <w:pStyle w:val="ManualHeading1"/>
        <w:rPr>
          <w:noProof/>
          <w:color w:val="000000" w:themeColor="text1"/>
        </w:rPr>
      </w:pPr>
      <w:r>
        <w:rPr>
          <w:noProof/>
          <w:color w:val="000000" w:themeColor="text1"/>
        </w:rPr>
        <w:t>2.</w:t>
      </w:r>
      <w:r>
        <w:rPr>
          <w:noProof/>
        </w:rPr>
        <w:tab/>
      </w:r>
      <w:r>
        <w:rPr>
          <w:noProof/>
          <w:color w:val="000000" w:themeColor="text1"/>
        </w:rPr>
        <w:t>TEISINIS PAGRINDAS, SUBSIDIARUMO IR PROPORCINGUMO PRINCIPAI</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Teisinis pagrindas</w:t>
      </w:r>
    </w:p>
    <w:p>
      <w:pPr>
        <w:pBdr>
          <w:top w:val="nil"/>
          <w:left w:val="nil"/>
          <w:bottom w:val="nil"/>
          <w:right w:val="nil"/>
          <w:between w:val="nil"/>
          <w:bar w:val="nil"/>
        </w:pBdr>
        <w:spacing w:before="0" w:after="240"/>
        <w:rPr>
          <w:rFonts w:eastAsia="Arial Unicode MS"/>
          <w:noProof/>
          <w:color w:val="000000" w:themeColor="text1"/>
        </w:rPr>
      </w:pPr>
      <w:r>
        <w:rPr>
          <w:noProof/>
        </w:rPr>
        <w:t xml:space="preserve">Šios priemonės teisinis pagrindas yra Tarybos reglamentas (ES) 2020/672.  </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Subsidiarumo principas (neišimtinės kompetencijos atveju) </w:t>
      </w:r>
    </w:p>
    <w:p>
      <w:pPr>
        <w:pBdr>
          <w:top w:val="nil"/>
          <w:left w:val="nil"/>
          <w:bottom w:val="nil"/>
          <w:right w:val="nil"/>
          <w:between w:val="nil"/>
          <w:bar w:val="nil"/>
        </w:pBdr>
        <w:spacing w:before="0" w:after="240"/>
        <w:rPr>
          <w:noProof/>
        </w:rPr>
      </w:pPr>
      <w:r>
        <w:rPr>
          <w:noProof/>
        </w:rPr>
        <w:t>Pasiūlymas parengtas atsižvelgiant valstybės narės prašymą ir parodo Europos solidarumą, valstybėms narėms, nukentėjusioms nuo COVID-19 protrūkio, teikiant Sąjungos finansinę paramą laikinų paskolų forma. Kaip antroji gynybos linija, tokia finansinė parama laikinai padeda vyriausybėms finansuoti padidėjusias viešąsias išlaidas, susijusias su sutrumpinto darbo laiko tvarkos ir panašiomis priemonėmis, siekiant padėti apsaugoti darbo vietas ir taip nuo nedarbo ir pajamų praradimo rizikos apsaugoti darbuotojus ir savarankiškai dirbančius asmenis.</w:t>
      </w:r>
    </w:p>
    <w:p>
      <w:pPr>
        <w:pBdr>
          <w:top w:val="nil"/>
          <w:left w:val="nil"/>
          <w:bottom w:val="nil"/>
          <w:right w:val="nil"/>
          <w:between w:val="nil"/>
          <w:bar w:val="nil"/>
        </w:pBdr>
        <w:spacing w:before="0" w:after="240"/>
        <w:rPr>
          <w:rFonts w:eastAsia="Arial Unicode MS"/>
          <w:noProof/>
          <w:color w:val="000000" w:themeColor="text1"/>
        </w:rPr>
      </w:pPr>
      <w:r>
        <w:rPr>
          <w:noProof/>
        </w:rPr>
        <w:lastRenderedPageBreak/>
        <w:t xml:space="preserve">Tokia parama padės nukentėjusiems gyventojams, taip pat padės sušvelninti tiesioginį socialinį ir ekonominį dabartinės COVID-19 krizės poveikį. </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Proporcingumo principas</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Pasiūlymas atitinka proporcingumo principą. Juo neviršijama to, kas būtina priemonės tikslams pasiekti. </w:t>
      </w:r>
    </w:p>
    <w:p>
      <w:pPr>
        <w:pStyle w:val="ManualHeading1"/>
        <w:rPr>
          <w:noProof/>
          <w:color w:val="000000" w:themeColor="text1"/>
        </w:rPr>
      </w:pPr>
      <w:r>
        <w:rPr>
          <w:noProof/>
          <w:color w:val="000000" w:themeColor="text1"/>
        </w:rPr>
        <w:t>3.</w:t>
      </w:r>
      <w:r>
        <w:rPr>
          <w:noProof/>
        </w:rPr>
        <w:tab/>
      </w:r>
      <w:r>
        <w:rPr>
          <w:i/>
          <w:iCs/>
          <w:noProof/>
          <w:color w:val="000000" w:themeColor="text1"/>
        </w:rPr>
        <w:t>EX POST</w:t>
      </w:r>
      <w:r>
        <w:rPr>
          <w:noProof/>
          <w:color w:val="000000" w:themeColor="text1"/>
        </w:rPr>
        <w:t xml:space="preserve"> VERTINIMO, KONSULTACIJŲ SU SUINTERESUOTOSIOMIS ŠALIMIS IR POVEIKIO VERTINIMO REZULTATAI</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Konsultacijos su suinteresuotosiomis šalimis</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Kadangi pasiūlymą reikėjo parengti skubiai, kad Taryba spėtų laiku jį priimti, surengti konsultacijų su suinteresuotosiomis šalimis nebuvo įmanoma.</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Poveikio vertinimas</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Kadangi pasiūlymas yra skubus, poveikio vertinimas nebuvo atliktas.</w:t>
      </w:r>
    </w:p>
    <w:p>
      <w:pPr>
        <w:pStyle w:val="ManualHeading1"/>
        <w:rPr>
          <w:noProof/>
          <w:color w:val="000000" w:themeColor="text1"/>
        </w:rPr>
      </w:pPr>
      <w:r>
        <w:rPr>
          <w:noProof/>
          <w:color w:val="000000" w:themeColor="text1"/>
        </w:rPr>
        <w:t>4.</w:t>
      </w:r>
      <w:r>
        <w:rPr>
          <w:noProof/>
        </w:rPr>
        <w:tab/>
      </w:r>
      <w:r>
        <w:rPr>
          <w:noProof/>
          <w:color w:val="000000" w:themeColor="text1"/>
        </w:rPr>
        <w:t>POVEIKIS BIUDŽETUI</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Komisija turėtų galėti sudaryti sutartis dėl skolinimosi finansų rinkose, kad perskolintų tokias lėšas finansinės paramos pagal SURE priemonę prašančiai valstybei narei. </w:t>
      </w:r>
    </w:p>
    <w:p>
      <w:pPr>
        <w:rPr>
          <w:noProof/>
          <w:color w:val="000000" w:themeColor="text1"/>
        </w:rPr>
      </w:pPr>
      <w:r>
        <w:rPr>
          <w:noProof/>
          <w:color w:val="000000" w:themeColor="text1"/>
        </w:rPr>
        <w:t>Be valstybių narių teikiamų garantijų, sistemoje įtvirtintos kitos apsaugos priemonės, užtikrinančios jos finansinį patikimumą:</w:t>
      </w:r>
    </w:p>
    <w:p>
      <w:pPr>
        <w:pStyle w:val="Bullet1"/>
        <w:numPr>
          <w:ilvl w:val="0"/>
          <w:numId w:val="7"/>
        </w:numPr>
        <w:rPr>
          <w:noProof/>
          <w:color w:val="000000" w:themeColor="text1"/>
        </w:rPr>
      </w:pPr>
      <w:r>
        <w:rPr>
          <w:noProof/>
          <w:color w:val="000000" w:themeColor="text1"/>
        </w:rPr>
        <w:t>griežtas ir konservatyvus požiūris į finansų valdymą;</w:t>
      </w:r>
    </w:p>
    <w:p>
      <w:pPr>
        <w:pStyle w:val="Bullet1"/>
        <w:rPr>
          <w:noProof/>
          <w:color w:val="000000" w:themeColor="text1"/>
        </w:rPr>
      </w:pPr>
      <w:r>
        <w:rPr>
          <w:noProof/>
          <w:color w:val="000000" w:themeColor="text1"/>
        </w:rPr>
        <w:t>paskolų portfelio sudarymas apribojant koncentracijos riziką, metinę su rizika susijusią poziciją ir pernelyg didelę riziką atskiroms valstybėms narėms, kartu užtikrinant, kad pakankamai išteklių būtų galima suteikti toms valstybėms narėms, kurioms jų labiausiai reikia, ir</w:t>
      </w:r>
    </w:p>
    <w:p>
      <w:pPr>
        <w:pStyle w:val="Bullet1"/>
        <w:rPr>
          <w:noProof/>
          <w:color w:val="000000" w:themeColor="text1"/>
        </w:rPr>
      </w:pPr>
      <w:r>
        <w:rPr>
          <w:noProof/>
          <w:color w:val="000000" w:themeColor="text1"/>
        </w:rPr>
        <w:t>galimybės refinansuoti skolą.</w:t>
      </w:r>
    </w:p>
    <w:p>
      <w:pPr>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2020/0213 (NLE)</w:t>
      </w:r>
    </w:p>
    <w:p>
      <w:pPr>
        <w:pStyle w:val="Statut"/>
        <w:rPr>
          <w:noProof/>
        </w:rPr>
      </w:pPr>
      <w:r>
        <w:rPr>
          <w:noProof/>
        </w:rPr>
        <w:t>Pasiūlymas</w:t>
      </w:r>
    </w:p>
    <w:p>
      <w:pPr>
        <w:pStyle w:val="Typedudocument"/>
        <w:rPr>
          <w:noProof/>
        </w:rPr>
      </w:pPr>
      <w:r>
        <w:rPr>
          <w:noProof/>
        </w:rPr>
        <w:t>TARYBOS ĮGYVENDINIMO SPRENDIMAS</w:t>
      </w:r>
    </w:p>
    <w:p>
      <w:pPr>
        <w:pStyle w:val="Titreobjet"/>
        <w:rPr>
          <w:noProof/>
        </w:rPr>
      </w:pPr>
      <w:r>
        <w:rPr>
          <w:noProof/>
        </w:rPr>
        <w:t>kuriuo Čekijai pagal Tarybos reglamentą (ES) 2020/672 suteikiama laikina parama nedarbo rizikai dėl ekstremaliosios situacijos, susijusios su COVID-19 protrūkiu, mažinti</w:t>
      </w:r>
    </w:p>
    <w:p>
      <w:pPr>
        <w:pStyle w:val="Institutionquiagit"/>
        <w:rPr>
          <w:noProof/>
        </w:rPr>
      </w:pPr>
      <w:r>
        <w:rPr>
          <w:noProof/>
        </w:rPr>
        <w:t>EUROPOS SĄJUNGOS TARYBA,</w:t>
      </w:r>
    </w:p>
    <w:p>
      <w:pPr>
        <w:rPr>
          <w:noProof/>
        </w:rPr>
      </w:pPr>
      <w:r>
        <w:rPr>
          <w:noProof/>
        </w:rPr>
        <w:t xml:space="preserve">atsižvelgdama į Sutartį dėl Europos Sąjungos veikimo, </w:t>
      </w:r>
    </w:p>
    <w:p>
      <w:pPr>
        <w:rPr>
          <w:noProof/>
        </w:rPr>
      </w:pPr>
      <w:r>
        <w:rPr>
          <w:noProof/>
        </w:rPr>
        <w:t>atsižvelgdama į 2020 m. gegužės 19 d. Tarybos reglamentą (ES) 2020/672 dėl Europos laikinos paramos priemonės nedarbo rizikai dėl ekstremaliosios situacijos, susijusios su COVID-19 protrūkiu, mažinti (SURE) sukūrimo</w:t>
      </w:r>
      <w:r>
        <w:rPr>
          <w:rStyle w:val="FootnoteReference"/>
          <w:noProof/>
        </w:rPr>
        <w:footnoteReference w:id="1"/>
      </w:r>
      <w:r>
        <w:rPr>
          <w:noProof/>
        </w:rPr>
        <w:t>, ypač į jo 6 straipsnio 1 dalį,</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 xml:space="preserve">2020 m. rugpjūčio 7 d. Čekija paprašė Sąjungos finansinės paramos, kad papildytų nacionalines pastangas mažinti COVID-19 protrūkio poveikį ir švelninti jo socialinius bei ekonominius padarinius darbuotojams; </w:t>
      </w:r>
    </w:p>
    <w:p>
      <w:pPr>
        <w:pStyle w:val="ManualConsidrant"/>
        <w:rPr>
          <w:noProof/>
        </w:rPr>
      </w:pPr>
      <w:r>
        <w:t>(2)</w:t>
      </w:r>
      <w:r>
        <w:tab/>
      </w:r>
      <w:r>
        <w:rPr>
          <w:noProof/>
        </w:rPr>
        <w:t xml:space="preserve">numatoma, kad COVID-19 protrūkis ir išskirtinės priemonės, kurias Čekija įgyvendino siekdama suvaldyti protrūkį ir jo socialinį, ekonominį bei su sveikata susijusį poveikį, turės didžiulį poveikį viešiesiems finansams. Pagal Komisijos 2020 m. pavasario prognozę iki 2020 m. pabaigos Čekijos valdžios sektoriaus deficitas ir skola turėjo sudaryti atitinkamai 6,7 % ir 38,7 % bendrojo vidaus produkto (BVP). Remiantis Komisijos 2020 m. tarpine vasaros prognoze, 2020 m. Čekijos BVP turėtų sumažėti 7,8 %; </w:t>
      </w:r>
    </w:p>
    <w:p>
      <w:pPr>
        <w:pStyle w:val="ManualConsidrant"/>
        <w:rPr>
          <w:noProof/>
        </w:rPr>
      </w:pPr>
      <w:r>
        <w:t>(3)</w:t>
      </w:r>
      <w:r>
        <w:tab/>
      </w:r>
      <w:r>
        <w:rPr>
          <w:noProof/>
        </w:rPr>
        <w:t xml:space="preserve">COVID-19 protrūkis imobilizavo didelę Čekijos darbo jėgos dalį. Dėl to Čekijoje staigiai smarkiai padidėjo viešosios išlaidos, susijusios su sutrumpinto darbo laiko tvarka, t. y. programa „Antivirus“ (kartu su A ir B paprogramėmis), ir panašiomis priemonėmis, skirtomis su darbo užmokesčiu nesusijusioms darbo sąnaudoms (programos „Antivirus“ C paprogramė), arba parama savarankiškai dirbantiems asmenims, kaip nurodyta 4–8 konstatuojamosiose dalyse; </w:t>
      </w:r>
    </w:p>
    <w:p>
      <w:pPr>
        <w:pStyle w:val="ManualConsidrant"/>
        <w:rPr>
          <w:noProof/>
        </w:rPr>
      </w:pPr>
      <w:r>
        <w:t>(4)</w:t>
      </w:r>
      <w:r>
        <w:tab/>
      </w:r>
      <w:r>
        <w:rPr>
          <w:noProof/>
        </w:rPr>
        <w:t xml:space="preserve">konkrečiau, 2020 m. rugpjūčio 7 d. Čekijos prašyme nurodytu 2020 m. kovo 31 d. Vyriausybės nutarimu Nr. 353 (su pakeitimais) ir Įstatymo Nr. 435/2004 (rink.) dėl užimtumo (su pakeitimais) 120 straipsniu nustatomos programos „Antivirus“ A ir B paprogramės. Šios priemonės skirtos iš dalies kompensuoti privačių darbdavių darbo užmokesčio išlaidoms, nes jie buvo priversti sustabdyti savo ekonominę veiklą arba gerokai sumažinti jos mastą dėl tiesioginių priemonių, kurių ėmėsi valdžios institucijos (A paprogramė), arba dėl netiesioginio neigiamo ekonominio pandemijos poveikio (B paprogramė), pavyzdžiui, darbuotojai negali dirbti dėl kelionių apribojimų. Pagal A paprogramę valstybės sumokama darbo užmokesčio dalis – 80 %, bet ne daugiau kaip 39 000 CZK vienam darbuotojui per mėnesį. Pagal B paprogramę </w:t>
      </w:r>
      <w:r>
        <w:rPr>
          <w:noProof/>
        </w:rPr>
        <w:lastRenderedPageBreak/>
        <w:t xml:space="preserve">valstybės sumokama darbo užmokesčio dalis – 60 %, bet ne daugiau kaip 29 000 CZK vienam darbuotojui per mėnesį. Pagal šią programą remiami darbuotojai negali būti atleidžiami, kol darbdavys dalyvauja šioje programoje. Priemonės taikomos nuo 2020 m. kovo 12 d. iki rugpjūčio 31 d.; </w:t>
      </w:r>
    </w:p>
    <w:p>
      <w:pPr>
        <w:pStyle w:val="ManualConsidrant"/>
        <w:rPr>
          <w:noProof/>
        </w:rPr>
      </w:pPr>
      <w:r>
        <w:t>(5)</w:t>
      </w:r>
      <w:r>
        <w:tab/>
      </w:r>
      <w:r>
        <w:rPr>
          <w:noProof/>
        </w:rPr>
        <w:t>be to, valdžios institucijos, remdamosi 2020 m. rugpjūčio 7 d. Čekijos prašyme nurodytais Įstatymu Nr. 300/2020 (rink.) ir Įstatymu Nr. 187/2006 (rink.)</w:t>
      </w:r>
      <w:r>
        <w:rPr>
          <w:rStyle w:val="FootnoteReference"/>
          <w:noProof/>
        </w:rPr>
        <w:footnoteReference w:id="2"/>
      </w:r>
      <w:r>
        <w:rPr>
          <w:noProof/>
        </w:rPr>
        <w:t>, nustatė programos „Antivirus“ C paprogramę. Vykdant šią priemonę iš dalies kompensuojamos su darbo užmokesčiu nesusijusios mažų įmonių (iki 50 darbuotojų) darbo sąnaudos (pavyzdžiui, darbdavio mokamos socialinio draudimo įmokos), kai šios įmonės išlaiko darbo vietas ir bent 90 % darbo užmokesčio išlaidų, palyginti su 2020 m. kovo mėn. pabaigoje buvusiomis išlaidomis. Siekiant užtikrinti, kad pagalba derėtų su išlaidomis, skirtomis darbo vietoms išlaikyti, prašoma tik 90 % visų priemonės išlaidų. Skaičiavimo bazės riba – 150 % vidutinio bruto darbo užmokesčio Čekijoje. Parama gali būti teikiama visą 2020 m. birželio–rugpjūčio mėn. laikotarpį arba tam tikrą to laikotarpio dalį;</w:t>
      </w:r>
    </w:p>
    <w:p>
      <w:pPr>
        <w:pStyle w:val="ManualConsidrant"/>
        <w:rPr>
          <w:noProof/>
        </w:rPr>
      </w:pPr>
      <w:r>
        <w:t>(6)</w:t>
      </w:r>
      <w:r>
        <w:tab/>
      </w:r>
      <w:r>
        <w:rPr>
          <w:noProof/>
        </w:rPr>
        <w:t>pagal programą „Pětadvacítka“, nustatytą 2020 m. rugpjūčio 7 d. Čekijos prašyme nurodytu Įstatymu Nr. 159/2020 (rink.)</w:t>
      </w:r>
      <w:r>
        <w:rPr>
          <w:rStyle w:val="FootnoteReference"/>
          <w:noProof/>
        </w:rPr>
        <w:footnoteReference w:id="3"/>
      </w:r>
      <w:r>
        <w:rPr>
          <w:noProof/>
        </w:rPr>
        <w:t>, savarankiškai dirbantiems asmenims, kurie dėl pavojaus visuomenės sveikatai arba valdžios institucijų taikomų krizės priemonių yra priversti sustabdyti savo ekonominę veiklą arba gerokai sumažinti jos mastą, skiriama 500 CZK mokesčio nuolaida vienam asmeniui už kalendorinę dieną. Programa dalijama į du nuolaidos laikotarpius: nuo 2020 m. kovo 12 d. iki balandžio 30 d. ir nuo 2020 m. gegužės 1 d. iki birželio 8 d. Mokesčių nuolaidą sudaro valdžios sektoriaus negautos pajamos, kurios Tarybos reglamento 2020/672 įgyvendinimo tikslu gali būti prilyginamos viešosioms išlaidoms;</w:t>
      </w:r>
    </w:p>
    <w:p>
      <w:pPr>
        <w:pStyle w:val="ManualConsidrant"/>
        <w:rPr>
          <w:noProof/>
        </w:rPr>
      </w:pPr>
      <w:r>
        <w:t>(7)</w:t>
      </w:r>
      <w:r>
        <w:tab/>
      </w:r>
      <w:r>
        <w:rPr>
          <w:noProof/>
        </w:rPr>
        <w:t>remdamosi 2020 m. rugpjūčio 7 d. Čekijos pateiktame prašyme nurodytais Įstatymu Nr. 136/2020 (rink.) (dėl socialinio draudimo) ir Įstatymu Nr. 134/2020 (rink.) (dėl sveikatos draudimo), valdžios institucijos nustatė dalinį atleidimą nuo socialinio ir sveikatos draudimo įmokų, kurias turi mokėti savarankiškai dirbantys asmenys, kurie toliau vykdo veiklą paramos teikimo laikotarpiu. Valstybė prisiima mokėti atitinkamas kiekvieno mėnesio įmokas nuo 2020 m. kovo iki rugpjūčio mėn. Suma, kurios leidžiama nemokėti, apribota įstatymu nustatytu dydžiu;</w:t>
      </w:r>
    </w:p>
    <w:p>
      <w:pPr>
        <w:pStyle w:val="ManualConsidrant"/>
        <w:rPr>
          <w:noProof/>
        </w:rPr>
      </w:pPr>
      <w:r>
        <w:t>(8)</w:t>
      </w:r>
      <w:r>
        <w:tab/>
      </w:r>
      <w:r>
        <w:rPr>
          <w:noProof/>
        </w:rPr>
        <w:t>galiausiai, remdamosi 2020 m. rugpjūčio 7 d. Čekijos prašyme nurodytais Vyriausybės nutarimais Nr. 262 (2020 m. kovo 19 d.), Nr. 311 (kovo 26 d.), Nr. 354 (kovo 31 d.), Nr. 514 (gegužės 4 d.) ir Nr. 552 (gegužės 18 d.), Įstatymo Nr. 218/2000 (rink.) dėl biudžeto taisyklių (su pakeitimais) (dėl pirminės žemės ūkio ir miškininkystės gamybos mažųjų įmonių) 14 straipsniu ir Įstatymo Nr. 47/2002 (rink.) (su pakeitimais) dėl paramos MVĮ (visoms kitoms mažosioms įmonėms) 3 straipsnio h punktu, valdžios institucijos nustatė priežiūros išmoką savarankiškai dirbantiems asmenims. Pagal priemonę savarankiškai dirbantiems asmenims kompensuojamas pajamų praradimas dėl to, kad savarankiškai dirbantys asmenys turėjo prižiūrėti vaikus arba asmenis, kuriems reikalinga priežiūra, nes buvo uždarytos vaikų ir socialinės priežiūros įstaigos. Paramos suma dienai – 424 CZK kovo mėn. ir 500 CZK balandžio–birželio mėn.;</w:t>
      </w:r>
    </w:p>
    <w:p>
      <w:pPr>
        <w:pStyle w:val="ManualConsidrant"/>
        <w:rPr>
          <w:noProof/>
        </w:rPr>
      </w:pPr>
      <w:r>
        <w:lastRenderedPageBreak/>
        <w:t>(9)</w:t>
      </w:r>
      <w:r>
        <w:tab/>
      </w:r>
      <w:r>
        <w:rPr>
          <w:noProof/>
        </w:rPr>
        <w:t xml:space="preserve">Čekija atitinka Reglamento (ES) 2020/672 3 straipsnyje nustatytas finansinės paramos prašymo sąlygas. Čekija pateikė Komisijai tinkamų įrodymų, kad faktinės ir numatomos viešosios išlaidos nuo 2020 m. vasario 1 d. padidėjo 2 940 446 745 EUR dėl nacionalinių priemonių, kurių imtasi siekiant sumažinti socialinį ir ekonominį COVID-19 protrūkio poveikį. Tai staigus smarkus padidėjimas, nes naujosios priemonės taikomos didelei įmonių ir darbo jėgos daliai Čekijoje. Sąjungos ir nuosavomis lėšomis Čekija ketina finansuoti 940 446 745 EUR išaugusių išlaidų sumos; </w:t>
      </w:r>
    </w:p>
    <w:p>
      <w:pPr>
        <w:pStyle w:val="ManualConsidrant"/>
        <w:rPr>
          <w:noProof/>
        </w:rPr>
      </w:pPr>
      <w:r>
        <w:t>(10)</w:t>
      </w:r>
      <w:r>
        <w:tab/>
      </w:r>
      <w:r>
        <w:rPr>
          <w:noProof/>
        </w:rPr>
        <w:t xml:space="preserve">Komisija pagal Reglamento (ES) 2020/672 6 straipsnį pasikonsultavo su Čekija ir patikrino, ar staiga smarkiai padidėjo faktinės ir numatytos viešosios išlaidos, tiesiogiai susijusios su sutrumpinto darbo laiko tvarkos ir panašiomis priemonėmis, nurodytomis 2020 m. rugpjūčio 7 d. prašyme; </w:t>
      </w:r>
    </w:p>
    <w:p>
      <w:pPr>
        <w:pStyle w:val="ManualConsidrant"/>
        <w:rPr>
          <w:noProof/>
        </w:rPr>
      </w:pPr>
      <w:r>
        <w:t>(11)</w:t>
      </w:r>
      <w:r>
        <w:tab/>
      </w:r>
      <w:r>
        <w:rPr>
          <w:noProof/>
        </w:rPr>
        <w:t>todėl finansinė parama turėtų būti suteikta siekiant padėti Čekijai mažinti didelio ekonomikos sukrėtimo, kurį sukėlė COVID-19 protrūkis, socialinį ir ekonominį poveikį;</w:t>
      </w:r>
    </w:p>
    <w:p>
      <w:pPr>
        <w:pStyle w:val="ManualConsidrant"/>
        <w:rPr>
          <w:noProof/>
        </w:rPr>
      </w:pPr>
      <w:r>
        <w:t>(12)</w:t>
      </w:r>
      <w:r>
        <w:tab/>
      </w:r>
      <w:r>
        <w:rPr>
          <w:noProof/>
        </w:rPr>
        <w:t>šis sprendimas neturėtų daryti poveikio procedūrų, kurios gali būti pradėtos dėl vidaus rinkos veikimo iškraipymo, ypač pagal SESV 107 ir 108 straipsnius, rezultatams. Jis nėra viršesnis už reikalavimą, kad valstybės narės praneštų Komisijai apie galimos valstybės pagalbos atvejus pagal SESV 108 straipsnį;</w:t>
      </w:r>
    </w:p>
    <w:p>
      <w:pPr>
        <w:pStyle w:val="ManualConsidrant"/>
        <w:rPr>
          <w:noProof/>
        </w:rPr>
      </w:pPr>
      <w:r>
        <w:t>(13)</w:t>
      </w:r>
      <w:r>
        <w:tab/>
      </w:r>
      <w:r>
        <w:rPr>
          <w:noProof/>
        </w:rPr>
        <w:t>Čekija turėtų reguliariai informuoti Komisiją apie planuojamų viešųjų išlaidų įvykdymą, kad Komisija galėtų įvertinti, kokiu mastu Čekija įvykdė tas išlaidas;</w:t>
      </w:r>
    </w:p>
    <w:p>
      <w:pPr>
        <w:pStyle w:val="ManualConsidrant"/>
        <w:rPr>
          <w:noProof/>
        </w:rPr>
      </w:pPr>
      <w:r>
        <w:t>(14)</w:t>
      </w:r>
      <w:r>
        <w:tab/>
      </w:r>
      <w:r>
        <w:rPr>
          <w:noProof/>
        </w:rPr>
        <w:t>sprendimas suteikti finansinę paramą priimtas atsižvelgiant į esamus ir numatomus Čekijos poreikius, taip pat į kitų valstybių narių pagal Reglamentą (ES) 2020/672 jau pateiktus ar numatomus pateikti finansinės paramos prašymus, taikant vienodo požiūrio, solidarumo, proporcingumo ir skaidrumo principus,</w:t>
      </w:r>
    </w:p>
    <w:p>
      <w:pPr>
        <w:pStyle w:val="Formuledadoption"/>
        <w:rPr>
          <w:noProof/>
        </w:rPr>
      </w:pPr>
      <w:r>
        <w:rPr>
          <w:noProof/>
        </w:rPr>
        <w:t xml:space="preserve">PRIĖMĖ ŠĮ SPRENDIMĄ: </w:t>
      </w:r>
    </w:p>
    <w:p>
      <w:pPr>
        <w:pStyle w:val="Titrearticle"/>
        <w:rPr>
          <w:noProof/>
        </w:rPr>
      </w:pPr>
      <w:r>
        <w:rPr>
          <w:noProof/>
        </w:rPr>
        <w:t>1 straipsnis</w:t>
      </w:r>
    </w:p>
    <w:p>
      <w:pPr>
        <w:rPr>
          <w:i/>
          <w:noProof/>
        </w:rPr>
      </w:pPr>
      <w:r>
        <w:rPr>
          <w:noProof/>
        </w:rPr>
        <w:t xml:space="preserve">Čekija atitinka Reglamento (ES) 2020/672 3 straipsnyje nustatytas sąlygas.  </w:t>
      </w:r>
    </w:p>
    <w:p>
      <w:pPr>
        <w:pStyle w:val="Titrearticle"/>
        <w:rPr>
          <w:noProof/>
        </w:rPr>
      </w:pPr>
      <w:r>
        <w:rPr>
          <w:noProof/>
        </w:rPr>
        <w:t>2 straipsnis</w:t>
      </w:r>
    </w:p>
    <w:p>
      <w:pPr>
        <w:pStyle w:val="ManualNumPar1"/>
        <w:rPr>
          <w:noProof/>
        </w:rPr>
      </w:pPr>
      <w:r>
        <w:t>1.</w:t>
      </w:r>
      <w:r>
        <w:tab/>
      </w:r>
      <w:r>
        <w:rPr>
          <w:noProof/>
        </w:rPr>
        <w:t>Sąjunga suteikia Čekijai paskolą, kuri neviršija 2 000 000 000 EUR. Ilgiausias vidutinis paskolos grąžinimo terminas – 15 metų.</w:t>
      </w:r>
    </w:p>
    <w:p>
      <w:pPr>
        <w:pStyle w:val="ManualNumPar1"/>
        <w:rPr>
          <w:noProof/>
        </w:rPr>
      </w:pPr>
      <w:r>
        <w:t>2.</w:t>
      </w:r>
      <w:r>
        <w:tab/>
      </w:r>
      <w:r>
        <w:rPr>
          <w:noProof/>
        </w:rPr>
        <w:t xml:space="preserve">Šiuo sprendimu suteiktos finansinės paramos prieinamumo laikotarpis yra 18 mėnesių nuo pirmos dienos po šio sprendimo įsigaliojimo. </w:t>
      </w:r>
    </w:p>
    <w:p>
      <w:pPr>
        <w:pStyle w:val="ManualNumPar1"/>
        <w:rPr>
          <w:noProof/>
        </w:rPr>
      </w:pPr>
      <w:r>
        <w:t>3.</w:t>
      </w:r>
      <w:r>
        <w:tab/>
      </w:r>
      <w:r>
        <w:rPr>
          <w:noProof/>
        </w:rPr>
        <w:t xml:space="preserve">Komisija Sąjungos finansinę paramą Čekijai teikia ne daugiau kaip aštuoniomis dalimis. Bet kuri dalis gali būti išmokama viena ar keliomis dalinėmis išmokomis. Pirmos dalies dalinių išmokų grąžinimo terminai gali būti ilgesni negu 1 dalyje nurodytas ilgiausias vidutinis grąžinimo terminas. Tokiais atvejais kitų dalinių išmokų grąžinimo terminai nustatomi taip, kad išmokėjus visas dalis būtų laikomasi 1 dalyje nurodyto ilgiausio vidutinio grąžinimo termino. </w:t>
      </w:r>
    </w:p>
    <w:p>
      <w:pPr>
        <w:pStyle w:val="ManualNumPar1"/>
        <w:rPr>
          <w:noProof/>
        </w:rPr>
      </w:pPr>
      <w:r>
        <w:t>4.</w:t>
      </w:r>
      <w:r>
        <w:tab/>
      </w:r>
      <w:r>
        <w:rPr>
          <w:noProof/>
        </w:rPr>
        <w:t xml:space="preserve">Pirma dalis išmokama įsigaliojus Reglamento (ES) 2020/672 8 straipsnio 2 dalyje numatytam paskolos susitarimui. </w:t>
      </w:r>
    </w:p>
    <w:p>
      <w:pPr>
        <w:pStyle w:val="ManualNumPar1"/>
        <w:rPr>
          <w:noProof/>
        </w:rPr>
      </w:pPr>
      <w:r>
        <w:lastRenderedPageBreak/>
        <w:t>5.</w:t>
      </w:r>
      <w:r>
        <w:tab/>
      </w:r>
      <w:r>
        <w:rPr>
          <w:noProof/>
        </w:rPr>
        <w:t xml:space="preserve">Čekija apmoka Reglamento (ES) 2020/672 4 straipsnyje nurodyto Sąjungos finansavimo išlaidas, susijusias su kiekviena dalimi, ir visus su finansavimu susijusius Sąjungos mokesčius, sąnaudas ir išlaidas. </w:t>
      </w:r>
    </w:p>
    <w:p>
      <w:pPr>
        <w:pStyle w:val="ManualNumPar1"/>
        <w:rPr>
          <w:noProof/>
        </w:rPr>
      </w:pPr>
      <w:r>
        <w:t>6.</w:t>
      </w:r>
      <w:r>
        <w:tab/>
      </w:r>
      <w:r>
        <w:rPr>
          <w:noProof/>
        </w:rPr>
        <w:t xml:space="preserve">Dėl dalių dydžio ir išmokėjimo, kaip ir dėl dalinių išmokų dydžio, sprendžia Komisija. </w:t>
      </w:r>
    </w:p>
    <w:p>
      <w:pPr>
        <w:pStyle w:val="Titrearticle"/>
        <w:rPr>
          <w:noProof/>
        </w:rPr>
      </w:pPr>
      <w:r>
        <w:rPr>
          <w:noProof/>
        </w:rPr>
        <w:t xml:space="preserve">3 straipsnis </w:t>
      </w:r>
    </w:p>
    <w:p>
      <w:pPr>
        <w:rPr>
          <w:noProof/>
        </w:rPr>
      </w:pPr>
      <w:r>
        <w:rPr>
          <w:noProof/>
        </w:rPr>
        <w:t>1. Čekija gali finansuoti šias priemones:</w:t>
      </w:r>
    </w:p>
    <w:p>
      <w:pPr>
        <w:pStyle w:val="Point0"/>
        <w:rPr>
          <w:noProof/>
        </w:rPr>
      </w:pPr>
      <w:r>
        <w:t>(a)</w:t>
      </w:r>
      <w:r>
        <w:tab/>
      </w:r>
      <w:r>
        <w:rPr>
          <w:noProof/>
        </w:rPr>
        <w:t>programą „Antivirus“, nustatytą 2020 m. kovo 31 d. Vyriausybės nutarimu Nr. 353 (su pakeitimais) ir Įstatymo Nr. 435/2004 (rink.) dėl užimtumo (su pakeitimais) 120 straipsniu;</w:t>
      </w:r>
    </w:p>
    <w:p>
      <w:pPr>
        <w:pStyle w:val="Point0"/>
        <w:rPr>
          <w:noProof/>
        </w:rPr>
      </w:pPr>
      <w:r>
        <w:t>(b)</w:t>
      </w:r>
      <w:r>
        <w:tab/>
      </w:r>
      <w:r>
        <w:rPr>
          <w:noProof/>
        </w:rPr>
        <w:t>programos „Antivirus“ C paprogramę, nustatytą Įstatymu Nr. 300/2020 (rink.);</w:t>
      </w:r>
    </w:p>
    <w:p>
      <w:pPr>
        <w:pStyle w:val="Point0"/>
        <w:rPr>
          <w:noProof/>
        </w:rPr>
      </w:pPr>
      <w:r>
        <w:t>(c)</w:t>
      </w:r>
      <w:r>
        <w:tab/>
      </w:r>
      <w:r>
        <w:rPr>
          <w:noProof/>
        </w:rPr>
        <w:t xml:space="preserve">programą „Pětadvacítka“, nustatytą Įstatymu Nr. 159/2020 (rink.); </w:t>
      </w:r>
    </w:p>
    <w:p>
      <w:pPr>
        <w:pStyle w:val="Point0"/>
        <w:rPr>
          <w:noProof/>
        </w:rPr>
      </w:pPr>
      <w:r>
        <w:t>(d)</w:t>
      </w:r>
      <w:r>
        <w:tab/>
      </w:r>
      <w:r>
        <w:rPr>
          <w:noProof/>
        </w:rPr>
        <w:t xml:space="preserve">dalinį atleidimą nuo socialinio ir sveikatos draudimo įmokų, kurias turi mokėti savarankiškai dirbantys asmenys, nustatytą Įstatymu Nr. 136/2020 (rink.) (dėl socialinio draudimo) ir Įstatymu Nr. 134/2020 (rink.) (dėl sveikatos draudimo); </w:t>
      </w:r>
    </w:p>
    <w:p>
      <w:pPr>
        <w:pStyle w:val="Point0"/>
        <w:rPr>
          <w:noProof/>
        </w:rPr>
      </w:pPr>
      <w:r>
        <w:t>(e)</w:t>
      </w:r>
      <w:r>
        <w:tab/>
      </w:r>
      <w:r>
        <w:rPr>
          <w:noProof/>
        </w:rPr>
        <w:t>priežiūros išmoką savarankiškai dirbantiems asmenims, nustatytą Vyriausybės nutarimais Nr. 262 (2020 m. kovo 19 d.), Nr. 311 (kovo 26 d.), Nr. 354 (kovo 31 d.), Nr. 514 (gegužės 4 d.) ir Nr. 552 (gegužės 18 d.), Įstatymo Nr. 218/2000 (rink.) dėl biudžeto taisyklių (su pakeitimais) (dėl pirminės žemės ūkio ir miškininkystės gamybos mažųjų įmonių) 14 straipsniu ir Įstatymo Nr. 47/2002 (rink.) (su pakeitimais) dėl paramos MVĮ (visoms kitoms mažosioms įmonėms) 3 straipsnio h punktu.</w:t>
      </w:r>
    </w:p>
    <w:p>
      <w:pPr>
        <w:pStyle w:val="Titrearticle"/>
        <w:rPr>
          <w:noProof/>
        </w:rPr>
      </w:pPr>
      <w:r>
        <w:rPr>
          <w:noProof/>
        </w:rPr>
        <w:t>4 straipsnis</w:t>
      </w:r>
    </w:p>
    <w:p>
      <w:pPr>
        <w:rPr>
          <w:noProof/>
        </w:rPr>
      </w:pPr>
      <w:r>
        <w:rPr>
          <w:noProof/>
        </w:rPr>
        <w:t>Čekija iki [</w:t>
      </w:r>
      <w:r>
        <w:rPr>
          <w:i/>
          <w:noProof/>
        </w:rPr>
        <w:t>DATA: šeši mėnesiai po šio sprendimo paskelbimo</w:t>
      </w:r>
      <w:r>
        <w:rPr>
          <w:noProof/>
        </w:rPr>
        <w:t xml:space="preserve">], o po to – kas šešis mėnesius informuoja Komisiją apie numatytų viešųjų išlaidų įvykdymą, kol tos numatytos viešosios išlaidos bus visiškai įvykdytos. </w:t>
      </w:r>
    </w:p>
    <w:p>
      <w:pPr>
        <w:pStyle w:val="Titrearticle"/>
        <w:rPr>
          <w:noProof/>
        </w:rPr>
      </w:pPr>
      <w:r>
        <w:rPr>
          <w:noProof/>
        </w:rPr>
        <w:t>5 straipsnis</w:t>
      </w:r>
    </w:p>
    <w:p>
      <w:pPr>
        <w:keepNext/>
        <w:keepLines/>
        <w:rPr>
          <w:noProof/>
        </w:rPr>
      </w:pPr>
      <w:r>
        <w:rPr>
          <w:noProof/>
        </w:rPr>
        <w:t xml:space="preserve">Šis sprendimas skirtas Čekijos Respublikai. </w:t>
      </w:r>
    </w:p>
    <w:p>
      <w:pPr>
        <w:pStyle w:val="Titrearticle"/>
        <w:rPr>
          <w:noProof/>
        </w:rPr>
      </w:pPr>
      <w:r>
        <w:rPr>
          <w:noProof/>
        </w:rPr>
        <w:t>6 straipsnis</w:t>
      </w:r>
    </w:p>
    <w:p>
      <w:pPr>
        <w:rPr>
          <w:noProof/>
        </w:rPr>
      </w:pPr>
      <w:r>
        <w:rPr>
          <w:noProof/>
        </w:rPr>
        <w:t xml:space="preserve">Šis sprendimas skelbiamas </w:t>
      </w:r>
      <w:r>
        <w:rPr>
          <w:i/>
          <w:noProof/>
        </w:rPr>
        <w:t>Europos Sąjungos oficialiajame leidinyje</w:t>
      </w:r>
      <w:r>
        <w:rPr>
          <w:noProof/>
        </w:rPr>
        <w:t xml:space="preserve">. </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159, 2020 5 20, p. 1.</w:t>
      </w:r>
    </w:p>
  </w:footnote>
  <w:footnote w:id="2">
    <w:p>
      <w:pPr>
        <w:pStyle w:val="FootnoteText"/>
        <w:ind w:left="142" w:hanging="142"/>
      </w:pPr>
      <w:r>
        <w:rPr>
          <w:rStyle w:val="FootnoteReference"/>
        </w:rPr>
        <w:footnoteRef/>
      </w:r>
      <w:r>
        <w:tab/>
        <w:t xml:space="preserve">Įstatymas Nr. 300/2020 (rink.) dėl kai kurių darbdavių kaip mokesčių mokėtojų atleidimo nuo socialinio draudimo įmokų ir valstybės užimtumo politikos įmokų mokėjimo dėl neatidėliotinų priemonių, kurių imtasi per 2020 m. epidemiją, kuriuo iš dalies keičiamas Įstatymas Nr. 187/2006 (rink.) dėl sveikatos draudimo (su pakeitimais).  </w:t>
      </w:r>
    </w:p>
  </w:footnote>
  <w:footnote w:id="3">
    <w:p>
      <w:pPr>
        <w:pStyle w:val="FootnoteText"/>
        <w:ind w:left="142" w:hanging="142"/>
      </w:pPr>
      <w:r>
        <w:rPr>
          <w:rStyle w:val="FootnoteReference"/>
        </w:rPr>
        <w:footnoteRef/>
      </w:r>
      <w:r>
        <w:tab/>
        <w:t xml:space="preserve">Įstatymas Nr. 159/2020 (rink.) dėl kompensacinės nuolaidos, susijusios su krizės priemonėmis, kurių imtasi išplitus SARS CoV-2 koronavirusui (su pakeitimais).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F4A1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9AD1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3681C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22C1A"/>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num>
  <w:num w:numId="8">
    <w:abstractNumId w:val="21"/>
    <w:lvlOverride w:ilvl="0">
      <w:startOverride w:val="1"/>
    </w:lvlOverride>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0:15: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4A345AD-25F9-4100-9967-6B3523B69C89"/>
    <w:docVar w:name="LW_COVERPAGE_TYPE" w:val="1"/>
    <w:docVar w:name="LW_CROSSREFERENCE" w:val="&lt;UNUSED&gt;"/>
    <w:docVar w:name="LW_DocType" w:val="COM"/>
    <w:docVar w:name="LW_EMISSION" w:val="2020 08 24"/>
    <w:docVar w:name="LW_EMISSION_ISODATE" w:val="2020-08-24"/>
    <w:docVar w:name="LW_EMISSION_LOCATION" w:val="BRX"/>
    <w:docVar w:name="LW_EMISSION_PREFIX" w:val="Briuseli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13"/>
    <w:docVar w:name="LW_REF.II.NEW.CP_YEAR" w:val="2020"/>
    <w:docVar w:name="LW_REF.INST.NEW" w:val="COM"/>
    <w:docVar w:name="LW_REF.INST.NEW_ADOPTED" w:val="final"/>
    <w:docVar w:name="LW_REF.INST.NEW_TEXT" w:val="(2020) 4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u268?ekijai pagal Tarybos reglament\u261? (ES) 2020/672 suteikiama laikina parama nedarbo rizikai d\u279?l ekstremaliosios situacijos, susijusios su COVID-19 protr\u363?kiu, ma\u382?inti"/>
    <w:docVar w:name="LW_TYPE.DOC.CP" w:val="TARYBOS \u302?GYVENDINIMO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177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775744-583D-46D5-BBF0-F0DF1BD8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2422</Words>
  <Characters>15890</Characters>
  <Application>Microsoft Office Word</Application>
  <DocSecurity>0</DocSecurity>
  <Lines>273</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2020-09-06T17:43:00Z</dcterms:created>
  <dcterms:modified xsi:type="dcterms:W3CDTF">2020-09-07T08:15:00Z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