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54A6B3E-40F4-4110-8EF8-917D087860FF" style="width:450.7pt;height:365.6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ab/>
      </w:r>
    </w:p>
    <w:p>
      <w:pPr>
        <w:rPr>
          <w:noProof/>
        </w:rPr>
      </w:pPr>
      <w:r>
        <w:rPr>
          <w:noProof/>
        </w:rPr>
        <w:t>Ved Rådets forordning (EF) 2020/672 ("SURE-forordningen") fastsættes den retlige ramme for Unionens finansielle støtte til medlemsstater, der oplever eller er i alvorlig risiko for en alvorlig økonomisk forstyrrelse som følge af covid-19-udbruddet. Støtten inden for rammerne af SURE har primært til formål at finansiere arbejdsfordelingsordninger eller lignende foranstaltninger, der tager sigte på at beskytte arbejdstagere og selvstændige og dermed mindske forekomsten af arbejdsløshed og indkomsttab, samt, som supplement, med henblik på finansiering af visse sundhedsrelaterede foranstaltninger, navnlig på arbejdspladsen.</w:t>
      </w:r>
    </w:p>
    <w:p>
      <w:pPr>
        <w:rPr>
          <w:noProof/>
        </w:rPr>
      </w:pPr>
      <w:r>
        <w:rPr>
          <w:noProof/>
        </w:rPr>
        <w:t xml:space="preserve">Den 7. august 2020 anmodede Italien om finansiel støtte fra Unionen under SURE-forordningen. I henhold til SURE-forordningens artikel 6, stk. 2, har Kommissionen hørt de italienske myndigheder med henblik på at kontrollere, om der er sket en pludselig og kraftig stigning i de faktiske og planlagte udgifter, som er direkte forbundet med arbejdsfordelingsordninger og lignende foranstaltninger samt sundhedsrelaterede foranstaltninger, der er indført som reaktion på covid-19-pandemien. Foranstaltningerne vedrører navnlig: </w:t>
      </w:r>
    </w:p>
    <w:p>
      <w:pPr>
        <w:pStyle w:val="Point0"/>
        <w:rPr>
          <w:noProof/>
        </w:rPr>
      </w:pPr>
      <w:r>
        <w:t>(1)</w:t>
      </w:r>
      <w:r>
        <w:tab/>
      </w:r>
      <w:r>
        <w:rPr>
          <w:noProof/>
        </w:rPr>
        <w:t>en udvidelse af de eksisterende arbejdsfordelingsordninger ("</w:t>
      </w:r>
      <w:r>
        <w:rPr>
          <w:i/>
          <w:noProof/>
        </w:rPr>
        <w:t>Cassa integrazione guadagni</w:t>
      </w:r>
      <w:r>
        <w:rPr>
          <w:noProof/>
        </w:rPr>
        <w:t>"). Foranstaltningen dækker 80 % af den normale løn for medarbejdere, hvis ansættelseskontrakt opretholdes, i virksomheder, der er helt eller delvis lukket på grund af covid-19, i højst 18 uger i perioden fra den 23. februar 2020 til den 31. oktober 2020</w:t>
      </w:r>
    </w:p>
    <w:p>
      <w:pPr>
        <w:pStyle w:val="Point0"/>
        <w:rPr>
          <w:noProof/>
        </w:rPr>
      </w:pPr>
      <w:r>
        <w:t>(2)</w:t>
      </w:r>
      <w:r>
        <w:tab/>
      </w:r>
      <w:r>
        <w:rPr>
          <w:noProof/>
        </w:rPr>
        <w:t xml:space="preserve">en godtgørelse på 600 EUR for marts og april 2020 for selvstændige og freelancere. Freelancere, som har haft en nedgang på mindst 33 % i indtjeningen i marts og april 2020 i forhold til samme periode sidste år, er også berettiget til en godtgørelse på 1 000 EUR for maj 2020. Der ydes en yderligere godtgørelse på 600 EUR for marts 2020 til selvstændige og freelancere, der er registreret hos private institutioner for obligatorisk social sikring  </w:t>
      </w:r>
    </w:p>
    <w:p>
      <w:pPr>
        <w:pStyle w:val="Point0"/>
        <w:rPr>
          <w:noProof/>
        </w:rPr>
      </w:pPr>
      <w:r>
        <w:t>(3)</w:t>
      </w:r>
      <w:r>
        <w:tab/>
      </w:r>
      <w:r>
        <w:rPr>
          <w:noProof/>
        </w:rPr>
        <w:t>en række foranstaltninger rettet mod specifikke erhverv, som covid-19-udbruddet har haft en negativ indvirkning på. Disse omfatter en godtgørelse på 600 EUR for marts 2020 og 500 EUR for april 2020 for medarbejdere med tidsbegrænset ansættelse i landbruget, en godtgørelse på 600 EUR for marts, april og maj 2020 for arbejdstagere i underholdningsbranchen (med en årlig indkomst på op til 50 000 EUR), en godtgørelse på 600 EUR for marts, april og maj 2020 for medarbejdere i idrætsforeninger, en godtgørelse på 600 EUR for marts, april og maj 2020 for arbejdstagere på tilkaldebasis og en godtgørelse på 500 EUR for april og maj 2020 for arbejdstagere inden for hushjælp</w:t>
      </w:r>
    </w:p>
    <w:p>
      <w:pPr>
        <w:pStyle w:val="Point0"/>
        <w:rPr>
          <w:noProof/>
        </w:rPr>
      </w:pPr>
      <w:r>
        <w:t>(4)</w:t>
      </w:r>
      <w:r>
        <w:tab/>
      </w:r>
      <w:r>
        <w:rPr>
          <w:noProof/>
        </w:rPr>
        <w:t xml:space="preserve">to foranstaltninger til at imødegå virkningen af afbrydelsen af førskoleundervisningen og lukningen af skoler i form af ydelser ved forældreorlov i op til 30 dage i perioden fra den 5. marts 2020 til den 31. august 2020 for medarbejdere eller selvstændige med børn på op til 12 år (eller over 12 år, hvis barnet er en person med handicap og stadig går i skole), der dækker 50 % af deres indkomst, samt børnepasningsvouchers til et beløb på maksimalt 2 000 EUR som alternativ til ydelser ved forældreorlov og gældende i den samme periode </w:t>
      </w:r>
    </w:p>
    <w:p>
      <w:pPr>
        <w:pStyle w:val="Point0"/>
        <w:rPr>
          <w:noProof/>
        </w:rPr>
      </w:pPr>
      <w:r>
        <w:lastRenderedPageBreak/>
        <w:t>(5)</w:t>
      </w:r>
      <w:r>
        <w:tab/>
      </w:r>
      <w:r>
        <w:rPr>
          <w:noProof/>
        </w:rPr>
        <w:t>supplerende invaliditetsydelser i op til 12 dage i perioden fra den 1. marts 2020 til den 30. april 2020 og yderligere 12 dage i perioden fra den 1. maj 2020 til den 30. juni 2020 for arbejdstagere, der har et alvorligt handicap, eller som har pårørende med et alvorligt handicap. Dette er en udvidelse af en eksisterende ordning, som giver medarbejdere med handicap ret til tre dages orlov pr. måned</w:t>
      </w:r>
    </w:p>
    <w:p>
      <w:pPr>
        <w:pStyle w:val="Point0"/>
        <w:rPr>
          <w:noProof/>
        </w:rPr>
      </w:pPr>
      <w:r>
        <w:t>(6)</w:t>
      </w:r>
      <w:r>
        <w:tab/>
      </w:r>
      <w:r>
        <w:rPr>
          <w:noProof/>
        </w:rPr>
        <w:t>tilskud, der ikke skal tilbagebetales, for selvstændige og enkeltmandsvirksomheder. Tilskudsbeløbet beregnes ud fra faldet i omsætningen i april 2020 i forhold til april 2019 (fra et mindstebeløb på 1 000 EUR til højst 20 % af faldet i omsætningen)</w:t>
      </w:r>
    </w:p>
    <w:p>
      <w:pPr>
        <w:pStyle w:val="Point0"/>
        <w:rPr>
          <w:noProof/>
        </w:rPr>
      </w:pPr>
      <w:r>
        <w:t>(7)</w:t>
      </w:r>
      <w:r>
        <w:tab/>
      </w:r>
      <w:r>
        <w:rPr>
          <w:noProof/>
        </w:rPr>
        <w:t xml:space="preserve">to sundhedsrelaterede foranstaltninger, et nyt midlertidigt skattefradrag på 60 % af omkostningerne til forbedring af sikkerheden på arbejdspladsen (op til højst 80 000 EUR) og et nyt midlertidigt skattefradrag på 60 % af omkostningerne til desinficering af små virksomheder, forretningslokaler og nonprofitinstitutioner samt indkøb af sikkerhedsudstyr (op til højst 60 000 EUR). </w:t>
      </w:r>
    </w:p>
    <w:p>
      <w:pPr>
        <w:rPr>
          <w:noProof/>
        </w:rPr>
      </w:pPr>
      <w:r>
        <w:rPr>
          <w:noProof/>
        </w:rPr>
        <w:t xml:space="preserve">Italien har fremsendt de nødvendige oplysninger til Kommissionen. </w:t>
      </w:r>
    </w:p>
    <w:p>
      <w:pPr>
        <w:rPr>
          <w:noProof/>
        </w:rPr>
      </w:pPr>
      <w:r>
        <w:rPr>
          <w:noProof/>
        </w:rPr>
        <w:t xml:space="preserve">Under hensyntagen til den foreliggende dokumentation foreslår Kommissionen, at Rådet vedtager en gennemførelsesafgørelse om at yde finansiel støtte til Italien i henhold til SURE-forordningen til støtte for ovennævnte foranstaltninger.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Sammenhæng med de gældende regler på samme område</w:t>
      </w:r>
    </w:p>
    <w:p>
      <w:pPr>
        <w:spacing w:before="0" w:after="240"/>
        <w:rPr>
          <w:noProof/>
          <w:color w:val="000000" w:themeColor="text1"/>
        </w:rPr>
      </w:pPr>
      <w:r>
        <w:rPr>
          <w:noProof/>
        </w:rPr>
        <w:t>Dette forslag er i fuld overensstemmelse med Rådets forordning (EU) 2020/672, i henhold til hvilken forslaget fremsættes.</w:t>
      </w:r>
    </w:p>
    <w:p>
      <w:pPr>
        <w:spacing w:before="0" w:after="240"/>
        <w:rPr>
          <w:noProof/>
          <w:color w:val="000000" w:themeColor="text1"/>
        </w:rPr>
      </w:pPr>
      <w:r>
        <w:rPr>
          <w:noProof/>
          <w:color w:val="000000" w:themeColor="text1"/>
        </w:rPr>
        <w:t xml:space="preserve">Forslaget er et supplement til et andet EU-retsinstrument, der har til formål at yde støtte til medlemsstaterne i nødsituationer, nemlig Rådets forordning (EF) nr. 2012/2002 af 11. november 2002 om oprettelse af Den Europæiske Unions Solidaritetsfond ("forordning (EF) nr. 2012/2002"). Europa-Parlamentets og Rådets forordning (EU) 2020/461 blev vedtaget den 30. marts og indeholder ændringer til førnævnte instrument, som udvider dets anvendelsesområde til at omfatte større folkesundhedskriser og fastlægger, hvilke specifikke tiltag der er berettigede til finansiering. </w:t>
      </w:r>
    </w:p>
    <w:p>
      <w:pPr>
        <w:pStyle w:val="ManualHeading2"/>
        <w:rPr>
          <w:rFonts w:eastAsia="Arial Unicode MS"/>
          <w:noProof/>
          <w:color w:val="000000" w:themeColor="text1"/>
        </w:rPr>
      </w:pPr>
      <w:r>
        <w:rPr>
          <w:noProof/>
          <w:color w:val="000000" w:themeColor="text1"/>
          <w:bdr w:val="none" w:sz="0" w:space="0" w:color="auto" w:frame="1"/>
        </w:rPr>
        <w:t>•</w:t>
      </w:r>
      <w:r>
        <w:rPr>
          <w:noProof/>
        </w:rPr>
        <w:tab/>
      </w:r>
      <w:r>
        <w:rPr>
          <w:noProof/>
          <w:color w:val="000000" w:themeColor="text1"/>
        </w:rPr>
        <w:t>Sammenhæng med Unionens politik på andre områder</w:t>
      </w:r>
    </w:p>
    <w:p>
      <w:pPr>
        <w:spacing w:before="0" w:after="240"/>
        <w:rPr>
          <w:rFonts w:eastAsia="Arial Unicode MS"/>
          <w:noProof/>
          <w:color w:val="000000" w:themeColor="text1"/>
        </w:rPr>
      </w:pPr>
      <w:r>
        <w:rPr>
          <w:noProof/>
        </w:rPr>
        <w:t xml:space="preserve">Forslaget indgår i en række foranstaltninger, der er udarbejdet som reaktion på den aktuelle covid-19-pandemi, blandt andet investeringsinitiativet som reaktion på coronavirusset, og det supplerer andre instrumenter til støtte for beskæftigelsen såsom Den Europæiske Socialfond og Den Europæiske Fond for Strategiske Investeringer (EFSI)/InvestEU. Ved i dette særlige tilfælde med covid-19-udbruddet at gøre brug af lånoptagelse og långivning til støtte for medlemsstaterne fungerer dette forslag som en ekstra sikkerhedsforanstaltning til at finansiere arbejdsfordelingsordninger og lignende foranstaltninger, der bidrager til at beskytte arbejdspladser og dermed arbejdstagere og selvstændige mod risikoen for arbejdsløshed. </w:t>
      </w:r>
    </w:p>
    <w:p>
      <w:pPr>
        <w:pStyle w:val="ManualHeading1"/>
        <w:rPr>
          <w:noProof/>
          <w:color w:val="000000" w:themeColor="text1"/>
        </w:rPr>
      </w:pPr>
      <w:r>
        <w:rPr>
          <w:noProof/>
          <w:color w:val="000000" w:themeColor="text1"/>
        </w:rPr>
        <w:t>2.</w:t>
      </w:r>
      <w:r>
        <w:rPr>
          <w:noProof/>
        </w:rPr>
        <w:tab/>
      </w:r>
      <w:r>
        <w:rPr>
          <w:noProof/>
          <w:color w:val="000000" w:themeColor="text1"/>
        </w:rPr>
        <w:t>RETSGRUNDLAG, NÆRHEDSPRINCIPPET OG PROPORTIONALITETSPRINCIPPET</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Retsgrundlag</w:t>
      </w:r>
    </w:p>
    <w:p>
      <w:pPr>
        <w:spacing w:before="0" w:after="240"/>
        <w:rPr>
          <w:rFonts w:eastAsia="Arial Unicode MS"/>
          <w:noProof/>
          <w:color w:val="000000" w:themeColor="text1"/>
        </w:rPr>
      </w:pPr>
      <w:r>
        <w:rPr>
          <w:noProof/>
        </w:rPr>
        <w:t xml:space="preserve">Retsgrundlaget for dette instrument er Rådets forordning (EU) 2020/672.  </w:t>
      </w:r>
    </w:p>
    <w:p>
      <w:pPr>
        <w:pStyle w:val="ManualHeading2"/>
        <w:rPr>
          <w:noProof/>
          <w:color w:val="000000" w:themeColor="text1"/>
          <w:bdr w:val="none" w:sz="0" w:space="0" w:color="auto" w:frame="1"/>
        </w:rPr>
      </w:pPr>
      <w:r>
        <w:rPr>
          <w:noProof/>
          <w:color w:val="000000" w:themeColor="text1"/>
          <w:bdr w:val="none" w:sz="0" w:space="0" w:color="auto" w:frame="1"/>
        </w:rPr>
        <w:lastRenderedPageBreak/>
        <w:t>•</w:t>
      </w:r>
      <w:r>
        <w:rPr>
          <w:noProof/>
        </w:rPr>
        <w:tab/>
      </w:r>
      <w:r>
        <w:rPr>
          <w:noProof/>
          <w:color w:val="000000" w:themeColor="text1"/>
          <w:bdr w:val="none" w:sz="0" w:space="0" w:color="auto" w:frame="1"/>
        </w:rPr>
        <w:t xml:space="preserve">Nærhedsprincippet (for områder, der ikke er omfattet af enekompetence) </w:t>
      </w:r>
    </w:p>
    <w:p>
      <w:pPr>
        <w:spacing w:before="0" w:after="240"/>
        <w:rPr>
          <w:noProof/>
        </w:rPr>
      </w:pPr>
      <w:r>
        <w:rPr>
          <w:noProof/>
        </w:rPr>
        <w:t>Forslaget fremsættes i forlængelse af en anmodning fra en medlemsstat og er et udtryk for europæisk solidaritet, idet der ydes finansiel støtte fra Unionen i form af midlertidige lån til en medlemsstat, der er berørt af covid-19-udbruddet. Som en ekstra sikkerhedsforanstaltning vil denne finansielle støtte midlertidigt understøtte regeringens øgede offentlige udgifter til arbejdsfordelingsordninger og lignende foranstaltninger for at hjælpe dem med at beskytte arbejdspladser og dermed arbejdstagere og selvstændige mod risikoen for arbejdsløshed og tab af indkomst.</w:t>
      </w:r>
    </w:p>
    <w:p>
      <w:pPr>
        <w:spacing w:before="0" w:after="240"/>
        <w:rPr>
          <w:rFonts w:eastAsia="Arial Unicode MS"/>
          <w:noProof/>
        </w:rPr>
      </w:pPr>
      <w:r>
        <w:rPr>
          <w:noProof/>
        </w:rPr>
        <w:t xml:space="preserve">Denne støtte vil hjælpe den berørte befolkning og bidrage til at mindske de direkte samfundsmæssige og økonomiske virkninger af den aktuelle covid-19-krise.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Proportionalitetsprincippet</w:t>
      </w:r>
    </w:p>
    <w:p>
      <w:pPr>
        <w:spacing w:before="0" w:after="240"/>
        <w:rPr>
          <w:rFonts w:eastAsia="Arial Unicode MS"/>
          <w:noProof/>
          <w:color w:val="000000" w:themeColor="text1"/>
        </w:rPr>
      </w:pPr>
      <w:r>
        <w:rPr>
          <w:noProof/>
        </w:rPr>
        <w:t xml:space="preserve">Forslaget overholder proportionalitetsprincippet. Det går ikke videre, end hvad der er nødvendigt for at nå instrumentets mål. </w:t>
      </w:r>
    </w:p>
    <w:p>
      <w:pPr>
        <w:pStyle w:val="ManualHeading1"/>
        <w:rPr>
          <w:noProof/>
          <w:color w:val="000000" w:themeColor="text1"/>
        </w:rPr>
      </w:pPr>
      <w:r>
        <w:rPr>
          <w:noProof/>
          <w:color w:val="000000" w:themeColor="text1"/>
        </w:rPr>
        <w:t>3.</w:t>
      </w:r>
      <w:r>
        <w:rPr>
          <w:noProof/>
        </w:rPr>
        <w:tab/>
      </w:r>
      <w:r>
        <w:rPr>
          <w:noProof/>
          <w:color w:val="000000" w:themeColor="text1"/>
        </w:rPr>
        <w:t>RESULTATER AF EFTERFØLGENDE EVALUERINGER, HØRINGER AF INTERESSEREDE PARTER OG KONSEKVENSANALYSER</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Høringer af interesserede parter</w:t>
      </w:r>
    </w:p>
    <w:p>
      <w:pPr>
        <w:spacing w:before="0" w:after="240"/>
        <w:rPr>
          <w:rFonts w:eastAsia="Arial Unicode MS"/>
          <w:noProof/>
          <w:color w:val="000000" w:themeColor="text1"/>
        </w:rPr>
      </w:pPr>
      <w:r>
        <w:rPr>
          <w:noProof/>
          <w:color w:val="000000" w:themeColor="text1"/>
        </w:rPr>
        <w:t>På grund af det presserende behov for at udarbejde forslaget, således at Rådet kan vedtage det i tide, kunne der ikke gennemføres en høring af de berørte parter.</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Konsekvensanalyse</w:t>
      </w:r>
    </w:p>
    <w:p>
      <w:pPr>
        <w:spacing w:before="0" w:after="240"/>
        <w:rPr>
          <w:rFonts w:eastAsia="Arial Unicode MS"/>
          <w:noProof/>
          <w:color w:val="000000" w:themeColor="text1"/>
        </w:rPr>
      </w:pPr>
      <w:r>
        <w:rPr>
          <w:noProof/>
          <w:color w:val="000000" w:themeColor="text1"/>
        </w:rPr>
        <w:t>På grund af forslagets hastende karakter er der ikke foretaget nogen konsekvensanalyse.</w:t>
      </w:r>
    </w:p>
    <w:p>
      <w:pPr>
        <w:pStyle w:val="ManualHeading1"/>
        <w:rPr>
          <w:noProof/>
          <w:color w:val="000000" w:themeColor="text1"/>
        </w:rPr>
      </w:pPr>
      <w:r>
        <w:rPr>
          <w:noProof/>
          <w:color w:val="000000" w:themeColor="text1"/>
        </w:rPr>
        <w:t>4.</w:t>
      </w:r>
      <w:r>
        <w:rPr>
          <w:noProof/>
        </w:rPr>
        <w:tab/>
      </w:r>
      <w:r>
        <w:rPr>
          <w:noProof/>
          <w:color w:val="000000" w:themeColor="text1"/>
        </w:rPr>
        <w:t>VIRKNINGER FOR BUDGETTET</w:t>
      </w:r>
    </w:p>
    <w:p>
      <w:pPr>
        <w:spacing w:before="0" w:after="240"/>
        <w:rPr>
          <w:rFonts w:eastAsia="Arial Unicode MS"/>
          <w:noProof/>
          <w:color w:val="000000" w:themeColor="text1"/>
        </w:rPr>
      </w:pPr>
      <w:r>
        <w:rPr>
          <w:noProof/>
          <w:color w:val="000000" w:themeColor="text1"/>
        </w:rPr>
        <w:t xml:space="preserve">Kommissionen bør kunne optage lån på de finansielle markeder med henblik på videreudlån til medlemsstater, der anmoder om finansiel støtte inden for rammerne af SURE-instrumentet. </w:t>
      </w:r>
    </w:p>
    <w:p>
      <w:pPr>
        <w:rPr>
          <w:noProof/>
          <w:color w:val="000000" w:themeColor="text1"/>
        </w:rPr>
      </w:pPr>
      <w:r>
        <w:rPr>
          <w:noProof/>
          <w:color w:val="000000" w:themeColor="text1"/>
        </w:rPr>
        <w:t>Ud over garantierne fra medlemsstaterne indeholder ordningen andre sikkerhedsforanstaltninger for at sikre dens finansielle soliditet:</w:t>
      </w:r>
    </w:p>
    <w:p>
      <w:pPr>
        <w:pStyle w:val="Bullet1"/>
        <w:numPr>
          <w:ilvl w:val="0"/>
          <w:numId w:val="5"/>
        </w:numPr>
        <w:rPr>
          <w:noProof/>
          <w:color w:val="000000" w:themeColor="text1"/>
        </w:rPr>
      </w:pPr>
      <w:r>
        <w:rPr>
          <w:noProof/>
          <w:color w:val="000000" w:themeColor="text1"/>
        </w:rPr>
        <w:t>en stringent og konservativ tilgang til økonomisk forvaltning</w:t>
      </w:r>
    </w:p>
    <w:p>
      <w:pPr>
        <w:pStyle w:val="Bullet1"/>
        <w:numPr>
          <w:ilvl w:val="0"/>
          <w:numId w:val="5"/>
        </w:numPr>
        <w:rPr>
          <w:noProof/>
          <w:color w:val="000000" w:themeColor="text1"/>
        </w:rPr>
      </w:pPr>
      <w:r>
        <w:rPr>
          <w:noProof/>
          <w:color w:val="000000" w:themeColor="text1"/>
        </w:rPr>
        <w:t>en sammensætning af låneporteføljen, der begrænser koncentrationsrisikoen, den årlige eksponering og en overdreven eksponering for de enkelte medlemsstater, samtidig med at der sikres tilstrækkelige ressourcer til de medlemsstater, hvor behovet er størst, samt</w:t>
      </w:r>
    </w:p>
    <w:p>
      <w:pPr>
        <w:pStyle w:val="Bullet1"/>
        <w:numPr>
          <w:ilvl w:val="0"/>
          <w:numId w:val="5"/>
        </w:numPr>
        <w:rPr>
          <w:noProof/>
          <w:color w:val="000000" w:themeColor="text1"/>
        </w:rPr>
      </w:pPr>
      <w:r>
        <w:rPr>
          <w:noProof/>
          <w:color w:val="000000" w:themeColor="text1"/>
        </w:rPr>
        <w:t>muligheder for refinansiering af gæld.</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2020/0219 (NLE)</w:t>
      </w:r>
    </w:p>
    <w:p>
      <w:pPr>
        <w:pStyle w:val="Statut"/>
        <w:rPr>
          <w:noProof/>
        </w:rPr>
      </w:pPr>
      <w:r>
        <w:rPr>
          <w:noProof/>
        </w:rPr>
        <w:t>Forslag til</w:t>
      </w:r>
    </w:p>
    <w:p>
      <w:pPr>
        <w:pStyle w:val="Typedudocument"/>
        <w:rPr>
          <w:noProof/>
        </w:rPr>
      </w:pPr>
      <w:r>
        <w:rPr>
          <w:noProof/>
        </w:rPr>
        <w:t>RÅDETS GENNEMFØRELSESAFGØRELSE</w:t>
      </w:r>
    </w:p>
    <w:p>
      <w:pPr>
        <w:pStyle w:val="Titreobjet"/>
        <w:rPr>
          <w:noProof/>
        </w:rPr>
      </w:pPr>
      <w:r>
        <w:rPr>
          <w:noProof/>
        </w:rPr>
        <w:t>om midlertidig støtte til Italien i henhold til Rådets forordning (EU) 2020/672 til mindskelse af risiciene for arbejdsløshed i en nødsituation som følge af covid-19-udbruddet</w:t>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w:t>
      </w:r>
    </w:p>
    <w:p>
      <w:pPr>
        <w:rPr>
          <w:noProof/>
        </w:rPr>
      </w:pPr>
      <w:r>
        <w:rPr>
          <w:noProof/>
        </w:rPr>
        <w:t>under henvisning til Rådets forordning (EU) 2020/672 af 19. maj 2020 om oprettelse af et europæisk instrument for midlertidig støtte til mindskelse af risiciene for arbejdsløshed i en nødsituation (SURE) som følge af covid-19-udbruddet</w:t>
      </w:r>
      <w:r>
        <w:rPr>
          <w:rStyle w:val="FootnoteReference"/>
          <w:noProof/>
        </w:rPr>
        <w:footnoteReference w:id="2"/>
      </w:r>
      <w:r>
        <w:rPr>
          <w:noProof/>
        </w:rPr>
        <w:t>, særlig artikel 6, stk. 1,</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 xml:space="preserve">Den 7. august 2020 anmodede Italien om finansiel støtte fra Unionen med henblik på at supplere landets nationale indsats for at imødegå virkningerne af covid-19-udbruddet og dets socioøkonomiske konsekvenser for arbejdstagerne. </w:t>
      </w:r>
    </w:p>
    <w:p>
      <w:pPr>
        <w:pStyle w:val="ManualConsidrant"/>
        <w:rPr>
          <w:noProof/>
        </w:rPr>
      </w:pPr>
      <w:r>
        <w:t>(2)</w:t>
      </w:r>
      <w:r>
        <w:tab/>
      </w:r>
      <w:r>
        <w:rPr>
          <w:noProof/>
        </w:rPr>
        <w:t xml:space="preserve">Covid-19-udbruddet og de ekstraordinære foranstaltninger, som Italien har gennemført for at dæmme op for udbruddet og de socioøkonomiske og sundhedsrelaterede konsekvenser heraf, forventes at få dramatiske følger for de offentlige finanser. Ifølge Kommissionens forårsprognose 2020 forventedes Italien at have et offentligt underskud og en offentlig gæld på henholdsvis 11,1 % og 158,9 % af bruttonationalproduktet (BNP) ved udgangen af 2020. Ifølge Kommissionens mellemliggende sommerprognose 2020 forventes Italiens BNP at falde med 11,2 % i 2020. </w:t>
      </w:r>
    </w:p>
    <w:p>
      <w:pPr>
        <w:pStyle w:val="ManualConsidrant"/>
        <w:rPr>
          <w:noProof/>
        </w:rPr>
      </w:pPr>
      <w:r>
        <w:t>(3)</w:t>
      </w:r>
      <w:r>
        <w:tab/>
      </w:r>
      <w:r>
        <w:rPr>
          <w:noProof/>
        </w:rPr>
        <w:t>Covid-19-udbruddet har fastlåst en væsentlig del af arbejdsstyrken i Italien. Dette har ført til en pludselig og kraftig stigning i de offentlige udgifter i Italien som følge af arbejdsfordelingsordninger, godtgørelser til selvstændige, medarbejdere med tidsbegrænset ansættelse i landbruget, arbejdstagere i underholdningsbranchen, medarbejdere i idrætsforeninger, arbejdstagere inden for hushjælp og arbejdstagere på tilkaldebasis, børnepasningsvouchers, supplerende ydelser ved forældreorlov og supplerende invaliditetsydelser, tilskud, der ikke skal tilbagebetales, for selvstændige og enkeltmandsvirksomheder samt skattefradrag til støtte for folkesundhedsmæssige foranstaltninger, jf. betragtning 4-10.</w:t>
      </w:r>
    </w:p>
    <w:p>
      <w:pPr>
        <w:pStyle w:val="ManualConsidrant"/>
        <w:rPr>
          <w:noProof/>
        </w:rPr>
      </w:pPr>
      <w:r>
        <w:t>(4)</w:t>
      </w:r>
      <w:r>
        <w:tab/>
      </w:r>
      <w:r>
        <w:rPr>
          <w:noProof/>
        </w:rPr>
        <w:t>"Lovdekret nr. 18/2020"</w:t>
      </w:r>
      <w:r>
        <w:rPr>
          <w:rStyle w:val="FootnoteReference"/>
          <w:noProof/>
        </w:rPr>
        <w:footnoteReference w:id="3"/>
      </w:r>
      <w:r>
        <w:rPr>
          <w:noProof/>
        </w:rPr>
        <w:t xml:space="preserve"> og "lovdekret nr. 34/2020"</w:t>
      </w:r>
      <w:r>
        <w:rPr>
          <w:rStyle w:val="FootnoteReference"/>
          <w:noProof/>
        </w:rPr>
        <w:footnoteReference w:id="4"/>
      </w:r>
      <w:r>
        <w:rPr>
          <w:noProof/>
        </w:rPr>
        <w:t xml:space="preserve">, som der henvises til i Italiens anmodning af 7. august 2020, har dannet grundlag for indførelsen af en række foranstaltninger til imødegåelse af virkningerne af covid-19-udbruddet, herunder en </w:t>
      </w:r>
      <w:r>
        <w:rPr>
          <w:noProof/>
        </w:rPr>
        <w:lastRenderedPageBreak/>
        <w:t>udvidelse af de eksisterende arbejdsfordelingsordninger ("</w:t>
      </w:r>
      <w:r>
        <w:rPr>
          <w:i/>
          <w:noProof/>
        </w:rPr>
        <w:t>Cassa integrazione guadagni</w:t>
      </w:r>
      <w:r>
        <w:rPr>
          <w:noProof/>
        </w:rPr>
        <w:t>"). Foranstaltningen dækker 80 % af den normale løn for medarbejdere, hvis ansættelseskontrakt opretholdes, i virksomheder, der er helt eller delvis lukket på grund af covid-19, i højst 18 uger i perioden fra den 23. februar 2020 til den 31. oktober 2020.</w:t>
      </w:r>
    </w:p>
    <w:p>
      <w:pPr>
        <w:pStyle w:val="ManualConsidrant"/>
        <w:rPr>
          <w:noProof/>
        </w:rPr>
      </w:pPr>
      <w:r>
        <w:t>(5)</w:t>
      </w:r>
      <w:r>
        <w:tab/>
      </w:r>
      <w:r>
        <w:rPr>
          <w:noProof/>
        </w:rPr>
        <w:t xml:space="preserve">For selvstændige og freelancere har myndighederne indført en godtgørelse på 600 EUR for marts og april 2020. Freelancere, som har haft en nedgang på mindst 33 % i indtjeningen i marts og april 2020 i forhold til samme periode sidste år, er også berettiget til en godtgørelse på 1 000 EUR for maj 2020. Der ydes en yderligere godtgørelse på 600 EUR for marts 2020 til selvstændige og freelancere, der er registreret hos private institutioner for obligatorisk social sikring.  </w:t>
      </w:r>
    </w:p>
    <w:p>
      <w:pPr>
        <w:pStyle w:val="ManualConsidrant"/>
        <w:rPr>
          <w:noProof/>
        </w:rPr>
      </w:pPr>
      <w:r>
        <w:t>(6)</w:t>
      </w:r>
      <w:r>
        <w:tab/>
      </w:r>
      <w:r>
        <w:rPr>
          <w:noProof/>
        </w:rPr>
        <w:t>Myndighederne har indført en række foranstaltninger rettet mod specifikke erhverv, som covid-19-udbruddet har haft en negativ indvirkning på. Disse omfatter en godtgørelse på 600 EUR for marts 2020 og 500 EUR for april 2020 for medarbejdere med tidsbegrænset ansættelse i landbruget, en godtgørelse på 600 EUR for marts, april og maj 2020 for arbejdstagere i underholdningsbranchen (med en årlig indkomst på op til 50 000 EUR), en godtgørelse på 600 EUR for marts, april og maj 2020 for medarbejdere i idrætsforeninger, en godtgørelse på 600 EUR for marts, april og maj 2020 for arbejdstagere på tilkaldebasis og en godtgørelse på 500 EUR for april og maj 2020 for arbejdstagere inden for hushjælp.</w:t>
      </w:r>
    </w:p>
    <w:p>
      <w:pPr>
        <w:pStyle w:val="ManualConsidrant"/>
        <w:rPr>
          <w:noProof/>
        </w:rPr>
      </w:pPr>
      <w:r>
        <w:t>(7)</w:t>
      </w:r>
      <w:r>
        <w:tab/>
      </w:r>
      <w:r>
        <w:rPr>
          <w:noProof/>
        </w:rPr>
        <w:t xml:space="preserve">Myndighederne har også indført to foranstaltninger til at imødegå virkningen af afbrydelsen af førskoleundervisningen og lukningen af skoler i form af ydelser ved forældreorlov i op til 30 dage i perioden fra den 5. marts 2020 til den 31. august 2020 for medarbejdere eller selvstændige med børn på op til 12 år (eller over 12 år, hvis barnet er en person med handicap og stadig går i skole), der dækker 50 % af deres indkomst, samt børnepasningsvouchers til et beløb på maksimalt 2 000 EUR som alternativ til ydelser ved forældreorlov og gældende i den samme periode. Disse foranstaltninger kan betragtes som svarende til arbejdsfordelingsordninger som omhandlet i forordning (EU) 2020/672, idet der ydes indkomststøtte til arbejdstagere og selvstændige til dækning af omkostningerne ved børnepasning, mens skolerne er lukket, og de giver derfor forældrene mulighed for at forblive i arbejde og forhindrer usikkerhed i forbindelse med deres ansættelsesforhold. </w:t>
      </w:r>
    </w:p>
    <w:p>
      <w:pPr>
        <w:pStyle w:val="ManualConsidrant"/>
        <w:rPr>
          <w:noProof/>
        </w:rPr>
      </w:pPr>
      <w:r>
        <w:t>(8)</w:t>
      </w:r>
      <w:r>
        <w:tab/>
      </w:r>
      <w:r>
        <w:rPr>
          <w:noProof/>
        </w:rPr>
        <w:t>Myndighederne har endvidere indført supplerende invaliditetsydelser i op til 12 dage i perioden fra den 1. marts 2020 til den 30. april 2020 og yderligere 12 dage i perioden fra den 1. maj 2020 til den 30. juni 2020 for arbejdstagere, der har et alvorligt handicap, eller som har pårørende med et alvorligt handicap. Dette er en udvidelse af en eksisterende ordning, som giver medarbejdere med handicap ret til tre dages orlov pr. måned.</w:t>
      </w:r>
    </w:p>
    <w:p>
      <w:pPr>
        <w:pStyle w:val="ManualConsidrant"/>
        <w:rPr>
          <w:noProof/>
        </w:rPr>
      </w:pPr>
      <w:r>
        <w:t>(9)</w:t>
      </w:r>
      <w:r>
        <w:tab/>
      </w:r>
      <w:r>
        <w:rPr>
          <w:noProof/>
        </w:rPr>
        <w:t xml:space="preserve">Der er indført tilskud, der ikke skal tilbagebetales, for selvstændige og enkeltmandsvirksomheder. Tilskudsbeløbet beregnes ud fra faldet i omsætningen i april 2020 i forhold til april 2019 (fra et mindstebeløb på 1 000 EUR til højst 20 % af faldet i omsætningen). </w:t>
      </w:r>
    </w:p>
    <w:p>
      <w:pPr>
        <w:pStyle w:val="ManualConsidrant"/>
        <w:rPr>
          <w:noProof/>
        </w:rPr>
      </w:pPr>
      <w:r>
        <w:t>(10)</w:t>
      </w:r>
      <w:r>
        <w:tab/>
      </w:r>
      <w:r>
        <w:rPr>
          <w:noProof/>
        </w:rPr>
        <w:t xml:space="preserve">Endelig har myndighederne indført to sundhedsrelaterede foranstaltninger, et nyt midlertidigt skattefradrag på 60 % af omkostningerne til forbedring af sikkerheden på arbejdspladsen (op til højst 80 000 EUR) og et nyt midlertidigt skattefradrag på 60 % af omkostningerne til desinficering af små virksomheder, forretningslokaler og nonprofitinstitutioner samt indkøb af sikkerhedsudstyr (op til højst 60 000 EUR). </w:t>
      </w:r>
      <w:r>
        <w:rPr>
          <w:noProof/>
        </w:rPr>
        <w:lastRenderedPageBreak/>
        <w:t>Eftersom skattefradragene udgør mistede indtægter for staten, kan de anses for at udgøre offentlige udgifter.</w:t>
      </w:r>
    </w:p>
    <w:p>
      <w:pPr>
        <w:pStyle w:val="ManualConsidrant"/>
        <w:rPr>
          <w:noProof/>
        </w:rPr>
      </w:pPr>
      <w:r>
        <w:t>(11)</w:t>
      </w:r>
      <w:r>
        <w:tab/>
      </w:r>
      <w:r>
        <w:rPr>
          <w:noProof/>
        </w:rPr>
        <w:t>Italien opfylder de i artikel 3 i forordning (EU) 2020/672 nævnte betingelser for at anmode om finansiel støtte. Italien har forelagt Kommissionen passende dokumentation for, at de faktiske og planlagte offentlige udgifter efter den 1. februar 2020 er steget med 28 811 965 628 EUR som følge af de øgede beløb, der er direkte knyttet til arbejdsfordelingsordninger, godtgørelser til selvstændige, medarbejdere med tidsbegrænset ansættelse i landbruget, arbejdstagere i underholdningsbranchen, medarbejdere i idrætsforeninger, arbejdstagere inden for hushjælp og arbejdstagere på tilkaldebasis, børnepasningsvouchers, supplerende ydelser ved forældreorlov og supplerende invaliditetsydelser samt tilskud, der ikke skal tilbagebetales, for selvstændige og enkeltmandsvirksomheder. Der er tale om en pludselig og kraftig stigning, som er forbundet med både nye foranstaltninger og en udvidelse af eksisterende foranstaltninger, der omfatter en betydelig del af virksomhederne og arbejdsstyrken i Italien. Italien har til hensigt at finansiere 320 000 000 EUR af det øgede udgiftsbeløb med midler fra Unionen.</w:t>
      </w:r>
    </w:p>
    <w:p>
      <w:pPr>
        <w:pStyle w:val="ManualConsidrant"/>
        <w:rPr>
          <w:noProof/>
        </w:rPr>
      </w:pPr>
      <w:r>
        <w:t>(12)</w:t>
      </w:r>
      <w:r>
        <w:tab/>
      </w:r>
      <w:r>
        <w:rPr>
          <w:noProof/>
        </w:rPr>
        <w:t xml:space="preserve">Kommissionen har hørt Italien og konstateret, at der er sket en pludselig og kraftig stigning i de faktiske og planlagte offentlige udgifter, der er direkte forbundet med arbejdsfordelingsordninger og lignende foranstaltninger samt indførelsen af relevante sundhedsrelaterede foranstaltninger i forbindelse med covid-19-udbruddet som omhandlet i anmodningen af 7. august 2020, jf. artikel 6 i forordning (EU) 2020/672. </w:t>
      </w:r>
    </w:p>
    <w:p>
      <w:pPr>
        <w:pStyle w:val="ManualConsidrant"/>
        <w:rPr>
          <w:noProof/>
        </w:rPr>
      </w:pPr>
      <w:r>
        <w:t>(13)</w:t>
      </w:r>
      <w:r>
        <w:tab/>
      </w:r>
      <w:r>
        <w:rPr>
          <w:noProof/>
        </w:rPr>
        <w:t>Der bør derfor ydes finansiel støtte med henblik på at hjælpe Italien med at imødegå de socioøkonomiske virkninger af den alvorlige økonomiske forstyrrelse som følge af covid-19-udbruddet.</w:t>
      </w:r>
    </w:p>
    <w:p>
      <w:pPr>
        <w:pStyle w:val="ManualConsidrant"/>
        <w:rPr>
          <w:noProof/>
        </w:rPr>
      </w:pPr>
      <w:r>
        <w:t>(14)</w:t>
      </w:r>
      <w:r>
        <w:tab/>
      </w:r>
      <w:r>
        <w:rPr>
          <w:noProof/>
        </w:rPr>
        <w:t>Denne afgørelse bør ikke berøre udfaldet af eventuelle sager om forvridning af det indre marked, som anlægges, navnlig i henhold til artikel 107 og 108 i TEUF. Den fritager heller ikke medlemsstaterne for i henhold til artikel 108 i TEUF at underrette Kommissionen om eventuelle statsstøtteprojekter.</w:t>
      </w:r>
    </w:p>
    <w:p>
      <w:pPr>
        <w:pStyle w:val="ManualConsidrant"/>
        <w:rPr>
          <w:noProof/>
        </w:rPr>
      </w:pPr>
      <w:r>
        <w:t>(15)</w:t>
      </w:r>
      <w:r>
        <w:tab/>
      </w:r>
      <w:r>
        <w:rPr>
          <w:noProof/>
        </w:rPr>
        <w:t>Italien bør regelmæssigt underrette Kommissionen om gennemførelsen af de planlagte offentlige udgifter, således at Kommissionen kan vurdere, i hvilket omfang landet har afholdt disse udgifter.</w:t>
      </w:r>
    </w:p>
    <w:p>
      <w:pPr>
        <w:pStyle w:val="ManualConsidrant"/>
        <w:rPr>
          <w:noProof/>
        </w:rPr>
      </w:pPr>
      <w:r>
        <w:t>(16)</w:t>
      </w:r>
      <w:r>
        <w:tab/>
      </w:r>
      <w:r>
        <w:rPr>
          <w:noProof/>
        </w:rPr>
        <w:t>Afgørelsen om at yde finansiel støtte er blevet truffet under hensyntagen til de eksisterende og forventede behov i Italien samt anmodninger om finansiel støtte i henhold til forordning (EU) 2020/672, som andre medlemsstater allerede har indgivet eller har planlagt at indgive, samtidig med at principperne om ligebehandling, solidaritet, proportionalitet og gennemsigtighed anvendes. Navnlig er lånebeløbet fastsat således, at det sikrer overensstemmelse med de forsigtighedsregler, der gælder for låneporteføljen som fastsat i Rådets forordning (EU) 2020/672 —</w:t>
      </w:r>
    </w:p>
    <w:p>
      <w:pPr>
        <w:pStyle w:val="Formuledadoption"/>
        <w:rPr>
          <w:noProof/>
        </w:rPr>
      </w:pPr>
      <w:r>
        <w:rPr>
          <w:noProof/>
        </w:rPr>
        <w:t xml:space="preserve">VEDTAGET DENNE AFGØRELSE: </w:t>
      </w:r>
    </w:p>
    <w:p>
      <w:pPr>
        <w:pStyle w:val="Titrearticle"/>
        <w:rPr>
          <w:noProof/>
        </w:rPr>
      </w:pPr>
      <w:r>
        <w:rPr>
          <w:noProof/>
        </w:rPr>
        <w:t>Artikel 1</w:t>
      </w:r>
    </w:p>
    <w:p>
      <w:pPr>
        <w:rPr>
          <w:i/>
          <w:noProof/>
        </w:rPr>
      </w:pPr>
      <w:r>
        <w:rPr>
          <w:noProof/>
        </w:rPr>
        <w:t xml:space="preserve">Italien opfylder betingelserne i artikel 3 i forordning (EU) 2020/672.  </w:t>
      </w:r>
    </w:p>
    <w:p>
      <w:pPr>
        <w:pStyle w:val="Titrearticle"/>
        <w:rPr>
          <w:noProof/>
        </w:rPr>
      </w:pPr>
      <w:r>
        <w:rPr>
          <w:noProof/>
        </w:rPr>
        <w:t>Artikel 2</w:t>
      </w:r>
    </w:p>
    <w:p>
      <w:pPr>
        <w:pStyle w:val="ManualNumPar1"/>
        <w:rPr>
          <w:rFonts w:ascii="Calibri" w:eastAsia="Times New Roman" w:hAnsi="Calibri" w:cs="Calibri"/>
          <w:noProof/>
          <w:color w:val="000000"/>
          <w:sz w:val="22"/>
        </w:rPr>
      </w:pPr>
      <w:r>
        <w:t>1.</w:t>
      </w:r>
      <w:r>
        <w:tab/>
      </w:r>
      <w:r>
        <w:rPr>
          <w:noProof/>
        </w:rPr>
        <w:t>Unionen stiller et lån på højst 27 438 486 464 EUR til rådighed for Italien. Lånet har en maksimal gennemsnitlig løbetid på 15 år.</w:t>
      </w:r>
    </w:p>
    <w:p>
      <w:pPr>
        <w:pStyle w:val="ManualNumPar1"/>
        <w:rPr>
          <w:noProof/>
        </w:rPr>
      </w:pPr>
      <w:r>
        <w:lastRenderedPageBreak/>
        <w:t>2.</w:t>
      </w:r>
      <w:r>
        <w:tab/>
      </w:r>
      <w:r>
        <w:rPr>
          <w:noProof/>
        </w:rPr>
        <w:t xml:space="preserve">Rådighedsperioden for den finansielle støtte, der ydes ved denne afgørelse, er 18 måneder fra den første dag efter denne afgørelses ikrafttræden. </w:t>
      </w:r>
    </w:p>
    <w:p>
      <w:pPr>
        <w:pStyle w:val="ManualNumPar1"/>
        <w:rPr>
          <w:noProof/>
        </w:rPr>
      </w:pPr>
      <w:r>
        <w:t>3.</w:t>
      </w:r>
      <w:r>
        <w:tab/>
      </w:r>
      <w:r>
        <w:rPr>
          <w:noProof/>
        </w:rPr>
        <w:t xml:space="preserve">Kommissionen stiller Unionens finansielle støtte til rådighed for Italien i maksimalt 10 rater. En rate kan udbetales i en eller flere trancher. Løbetiden for trancherne under den første rate kan være længere end den maksimale gennemsnitlige løbetid, der er fastsat i stk. 1. I så fald fastsættes løbetiden for de efterfølgende trancher således, at den i stk. 1 omhandlede maksimale gennemsnitlige løbetid overholdes, når alle rater er udbetalt. </w:t>
      </w:r>
    </w:p>
    <w:p>
      <w:pPr>
        <w:pStyle w:val="ManualNumPar1"/>
        <w:rPr>
          <w:noProof/>
        </w:rPr>
      </w:pPr>
      <w:r>
        <w:t>4.</w:t>
      </w:r>
      <w:r>
        <w:tab/>
      </w:r>
      <w:r>
        <w:rPr>
          <w:noProof/>
        </w:rPr>
        <w:t xml:space="preserve">Den første rate frigives under forbehold af, at den i artikel 8, stk. 2, i forordning (EU) 2020/672 omhandlede låneaftale, træder i kraft. </w:t>
      </w:r>
    </w:p>
    <w:p>
      <w:pPr>
        <w:pStyle w:val="ManualNumPar1"/>
        <w:rPr>
          <w:noProof/>
        </w:rPr>
      </w:pPr>
      <w:r>
        <w:t>5.</w:t>
      </w:r>
      <w:r>
        <w:tab/>
      </w:r>
      <w:r>
        <w:rPr>
          <w:noProof/>
        </w:rPr>
        <w:t xml:space="preserve">Italien afholder Unionens finansieringsomkostninger, der er omhandlet i artikel 4 i forordning (EU) 2020/672, for hver rate samt Unionens eventuelle gebyrer, omkostninger og udgifter i forbindelse med finansieringen. </w:t>
      </w:r>
    </w:p>
    <w:p>
      <w:pPr>
        <w:pStyle w:val="ManualNumPar1"/>
        <w:rPr>
          <w:noProof/>
        </w:rPr>
      </w:pPr>
      <w:r>
        <w:t>6.</w:t>
      </w:r>
      <w:r>
        <w:tab/>
      </w:r>
      <w:r>
        <w:rPr>
          <w:noProof/>
        </w:rPr>
        <w:t xml:space="preserve">Kommissionen træffer afgørelse om størrelsen af raterne og frigivelsen heraf samt om tranchernes størrelse. </w:t>
      </w:r>
    </w:p>
    <w:p>
      <w:pPr>
        <w:pStyle w:val="Titrearticle"/>
        <w:rPr>
          <w:noProof/>
        </w:rPr>
      </w:pPr>
      <w:r>
        <w:rPr>
          <w:noProof/>
        </w:rPr>
        <w:t xml:space="preserve">Artikel 3 </w:t>
      </w:r>
    </w:p>
    <w:p>
      <w:pPr>
        <w:rPr>
          <w:noProof/>
        </w:rPr>
      </w:pPr>
      <w:r>
        <w:rPr>
          <w:noProof/>
        </w:rPr>
        <w:t>Italien kan finansiere følgende foranstaltninger:</w:t>
      </w:r>
    </w:p>
    <w:p>
      <w:pPr>
        <w:pStyle w:val="Point0"/>
        <w:rPr>
          <w:noProof/>
        </w:rPr>
      </w:pPr>
      <w:r>
        <w:t>(a)</w:t>
      </w:r>
      <w:r>
        <w:tab/>
      </w:r>
      <w:r>
        <w:rPr>
          <w:noProof/>
        </w:rPr>
        <w:t>udvidelsen af de eksisterende arbejdsfordelingsordninger ("</w:t>
      </w:r>
      <w:r>
        <w:rPr>
          <w:i/>
          <w:noProof/>
        </w:rPr>
        <w:t>Cassa integrazione guadagni</w:t>
      </w:r>
      <w:r>
        <w:rPr>
          <w:noProof/>
        </w:rPr>
        <w:t xml:space="preserve">") for medarbejdere, jf. artikel 19-22 i lovdekret nr. 18/2020, ophøjet til lov nr. 27/2020, og artikel 68-71 i lovdekret nr. 34/2020, ophøjet til lov nr. 77/2020 </w:t>
      </w:r>
    </w:p>
    <w:p>
      <w:pPr>
        <w:pStyle w:val="Point0"/>
        <w:rPr>
          <w:noProof/>
        </w:rPr>
      </w:pPr>
      <w:r>
        <w:t>(b)</w:t>
      </w:r>
      <w:r>
        <w:tab/>
      </w:r>
      <w:r>
        <w:rPr>
          <w:noProof/>
        </w:rPr>
        <w:t xml:space="preserve">en godtgørelse for selvstændige, jf. artikel 27, 28 og 44 i lovdekret nr. 18/2020, ophøjet til lov nr. 27/2020, og artikel 84 i lovdekret nr. 34/2020, ophøjet til lov nr. 77/2020 </w:t>
      </w:r>
    </w:p>
    <w:p>
      <w:pPr>
        <w:pStyle w:val="Point0"/>
        <w:rPr>
          <w:noProof/>
        </w:rPr>
      </w:pPr>
      <w:r>
        <w:t>(c)</w:t>
      </w:r>
      <w:r>
        <w:tab/>
      </w:r>
      <w:r>
        <w:rPr>
          <w:noProof/>
        </w:rPr>
        <w:t xml:space="preserve">godtgørelser for medarbejdere med tidsbegrænset ansættelse i landbruget, jf. artikel 30 i lovdekret nr. 18/2020 og artikel 84 i lovdekret nr. 34/2020, ophøjet til lov nr. 77/2020 </w:t>
      </w:r>
    </w:p>
    <w:p>
      <w:pPr>
        <w:pStyle w:val="Point0"/>
        <w:rPr>
          <w:noProof/>
        </w:rPr>
      </w:pPr>
      <w:r>
        <w:t>(d)</w:t>
      </w:r>
      <w:r>
        <w:tab/>
      </w:r>
      <w:r>
        <w:rPr>
          <w:noProof/>
        </w:rPr>
        <w:t xml:space="preserve">godtgørelser for arbejdstagere i underholdningsbranchen, jf. artikel 38 i lovdekret nr. 18/2020 og artikel 84 i lovdekret nr. 34/2020, ophøjet til lov nr. 77/2020 </w:t>
      </w:r>
    </w:p>
    <w:p>
      <w:pPr>
        <w:pStyle w:val="Point0"/>
        <w:rPr>
          <w:noProof/>
        </w:rPr>
      </w:pPr>
      <w:r>
        <w:t>(e)</w:t>
      </w:r>
      <w:r>
        <w:tab/>
      </w:r>
      <w:r>
        <w:rPr>
          <w:noProof/>
        </w:rPr>
        <w:t xml:space="preserve">godtgørelser for medarbejdere i idrætsforeninger, jf. artikel 96 i lovdekret nr. 18/2020 og artikel 84 i lovdekret nr. 34/2020, ophøjet til lov nr. 77/2020 </w:t>
      </w:r>
    </w:p>
    <w:p>
      <w:pPr>
        <w:pStyle w:val="Point0"/>
        <w:rPr>
          <w:noProof/>
        </w:rPr>
      </w:pPr>
      <w:r>
        <w:t>(f)</w:t>
      </w:r>
      <w:r>
        <w:tab/>
      </w:r>
      <w:r>
        <w:rPr>
          <w:noProof/>
        </w:rPr>
        <w:t xml:space="preserve">en godtgørelse for arbejdstagere inden for hushjælp, jf. artikel 85 i lovdekret nr. 34/2020, ophøjet til lov nr. 77/2020 </w:t>
      </w:r>
    </w:p>
    <w:p>
      <w:pPr>
        <w:pStyle w:val="Point0"/>
        <w:rPr>
          <w:noProof/>
        </w:rPr>
      </w:pPr>
      <w:r>
        <w:t>(g)</w:t>
      </w:r>
      <w:r>
        <w:tab/>
      </w:r>
      <w:r>
        <w:rPr>
          <w:noProof/>
        </w:rPr>
        <w:t xml:space="preserve">en godtgørelse for arbejdstagere på tilkaldebasis, jf. artikel 44 i lovdekret nr. 18/2020 og artikel 84 i lovdekret nr. 34/2020, ophøjet til lov nr. 77/2020 </w:t>
      </w:r>
    </w:p>
    <w:p>
      <w:pPr>
        <w:pStyle w:val="Point0"/>
        <w:rPr>
          <w:noProof/>
        </w:rPr>
      </w:pPr>
      <w:r>
        <w:t>(h)</w:t>
      </w:r>
      <w:r>
        <w:tab/>
      </w:r>
      <w:r>
        <w:rPr>
          <w:noProof/>
        </w:rPr>
        <w:t xml:space="preserve">tilskud, der ikke skal tilbagebetales, for selvstændige og enkeltmandsvirksomheder, jf. artikel 25 i lovdekret nr. 34/2020, ophøjet til lov nr. 77/2020, for den del af udgifterne, der vedrører støtte til selvstændige og enkeltmandsvirksomheder </w:t>
      </w:r>
    </w:p>
    <w:p>
      <w:pPr>
        <w:pStyle w:val="Point0"/>
        <w:rPr>
          <w:noProof/>
        </w:rPr>
      </w:pPr>
      <w:r>
        <w:t>(i)</w:t>
      </w:r>
      <w:r>
        <w:tab/>
      </w:r>
      <w:r>
        <w:rPr>
          <w:noProof/>
        </w:rPr>
        <w:t xml:space="preserve">ydelser ved forældreorlov, jf. artikel 23 og 25 i lovdekret nr. 18/2020, ophøjet til lov nr. 27/2020, og artikel 72 i lovdekret nr. 34/2020, ophøjet til lov nr. 77/2020 </w:t>
      </w:r>
    </w:p>
    <w:p>
      <w:pPr>
        <w:pStyle w:val="Point0"/>
        <w:rPr>
          <w:noProof/>
        </w:rPr>
      </w:pPr>
      <w:r>
        <w:t>(j)</w:t>
      </w:r>
      <w:r>
        <w:tab/>
      </w:r>
      <w:r>
        <w:rPr>
          <w:noProof/>
        </w:rPr>
        <w:t xml:space="preserve">børnepasningsvouchers, jf. artikel 23 og 25 i lovdekret nr. 18/2020, ophøjet til lov nr. 27/2020, og artikel 73 i lovdekret nr. 34/2020, ophøjet til lov nr. 77/2020 </w:t>
      </w:r>
    </w:p>
    <w:p>
      <w:pPr>
        <w:pStyle w:val="Point0"/>
        <w:rPr>
          <w:noProof/>
        </w:rPr>
      </w:pPr>
      <w:r>
        <w:lastRenderedPageBreak/>
        <w:t>(k)</w:t>
      </w:r>
      <w:r>
        <w:tab/>
      </w:r>
      <w:r>
        <w:rPr>
          <w:noProof/>
        </w:rPr>
        <w:t>invaliditetsydelser, jf. artikel 24 i lovdekret nr. 18/2020, ophøjet til lov nr. 27/2020, og artikel 74 i lovdekret nr. 34/2020, ophøjet til lov nr. 77/2020</w:t>
      </w:r>
    </w:p>
    <w:p>
      <w:pPr>
        <w:pStyle w:val="Point0"/>
        <w:rPr>
          <w:noProof/>
        </w:rPr>
      </w:pPr>
      <w:r>
        <w:t>(l)</w:t>
      </w:r>
      <w:r>
        <w:tab/>
      </w:r>
      <w:r>
        <w:rPr>
          <w:noProof/>
        </w:rPr>
        <w:t xml:space="preserve">skattefradrag for forbedring af sikkerheden på arbejdspladsen, jf. artikel 120 i lovdekret nr. 34/2020, ophøjet til lov nr. 77/2020 </w:t>
      </w:r>
    </w:p>
    <w:p>
      <w:pPr>
        <w:pStyle w:val="Point0"/>
        <w:rPr>
          <w:noProof/>
        </w:rPr>
      </w:pPr>
      <w:r>
        <w:t>(m)</w:t>
      </w:r>
      <w:r>
        <w:tab/>
      </w:r>
      <w:r>
        <w:rPr>
          <w:noProof/>
        </w:rPr>
        <w:t>skattefradrag for desinficering af arbejdspladser og indkøb af sikkerhedsudstyr, jf. artikel 125 i lovdekret nr. 34/2020, ophøjet til lov nr. 77/2020.</w:t>
      </w:r>
    </w:p>
    <w:p>
      <w:pPr>
        <w:pStyle w:val="Titrearticle"/>
        <w:rPr>
          <w:noProof/>
        </w:rPr>
      </w:pPr>
      <w:r>
        <w:rPr>
          <w:noProof/>
        </w:rPr>
        <w:t>Artikel 4</w:t>
      </w:r>
    </w:p>
    <w:p>
      <w:pPr>
        <w:rPr>
          <w:noProof/>
        </w:rPr>
      </w:pPr>
      <w:r>
        <w:rPr>
          <w:noProof/>
        </w:rPr>
        <w:t>Italien underretter senest den [</w:t>
      </w:r>
      <w:r>
        <w:rPr>
          <w:i/>
          <w:noProof/>
        </w:rPr>
        <w:t>DATO:</w:t>
      </w:r>
      <w:r>
        <w:rPr>
          <w:noProof/>
        </w:rPr>
        <w:t xml:space="preserve"> </w:t>
      </w:r>
      <w:r>
        <w:rPr>
          <w:i/>
          <w:noProof/>
        </w:rPr>
        <w:t>seks måneder efter datoen for offentliggørelsen af denne afgørelse</w:t>
      </w:r>
      <w:r>
        <w:rPr>
          <w:noProof/>
        </w:rPr>
        <w:t>] og derefter hver sjette måned Kommissionen om afholdelsen af de planlagte offentlige udgifter, indtil alle de planlagte offentlige udgifter er blevet afholdt.</w:t>
      </w:r>
    </w:p>
    <w:p>
      <w:pPr>
        <w:pStyle w:val="Titrearticle"/>
        <w:rPr>
          <w:noProof/>
        </w:rPr>
      </w:pPr>
      <w:r>
        <w:rPr>
          <w:noProof/>
        </w:rPr>
        <w:t>Artikel 5</w:t>
      </w:r>
    </w:p>
    <w:p>
      <w:pPr>
        <w:keepNext/>
        <w:keepLines/>
        <w:rPr>
          <w:noProof/>
        </w:rPr>
      </w:pPr>
      <w:r>
        <w:rPr>
          <w:noProof/>
        </w:rPr>
        <w:t>Denne afgørelse er rettet til Den Italienske Republik.</w:t>
      </w:r>
    </w:p>
    <w:p>
      <w:pPr>
        <w:pStyle w:val="Titrearticle"/>
        <w:rPr>
          <w:noProof/>
        </w:rPr>
      </w:pPr>
      <w:r>
        <w:rPr>
          <w:noProof/>
        </w:rPr>
        <w:t>Artikel 6</w:t>
      </w:r>
    </w:p>
    <w:p>
      <w:pPr>
        <w:rPr>
          <w:noProof/>
        </w:rPr>
      </w:pPr>
      <w:r>
        <w:rPr>
          <w:noProof/>
        </w:rPr>
        <w:t xml:space="preserve">Denne afgørelse offentliggøres i </w:t>
      </w:r>
      <w:r>
        <w:rPr>
          <w:i/>
          <w:noProof/>
        </w:rPr>
        <w:t>Den Europæiske Unions Tidende</w:t>
      </w:r>
      <w:r>
        <w:rPr>
          <w:noProof/>
        </w:rPr>
        <w:t xml:space="preserve">. </w:t>
      </w:r>
    </w:p>
    <w:p>
      <w:pPr>
        <w:pStyle w:val="Fait"/>
        <w:rPr>
          <w:noProof/>
        </w:rPr>
      </w:pPr>
      <w:r>
        <w:t xml:space="preserve">Udfærdiget i Bruxelles, den </w:t>
      </w:r>
      <w:r>
        <w:rPr>
          <w:rStyle w:val="Marker2"/>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EUT L 159 af 20.5.2020, s. 1.</w:t>
      </w:r>
    </w:p>
  </w:footnote>
  <w:footnote w:id="3">
    <w:p>
      <w:pPr>
        <w:pStyle w:val="FootnoteText"/>
        <w:ind w:left="142" w:hanging="142"/>
      </w:pPr>
      <w:r>
        <w:rPr>
          <w:rStyle w:val="FootnoteReference"/>
        </w:rPr>
        <w:footnoteRef/>
      </w:r>
      <w:r>
        <w:tab/>
        <w:t>Lovdekret nr. 18/2020, ophøjet til lov nr. 27/2020.</w:t>
      </w:r>
    </w:p>
  </w:footnote>
  <w:footnote w:id="4">
    <w:p>
      <w:pPr>
        <w:pStyle w:val="FootnoteText"/>
      </w:pPr>
      <w:r>
        <w:rPr>
          <w:rStyle w:val="FootnoteReference"/>
        </w:rPr>
        <w:footnoteRef/>
      </w:r>
      <w:r>
        <w:tab/>
        <w:t>Lovdekret nr. 34/2020, ophøjet til lov nr. 77/2020.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38C8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F082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E30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4BA3312"/>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2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1:30: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54A6B3E-40F4-4110-8EF8-917D087860FF"/>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les,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19"/>
    <w:docVar w:name="LW_REF.II.NEW.CP_YEAR" w:val="2020"/>
    <w:docVar w:name="LW_REF.INST.NEW" w:val="COM"/>
    <w:docVar w:name="LW_REF.INST.NEW_ADOPTED" w:val="final"/>
    <w:docVar w:name="LW_REF.INST.NEW_TEXT" w:val="(2020) 4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midlertidig støtte til Italien i henhold til Rådets forordning (EU) 2020/672 til mindskelse af risiciene for arbejdsløshed i en nødsituation som følge af covid-19-udbruddet"/>
    <w:docVar w:name="LW_TYPE.DOC.CP" w:val="RÅDETS GENNEMFØRELSES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9996">
      <w:bodyDiv w:val="1"/>
      <w:marLeft w:val="0"/>
      <w:marRight w:val="0"/>
      <w:marTop w:val="0"/>
      <w:marBottom w:val="0"/>
      <w:divBdr>
        <w:top w:val="none" w:sz="0" w:space="0" w:color="auto"/>
        <w:left w:val="none" w:sz="0" w:space="0" w:color="auto"/>
        <w:bottom w:val="none" w:sz="0" w:space="0" w:color="auto"/>
        <w:right w:val="none" w:sz="0" w:space="0" w:color="auto"/>
      </w:divBdr>
    </w:div>
    <w:div w:id="166093505">
      <w:bodyDiv w:val="1"/>
      <w:marLeft w:val="0"/>
      <w:marRight w:val="0"/>
      <w:marTop w:val="0"/>
      <w:marBottom w:val="0"/>
      <w:divBdr>
        <w:top w:val="none" w:sz="0" w:space="0" w:color="auto"/>
        <w:left w:val="none" w:sz="0" w:space="0" w:color="auto"/>
        <w:bottom w:val="none" w:sz="0" w:space="0" w:color="auto"/>
        <w:right w:val="none" w:sz="0" w:space="0" w:color="auto"/>
      </w:divBdr>
    </w:div>
    <w:div w:id="178199314">
      <w:bodyDiv w:val="1"/>
      <w:marLeft w:val="0"/>
      <w:marRight w:val="0"/>
      <w:marTop w:val="0"/>
      <w:marBottom w:val="0"/>
      <w:divBdr>
        <w:top w:val="none" w:sz="0" w:space="0" w:color="auto"/>
        <w:left w:val="none" w:sz="0" w:space="0" w:color="auto"/>
        <w:bottom w:val="none" w:sz="0" w:space="0" w:color="auto"/>
        <w:right w:val="none" w:sz="0" w:space="0" w:color="auto"/>
      </w:divBdr>
    </w:div>
    <w:div w:id="337931380">
      <w:bodyDiv w:val="1"/>
      <w:marLeft w:val="0"/>
      <w:marRight w:val="0"/>
      <w:marTop w:val="0"/>
      <w:marBottom w:val="0"/>
      <w:divBdr>
        <w:top w:val="none" w:sz="0" w:space="0" w:color="auto"/>
        <w:left w:val="none" w:sz="0" w:space="0" w:color="auto"/>
        <w:bottom w:val="none" w:sz="0" w:space="0" w:color="auto"/>
        <w:right w:val="none" w:sz="0" w:space="0" w:color="auto"/>
      </w:divBdr>
    </w:div>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1548028428">
      <w:bodyDiv w:val="1"/>
      <w:marLeft w:val="0"/>
      <w:marRight w:val="0"/>
      <w:marTop w:val="0"/>
      <w:marBottom w:val="0"/>
      <w:divBdr>
        <w:top w:val="none" w:sz="0" w:space="0" w:color="auto"/>
        <w:left w:val="none" w:sz="0" w:space="0" w:color="auto"/>
        <w:bottom w:val="none" w:sz="0" w:space="0" w:color="auto"/>
        <w:right w:val="none" w:sz="0" w:space="0" w:color="auto"/>
      </w:divBdr>
    </w:div>
    <w:div w:id="1769503458">
      <w:bodyDiv w:val="1"/>
      <w:marLeft w:val="0"/>
      <w:marRight w:val="0"/>
      <w:marTop w:val="0"/>
      <w:marBottom w:val="0"/>
      <w:divBdr>
        <w:top w:val="none" w:sz="0" w:space="0" w:color="auto"/>
        <w:left w:val="none" w:sz="0" w:space="0" w:color="auto"/>
        <w:bottom w:val="none" w:sz="0" w:space="0" w:color="auto"/>
        <w:right w:val="none" w:sz="0" w:space="0" w:color="auto"/>
      </w:divBdr>
    </w:div>
    <w:div w:id="1904875803">
      <w:bodyDiv w:val="1"/>
      <w:marLeft w:val="0"/>
      <w:marRight w:val="0"/>
      <w:marTop w:val="0"/>
      <w:marBottom w:val="0"/>
      <w:divBdr>
        <w:top w:val="none" w:sz="0" w:space="0" w:color="auto"/>
        <w:left w:val="none" w:sz="0" w:space="0" w:color="auto"/>
        <w:bottom w:val="none" w:sz="0" w:space="0" w:color="auto"/>
        <w:right w:val="none" w:sz="0" w:space="0" w:color="auto"/>
      </w:divBdr>
    </w:div>
    <w:div w:id="2067798666">
      <w:bodyDiv w:val="1"/>
      <w:marLeft w:val="0"/>
      <w:marRight w:val="0"/>
      <w:marTop w:val="0"/>
      <w:marBottom w:val="0"/>
      <w:divBdr>
        <w:top w:val="none" w:sz="0" w:space="0" w:color="auto"/>
        <w:left w:val="none" w:sz="0" w:space="0" w:color="auto"/>
        <w:bottom w:val="none" w:sz="0" w:space="0" w:color="auto"/>
        <w:right w:val="none" w:sz="0" w:space="0" w:color="auto"/>
      </w:divBdr>
    </w:div>
    <w:div w:id="20976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52620ba7-763e-42f0-8a8d-d357237415df" xsi:nil="true"/>
    <EC_ARES_TRANSFERRED_BY xmlns="fe36a264-c730-4012-8728-159324ca18ef" xsi:nil="true"/>
    <EC_ARES_NUMBER xmlns="fe36a264-c730-4012-8728-159324ca18ef">
      <Url xsi:nil="true"/>
      <Description xsi:nil="true"/>
    </EC_ARES_NUMBER>
    <EC_ARES_DATE_TRANSFERRED xmlns="fe36a264-c730-4012-8728-159324ca18ef" xsi:nil="true"/>
    <EC_Collab_DocumentLanguage xmlns="52620ba7-763e-42f0-8a8d-d357237415df">EN</EC_Collab_DocumentLanguage>
    <EC_Collab_Status xmlns="52620ba7-763e-42f0-8a8d-d357237415df">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C77C118D859E54EB67580662C84FC1D" ma:contentTypeVersion="5" ma:contentTypeDescription="Create a new document in this library." ma:contentTypeScope="" ma:versionID="61af9db13edfa5bf54c66ba27f679c45">
  <xsd:schema xmlns:xsd="http://www.w3.org/2001/XMLSchema" xmlns:xs="http://www.w3.org/2001/XMLSchema" xmlns:p="http://schemas.microsoft.com/office/2006/metadata/properties" xmlns:ns3="52620ba7-763e-42f0-8a8d-d357237415df" xmlns:ns4="fe36a264-c730-4012-8728-159324ca18ef" targetNamespace="http://schemas.microsoft.com/office/2006/metadata/properties" ma:root="true" ma:fieldsID="65ee4e6a5e254cbca4aec72af8b0bb00" ns3:_="" ns4:_="">
    <xsd:import namespace="52620ba7-763e-42f0-8a8d-d357237415df"/>
    <xsd:import namespace="fe36a264-c730-4012-8728-159324ca18ef"/>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20ba7-763e-42f0-8a8d-d357237415d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fe36a264-c730-4012-8728-159324ca18ef" elementFormDefault="qualified">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D5CC2D-B0B1-4BCB-9C79-5256112B305A}">
  <ds:schemaRefs>
    <ds:schemaRef ds:uri="http://schemas.openxmlformats.org/package/2006/metadata/core-properties"/>
    <ds:schemaRef ds:uri="fe36a264-c730-4012-8728-159324ca18ef"/>
    <ds:schemaRef ds:uri="http://schemas.microsoft.com/office/2006/documentManagement/types"/>
    <ds:schemaRef ds:uri="http://schemas.microsoft.com/office/infopath/2007/PartnerControls"/>
    <ds:schemaRef ds:uri="52620ba7-763e-42f0-8a8d-d357237415d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AEC4911-4415-4862-B8FE-EE5131E2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20ba7-763e-42f0-8a8d-d357237415df"/>
    <ds:schemaRef ds:uri="fe36a264-c730-4012-8728-159324ca1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2DD70-A3F4-4F96-83B3-840A823FBF75}">
  <ds:schemaRefs>
    <ds:schemaRef ds:uri="http://schemas.microsoft.com/sharepoint/v3/contenttype/forms"/>
  </ds:schemaRefs>
</ds:datastoreItem>
</file>

<file path=customXml/itemProps4.xml><?xml version="1.0" encoding="utf-8"?>
<ds:datastoreItem xmlns:ds="http://schemas.openxmlformats.org/officeDocument/2006/customXml" ds:itemID="{3524F24B-575E-4C26-89BE-DAF13C5D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3100</Words>
  <Characters>18383</Characters>
  <Application>Microsoft Office Word</Application>
  <DocSecurity>0</DocSecurity>
  <Lines>306</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2020-09-04T13:14:00Z</dcterms:created>
  <dcterms:modified xsi:type="dcterms:W3CDTF">2020-09-07T09:30:00Z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ContentTypeId">
    <vt:lpwstr>0x010100258AA79CEB83498886A3A0868112325000FC77C118D859E54EB67580662C84FC1D</vt:lpwstr>
  </property>
  <property fmtid="{D5CDD505-2E9C-101B-9397-08002B2CF9AE}" pid="11" name="DQCStatus">
    <vt:lpwstr>Green (DQC version 03)</vt:lpwstr>
  </property>
</Properties>
</file>