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D8E5610-F9F5-45C5-B7F0-1AEA8E4B7CB7" style="width:450.7pt;height:351.6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ab/>
      </w:r>
    </w:p>
    <w:p>
      <w:pPr>
        <w:rPr>
          <w:noProof/>
        </w:rPr>
      </w:pPr>
      <w:r>
        <w:rPr>
          <w:noProof/>
        </w:rPr>
        <w:t>Uredba Sveta 2020/672 (v nadaljnjem besedilu: uredba o instrumentu SURE) določa pravni okvir za zagotavljanje finančne pomoči Unije državam članicam, ki se zaradi izbruha COVID-19 soočajo z resnimi gospodarskimi motnjami ali jih takšne motnje resno ogrožajo. Podpora v okviru instrumenta SURE je v prvi vrsti namenjena financiranju shem skrajšanega delovnega časa ali podobnih ukrepov za zaščito zaposlenih in samozaposlenih, da se tako zmanjša obseg brezposelnosti in izgube dohodka, poleg tega pa tudi financiranju nekaterih ukrepov, povezanih z zdravjem, zlasti na delovnem mestu.</w:t>
      </w:r>
    </w:p>
    <w:p>
      <w:pPr>
        <w:rPr>
          <w:noProof/>
        </w:rPr>
      </w:pPr>
      <w:r>
        <w:rPr>
          <w:noProof/>
        </w:rPr>
        <w:t xml:space="preserve">Italija je 7. avgusta 2020 zaprosila za finančno pomoč Unije na podlagi uredbe o instrumentu SURE. Komisija se je v skladu s členom 6(2) uredbe o instrumentu SURE posvetovala z italijanskimi organi, da bi preverila nenadno in močno povečanje dejanskih in načrtovanih odhodkov, neposredno povezano s shemami skrajšanega delovnega časa in podobnimi ukrepi ter ukrepi, povezanimi z zdravjem, zaradi pandemije COVID-19. Pomoč se nanaša na: </w:t>
      </w:r>
    </w:p>
    <w:p>
      <w:pPr>
        <w:pStyle w:val="Point0"/>
        <w:rPr>
          <w:noProof/>
        </w:rPr>
      </w:pPr>
      <w:r>
        <w:t>(1)</w:t>
      </w:r>
      <w:r>
        <w:tab/>
      </w:r>
      <w:r>
        <w:rPr>
          <w:noProof/>
        </w:rPr>
        <w:t>razširitev obstoječih shem skrajšanega delovnega časa („</w:t>
      </w:r>
      <w:r>
        <w:rPr>
          <w:i/>
          <w:noProof/>
        </w:rPr>
        <w:t>Cassa integrazione guadagni</w:t>
      </w:r>
      <w:r>
        <w:rPr>
          <w:noProof/>
        </w:rPr>
        <w:t>“). Ukrep pokriva 80 % običajne plače zaposlenih, ki se jim pogodba o zaposlitvi ni prekinila, podjetij, ki so v celoti ali delno zaprta zaradi COVID-19, za največ 18 tednov v obdobju od 23. februarja 2020 do 31. oktobra 2020;</w:t>
      </w:r>
    </w:p>
    <w:p>
      <w:pPr>
        <w:pStyle w:val="Point0"/>
        <w:rPr>
          <w:noProof/>
        </w:rPr>
      </w:pPr>
      <w:r>
        <w:t>(2)</w:t>
      </w:r>
      <w:r>
        <w:tab/>
      </w:r>
      <w:r>
        <w:rPr>
          <w:noProof/>
        </w:rPr>
        <w:t xml:space="preserve">dodatek v višini 600 EUR za meseca marec in april 2020 za samozaposlene osebe in samostojne delavce. Samostojni delavci, ki se jim je marca in aprila 2020 dohodek zmanjšal za vsaj 33 % na letni ravni, so prav tako upravičeni do nadomestila v višini 1 000 EUR za maj 2020. Dodatno nadomestilo v višini 600 EUR za marec 2020 je namenjeno samozaposlenim osebam in samostojnim delavcem, registriranim pri zasebnih institucijah obvezne socialne varnosti;  </w:t>
      </w:r>
    </w:p>
    <w:p>
      <w:pPr>
        <w:pStyle w:val="Point0"/>
        <w:rPr>
          <w:noProof/>
        </w:rPr>
      </w:pPr>
      <w:r>
        <w:t>(3)</w:t>
      </w:r>
      <w:r>
        <w:tab/>
      </w:r>
      <w:r>
        <w:rPr>
          <w:noProof/>
        </w:rPr>
        <w:t>vrsto ukrepov za določene poklice, ki jih je izbruh COVID-19 negativno prizadel. To vključuje dodatek v višini 600 EUR za mesec marec 2020 in 500 EUR za mesec april 2020 za zaposlene za določen čas v kmetijstvu; dodatek v višini 600 EUR za mesece marec, april in maj 2020 za delavce v zabavni industriji (z letnim prihodkom do 50 000 EUR); dodatek v višini 600 EUR za mesece marec, april in maj 2020 za delavce v športnih združenjih; dodatek v višini 600 EUR za mesece marec, april in maj 2020 za delavce na zahtevo ter dodatek v višini 500 EUR za meseca april in maj 2020 za delavce v gospodinjstvu;</w:t>
      </w:r>
    </w:p>
    <w:p>
      <w:pPr>
        <w:pStyle w:val="Point0"/>
        <w:rPr>
          <w:noProof/>
        </w:rPr>
      </w:pPr>
      <w:r>
        <w:t>(4)</w:t>
      </w:r>
      <w:r>
        <w:tab/>
      </w:r>
      <w:r>
        <w:rPr>
          <w:noProof/>
        </w:rPr>
        <w:t xml:space="preserve">dva ukrepa, ki učinke prenehanja storitev predšolske vzgoje in zaprtja šol obravnavata z nadomestilom za starševski dopust za največ 30 dni v obdobju od 5. marca 2020 do 31. avgusta 2020 za zaposlene ali samozaposlene osebe z otroki do starosti 12 let (ali več kot 12 let, če je otrok invalid in še vedno obiskuje šolo), ki pokriva 50 % njihovih dohodkov, in kuponi za otroško varstvo za največ 2 000 EUR kot alternativo nadomestilu za starševski dopust, ki veljajo isto obdobje; </w:t>
      </w:r>
    </w:p>
    <w:p>
      <w:pPr>
        <w:pStyle w:val="Point0"/>
        <w:rPr>
          <w:noProof/>
        </w:rPr>
      </w:pPr>
      <w:r>
        <w:t>(5)</w:t>
      </w:r>
      <w:r>
        <w:tab/>
      </w:r>
      <w:r>
        <w:rPr>
          <w:noProof/>
        </w:rPr>
        <w:t>dodatno nadomestilo za odsotnost z dela zaradi invalidnosti za do 12 dni v obdobju od 1. marca 2020 do 30. aprila 2020 in dodatnih 12 dni v obdobju od 1. maja 2020 do 30. junija 2020 za delavce s hudo invalidnostjo ali tiste, ki imajo sorodnike s hudo invalidnostjo. Gre za razširitev obstoječe sheme, ki zaposlenim daje pravico do treh dni odsotnosti z dela zaradi invalidnosti na mesec;</w:t>
      </w:r>
    </w:p>
    <w:p>
      <w:pPr>
        <w:pStyle w:val="Point0"/>
        <w:rPr>
          <w:noProof/>
        </w:rPr>
      </w:pPr>
      <w:r>
        <w:lastRenderedPageBreak/>
        <w:t>(6)</w:t>
      </w:r>
      <w:r>
        <w:tab/>
      </w:r>
      <w:r>
        <w:rPr>
          <w:noProof/>
        </w:rPr>
        <w:t>nepovratna sredstva za samozaposlene osebe in enoosebne družbe. Znesek nepovratnih sredstev se izračuna glede na zmanjšanje prometa aprila 2020 v primerjavi z aprilom 2019 (pri čemer je najmanjši znesek 1 000 EUR in največji 20 % zmanjšanja prometa);</w:t>
      </w:r>
    </w:p>
    <w:p>
      <w:pPr>
        <w:pStyle w:val="Point0"/>
        <w:rPr>
          <w:noProof/>
        </w:rPr>
      </w:pPr>
      <w:r>
        <w:t>(7)</w:t>
      </w:r>
      <w:r>
        <w:tab/>
      </w:r>
      <w:r>
        <w:rPr>
          <w:noProof/>
        </w:rPr>
        <w:t xml:space="preserve">dva ukrepa, povezana z zdravjem, in sicer nov začasen davčni dobropis v višini 60 % stroškov za izboljšanje varnosti na delovnem mestu (do največ 80 000 EUR) in nov začasen davčni dobropis v višini 60 % stroškov razkuževanja za mala podjetja, pisarne samostojnih poklicev in nepridobitne ustanove ter nakupa zaščitne opreme (do največ 60 000 EUR). </w:t>
      </w:r>
    </w:p>
    <w:p>
      <w:pPr>
        <w:rPr>
          <w:noProof/>
        </w:rPr>
      </w:pPr>
      <w:r>
        <w:rPr>
          <w:noProof/>
        </w:rPr>
        <w:t xml:space="preserve">Italija je Komisiji predložila ustrezne informacije. </w:t>
      </w:r>
    </w:p>
    <w:p>
      <w:pPr>
        <w:rPr>
          <w:noProof/>
        </w:rPr>
      </w:pPr>
      <w:r>
        <w:rPr>
          <w:noProof/>
        </w:rPr>
        <w:t xml:space="preserve">Komisija glede na razpoložljiva dejstva predlaga Svetu, da sprejme izvedbeni sklep o odobritvi finančne pomoči Italiji v skladu z uredbo o instrumentu SURE v podporo zgoraj navedenim ukrepom.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Skladnost z veljavnimi predpisi s področja zadevne politike</w:t>
      </w:r>
    </w:p>
    <w:p>
      <w:pPr>
        <w:spacing w:before="0" w:after="240"/>
        <w:rPr>
          <w:noProof/>
          <w:color w:val="000000" w:themeColor="text1"/>
        </w:rPr>
      </w:pPr>
      <w:r>
        <w:rPr>
          <w:noProof/>
        </w:rPr>
        <w:t>Ta predlog je v celoti skladen z Uredbo Sveta 2020/672, na podlagi katere je predložen.</w:t>
      </w:r>
    </w:p>
    <w:p>
      <w:pPr>
        <w:spacing w:before="0" w:after="240"/>
        <w:rPr>
          <w:noProof/>
          <w:color w:val="000000" w:themeColor="text1"/>
        </w:rPr>
      </w:pPr>
      <w:r>
        <w:rPr>
          <w:noProof/>
          <w:color w:val="000000" w:themeColor="text1"/>
        </w:rPr>
        <w:t xml:space="preserve">Predlog dopolnjuje drug instrument prava Unije za zagotavljanje podpore državam članicam v izrednih razmerah, in sicer Uredbo Sveta (ES) št. 2012/2002 z dne 11. novembra 2002 o ustanovitvi Solidarnostnega sklada Evropske unije (Uredba (ES) št. 2012/2002). Uredba (EU) 2020/461 Evropskega parlamenta in Sveta, ki spreminja navedeni instrument, da bi se razširilo njegovo področje uporabe na izredne razmere večjih razsežnosti v javnem zdravju in opredelile posebne dejavnosti, upravičene do financiranja, je bila sprejeta 30. marca. </w:t>
      </w:r>
    </w:p>
    <w:p>
      <w:pPr>
        <w:pStyle w:val="ManualHeading2"/>
        <w:rPr>
          <w:rFonts w:eastAsia="Arial Unicode MS"/>
          <w:noProof/>
          <w:color w:val="000000" w:themeColor="text1"/>
        </w:rPr>
      </w:pPr>
      <w:r>
        <w:rPr>
          <w:noProof/>
          <w:color w:val="000000" w:themeColor="text1"/>
          <w:bdr w:val="none" w:sz="0" w:space="0" w:color="auto" w:frame="1"/>
        </w:rPr>
        <w:t>•</w:t>
      </w:r>
      <w:r>
        <w:rPr>
          <w:noProof/>
        </w:rPr>
        <w:tab/>
      </w:r>
      <w:r>
        <w:rPr>
          <w:noProof/>
          <w:color w:val="000000" w:themeColor="text1"/>
        </w:rPr>
        <w:t>Skladnost z drugimi politikami Unije</w:t>
      </w:r>
    </w:p>
    <w:p>
      <w:pPr>
        <w:spacing w:before="0" w:after="240"/>
        <w:rPr>
          <w:rFonts w:eastAsia="Arial Unicode MS"/>
          <w:noProof/>
          <w:color w:val="000000" w:themeColor="text1"/>
        </w:rPr>
      </w:pPr>
      <w:r>
        <w:rPr>
          <w:noProof/>
        </w:rPr>
        <w:t xml:space="preserve">Predlog je del sklopa ukrepov, pripravljenih v odziv na trenutno pandemijo COVID-19, kot je „naložbena pobuda v odziv na koronavirus“, in dopolnjuje druge instrumente, ki podpirajo zaposlovanje, kot sta Evropski socialni sklad in Evropski sklad za strateške naložbe (EFSI)/InvestEU. Z uporabo izposojanja in posojanja za podporo državam članicam v tem konkretnem primeru izbruha COVID-19 bi ta predlog zagotavljal drugo raven zaščite za financiranje shem skrajšanega delovnega časa in podobnih ukrepov, s čimer bi pomagal ohranjati delovna mesta ter s tem zaščititi zaposlene in samozaposlene pred tveganjem brezposelnosti. </w:t>
      </w:r>
    </w:p>
    <w:p>
      <w:pPr>
        <w:pStyle w:val="ManualHeading1"/>
        <w:rPr>
          <w:noProof/>
          <w:color w:val="000000" w:themeColor="text1"/>
        </w:rPr>
      </w:pPr>
      <w:r>
        <w:rPr>
          <w:noProof/>
          <w:color w:val="000000" w:themeColor="text1"/>
        </w:rPr>
        <w:t>2.</w:t>
      </w:r>
      <w:r>
        <w:rPr>
          <w:noProof/>
        </w:rPr>
        <w:tab/>
      </w:r>
      <w:r>
        <w:rPr>
          <w:noProof/>
          <w:color w:val="000000" w:themeColor="text1"/>
        </w:rPr>
        <w:t>PRAVNA PODLAGA, SUBSIDIARNOST IN SORAZMERNOST</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Pravna podlaga</w:t>
      </w:r>
    </w:p>
    <w:p>
      <w:pPr>
        <w:spacing w:before="0" w:after="240"/>
        <w:rPr>
          <w:rFonts w:eastAsia="Arial Unicode MS"/>
          <w:noProof/>
          <w:color w:val="000000" w:themeColor="text1"/>
        </w:rPr>
      </w:pPr>
      <w:r>
        <w:rPr>
          <w:noProof/>
        </w:rPr>
        <w:t xml:space="preserve">Pravna podlaga za ta instrument je Uredba Sveta 2020/672.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 xml:space="preserve">Subsidiarnost (za neizključno pristojnost) </w:t>
      </w:r>
    </w:p>
    <w:p>
      <w:pPr>
        <w:spacing w:before="0" w:after="240"/>
        <w:rPr>
          <w:noProof/>
        </w:rPr>
      </w:pPr>
      <w:r>
        <w:rPr>
          <w:noProof/>
        </w:rPr>
        <w:t>Predlog je odziv na prošnjo države članice in odraža evropsko solidarnost z zagotavljanjem finančne pomoči Unije v obliki začasnih posojil državi članici, ki jo je prizadel izbruh COVID-19. Takšna finančna pomoč kot druga raven zaščite začasno podpira povečane javnofinančne odhodke držav članic za sheme skrajšanega delovnega časa in podobne ukrepe ter jim pomaga ščititi delovna mesta in s tem zaposlene in samozaposlene pred tveganjem brezposelnosti in izgube dohodka.</w:t>
      </w:r>
    </w:p>
    <w:p>
      <w:pPr>
        <w:spacing w:before="0" w:after="240"/>
        <w:rPr>
          <w:rFonts w:eastAsia="Arial Unicode MS"/>
          <w:noProof/>
        </w:rPr>
      </w:pPr>
      <w:r>
        <w:rPr>
          <w:noProof/>
        </w:rPr>
        <w:t xml:space="preserve">Podpora bo pomagala prizadetemu prebivalstvu in pripomogla k blažitvi neposrednih družbenih in gospodarskih posledic krize COVID-19. </w:t>
      </w:r>
    </w:p>
    <w:p>
      <w:pPr>
        <w:pStyle w:val="ManualHeading2"/>
        <w:rPr>
          <w:noProof/>
          <w:color w:val="000000" w:themeColor="text1"/>
          <w:bdr w:val="none" w:sz="0" w:space="0" w:color="auto" w:frame="1"/>
        </w:rPr>
      </w:pPr>
      <w:r>
        <w:rPr>
          <w:noProof/>
          <w:color w:val="000000" w:themeColor="text1"/>
          <w:bdr w:val="none" w:sz="0" w:space="0" w:color="auto" w:frame="1"/>
        </w:rPr>
        <w:lastRenderedPageBreak/>
        <w:t>•</w:t>
      </w:r>
      <w:r>
        <w:rPr>
          <w:noProof/>
        </w:rPr>
        <w:tab/>
      </w:r>
      <w:r>
        <w:rPr>
          <w:noProof/>
          <w:color w:val="000000" w:themeColor="text1"/>
          <w:bdr w:val="none" w:sz="0" w:space="0" w:color="auto" w:frame="1"/>
        </w:rPr>
        <w:t>Sorazmernost</w:t>
      </w:r>
    </w:p>
    <w:p>
      <w:pPr>
        <w:spacing w:before="0" w:after="240"/>
        <w:rPr>
          <w:rFonts w:eastAsia="Arial Unicode MS"/>
          <w:noProof/>
          <w:color w:val="000000" w:themeColor="text1"/>
        </w:rPr>
      </w:pPr>
      <w:r>
        <w:rPr>
          <w:noProof/>
        </w:rPr>
        <w:t xml:space="preserve">Predlog upošteva načelo sorazmernosti. Ne presega tistega, kar je potrebno za doseganje ciljev instrumenta. </w:t>
      </w:r>
    </w:p>
    <w:p>
      <w:pPr>
        <w:pStyle w:val="ManualHeading1"/>
        <w:rPr>
          <w:noProof/>
          <w:color w:val="000000" w:themeColor="text1"/>
        </w:rPr>
      </w:pPr>
      <w:r>
        <w:rPr>
          <w:noProof/>
          <w:color w:val="000000" w:themeColor="text1"/>
        </w:rPr>
        <w:t>3.</w:t>
      </w:r>
      <w:r>
        <w:rPr>
          <w:noProof/>
        </w:rPr>
        <w:tab/>
      </w:r>
      <w:r>
        <w:rPr>
          <w:noProof/>
          <w:color w:val="000000" w:themeColor="text1"/>
        </w:rPr>
        <w:t>REZULTATI NAKNADNIH OCEN, POSVETOVANJ Z ZAINTERESIRANIMI STRANMI IN OCEN UČINKA</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Posvetovanja z zainteresiranimi stranmi</w:t>
      </w:r>
    </w:p>
    <w:p>
      <w:pPr>
        <w:spacing w:before="0" w:after="240"/>
        <w:rPr>
          <w:rFonts w:eastAsia="Arial Unicode MS"/>
          <w:noProof/>
          <w:color w:val="000000" w:themeColor="text1"/>
        </w:rPr>
      </w:pPr>
      <w:r>
        <w:rPr>
          <w:noProof/>
          <w:color w:val="000000" w:themeColor="text1"/>
        </w:rPr>
        <w:t>Zaradi nujne čimprejšnje priprave predloga, da bi ga Svet lahko pravočasno sprejel, posvetovanja z zainteresiranimi stranmi ni bilo mogoče izvesti.</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Ocena učinka</w:t>
      </w:r>
    </w:p>
    <w:p>
      <w:pPr>
        <w:spacing w:before="0" w:after="240"/>
        <w:rPr>
          <w:rFonts w:eastAsia="Arial Unicode MS"/>
          <w:noProof/>
          <w:color w:val="000000" w:themeColor="text1"/>
        </w:rPr>
      </w:pPr>
      <w:r>
        <w:rPr>
          <w:noProof/>
          <w:color w:val="000000" w:themeColor="text1"/>
        </w:rPr>
        <w:t>Zaradi nujnosti priprave predloga ocena učinka ni bila izvedena.</w:t>
      </w:r>
    </w:p>
    <w:p>
      <w:pPr>
        <w:pStyle w:val="ManualHeading1"/>
        <w:rPr>
          <w:noProof/>
          <w:color w:val="000000" w:themeColor="text1"/>
        </w:rPr>
      </w:pPr>
      <w:r>
        <w:rPr>
          <w:noProof/>
          <w:color w:val="000000" w:themeColor="text1"/>
        </w:rPr>
        <w:t>4.</w:t>
      </w:r>
      <w:r>
        <w:rPr>
          <w:noProof/>
        </w:rPr>
        <w:tab/>
      </w:r>
      <w:r>
        <w:rPr>
          <w:noProof/>
          <w:color w:val="000000" w:themeColor="text1"/>
        </w:rPr>
        <w:t>PRORAČUNSKE POSLEDICE</w:t>
      </w:r>
    </w:p>
    <w:p>
      <w:pPr>
        <w:spacing w:before="0" w:after="240"/>
        <w:rPr>
          <w:rFonts w:eastAsia="Arial Unicode MS"/>
          <w:noProof/>
          <w:color w:val="000000" w:themeColor="text1"/>
        </w:rPr>
      </w:pPr>
      <w:r>
        <w:rPr>
          <w:noProof/>
          <w:color w:val="000000" w:themeColor="text1"/>
        </w:rPr>
        <w:t xml:space="preserve">Komisija bi morala imeti možnost najema posojil na finančnih trgih z namenom nadaljnjega posojanja državi članici, ki zaprosi za finančno pomoč v okviru instrumenta SURE. </w:t>
      </w:r>
    </w:p>
    <w:p>
      <w:pPr>
        <w:rPr>
          <w:noProof/>
          <w:color w:val="000000" w:themeColor="text1"/>
        </w:rPr>
      </w:pPr>
      <w:r>
        <w:rPr>
          <w:noProof/>
          <w:color w:val="000000" w:themeColor="text1"/>
        </w:rPr>
        <w:t>Poleg jamstev, ki jih dajo države članice, okvir vključuje tudi druge zaščitne ukrepe za zagotavljanje finančne trdnosti sheme, in sicer:</w:t>
      </w:r>
    </w:p>
    <w:p>
      <w:pPr>
        <w:pStyle w:val="Bullet1"/>
        <w:numPr>
          <w:ilvl w:val="0"/>
          <w:numId w:val="5"/>
        </w:numPr>
        <w:rPr>
          <w:noProof/>
          <w:color w:val="000000" w:themeColor="text1"/>
        </w:rPr>
      </w:pPr>
      <w:r>
        <w:rPr>
          <w:noProof/>
          <w:color w:val="000000" w:themeColor="text1"/>
        </w:rPr>
        <w:t>strog in konservativen pristop k finančnemu upravljanju,</w:t>
      </w:r>
    </w:p>
    <w:p>
      <w:pPr>
        <w:pStyle w:val="Bullet1"/>
        <w:numPr>
          <w:ilvl w:val="0"/>
          <w:numId w:val="5"/>
        </w:numPr>
        <w:rPr>
          <w:noProof/>
          <w:color w:val="000000" w:themeColor="text1"/>
        </w:rPr>
      </w:pPr>
      <w:r>
        <w:rPr>
          <w:noProof/>
          <w:color w:val="000000" w:themeColor="text1"/>
        </w:rPr>
        <w:t>oblikovanje portfelja posojil, ki omejuje tveganje koncentracije, letno izpostavljenost in čezmerno izpostavljenost do posameznih držav članic, hkrati pa zagotavlja, da se državam članicam, ki najbolj potrebujejo pomoč, lahko zagotovijo zadostna sredstva, ter</w:t>
      </w:r>
    </w:p>
    <w:p>
      <w:pPr>
        <w:pStyle w:val="Bullet1"/>
        <w:numPr>
          <w:ilvl w:val="0"/>
          <w:numId w:val="5"/>
        </w:numPr>
        <w:rPr>
          <w:noProof/>
          <w:color w:val="000000" w:themeColor="text1"/>
        </w:rPr>
      </w:pPr>
      <w:r>
        <w:rPr>
          <w:noProof/>
          <w:color w:val="000000" w:themeColor="text1"/>
        </w:rPr>
        <w:t>možnosti obnovitve dolga.</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2020/0219 (NLE)</w:t>
      </w:r>
    </w:p>
    <w:p>
      <w:pPr>
        <w:pStyle w:val="Statut"/>
        <w:rPr>
          <w:noProof/>
        </w:rPr>
      </w:pPr>
      <w:r>
        <w:rPr>
          <w:noProof/>
        </w:rPr>
        <w:t>Predlog</w:t>
      </w:r>
    </w:p>
    <w:p>
      <w:pPr>
        <w:pStyle w:val="Typedudocument"/>
        <w:rPr>
          <w:noProof/>
        </w:rPr>
      </w:pPr>
      <w:r>
        <w:rPr>
          <w:noProof/>
        </w:rPr>
        <w:t>IZVEDBENI SKLEP SVETA</w:t>
      </w:r>
    </w:p>
    <w:p>
      <w:pPr>
        <w:pStyle w:val="Titreobjet"/>
        <w:rPr>
          <w:noProof/>
        </w:rPr>
      </w:pPr>
      <w:r>
        <w:rPr>
          <w:noProof/>
        </w:rPr>
        <w:t>o dodelitvi začasne podpore Italiji na podlagi Uredbe Sveta (EU) 2020/672 za ublažitev tveganj za brezposelnost v izrednih razmerah po izbruhu COVID-19</w:t>
      </w:r>
    </w:p>
    <w:p>
      <w:pPr>
        <w:pStyle w:val="Institutionquiagit"/>
        <w:rPr>
          <w:noProof/>
        </w:rPr>
      </w:pPr>
      <w:r>
        <w:rPr>
          <w:noProof/>
        </w:rPr>
        <w:t>SVET EVROPSKE UNIJE JE –</w:t>
      </w:r>
    </w:p>
    <w:p>
      <w:pPr>
        <w:rPr>
          <w:noProof/>
        </w:rPr>
      </w:pPr>
      <w:r>
        <w:rPr>
          <w:noProof/>
        </w:rPr>
        <w:t xml:space="preserve">ob upoštevanju Pogodbe o delovanju Evropske unije, </w:t>
      </w:r>
    </w:p>
    <w:p>
      <w:pPr>
        <w:rPr>
          <w:noProof/>
        </w:rPr>
      </w:pPr>
      <w:r>
        <w:rPr>
          <w:noProof/>
        </w:rPr>
        <w:t>ob upoštevanju Uredbe Sveta (EU) 2020/672 z dne 19. maja 2020 o vzpostavitvi evropskega instrumenta za začasno podporo za ublažitev tveganj za brezposelnost v izrednih razmerah (SURE) po izbruhu COVID-19</w:t>
      </w:r>
      <w:r>
        <w:rPr>
          <w:rStyle w:val="FootnoteReference"/>
          <w:noProof/>
        </w:rPr>
        <w:footnoteReference w:id="2"/>
      </w:r>
      <w:r>
        <w:rPr>
          <w:noProof/>
        </w:rPr>
        <w:t xml:space="preserve"> in zlasti člena 6(1) Uredbe,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 xml:space="preserve">Italija je 7. avgusta 2020 zaprosila za finančno pomoč Unije, da bi dopolnila svoja nacionalna prizadevanja za obravnavanje učinka izbruha COVID-19 in njegovih socialno-ekonomskih posledic za delavce. </w:t>
      </w:r>
    </w:p>
    <w:p>
      <w:pPr>
        <w:pStyle w:val="ManualConsidrant"/>
        <w:rPr>
          <w:noProof/>
        </w:rPr>
      </w:pPr>
      <w:r>
        <w:t>(2)</w:t>
      </w:r>
      <w:r>
        <w:tab/>
      </w:r>
      <w:r>
        <w:rPr>
          <w:noProof/>
        </w:rPr>
        <w:t xml:space="preserve">Izbruh COVID-19 in izredni ukrepi, ki jih je Italija sprejela za zajezitev izbruha ter njegovih socialno-ekonomskih učinkov in učinkov, povezanih z zdravjem, bodo po pričakovanjih zelo močno vplivali na javne finance. V skladu z napovedjo Komisije iz pomladi 2020 naj bi primanjkljaj sektorja država Italije do konca leta 2020 znašal 11,1 % bruto domačega proizvoda (BDP), dolg sektorja država pa 158,9 % BDP. Glede na vmesno napoved Komisije iz poletja 2020 naj bi se BDP Italije v letu 2020 zmanjšal za 11,2 %. </w:t>
      </w:r>
    </w:p>
    <w:p>
      <w:pPr>
        <w:pStyle w:val="ManualConsidrant"/>
        <w:rPr>
          <w:noProof/>
        </w:rPr>
      </w:pPr>
      <w:r>
        <w:t>(3)</w:t>
      </w:r>
      <w:r>
        <w:tab/>
      </w:r>
      <w:r>
        <w:rPr>
          <w:noProof/>
        </w:rPr>
        <w:t>Izbruh COVID-19 je imobiliziral znaten del delovne sile v Italiji. To je povzročilo nenadno in močno povečanje javnofinančnih odhodkov Italije, povezano s shemami skrajšanega delovnega časa za zaposlene, dodatki za samozaposlene osebe, zaposlene za določen čas v kmetijstvu, delavce v zabavni industriji, zaposlene v športnih združenjih, delavce v gospodinjstvu in delavce na zahtevo, kuponi za otroško varstvo, dodatnimi nadomestili za starševski dopust in odsotnost z dela zaradi invalidnosti, nepovratnimi sredstvi za samozaposlene delavce in enoosebne družbe ter davčnimi dobropisi v podporo ukrepom na področju javnega zdravja, kot je navedeno v uvodnih izjavah 4 do 10.</w:t>
      </w:r>
    </w:p>
    <w:p>
      <w:pPr>
        <w:pStyle w:val="ManualConsidrant"/>
        <w:rPr>
          <w:noProof/>
        </w:rPr>
      </w:pPr>
      <w:r>
        <w:t>(4)</w:t>
      </w:r>
      <w:r>
        <w:tab/>
      </w:r>
      <w:r>
        <w:rPr>
          <w:noProof/>
        </w:rPr>
        <w:t>Podlaga za uvedbo številnih ukrepov za obravnavanje posledic izbruha COVID-19, vključno z razširitvijo obstoječih shem skrajšanega delovnega časa („</w:t>
      </w:r>
      <w:r>
        <w:rPr>
          <w:i/>
          <w:noProof/>
        </w:rPr>
        <w:t>Cassa integrazione guadagni</w:t>
      </w:r>
      <w:r>
        <w:rPr>
          <w:noProof/>
        </w:rPr>
        <w:t>“), sta bila „Zakonski odlok št. 18/2020“</w:t>
      </w:r>
      <w:r>
        <w:rPr>
          <w:rStyle w:val="FootnoteReference"/>
          <w:noProof/>
        </w:rPr>
        <w:footnoteReference w:id="3"/>
      </w:r>
      <w:r>
        <w:rPr>
          <w:noProof/>
        </w:rPr>
        <w:t xml:space="preserve"> in „Zakonski odlok št. 34/2020“</w:t>
      </w:r>
      <w:r>
        <w:rPr>
          <w:rStyle w:val="FootnoteReference"/>
          <w:noProof/>
        </w:rPr>
        <w:footnoteReference w:id="4"/>
      </w:r>
      <w:r>
        <w:rPr>
          <w:noProof/>
        </w:rPr>
        <w:t xml:space="preserve">, kot sta navedena v prošnji Italije z dne 7. avgusta 2020. Ukrep pokriva 80 % običajne plače zaposlenih, ki se jim pogodba o zaposlitvi ni prekinila, podjetij, ki </w:t>
      </w:r>
      <w:r>
        <w:rPr>
          <w:noProof/>
        </w:rPr>
        <w:lastRenderedPageBreak/>
        <w:t>so v celoti ali delno zaprta zaradi COVID-19, za največ 18 tednov v obdobju od 23. februarja 2020 do 31. oktobra 2020.</w:t>
      </w:r>
    </w:p>
    <w:p>
      <w:pPr>
        <w:pStyle w:val="ManualConsidrant"/>
        <w:rPr>
          <w:noProof/>
        </w:rPr>
      </w:pPr>
      <w:r>
        <w:t>(5)</w:t>
      </w:r>
      <w:r>
        <w:tab/>
      </w:r>
      <w:r>
        <w:rPr>
          <w:noProof/>
        </w:rPr>
        <w:t xml:space="preserve">Za samozaposlene in samostojne delavce so nacionalni organi uvedli dodatek v višini 600 EUR za meseca marec in april 2020. Samostojni delavci, ki se jim je marca in aprila 2020 dohodek zmanjšal za vsaj 33 % na letni ravni, so prav tako upravičeni do nadomestila v višini 1 000 EUR za maj 2020. Dodatno nadomestilo v višini 600 EUR za marec 2020 je namenjeno samozaposlenim osebam in samostojnim delavcem, registriranim pri zasebnih institucijah obvezne socialne varnosti.  </w:t>
      </w:r>
    </w:p>
    <w:p>
      <w:pPr>
        <w:pStyle w:val="ManualConsidrant"/>
        <w:rPr>
          <w:noProof/>
        </w:rPr>
      </w:pPr>
      <w:r>
        <w:t>(6)</w:t>
      </w:r>
      <w:r>
        <w:tab/>
      </w:r>
      <w:r>
        <w:rPr>
          <w:noProof/>
        </w:rPr>
        <w:t>Nacionalni organi so uvedli vrsto ukrepov za določene poklice, ki jih je izbruh COVID-19 negativno prizadel. To vključuje dodatek v višini 600 EUR za mesec marec 2020 in 500 EUR za mesec april 2020 za zaposlene za določen čas v kmetijstvu; dodatek v višini 600 EUR za mesece marec, april in maj 2020 za delavce v zabavni industriji (z letnim prihodkom do 50 000 EUR); dodatek v višini 600 EUR za mesece marec, april in maj 2020 za delavce v športnih združenjih; dodatek v višini 600 EUR za mesece marec, april in maj 2020 za delavce na zahtevo ter dodatek v višini 500 EUR za meseca april in maj 2020 za delavce v gospodinjstvu.</w:t>
      </w:r>
    </w:p>
    <w:p>
      <w:pPr>
        <w:pStyle w:val="ManualConsidrant"/>
        <w:rPr>
          <w:noProof/>
        </w:rPr>
      </w:pPr>
      <w:r>
        <w:t>(7)</w:t>
      </w:r>
      <w:r>
        <w:tab/>
      </w:r>
      <w:r>
        <w:rPr>
          <w:noProof/>
        </w:rPr>
        <w:t xml:space="preserve">Nacionalni organi so uvedli tudi dva ukrepa, ki učinke prenehanja storitev predšolske vzgoje in zaprtja šol obravnavata z nadomestilom za starševski dopust za največ 30 dni v obdobju od 5. marca 2020 do 31. avgusta 2020 za zaposlene ali samozaposlene osebe z otroki do starosti 12 let (ali več kot 12 let, če je otrok invalid in še vedno obiskuje šolo), ki pokriva 50 % njihovih dohodkov, in kuponi za otroško varstvo za največ 2 000 EUR kot alternativo nadomestilu za starševski dopust, ki veljajo isto obdobje. Ti ukrepi se lahko štejejo za ukrepe, podobne shemam skrajšanega delovnega časa iz Uredbe (EU) 2020/672, saj zagotavljajo dohodkovno podporo zaposlenim in samozaposlenim, kar bo pomagalo kriti stroške otroškega varstva med zaprtjem šol in s tem pomagalo staršem nadaljevati delo in preprečiti, da bi bila ogrožena delovna razmerja. </w:t>
      </w:r>
    </w:p>
    <w:p>
      <w:pPr>
        <w:pStyle w:val="ManualConsidrant"/>
        <w:rPr>
          <w:noProof/>
        </w:rPr>
      </w:pPr>
      <w:r>
        <w:t>(8)</w:t>
      </w:r>
      <w:r>
        <w:tab/>
      </w:r>
      <w:r>
        <w:rPr>
          <w:noProof/>
        </w:rPr>
        <w:t>Poleg tega so nacionalni organi uvedli dodatno nadomestilo za odsotnost z dela zaradi invalidnosti za do 12 dni v obdobju od 1. marca 2020 do 30. aprila 2020 in dodatnih 12 dni v obdobju od 1. maja 2020 do 30. junija 2020 za delavce s hudo invalidnostjo ali tiste, ki imajo sorodnike s hudo invalidnostjo. Gre za razširitev obstoječe sheme, ki zaposlenim daje pravico do treh dni odsotnosti z dela zaradi invalidnosti na mesec.</w:t>
      </w:r>
    </w:p>
    <w:p>
      <w:pPr>
        <w:pStyle w:val="ManualConsidrant"/>
        <w:rPr>
          <w:noProof/>
        </w:rPr>
      </w:pPr>
      <w:r>
        <w:t>(9)</w:t>
      </w:r>
      <w:r>
        <w:tab/>
      </w:r>
      <w:r>
        <w:rPr>
          <w:noProof/>
        </w:rPr>
        <w:t xml:space="preserve">Uvedena so bila tudi nepovratna sredstva za samozaposlene osebe in enoosebne družbe. Znesek nepovratnih sredstev se izračuna glede na zmanjšanje prometa aprila 2020 v primerjavi z aprilom 2019 (pri čemer je najmanjši znesek 1 000 EUR in največji 20 % zmanjšanja prometa). </w:t>
      </w:r>
    </w:p>
    <w:p>
      <w:pPr>
        <w:pStyle w:val="ManualConsidrant"/>
        <w:rPr>
          <w:noProof/>
        </w:rPr>
      </w:pPr>
      <w:r>
        <w:t>(10)</w:t>
      </w:r>
      <w:r>
        <w:tab/>
      </w:r>
      <w:r>
        <w:rPr>
          <w:noProof/>
        </w:rPr>
        <w:t>In končno, nacionalni organi so uvedli tudi dva ukrepa, povezana z zdravjem, in sicer nov začasen davčni dobropis v višini 60 % stroškov za izboljšanje varnosti na delovnem mestu (do največ 80 000 EUR) in nov začasen davčni dobropis v višini 60 % stroškov razkuževanja za mala podjetja, pisarne samostojnih poklicev in nepridobitne ustanove ter nakupa zaščitne opreme (do največ 60 000 EUR). Ker davčni dobropisi pomenijo izpad prihodkov za vlado, se lahko štejejo za enakovredne javnofinančnim odhodkom.</w:t>
      </w:r>
    </w:p>
    <w:p>
      <w:pPr>
        <w:pStyle w:val="ManualConsidrant"/>
        <w:rPr>
          <w:noProof/>
        </w:rPr>
      </w:pPr>
      <w:r>
        <w:t>(11)</w:t>
      </w:r>
      <w:r>
        <w:tab/>
      </w:r>
      <w:r>
        <w:rPr>
          <w:noProof/>
        </w:rPr>
        <w:t xml:space="preserve">Italija izpolnjuje pogoje, da lahko zaprosi za finančno pomoč iz člena 3 Uredbe (EU) 2020/672. Italija je Komisiji predložila ustrezne dokaze, da so se dejanski in načrtovani javnofinančni odhodki od 1. februarja 2020 povečali za 28 811 965 628 EUR zaradi povečanih zneskov, ki so neposredno povezani s shemami </w:t>
      </w:r>
      <w:r>
        <w:rPr>
          <w:noProof/>
        </w:rPr>
        <w:lastRenderedPageBreak/>
        <w:t>skrajšanega delovnega časa za zaposlene, dodatki za samozaposlene delavce, zaposlene za določen čas v kmetijstvu, delavce v zabavni industriji, zaposlene v športnih združenjih, delavce v gospodinjstvu in delavce na zahtevo, kuponi za otroško varstvo, dodatnimi nadomestili za starševski dopust in odsotnost z dela zaradi invalidnosti ter nepovratnimi sredstvi za samozaposlene osebe in enoosebne družbe. To pomeni nenadno in močno povečanje, ker se nanaša na nove ukrepe in razširitev obstoječih ukrepov, ki zajemajo velik delež podjetij in delovne sile v Italiji. Italija namerava 320 000 000 EUR povečanih odhodkov financirati iz skladov Unije.</w:t>
      </w:r>
    </w:p>
    <w:p>
      <w:pPr>
        <w:pStyle w:val="ManualConsidrant"/>
        <w:rPr>
          <w:noProof/>
        </w:rPr>
      </w:pPr>
      <w:r>
        <w:t>(12)</w:t>
      </w:r>
      <w:r>
        <w:tab/>
      </w:r>
      <w:r>
        <w:rPr>
          <w:noProof/>
        </w:rPr>
        <w:t xml:space="preserve">Komisija se je v skladu s členom 6 Uredbe (EU) 2020/672 posvetovala z Italijo ter preverila nenadno in močno povečanje dejanskih in načrtovanih javnofinančnih odhodkov, ki je neposredno povezano s shemami skrajšanega delovnega časa in podobnimi ukrepi, kot tudi z uporabo zadevnih ukrepov, povezanih z zdravjem, ki so bili uvedeni zaradi izbruha COVID-19, kot je opisano v prošnji z dne 7. avgusta 2020. </w:t>
      </w:r>
    </w:p>
    <w:p>
      <w:pPr>
        <w:pStyle w:val="ManualConsidrant"/>
        <w:rPr>
          <w:noProof/>
        </w:rPr>
      </w:pPr>
      <w:r>
        <w:t>(13)</w:t>
      </w:r>
      <w:r>
        <w:tab/>
      </w:r>
      <w:r>
        <w:rPr>
          <w:noProof/>
        </w:rPr>
        <w:t>Zato bi bilo treba zagotoviti finančno pomoč za podporo Italiji pri obravnavanju socialno-ekonomskih učinkov resnih gospodarskih motenj, ki jih je povzročil izbruh COVID-19.</w:t>
      </w:r>
    </w:p>
    <w:p>
      <w:pPr>
        <w:pStyle w:val="ManualConsidrant"/>
        <w:rPr>
          <w:noProof/>
        </w:rPr>
      </w:pPr>
      <w:r>
        <w:t>(14)</w:t>
      </w:r>
      <w:r>
        <w:tab/>
      </w:r>
      <w:r>
        <w:rPr>
          <w:noProof/>
        </w:rPr>
        <w:t>Ta sklep ne bi smel posegati v izid kakršnih koli postopkov v zvezi z izkrivljanjem delovanja notranjega trga, ki se lahko izvedejo, in sicer zlasti na podlagi členov 107 in 108 PDEU. Ne razveljavlja zahteve, da države članice Komisijo v skladu s členom 108 PDEU obvestijo o primerih morebitne državne pomoči.</w:t>
      </w:r>
    </w:p>
    <w:p>
      <w:pPr>
        <w:pStyle w:val="ManualConsidrant"/>
        <w:rPr>
          <w:noProof/>
        </w:rPr>
      </w:pPr>
      <w:r>
        <w:t>(15)</w:t>
      </w:r>
      <w:r>
        <w:tab/>
      </w:r>
      <w:r>
        <w:rPr>
          <w:noProof/>
        </w:rPr>
        <w:t>Italija bi morala Komisijo redno obveščati o izvrševanju načrtovanih javnofinančnih odhodkov, da bi Komisija lahko ocenila, v kolikšnem obsegu je Italija izvršila navedene odhodke.</w:t>
      </w:r>
    </w:p>
    <w:p>
      <w:pPr>
        <w:pStyle w:val="ManualConsidrant"/>
        <w:rPr>
          <w:noProof/>
        </w:rPr>
      </w:pPr>
      <w:r>
        <w:t>(16)</w:t>
      </w:r>
      <w:r>
        <w:tab/>
      </w:r>
      <w:r>
        <w:rPr>
          <w:noProof/>
        </w:rPr>
        <w:t>Odločitev o zagotovitvi finančne pomoči je bila sprejeta ob upoštevanju obstoječih in pričakovanih potreb Italije, pa tudi prošenj za finančno pomoč v skladu z Uredbo (EU) 2020/672, ki so jih že predložile ali jih nameravajo predložiti druge države članice, pri čemer se upoštevajo načela enake obravnave, solidarnosti, sorazmernosti in preglednosti. Zlasti je bil znesek posojila določen za zagotovitev skladnosti z bonitetnimi pravili, ki se uporabljajo za portfelj posojil, kot je določeno v Uredbi Sveta (EU) 2020/672 –</w:t>
      </w:r>
    </w:p>
    <w:p>
      <w:pPr>
        <w:pStyle w:val="Formuledadoption"/>
        <w:rPr>
          <w:noProof/>
        </w:rPr>
      </w:pPr>
      <w:r>
        <w:rPr>
          <w:noProof/>
        </w:rPr>
        <w:t xml:space="preserve">SPREJEL NASLEDNJI SKLEP: </w:t>
      </w:r>
    </w:p>
    <w:p>
      <w:pPr>
        <w:pStyle w:val="Titrearticle"/>
        <w:rPr>
          <w:noProof/>
        </w:rPr>
      </w:pPr>
      <w:r>
        <w:rPr>
          <w:noProof/>
        </w:rPr>
        <w:t>Člen 1</w:t>
      </w:r>
    </w:p>
    <w:p>
      <w:pPr>
        <w:rPr>
          <w:i/>
          <w:noProof/>
        </w:rPr>
      </w:pPr>
      <w:r>
        <w:rPr>
          <w:noProof/>
        </w:rPr>
        <w:t xml:space="preserve">Italija izpolnjuje pogoje iz člena 3 Uredbe (EU) 2020/672.  </w:t>
      </w:r>
    </w:p>
    <w:p>
      <w:pPr>
        <w:pStyle w:val="Titrearticle"/>
        <w:rPr>
          <w:noProof/>
        </w:rPr>
      </w:pPr>
      <w:r>
        <w:rPr>
          <w:noProof/>
        </w:rPr>
        <w:t>Člen 2</w:t>
      </w:r>
    </w:p>
    <w:p>
      <w:pPr>
        <w:pStyle w:val="ManualNumPar1"/>
        <w:rPr>
          <w:rFonts w:ascii="Calibri" w:eastAsia="Times New Roman" w:hAnsi="Calibri" w:cs="Calibri"/>
          <w:noProof/>
          <w:color w:val="000000"/>
          <w:sz w:val="22"/>
        </w:rPr>
      </w:pPr>
      <w:r>
        <w:t>1.</w:t>
      </w:r>
      <w:r>
        <w:tab/>
      </w:r>
      <w:r>
        <w:rPr>
          <w:noProof/>
        </w:rPr>
        <w:t>Unija da Italiji na voljo posojilo v znesku največ 27 438 486 464 EUR. Povprečna zapadlost posojila ne presega 15 let.</w:t>
      </w:r>
    </w:p>
    <w:p>
      <w:pPr>
        <w:pStyle w:val="ManualNumPar1"/>
        <w:rPr>
          <w:noProof/>
        </w:rPr>
      </w:pPr>
      <w:r>
        <w:t>2.</w:t>
      </w:r>
      <w:r>
        <w:tab/>
      </w:r>
      <w:r>
        <w:rPr>
          <w:noProof/>
        </w:rPr>
        <w:t xml:space="preserve">Obdobje razpoložljivosti finančne pomoči, dodeljene s tem sklepom, je 18 mesecev od prvega dne po začetku veljavnosti tega sklepa. </w:t>
      </w:r>
    </w:p>
    <w:p>
      <w:pPr>
        <w:pStyle w:val="ManualNumPar1"/>
        <w:rPr>
          <w:noProof/>
        </w:rPr>
      </w:pPr>
      <w:r>
        <w:t>3.</w:t>
      </w:r>
      <w:r>
        <w:tab/>
      </w:r>
      <w:r>
        <w:rPr>
          <w:noProof/>
        </w:rPr>
        <w:t xml:space="preserve">Komisija da Italiji na voljo finančno pomoč Unije v največ deset obrokih. Obrok se lahko izplača v eni ali več tranšah. Zapadlost tranš prvega obroka je lahko daljša od največje povprečne zapadlosti iz odstavka 1. V takih primerih se zapadlost nadaljnjih tranš določi tako, da največja povprečna zapadlost iz odstavka 1 ni presežena, ko so izplačani vsi obroki. </w:t>
      </w:r>
    </w:p>
    <w:p>
      <w:pPr>
        <w:pStyle w:val="ManualNumPar1"/>
        <w:rPr>
          <w:noProof/>
        </w:rPr>
      </w:pPr>
      <w:r>
        <w:lastRenderedPageBreak/>
        <w:t>4.</w:t>
      </w:r>
      <w:r>
        <w:tab/>
      </w:r>
      <w:r>
        <w:rPr>
          <w:noProof/>
        </w:rPr>
        <w:t xml:space="preserve">Prvi obrok se sprosti ob začetku veljavnosti sporazuma o posojilu iz člena 8(2) Uredbe (EU) 2020/672. </w:t>
      </w:r>
    </w:p>
    <w:p>
      <w:pPr>
        <w:pStyle w:val="ManualNumPar1"/>
        <w:rPr>
          <w:noProof/>
        </w:rPr>
      </w:pPr>
      <w:r>
        <w:t>5.</w:t>
      </w:r>
      <w:r>
        <w:tab/>
      </w:r>
      <w:r>
        <w:rPr>
          <w:noProof/>
        </w:rPr>
        <w:t xml:space="preserve">Italija plača strošek financiranja Unije iz člena 4 Uredbe (EU) 2020/672 za vsak obrok ter vse pristojbine, stroške in odhodke Unije, ki izhajajo iz financiranja. </w:t>
      </w:r>
    </w:p>
    <w:p>
      <w:pPr>
        <w:pStyle w:val="ManualNumPar1"/>
        <w:rPr>
          <w:noProof/>
        </w:rPr>
      </w:pPr>
      <w:r>
        <w:t>6.</w:t>
      </w:r>
      <w:r>
        <w:tab/>
      </w:r>
      <w:r>
        <w:rPr>
          <w:noProof/>
        </w:rPr>
        <w:t xml:space="preserve">Komisija odloča o obsegu in sprostitvi obrokov ter velikosti tranš. </w:t>
      </w:r>
    </w:p>
    <w:p>
      <w:pPr>
        <w:pStyle w:val="Titrearticle"/>
        <w:rPr>
          <w:noProof/>
        </w:rPr>
      </w:pPr>
      <w:r>
        <w:rPr>
          <w:noProof/>
        </w:rPr>
        <w:t xml:space="preserve">Člen 3 </w:t>
      </w:r>
    </w:p>
    <w:p>
      <w:pPr>
        <w:rPr>
          <w:noProof/>
        </w:rPr>
      </w:pPr>
      <w:r>
        <w:rPr>
          <w:noProof/>
        </w:rPr>
        <w:t>Italija lahko financira naslednje ukrepe:</w:t>
      </w:r>
    </w:p>
    <w:p>
      <w:pPr>
        <w:pStyle w:val="Point0"/>
        <w:rPr>
          <w:noProof/>
        </w:rPr>
      </w:pPr>
      <w:r>
        <w:t>(a)</w:t>
      </w:r>
      <w:r>
        <w:tab/>
      </w:r>
      <w:r>
        <w:rPr>
          <w:noProof/>
        </w:rPr>
        <w:t>razširitev obstoječih shem skrajšanega delovnega časa („</w:t>
      </w:r>
      <w:r>
        <w:rPr>
          <w:i/>
          <w:noProof/>
        </w:rPr>
        <w:t>Cassa integrazione guadagni</w:t>
      </w:r>
      <w:r>
        <w:rPr>
          <w:noProof/>
        </w:rPr>
        <w:t xml:space="preserve">“) za zaposlene, kot je določeno v členih 19–22 Zakonskega odloka št. 18/2020, kakor je bil spremenjen z Zakonom št. 27/2020, in členih 68–71 Zakonskega odloka št. 34/2020, kakor je bil spremenjen z Zakonom št. 77/2020; </w:t>
      </w:r>
    </w:p>
    <w:p>
      <w:pPr>
        <w:pStyle w:val="Point0"/>
        <w:rPr>
          <w:noProof/>
        </w:rPr>
      </w:pPr>
      <w:r>
        <w:t>(b)</w:t>
      </w:r>
      <w:r>
        <w:tab/>
      </w:r>
      <w:r>
        <w:rPr>
          <w:noProof/>
        </w:rPr>
        <w:t xml:space="preserve">dodatek za samozaposlene osebe, kot je določeno v členih 27, 28 in 44 Zakonskega odloka št. 18/2020, kakor je bil spremenjen z Zakonom št. 27/2020, in členu 84 Zakonskega odloka št. 34/2020, kakor je bil spremenjen z Zakonom št. 77/2020; </w:t>
      </w:r>
    </w:p>
    <w:p>
      <w:pPr>
        <w:pStyle w:val="Point0"/>
        <w:rPr>
          <w:noProof/>
        </w:rPr>
      </w:pPr>
      <w:r>
        <w:t>(c)</w:t>
      </w:r>
      <w:r>
        <w:tab/>
      </w:r>
      <w:r>
        <w:rPr>
          <w:noProof/>
        </w:rPr>
        <w:t xml:space="preserve">dodatke za zaposlene za določen čas v kmetijstvu, kot je določeno v členu 30 Zakonskega odloka št. 18/2020 in členu 84 Zakonskega odloka št. 34/2020, kakor je bil spremenjen z Zakonom št. 77/2020; </w:t>
      </w:r>
    </w:p>
    <w:p>
      <w:pPr>
        <w:pStyle w:val="Point0"/>
        <w:rPr>
          <w:noProof/>
        </w:rPr>
      </w:pPr>
      <w:r>
        <w:t>(d)</w:t>
      </w:r>
      <w:r>
        <w:tab/>
      </w:r>
      <w:r>
        <w:rPr>
          <w:noProof/>
        </w:rPr>
        <w:t xml:space="preserve">dodatke za delavce v zabavni industriji, kot je določeno v členu 38 Zakonskega odloka št. 18/2020 in členu 84 Zakonskega odloka št. 34/2020, kakor je bil spremenjen z Zakonom št. 77/2020; </w:t>
      </w:r>
    </w:p>
    <w:p>
      <w:pPr>
        <w:pStyle w:val="Point0"/>
        <w:rPr>
          <w:noProof/>
        </w:rPr>
      </w:pPr>
      <w:r>
        <w:t>(e)</w:t>
      </w:r>
      <w:r>
        <w:tab/>
      </w:r>
      <w:r>
        <w:rPr>
          <w:noProof/>
        </w:rPr>
        <w:t xml:space="preserve">dodatke za zaposlene v športnih združenjih, kot je določeno v členu 96 Zakonskega odloka št. 18/2020 in členu 84 Zakonskega odloka št. 34/2020, kakor je bil spremenjen z Zakonom št. 77/2020; </w:t>
      </w:r>
    </w:p>
    <w:p>
      <w:pPr>
        <w:pStyle w:val="Point0"/>
        <w:rPr>
          <w:noProof/>
        </w:rPr>
      </w:pPr>
      <w:r>
        <w:t>(f)</w:t>
      </w:r>
      <w:r>
        <w:tab/>
      </w:r>
      <w:r>
        <w:rPr>
          <w:noProof/>
        </w:rPr>
        <w:t xml:space="preserve">dodatek za delavce v gospodinjstvu, kot je določeno v členu 85 Zakonskega odloka št. 34/2020, kakor je bil spremenjen z Zakonom št. 77/2020; </w:t>
      </w:r>
    </w:p>
    <w:p>
      <w:pPr>
        <w:pStyle w:val="Point0"/>
        <w:rPr>
          <w:noProof/>
        </w:rPr>
      </w:pPr>
      <w:r>
        <w:t>(g)</w:t>
      </w:r>
      <w:r>
        <w:tab/>
      </w:r>
      <w:r>
        <w:rPr>
          <w:noProof/>
        </w:rPr>
        <w:t xml:space="preserve">dodatek za delavce na zahtevo, kot je določeno v členu 44 Zakonskega odloka št. 18/2020 in členu 84 Zakonskega odloka št. 34/2020, kakor je bil spremenjen z Zakonom št. 77/2020; </w:t>
      </w:r>
    </w:p>
    <w:p>
      <w:pPr>
        <w:pStyle w:val="Point0"/>
        <w:rPr>
          <w:noProof/>
        </w:rPr>
      </w:pPr>
      <w:r>
        <w:t>(h)</w:t>
      </w:r>
      <w:r>
        <w:tab/>
      </w:r>
      <w:r>
        <w:rPr>
          <w:noProof/>
        </w:rPr>
        <w:t xml:space="preserve">nepovratna sredstva za samozaposlene osebe in enoosebne družbe, kot je določeno v členu 25 Zakonskega odloka št. 34/2020, kakor je bil spremenjen z Zakonom št. 77/2020, za del odhodkov, ki se nanaša na podporo samozaposlenim osebam in enoosebnim družbam; </w:t>
      </w:r>
    </w:p>
    <w:p>
      <w:pPr>
        <w:pStyle w:val="Point0"/>
        <w:rPr>
          <w:noProof/>
        </w:rPr>
      </w:pPr>
      <w:r>
        <w:t>(i)</w:t>
      </w:r>
      <w:r>
        <w:tab/>
      </w:r>
      <w:r>
        <w:rPr>
          <w:noProof/>
        </w:rPr>
        <w:t xml:space="preserve">nadomestila za starševski dopust, kot je določeno v členih 23 in 25 Zakonskega odloka št. 18/2020, kakor je bil spremenjen z Zakonom št. 27/2020, in členu 72 Zakonskega odloka št. 34/2020, kakor je bil spremenjen z Zakonom št. 77/2020; </w:t>
      </w:r>
    </w:p>
    <w:p>
      <w:pPr>
        <w:pStyle w:val="Point0"/>
        <w:rPr>
          <w:noProof/>
        </w:rPr>
      </w:pPr>
      <w:r>
        <w:t>(j)</w:t>
      </w:r>
      <w:r>
        <w:tab/>
      </w:r>
      <w:r>
        <w:rPr>
          <w:noProof/>
        </w:rPr>
        <w:t xml:space="preserve">kupone za otroško varstvo, kot je določeno v členih 23 in 25 Zakonskega odloka št. 18/2020, kakor je bil spremenjen z Zakonom št. 27/2020, in členu 73 Zakonskega odloka št. 34/2020, kakor je bil spremenjen z Zakonom št. 77/2020; </w:t>
      </w:r>
    </w:p>
    <w:p>
      <w:pPr>
        <w:pStyle w:val="Point0"/>
        <w:rPr>
          <w:noProof/>
        </w:rPr>
      </w:pPr>
      <w:r>
        <w:t>(k)</w:t>
      </w:r>
      <w:r>
        <w:tab/>
      </w:r>
      <w:r>
        <w:rPr>
          <w:noProof/>
        </w:rPr>
        <w:t>nadomestila za odsotnost z dela zaradi invalidnosti, kot je določeno v členu 24 Zakonskega odloka št. 18/2020, kakor je bil spremenjen z Zakonom št. 27/2020, in členu 74 Zakonskega odloka št. 34/2020, kakor je bil spremenjen z Zakonom št. 77/2020;</w:t>
      </w:r>
    </w:p>
    <w:p>
      <w:pPr>
        <w:pStyle w:val="Point0"/>
        <w:rPr>
          <w:noProof/>
        </w:rPr>
      </w:pPr>
      <w:r>
        <w:lastRenderedPageBreak/>
        <w:t>(l)</w:t>
      </w:r>
      <w:r>
        <w:tab/>
      </w:r>
      <w:r>
        <w:rPr>
          <w:noProof/>
        </w:rPr>
        <w:t xml:space="preserve">davčne dobropise v zvezi z izboljšavami varnosti na delovnem mestu, kot je določeno v členu 120 Zakonskega odloka št. 34/2020, kakor je bil spremenjen z Zakonom št. 77/2020; </w:t>
      </w:r>
    </w:p>
    <w:p>
      <w:pPr>
        <w:pStyle w:val="Point0"/>
        <w:rPr>
          <w:noProof/>
        </w:rPr>
      </w:pPr>
      <w:r>
        <w:t>(m)</w:t>
      </w:r>
      <w:r>
        <w:tab/>
      </w:r>
      <w:r>
        <w:rPr>
          <w:noProof/>
        </w:rPr>
        <w:t>davčne dobropise v zvezi z razkuževanjem delovnih prostorov in nakupom zaščitne opreme, kot je določeno v členu 125 Zakonskega odloka št. 34/2020, kakor je bil spremenjen z Zakonom št. 77/2020.</w:t>
      </w:r>
    </w:p>
    <w:p>
      <w:pPr>
        <w:pStyle w:val="Titrearticle"/>
        <w:rPr>
          <w:noProof/>
        </w:rPr>
      </w:pPr>
      <w:r>
        <w:rPr>
          <w:noProof/>
        </w:rPr>
        <w:t>Člen 4</w:t>
      </w:r>
    </w:p>
    <w:p>
      <w:pPr>
        <w:rPr>
          <w:noProof/>
        </w:rPr>
      </w:pPr>
      <w:r>
        <w:rPr>
          <w:noProof/>
        </w:rPr>
        <w:t>Italija do [</w:t>
      </w:r>
      <w:r>
        <w:rPr>
          <w:i/>
          <w:iCs/>
          <w:noProof/>
        </w:rPr>
        <w:t>DATUM:</w:t>
      </w:r>
      <w:r>
        <w:rPr>
          <w:noProof/>
        </w:rPr>
        <w:t xml:space="preserve"> </w:t>
      </w:r>
      <w:r>
        <w:rPr>
          <w:i/>
          <w:noProof/>
        </w:rPr>
        <w:t>6 mesecev po datumu objave tega sklepa</w:t>
      </w:r>
      <w:r>
        <w:rPr>
          <w:noProof/>
        </w:rPr>
        <w:t>] in nato vsakih 6 mesecev obvešča Komisijo o izvrševanju načrtovanih javnofinančnih odhodkov, dokler načrtovani javnofinančni odhodki niso v celoti izvršeni.</w:t>
      </w:r>
    </w:p>
    <w:p>
      <w:pPr>
        <w:pStyle w:val="Titrearticle"/>
        <w:rPr>
          <w:noProof/>
        </w:rPr>
      </w:pPr>
      <w:r>
        <w:rPr>
          <w:noProof/>
        </w:rPr>
        <w:t>Člen 5</w:t>
      </w:r>
    </w:p>
    <w:p>
      <w:pPr>
        <w:keepNext/>
        <w:keepLines/>
        <w:rPr>
          <w:noProof/>
        </w:rPr>
      </w:pPr>
      <w:r>
        <w:rPr>
          <w:noProof/>
          <w:color w:val="000000"/>
        </w:rPr>
        <w:t>Ta sklep je naslovljen na</w:t>
      </w:r>
      <w:r>
        <w:rPr>
          <w:noProof/>
        </w:rPr>
        <w:t xml:space="preserve"> Italijansko republiko.</w:t>
      </w:r>
    </w:p>
    <w:p>
      <w:pPr>
        <w:pStyle w:val="Titrearticle"/>
        <w:rPr>
          <w:noProof/>
        </w:rPr>
      </w:pPr>
      <w:r>
        <w:rPr>
          <w:noProof/>
        </w:rPr>
        <w:t>Člen 6</w:t>
      </w:r>
    </w:p>
    <w:p>
      <w:pPr>
        <w:rPr>
          <w:noProof/>
        </w:rPr>
      </w:pPr>
      <w:r>
        <w:rPr>
          <w:noProof/>
        </w:rPr>
        <w:t xml:space="preserve">Ta sklep se objavi v </w:t>
      </w:r>
      <w:r>
        <w:rPr>
          <w:i/>
          <w:noProof/>
        </w:rPr>
        <w:t>Uradnem listu Evropske unije</w:t>
      </w:r>
      <w:r>
        <w:rPr>
          <w:noProof/>
        </w:rPr>
        <w:t xml:space="preserve">. </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L 159, 20.5.2020, str. 1.</w:t>
      </w:r>
    </w:p>
  </w:footnote>
  <w:footnote w:id="3">
    <w:p>
      <w:pPr>
        <w:pStyle w:val="FootnoteText"/>
        <w:ind w:left="142" w:hanging="142"/>
      </w:pPr>
      <w:r>
        <w:rPr>
          <w:rStyle w:val="FootnoteReference"/>
        </w:rPr>
        <w:footnoteRef/>
      </w:r>
      <w:r>
        <w:tab/>
        <w:t>Zakonski odlok št. 18/2020, kakor je bil spremenjen z Zakonom št. 27/2020.</w:t>
      </w:r>
    </w:p>
  </w:footnote>
  <w:footnote w:id="4">
    <w:p>
      <w:pPr>
        <w:pStyle w:val="FootnoteText"/>
      </w:pPr>
      <w:r>
        <w:rPr>
          <w:rStyle w:val="FootnoteReference"/>
        </w:rPr>
        <w:footnoteRef/>
      </w:r>
      <w:r>
        <w:tab/>
        <w:t>Zakonski odlok št. 34/2020, kakor je bil spremenjen z Zakonom št. 77/2020.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38C8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F082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E30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4BA3312"/>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1:30: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8E5610-F9F5-45C5-B7F0-1AEA8E4B7CB7"/>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selj,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19"/>
    <w:docVar w:name="LW_REF.II.NEW.CP_YEAR" w:val="2020"/>
    <w:docVar w:name="LW_REF.INST.NEW" w:val="COM"/>
    <w:docVar w:name="LW_REF.INST.NEW_ADOPTED" w:val="final"/>
    <w:docVar w:name="LW_REF.INST.NEW_TEXT" w:val="(2020) 4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dodelitvi za\u269?asne podpore Italiji na podlagi Uredbe Sveta (EU) 2020/672 za ubla\u382?itev tveganj za brezposelnost v izrednih razmerah po izbruhu COVID-19"/>
    <w:docVar w:name="LW_TYPE.DOC.CP" w:val="IZVEDBENI 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996">
      <w:bodyDiv w:val="1"/>
      <w:marLeft w:val="0"/>
      <w:marRight w:val="0"/>
      <w:marTop w:val="0"/>
      <w:marBottom w:val="0"/>
      <w:divBdr>
        <w:top w:val="none" w:sz="0" w:space="0" w:color="auto"/>
        <w:left w:val="none" w:sz="0" w:space="0" w:color="auto"/>
        <w:bottom w:val="none" w:sz="0" w:space="0" w:color="auto"/>
        <w:right w:val="none" w:sz="0" w:space="0" w:color="auto"/>
      </w:divBdr>
    </w:div>
    <w:div w:id="166093505">
      <w:bodyDiv w:val="1"/>
      <w:marLeft w:val="0"/>
      <w:marRight w:val="0"/>
      <w:marTop w:val="0"/>
      <w:marBottom w:val="0"/>
      <w:divBdr>
        <w:top w:val="none" w:sz="0" w:space="0" w:color="auto"/>
        <w:left w:val="none" w:sz="0" w:space="0" w:color="auto"/>
        <w:bottom w:val="none" w:sz="0" w:space="0" w:color="auto"/>
        <w:right w:val="none" w:sz="0" w:space="0" w:color="auto"/>
      </w:divBdr>
    </w:div>
    <w:div w:id="178199314">
      <w:bodyDiv w:val="1"/>
      <w:marLeft w:val="0"/>
      <w:marRight w:val="0"/>
      <w:marTop w:val="0"/>
      <w:marBottom w:val="0"/>
      <w:divBdr>
        <w:top w:val="none" w:sz="0" w:space="0" w:color="auto"/>
        <w:left w:val="none" w:sz="0" w:space="0" w:color="auto"/>
        <w:bottom w:val="none" w:sz="0" w:space="0" w:color="auto"/>
        <w:right w:val="none" w:sz="0" w:space="0" w:color="auto"/>
      </w:divBdr>
    </w:div>
    <w:div w:id="337931380">
      <w:bodyDiv w:val="1"/>
      <w:marLeft w:val="0"/>
      <w:marRight w:val="0"/>
      <w:marTop w:val="0"/>
      <w:marBottom w:val="0"/>
      <w:divBdr>
        <w:top w:val="none" w:sz="0" w:space="0" w:color="auto"/>
        <w:left w:val="none" w:sz="0" w:space="0" w:color="auto"/>
        <w:bottom w:val="none" w:sz="0" w:space="0" w:color="auto"/>
        <w:right w:val="none" w:sz="0" w:space="0" w:color="auto"/>
      </w:divBdr>
    </w:div>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1548028428">
      <w:bodyDiv w:val="1"/>
      <w:marLeft w:val="0"/>
      <w:marRight w:val="0"/>
      <w:marTop w:val="0"/>
      <w:marBottom w:val="0"/>
      <w:divBdr>
        <w:top w:val="none" w:sz="0" w:space="0" w:color="auto"/>
        <w:left w:val="none" w:sz="0" w:space="0" w:color="auto"/>
        <w:bottom w:val="none" w:sz="0" w:space="0" w:color="auto"/>
        <w:right w:val="none" w:sz="0" w:space="0" w:color="auto"/>
      </w:divBdr>
    </w:div>
    <w:div w:id="1769503458">
      <w:bodyDiv w:val="1"/>
      <w:marLeft w:val="0"/>
      <w:marRight w:val="0"/>
      <w:marTop w:val="0"/>
      <w:marBottom w:val="0"/>
      <w:divBdr>
        <w:top w:val="none" w:sz="0" w:space="0" w:color="auto"/>
        <w:left w:val="none" w:sz="0" w:space="0" w:color="auto"/>
        <w:bottom w:val="none" w:sz="0" w:space="0" w:color="auto"/>
        <w:right w:val="none" w:sz="0" w:space="0" w:color="auto"/>
      </w:divBdr>
    </w:div>
    <w:div w:id="1904875803">
      <w:bodyDiv w:val="1"/>
      <w:marLeft w:val="0"/>
      <w:marRight w:val="0"/>
      <w:marTop w:val="0"/>
      <w:marBottom w:val="0"/>
      <w:divBdr>
        <w:top w:val="none" w:sz="0" w:space="0" w:color="auto"/>
        <w:left w:val="none" w:sz="0" w:space="0" w:color="auto"/>
        <w:bottom w:val="none" w:sz="0" w:space="0" w:color="auto"/>
        <w:right w:val="none" w:sz="0" w:space="0" w:color="auto"/>
      </w:divBdr>
    </w:div>
    <w:div w:id="2067798666">
      <w:bodyDiv w:val="1"/>
      <w:marLeft w:val="0"/>
      <w:marRight w:val="0"/>
      <w:marTop w:val="0"/>
      <w:marBottom w:val="0"/>
      <w:divBdr>
        <w:top w:val="none" w:sz="0" w:space="0" w:color="auto"/>
        <w:left w:val="none" w:sz="0" w:space="0" w:color="auto"/>
        <w:bottom w:val="none" w:sz="0" w:space="0" w:color="auto"/>
        <w:right w:val="none" w:sz="0" w:space="0" w:color="auto"/>
      </w:divBdr>
    </w:div>
    <w:div w:id="20976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C77C118D859E54EB67580662C84FC1D" ma:contentTypeVersion="5" ma:contentTypeDescription="Create a new document in this library." ma:contentTypeScope="" ma:versionID="61af9db13edfa5bf54c66ba27f679c45">
  <xsd:schema xmlns:xsd="http://www.w3.org/2001/XMLSchema" xmlns:xs="http://www.w3.org/2001/XMLSchema" xmlns:p="http://schemas.microsoft.com/office/2006/metadata/properties" xmlns:ns3="52620ba7-763e-42f0-8a8d-d357237415df" xmlns:ns4="fe36a264-c730-4012-8728-159324ca18ef" targetNamespace="http://schemas.microsoft.com/office/2006/metadata/properties" ma:root="true" ma:fieldsID="65ee4e6a5e254cbca4aec72af8b0bb00" ns3:_="" ns4:_="">
    <xsd:import namespace="52620ba7-763e-42f0-8a8d-d357237415df"/>
    <xsd:import namespace="fe36a264-c730-4012-8728-159324ca18ef"/>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0ba7-763e-42f0-8a8d-d357237415d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fe36a264-c730-4012-8728-159324ca18ef" elementFormDefault="qualified">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52620ba7-763e-42f0-8a8d-d357237415df" xsi:nil="true"/>
    <EC_ARES_TRANSFERRED_BY xmlns="fe36a264-c730-4012-8728-159324ca18ef" xsi:nil="true"/>
    <EC_ARES_NUMBER xmlns="fe36a264-c730-4012-8728-159324ca18ef">
      <Url xsi:nil="true"/>
      <Description xsi:nil="true"/>
    </EC_ARES_NUMBER>
    <EC_ARES_DATE_TRANSFERRED xmlns="fe36a264-c730-4012-8728-159324ca18ef" xsi:nil="true"/>
    <EC_Collab_DocumentLanguage xmlns="52620ba7-763e-42f0-8a8d-d357237415df">EN</EC_Collab_DocumentLanguage>
    <EC_Collab_Status xmlns="52620ba7-763e-42f0-8a8d-d357237415df">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EC4911-4415-4862-B8FE-EE5131E2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20ba7-763e-42f0-8a8d-d357237415df"/>
    <ds:schemaRef ds:uri="fe36a264-c730-4012-8728-159324ca1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5CC2D-B0B1-4BCB-9C79-5256112B305A}">
  <ds:schemaRefs>
    <ds:schemaRef ds:uri="http://schemas.openxmlformats.org/package/2006/metadata/core-properties"/>
    <ds:schemaRef ds:uri="fe36a264-c730-4012-8728-159324ca18ef"/>
    <ds:schemaRef ds:uri="http://schemas.microsoft.com/office/2006/documentManagement/types"/>
    <ds:schemaRef ds:uri="http://schemas.microsoft.com/office/infopath/2007/PartnerControls"/>
    <ds:schemaRef ds:uri="52620ba7-763e-42f0-8a8d-d357237415d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3B2DD70-A3F4-4F96-83B3-840A823FBF75}">
  <ds:schemaRefs>
    <ds:schemaRef ds:uri="http://schemas.microsoft.com/sharepoint/v3/contenttype/forms"/>
  </ds:schemaRefs>
</ds:datastoreItem>
</file>

<file path=customXml/itemProps4.xml><?xml version="1.0" encoding="utf-8"?>
<ds:datastoreItem xmlns:ds="http://schemas.openxmlformats.org/officeDocument/2006/customXml" ds:itemID="{E6934F6F-685E-40EB-BC00-AA4B7499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3112</Words>
  <Characters>16993</Characters>
  <Application>Microsoft Office Word</Application>
  <DocSecurity>0</DocSecurity>
  <Lines>298</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2020-09-03T09:54:00Z</dcterms:created>
  <dcterms:modified xsi:type="dcterms:W3CDTF">2020-09-07T09:30:00Z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ContentTypeId">
    <vt:lpwstr>0x010100258AA79CEB83498886A3A0868112325000FC77C118D859E54EB67580662C84FC1D</vt:lpwstr>
  </property>
  <property fmtid="{D5CDD505-2E9C-101B-9397-08002B2CF9AE}" pid="11" name="DQCStatus">
    <vt:lpwstr>Green (DQC version 03)</vt:lpwstr>
  </property>
</Properties>
</file>