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E765D7D-DAAE-45BA-8F74-C9C6D67FFC1B" style="width:451.25pt;height:392.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kohde</w:t>
      </w:r>
    </w:p>
    <w:p>
      <w:pPr>
        <w:rPr>
          <w:rFonts w:eastAsia="Arial Unicode MS"/>
          <w:noProof/>
        </w:rPr>
      </w:pPr>
      <w:r>
        <w:rPr>
          <w:noProof/>
        </w:rPr>
        <w:t xml:space="preserve">Tämä ehdotus koskee EU:n ja Israelin välisestä assosioinnista tehdyn sopimuksen assosiointineuvostossa unionin puolesta otettavaa kantaa EU:n ja Israelin välisestä assosioinnista tehdyn sopimuksen pöytäkirjan N:o 4 muuttamista koskevan päätöksen suunniteltuun hyväksymiseen. </w:t>
      </w:r>
    </w:p>
    <w:p>
      <w:pPr>
        <w:pStyle w:val="ManualHeading1"/>
        <w:rPr>
          <w:noProof/>
        </w:rPr>
      </w:pPr>
      <w:r>
        <w:rPr>
          <w:noProof/>
        </w:rPr>
        <w:t>2.</w:t>
      </w:r>
      <w:r>
        <w:rPr>
          <w:noProof/>
        </w:rPr>
        <w:tab/>
        <w:t>Ehdotuksen tausta</w:t>
      </w:r>
    </w:p>
    <w:p>
      <w:pPr>
        <w:pStyle w:val="ManualHeading2"/>
        <w:rPr>
          <w:noProof/>
        </w:rPr>
      </w:pPr>
      <w:r>
        <w:rPr>
          <w:noProof/>
        </w:rPr>
        <w:t>2.1.</w:t>
      </w:r>
      <w:r>
        <w:rPr>
          <w:noProof/>
        </w:rPr>
        <w:tab/>
        <w:t>Euro–Välimeri-sopimus Euroopan yhteisöjen ja niiden jäsenvaltioiden sekä Israelin valtion välisestä assosioinnista</w:t>
      </w:r>
    </w:p>
    <w:p>
      <w:pPr>
        <w:rPr>
          <w:rFonts w:eastAsia="Arial Unicode MS"/>
          <w:noProof/>
        </w:rPr>
      </w:pPr>
      <w:r>
        <w:rPr>
          <w:noProof/>
        </w:rPr>
        <w:t>Euroopan yhteisöjen ja niiden jäsenvaltioiden sekä Israelin valtion välisestä assosioinnista tehdyn Euro–Välimeri-sopimuksen</w:t>
      </w:r>
      <w:r>
        <w:rPr>
          <w:rStyle w:val="FootnoteReference"/>
          <w:noProof/>
        </w:rPr>
        <w:footnoteReference w:id="2"/>
      </w:r>
      <w:r>
        <w:rPr>
          <w:noProof/>
        </w:rPr>
        <w:t>, jäljempänä ’sopimus’, tarkoituksena on luoda edellytykset tavaroiden, palvelujen ja pääoman kaupan asteittaiselle vapauttamiselle. Sopimus tuli voimaan 1. kesäkuuta 2000.</w:t>
      </w:r>
    </w:p>
    <w:p>
      <w:pPr>
        <w:pStyle w:val="ManualHeading2"/>
        <w:rPr>
          <w:noProof/>
        </w:rPr>
      </w:pPr>
      <w:r>
        <w:rPr>
          <w:noProof/>
        </w:rPr>
        <w:t>2.2.</w:t>
      </w:r>
      <w:r>
        <w:rPr>
          <w:noProof/>
        </w:rPr>
        <w:tab/>
        <w:t xml:space="preserve">Assosiointineuvosto </w:t>
      </w:r>
    </w:p>
    <w:p>
      <w:pPr>
        <w:rPr>
          <w:rFonts w:eastAsia="Arial Unicode MS"/>
          <w:noProof/>
        </w:rPr>
      </w:pPr>
      <w:r>
        <w:rPr>
          <w:noProof/>
        </w:rPr>
        <w:t>Sopimuksen 67 artiklan määräysten mukaisesti perustettu assosiointineuvosto voi päättää muuttaa käsitteen ”peräisin olevat tuotteet” (alkuperätuotteet) määrittelyä ja hallinnollisen yhteistyön menetelmiä koskevan pöytäkirjan N:o 4 määräyksiä (pöytäkirjassa N:o 4 oleva 39 artikla). Assosiointineuvosto laatii päätöksensä ja suosituksensa kahden osapuolen yhteisellä sopimuksella.</w:t>
      </w:r>
    </w:p>
    <w:p>
      <w:pPr>
        <w:pStyle w:val="ManualHeading2"/>
        <w:rPr>
          <w:noProof/>
        </w:rPr>
      </w:pPr>
      <w:r>
        <w:rPr>
          <w:noProof/>
        </w:rPr>
        <w:t>2.3.</w:t>
      </w:r>
      <w:r>
        <w:rPr>
          <w:noProof/>
        </w:rPr>
        <w:tab/>
        <w:t>Assosiointineuvoston suunniteltu säädös</w:t>
      </w:r>
    </w:p>
    <w:p>
      <w:pPr>
        <w:rPr>
          <w:rFonts w:eastAsia="Arial Unicode MS"/>
          <w:noProof/>
        </w:rPr>
      </w:pPr>
      <w:r>
        <w:rPr>
          <w:noProof/>
        </w:rPr>
        <w:t>Assosiointineuvoston on määrä hyväksyä seuraavassa kokouksessaan tai kirjeenvaihtona päätös, jäljempänä ’suunniteltu säädös’, käsitteen ”peräisin olevat tuotteet” (alkuperätuotteet) määrittelyä ja hallinnollisen yhteistyön menetelmiä koskevan pöytäkirjan N:o 4 määräysten muuttamisesta.</w:t>
      </w:r>
    </w:p>
    <w:p>
      <w:pPr>
        <w:rPr>
          <w:rFonts w:eastAsia="Arial Unicode MS"/>
          <w:noProof/>
        </w:rPr>
      </w:pPr>
      <w:r>
        <w:rPr>
          <w:noProof/>
        </w:rPr>
        <w:t>Suunnitellun säädöksen tarkoituksena on muuttaa käsitteen ”peräisin olevat tuotteet” (alkuperätuotteet) määrittelyä ja hallinnollisen yhteistyön menetelmiä koskevan pöytäkirjan N:o 4 määräyksiä.</w:t>
      </w:r>
    </w:p>
    <w:p>
      <w:pPr>
        <w:rPr>
          <w:noProof/>
        </w:rPr>
      </w:pPr>
      <w:r>
        <w:rPr>
          <w:noProof/>
        </w:rPr>
        <w:t xml:space="preserve">Suunnitellusta säädöksestä tulee osapuolia sitova assosiointisopimuksen 69 artiklan 2 kohdan mukaisesti. </w:t>
      </w:r>
    </w:p>
    <w:p>
      <w:pPr>
        <w:pStyle w:val="ManualHeading1"/>
        <w:rPr>
          <w:noProof/>
        </w:rPr>
      </w:pPr>
      <w:r>
        <w:rPr>
          <w:noProof/>
        </w:rPr>
        <w:t>3.</w:t>
      </w:r>
      <w:r>
        <w:rPr>
          <w:noProof/>
        </w:rPr>
        <w:tab/>
        <w:t xml:space="preserve">Unionin puolesta otettava kanta </w:t>
      </w:r>
    </w:p>
    <w:p>
      <w:pPr>
        <w:rPr>
          <w:rFonts w:eastAsia="Arial Unicode MS"/>
          <w:noProof/>
        </w:rPr>
      </w:pPr>
      <w:r>
        <w:rPr>
          <w:noProof/>
        </w:rPr>
        <w:t xml:space="preserve">Etuuskohteluun oikeuttavia Paneurooppa–Välimeri-alkuperäsääntöjä koskevassa alueellisessa yleissopimuksessa, jäljempänä ’yleissopimus’, vahvistetaan sellaisten tavaroiden alkuperää koskevat määräykset, joilla käydään kauppaa sopimuspuolten välillä tehtyjen asiaankuuluvien sopimusten nojalla. EU allekirjoitti yleissopimuksen 15. kesäkuuta 2011 ja Israel 10. lokakuuta 2013. </w:t>
      </w:r>
    </w:p>
    <w:p>
      <w:pPr>
        <w:rPr>
          <w:rFonts w:eastAsia="Arial Unicode MS"/>
          <w:noProof/>
        </w:rPr>
      </w:pPr>
      <w:r>
        <w:rPr>
          <w:noProof/>
        </w:rPr>
        <w:t>EU talletti hyväksymisasiakirjansa yleissopimuksen tallettajalle 26. maaliskuuta 2012 ja Israel 28. elokuuta 2014. Näin ollen yleissopimus tuli voimaan sen 10 artiklan 2 kohdan mukaisesti EU:n osalta 1. toukokuuta 2012 ja Israelin osalta 1. joulukuuta 2017.</w:t>
      </w:r>
    </w:p>
    <w:p>
      <w:pPr>
        <w:rPr>
          <w:rFonts w:eastAsia="Arial Unicode MS"/>
          <w:noProof/>
        </w:rPr>
      </w:pPr>
      <w:r>
        <w:rPr>
          <w:noProof/>
        </w:rPr>
        <w:lastRenderedPageBreak/>
        <w:t xml:space="preserve">Yleissopimuksen 6 artiklassa määrätään, että kukin sopimuspuoli toteuttaa asianmukaiset toimenpiteet varmistaakseen yleissopimuksen tosiasiallisen soveltamisen. Tätä varten  Euroopan yhteisöjen ja niiden jäsenvaltioiden sekä Israelin valtion välisestä assosioinnista tehdyllä sopimuksella perustetun assosiointineuvoston olisi hyväksyttävä päätös, jolla yleissopimuksen säännöt sisällytetään käsitteen ”peräisin olevat tuotteet” (alkuperätuotteet) määrittelyä ja hallinnollisen yhteistyön menetelmiä koskevaan pöytäkirjaan N:o 4. Tämä tehdään sisällyttämällä muutettavaan pöytäkirjaan yleissopimusta koskeva viittaus, jonka nojalla sitä voidaan soveltaa. </w:t>
      </w:r>
    </w:p>
    <w:p>
      <w:pPr>
        <w:rPr>
          <w:rFonts w:eastAsia="Arial Unicode MS"/>
          <w:noProof/>
        </w:rPr>
      </w:pPr>
      <w:r>
        <w:rPr>
          <w:noProof/>
        </w:rPr>
        <w:t xml:space="preserve">Edelleen käynnissä olevassa yleissopimuksen muuttamista koskevassa prosessissa on saavutettu uudet nykyaikaistetut säännöt ja joustavammat alkuperäsäännöt. Yleissopimuksen virallinen muuttaminen edellyttää sopimuspuolten yksimielisyyttä. Se, että eräät sopimuspuolet vastustavat muutosta, saattaa viivästyttää hyväksymistä. Kun lisäksi otetaan huomioon sopimuspuolten ja sellaisten sopimuspuolissa noudatettavien sisäisten menettelyjen lukumäärä, jotka ovat tarpeen, jotta voidaan äänestää virallisesta hyväksymisestä ja valmistella muutettujen sääntöjen voimaantuloa, muutetun yleissopimuksen soveltamiselle ei voida vahvistaa selkeää alkamispäivää. </w:t>
      </w:r>
    </w:p>
    <w:p>
      <w:pPr>
        <w:rPr>
          <w:rFonts w:eastAsia="Arial Unicode MS"/>
          <w:noProof/>
        </w:rPr>
      </w:pPr>
      <w:r>
        <w:rPr>
          <w:noProof/>
        </w:rPr>
        <w:t xml:space="preserve">Tätä taustaa vasten Israel on pyytänyt, että muutettujen sääntöjen soveltaminen aloitettaisiin mahdollisimman pian vaihtoehtona nykyisten sääntöjen soveltamiselle, kunnes muutosprosessin tulos on selvillä. Pyynnön sisältö esitetään tarkemmin jäljempänä. </w:t>
      </w:r>
    </w:p>
    <w:p>
      <w:pPr>
        <w:pStyle w:val="Point1"/>
        <w:rPr>
          <w:noProof/>
        </w:rPr>
      </w:pPr>
      <w:r>
        <w:rPr>
          <w:noProof/>
        </w:rPr>
        <w:t xml:space="preserve"> </w:t>
      </w:r>
    </w:p>
    <w:p>
      <w:pPr>
        <w:rPr>
          <w:rFonts w:eastAsia="Arial Unicode MS"/>
          <w:noProof/>
        </w:rPr>
      </w:pPr>
      <w:r>
        <w:rPr>
          <w:noProof/>
        </w:rPr>
        <w:t>EU:n ja Israelin on tarkoitus soveltaa näitä  vaihtoehtoisia alkuperäsääntöjä väliaikaisesti ja kahdenvälisesti yleissopimuksen muutoksen tekemiseen ja voimantuloon asti. Niitä on tarkoitus soveltaa vaihtoehtona yleissopimuksen sääntöjen soveltamiselle, sillä yleissopimuksen määräykset eivät rajoita sopimuspuolten välisissä asiaankuuluvissa sopimuksissa ja muissa asiaankuuluvissa kahdenvälisissä sopimuksissa vahvistettujen periaatteiden noudattamista. Näin ollen näistä säännöistä ei tehdä pakollisia, vaan talouden toimijat voivat soveltaa niitä vapaaehtoisesti, jos ne haluavat saada kyseisten sääntöjen mukaiset etuudet yleissopimusten mukaisten etuuksien sijaan. Niillä ei ole tarkoitus muuttaa yleissopimusta, jota sovelletaan edelleen sopimuspuolten välillä, eikä niillä muuteta yleissopimuksen mukaisia sopimuspuolten oikeuksia ja velvoitteita.</w:t>
      </w:r>
    </w:p>
    <w:p>
      <w:pPr>
        <w:rPr>
          <w:rFonts w:eastAsia="Arial Unicode MS"/>
          <w:noProof/>
        </w:rPr>
      </w:pPr>
      <w:r>
        <w:rPr>
          <w:noProof/>
        </w:rPr>
        <w:t>Neuvoston olisi vahvistettava assosiointineuvostossa otettava EU:n kanta.</w:t>
      </w:r>
    </w:p>
    <w:p>
      <w:pPr>
        <w:rPr>
          <w:rFonts w:eastAsia="Arial Unicode MS"/>
          <w:noProof/>
        </w:rPr>
      </w:pPr>
      <w:r>
        <w:rPr>
          <w:noProof/>
        </w:rPr>
        <w:t>Siltä osin kuin ehdotetut muutokset koskevat nykyistä yleissopimusta, ne ovat luonteeltaan teknisiä eivätkä vaikuta tällä hetkellä voimassa olevan alkuperäsääntöjä koskevan pöytäkirjan sisältöön. Sen vuoksi niistä ei tarvitse tehdä vaikutustenarviointia.</w:t>
      </w:r>
    </w:p>
    <w:p>
      <w:pPr>
        <w:pStyle w:val="ManualHeading2"/>
        <w:rPr>
          <w:noProof/>
        </w:rPr>
      </w:pPr>
      <w:r>
        <w:rPr>
          <w:noProof/>
        </w:rPr>
        <w:t>3.1.</w:t>
      </w:r>
      <w:r>
        <w:rPr>
          <w:noProof/>
        </w:rPr>
        <w:tab/>
        <w:t>Vaihtoehtoisten alkuperäsääntöjen yksityiskohdat</w:t>
      </w:r>
    </w:p>
    <w:p>
      <w:pPr>
        <w:rPr>
          <w:rFonts w:eastAsia="Arial Unicode MS"/>
          <w:noProof/>
        </w:rPr>
      </w:pPr>
      <w:r>
        <w:rPr>
          <w:noProof/>
        </w:rPr>
        <w:t>Vaihtoehtoisten alkuperäsääntöjen käyttöönottoa koskevilla muutosehdotuksilla alkuperäsäännöistä tehtäisiin joustavampia ja ajantasaisempia samaan tapaan kuin mitä unioni on jo sopinut muissa kahdenvälisissä sopimuksissa (EU:n ja Kanadan välinen laaja-alainen talous- ja kauppasopimus, EU:n ja Vietnamin välinen vapaakauppasopimus, EU:n ja Japanin välinen talouskumppanuussopimus sekä EU:n ja Eteläisen Afrikan kehitysyhteisön kumppanuusvaltioiden välinen talouskumppanuussopimus) tai etuusjärjestelyissä (yleinen tullietuusjärjestelmä). Tärkeimmät muutokset olisivat seuraavat:</w:t>
      </w:r>
    </w:p>
    <w:p>
      <w:pPr>
        <w:rPr>
          <w:rFonts w:eastAsia="Arial Unicode MS"/>
          <w:noProof/>
        </w:rPr>
      </w:pPr>
    </w:p>
    <w:p>
      <w:pPr>
        <w:rPr>
          <w:rFonts w:eastAsia="Arial Unicode MS"/>
          <w:noProof/>
        </w:rPr>
      </w:pPr>
    </w:p>
    <w:p>
      <w:pPr>
        <w:rPr>
          <w:rFonts w:eastAsia="Arial Unicode MS"/>
          <w:noProof/>
        </w:rPr>
      </w:pPr>
    </w:p>
    <w:p>
      <w:pPr>
        <w:pStyle w:val="Point1"/>
        <w:rPr>
          <w:noProof/>
        </w:rPr>
      </w:pPr>
      <w:r>
        <w:rPr>
          <w:noProof/>
        </w:rPr>
        <w:lastRenderedPageBreak/>
        <w:t>a)</w:t>
      </w:r>
      <w:r>
        <w:rPr>
          <w:noProof/>
        </w:rPr>
        <w:tab/>
        <w:t>Kokonaan tuotetut tuotteet – aluksia koskevat edellytykset</w:t>
      </w:r>
    </w:p>
    <w:p>
      <w:pPr>
        <w:rPr>
          <w:rFonts w:eastAsia="Arial Unicode MS"/>
          <w:noProof/>
        </w:rPr>
      </w:pPr>
      <w:r>
        <w:rPr>
          <w:noProof/>
        </w:rPr>
        <w:t>Vaihtoehtoisissa säännöissä olevat ns. aluksia koskevat edellytykset ovat yksinkertaisempia ja joustavampia. Nykyisestä tekstistä (5 artikla) on poistettu tiettyjä edellytyksiä (kuten erityiset miehistöä koskevat vaatimukset); lisäksi muita edellytyksiä on muutettu joustavuuden lisäämiseksi (omistajuus).</w:t>
      </w:r>
    </w:p>
    <w:p>
      <w:pPr>
        <w:pStyle w:val="Point1"/>
        <w:rPr>
          <w:noProof/>
        </w:rPr>
      </w:pPr>
      <w:r>
        <w:rPr>
          <w:noProof/>
        </w:rPr>
        <w:t>b)</w:t>
      </w:r>
      <w:r>
        <w:rPr>
          <w:noProof/>
        </w:rPr>
        <w:tab/>
        <w:t>Riittävä valmistus tai käsittely – keskiarvo</w:t>
      </w:r>
    </w:p>
    <w:p>
      <w:pPr>
        <w:rPr>
          <w:rFonts w:eastAsia="Arial Unicode MS"/>
          <w:noProof/>
        </w:rPr>
      </w:pPr>
      <w:r>
        <w:rPr>
          <w:noProof/>
        </w:rPr>
        <w:t>Ehdotetuissa vaihtoehtoisissa säännöissä (4 artikla) viejälle annetaan mahdollisuus pyytää tulliviranomaisilta lupaa laskea noudettuna-hinta ja ei-alkuperäainesten arvo keskiarvon perusteella kustannusten ja valuuttakurssien vaihtelujen huomioon ottamiseksi. Tämä auttaisi viejiä ennakoimaan tilanteet helpommin.</w:t>
      </w:r>
    </w:p>
    <w:p>
      <w:pPr>
        <w:pStyle w:val="Point1"/>
        <w:rPr>
          <w:noProof/>
        </w:rPr>
      </w:pPr>
      <w:r>
        <w:rPr>
          <w:noProof/>
        </w:rPr>
        <w:t>c)</w:t>
      </w:r>
      <w:r>
        <w:rPr>
          <w:noProof/>
        </w:rPr>
        <w:tab/>
        <w:t>Poikkeama</w:t>
      </w:r>
    </w:p>
    <w:p>
      <w:pPr>
        <w:rPr>
          <w:rFonts w:eastAsia="Arial Unicode MS"/>
          <w:noProof/>
        </w:rPr>
      </w:pPr>
      <w:r>
        <w:rPr>
          <w:noProof/>
        </w:rPr>
        <w:t xml:space="preserve">Nykyinen poikkeama (6 artikla) on 10 prosenttia tuotteen noudettuna-hinnasta. </w:t>
      </w:r>
    </w:p>
    <w:p>
      <w:pPr>
        <w:rPr>
          <w:rFonts w:eastAsia="Arial Unicode MS"/>
          <w:noProof/>
        </w:rPr>
      </w:pPr>
      <w:r>
        <w:rPr>
          <w:noProof/>
        </w:rPr>
        <w:t>Ehdotetussa tekstissä (5 artikla) maataloustuotteille myönnettäisiin 15 prosentin poikkeama tuotteen nettopainosta ja teollisuustuotteille 15 prosentin poikkeama tuotteen noudettuna-hinnan arvosta.</w:t>
      </w:r>
    </w:p>
    <w:p>
      <w:pPr>
        <w:rPr>
          <w:rFonts w:eastAsia="Arial Unicode MS"/>
          <w:noProof/>
        </w:rPr>
      </w:pPr>
      <w:r>
        <w:rPr>
          <w:noProof/>
        </w:rPr>
        <w:t>Painoa koskeva poikkeama tekee arviointiperusteesta objektiivisemman, ja 15 prosentin kynnysarvon katsotaan saavan aikaan riittävän lievennyksen. Sillä varmistetaan myös, että hyödykkeiden kansainvälinen hintavaihtelu ei vaikuta maataloustuotteiden alkuperään.</w:t>
      </w:r>
    </w:p>
    <w:p>
      <w:pPr>
        <w:pStyle w:val="Point1"/>
        <w:rPr>
          <w:noProof/>
        </w:rPr>
      </w:pPr>
      <w:r>
        <w:rPr>
          <w:noProof/>
        </w:rPr>
        <w:t>d)</w:t>
      </w:r>
      <w:r>
        <w:rPr>
          <w:noProof/>
        </w:rPr>
        <w:tab/>
        <w:t>Kumulaatio</w:t>
      </w:r>
    </w:p>
    <w:p>
      <w:pPr>
        <w:rPr>
          <w:rFonts w:eastAsia="Arial Unicode MS"/>
          <w:noProof/>
        </w:rPr>
      </w:pPr>
      <w:r>
        <w:rPr>
          <w:noProof/>
        </w:rPr>
        <w:t xml:space="preserve">Ehdotettu teksti (7 artikla) sisältää edelleen kaikkia tuotteita koskevan diagonaalisen kumulaation sillä edellytyksellä, että kumulaation osallistuvat kumppanit hyväksyvät samat vaihtoehtoiset alkuperäsäännöt. Lisäksi siinä määrätään kaikkia muita tuotteita kuin harmonoidun järjestelmän 50–63 ryhmän tekstiilituotteita ja vaatteita koskevasta yleisestä täyskumulaatiosta. </w:t>
      </w:r>
    </w:p>
    <w:p>
      <w:pPr>
        <w:rPr>
          <w:rFonts w:eastAsia="Arial Unicode MS"/>
          <w:noProof/>
        </w:rPr>
      </w:pPr>
      <w:r>
        <w:rPr>
          <w:noProof/>
        </w:rPr>
        <w:t>Ehdotettu teksti sisältää myös harmonoidun järjestelmän 50–63 ryhmän tuotteita koskevan kahdenvälisen täyskumulaation. Unioni ja Israel voivat myöhemmin laajentaa yleisen täyskumulaation koskemaan myös harmonoidun järjestelmän 50–63 ryhmän tuotteita.</w:t>
      </w:r>
    </w:p>
    <w:p>
      <w:pPr>
        <w:pStyle w:val="Point1"/>
        <w:rPr>
          <w:noProof/>
        </w:rPr>
      </w:pPr>
      <w:r>
        <w:rPr>
          <w:noProof/>
        </w:rPr>
        <w:t>e)</w:t>
      </w:r>
      <w:r>
        <w:rPr>
          <w:noProof/>
        </w:rPr>
        <w:tab/>
        <w:t>Kirjanpidollinen erottelu</w:t>
      </w:r>
    </w:p>
    <w:p>
      <w:pPr>
        <w:rPr>
          <w:rFonts w:eastAsia="Arial Unicode MS"/>
          <w:noProof/>
        </w:rPr>
      </w:pPr>
      <w:r>
        <w:rPr>
          <w:noProof/>
        </w:rPr>
        <w:t>Nykyisissä säännöissä (yleissopimuksen 20 artikla) tulliviranomaiset voivat antaa luvan kirjanpidolliseen erotteluun, jos ”erillisvarastointi aiheuttaa huomattavia kustannuksia tai merkittäviä vaikeuksia”. Muutetun säännön (12 artikla) mukaan tulliviranomaiset voivat antaa luvan kirjanpidolliseen erotteluun, ”jos keskenään korvattavissa olevia alkuperä- ja ei-alkuperäaineksia käytetään”.</w:t>
      </w:r>
    </w:p>
    <w:p>
      <w:pPr>
        <w:rPr>
          <w:rFonts w:eastAsia="Arial Unicode MS"/>
          <w:noProof/>
        </w:rPr>
      </w:pPr>
      <w:r>
        <w:rPr>
          <w:noProof/>
        </w:rPr>
        <w:t>Viejän ei enää tarvitse perustella kirjanpidollista erottelua koskevaa pyyntöään sillä, että erillisvarastointi aiheuttaisi huomattavia kustannuksia tai merkittäviä vaikutuksia; keskenään korvattavissa olevien ainesten käyttö on riittävä peruste.</w:t>
      </w:r>
    </w:p>
    <w:p>
      <w:pPr>
        <w:rPr>
          <w:rFonts w:eastAsia="Arial Unicode MS"/>
          <w:noProof/>
        </w:rPr>
      </w:pPr>
      <w:r>
        <w:rPr>
          <w:noProof/>
        </w:rPr>
        <w:t>Kun sokeri katsotaan ainekseksi tai valmiiksi tuotteeksi, alkuperä- ja ei-alkuperäainesten varastojen ei enää tarvitse olla fyysisesti erillään.</w:t>
      </w:r>
    </w:p>
    <w:p>
      <w:pPr>
        <w:pStyle w:val="Point1"/>
        <w:rPr>
          <w:noProof/>
        </w:rPr>
      </w:pPr>
      <w:r>
        <w:rPr>
          <w:noProof/>
        </w:rPr>
        <w:t>f)</w:t>
      </w:r>
      <w:r>
        <w:rPr>
          <w:noProof/>
        </w:rPr>
        <w:tab/>
        <w:t>Alueperiaate</w:t>
      </w:r>
    </w:p>
    <w:p>
      <w:pPr>
        <w:rPr>
          <w:rFonts w:eastAsia="Arial Unicode MS"/>
          <w:noProof/>
        </w:rPr>
      </w:pPr>
      <w:r>
        <w:rPr>
          <w:noProof/>
        </w:rPr>
        <w:t>Nykyisten sääntöjen (12 artikla) mukaan tietty valmistus tai käsittely voidaan tehdä alueen ulkopuolella tietyin edellytyksin. Tämä ei kuitenkaan koske tekstiilien kaltaisia harmonoidun järjestelmän 50–63 ryhmän tuotteita. Tämä tekstiilejä koskeva rajoitus on poistettu ehdotetuista säännöistä (12 artikla).</w:t>
      </w:r>
    </w:p>
    <w:p>
      <w:pPr>
        <w:pStyle w:val="Point1"/>
        <w:rPr>
          <w:noProof/>
        </w:rPr>
      </w:pPr>
      <w:r>
        <w:rPr>
          <w:noProof/>
        </w:rPr>
        <w:lastRenderedPageBreak/>
        <w:t>g)</w:t>
      </w:r>
      <w:r>
        <w:rPr>
          <w:noProof/>
        </w:rPr>
        <w:tab/>
        <w:t>Muuttumattomuus</w:t>
      </w:r>
    </w:p>
    <w:p>
      <w:pPr>
        <w:rPr>
          <w:rFonts w:eastAsia="Arial Unicode MS"/>
          <w:noProof/>
        </w:rPr>
      </w:pPr>
      <w:r>
        <w:rPr>
          <w:noProof/>
        </w:rPr>
        <w:t>Ehdotetussa muuttumattomuussäännössä (14 artiklan) sopimuspuolten välisille alkuperätuotteiden siirroille myönnetään enemmän lievennyksiä. Sen myötä poistuisivat tilanteet, joissa tuotteille, joiden alkuperästä ei ole epäilystä, ei myönnetä tuontietuustullia, koska suoraa kuljettamista koskevat viralliset vaatimukset eivät täyty.</w:t>
      </w:r>
    </w:p>
    <w:p>
      <w:pPr>
        <w:pStyle w:val="Point1"/>
        <w:rPr>
          <w:noProof/>
        </w:rPr>
      </w:pPr>
      <w:r>
        <w:rPr>
          <w:noProof/>
        </w:rPr>
        <w:t>h)</w:t>
      </w:r>
      <w:r>
        <w:rPr>
          <w:noProof/>
        </w:rPr>
        <w:tab/>
        <w:t>Tullinpalautuksen tai tulleista vapauttamisen kieltäminen</w:t>
      </w:r>
    </w:p>
    <w:p>
      <w:pPr>
        <w:rPr>
          <w:rFonts w:eastAsia="Arial Unicode MS"/>
          <w:noProof/>
        </w:rPr>
      </w:pPr>
      <w:r>
        <w:rPr>
          <w:noProof/>
        </w:rPr>
        <w:t xml:space="preserve">Nykyisissä säännöissä (15 artikla) tullinpalautuksen kieltämistä koskevaa yleistä periaatetta sovelletaan kaikkien tuotteiden valmistuksessa käytettäviin aineksiin. Ehdotetuissa säännöissä (16 artikla) kaikkia tuotteita koskeva kielto poistetaan, lukuun ottamatta harmonoidun järjestelmän 50–63 ryhmän tuotteiden valmistuksessa käytettäviä aineksia. Tekstissä on kuitenkin myös eräitä poikkeuksia näitä tuotteita koskevaan tullinpalautuskieltoon. </w:t>
      </w:r>
    </w:p>
    <w:p>
      <w:pPr>
        <w:pStyle w:val="Point1"/>
        <w:rPr>
          <w:noProof/>
        </w:rPr>
      </w:pPr>
      <w:r>
        <w:rPr>
          <w:noProof/>
        </w:rPr>
        <w:t>i)</w:t>
      </w:r>
      <w:r>
        <w:rPr>
          <w:noProof/>
        </w:rPr>
        <w:tab/>
        <w:t>Alkuperäselvitys</w:t>
      </w:r>
    </w:p>
    <w:p>
      <w:pPr>
        <w:rPr>
          <w:rFonts w:eastAsia="Arial Unicode MS"/>
          <w:noProof/>
        </w:rPr>
      </w:pPr>
      <w:r>
        <w:rPr>
          <w:noProof/>
        </w:rPr>
        <w:t>Muutoksen myötä käytetään vain yhtä alkuperäselvitystä (EUR.1-tavaratodistus tai alkuperäilmoitus) sen sijaan, että olisi esitettävä sekä EUR.1- että EUR.MED-tavaratodistus. Tämä yksinkertaistaa järjestelmää huomattavasti. Sen uskotaan myös parantavan sääntöjen noudattamista talouden toimijoiden keskuudessa, koska monimutkaisista säännöistä johtuvat virheet poistuisivat, ja helpottavan tulliviranomaisten hallinnointityötä. Sillä ei myöskään uskota olevan vaikutuksia alkuperäselvitysten tarkastuskapasiteettiin, vaan se säilyisi ennallaan.</w:t>
      </w:r>
    </w:p>
    <w:p>
      <w:pPr>
        <w:rPr>
          <w:rFonts w:eastAsia="Arial Unicode MS"/>
          <w:noProof/>
        </w:rPr>
      </w:pPr>
      <w:r>
        <w:rPr>
          <w:noProof/>
        </w:rPr>
        <w:t>Ehdotetut säännöt (17 artikla) sisältävät myös mahdollisuuden ottaa käyttöön rekisteröityjen viejien järjestelmä (REX). Tällaiset yhteiseen tietokantaan rekisteröidyt viejät laativat itse alkuperävakuutukset eikä valtuutettuja viejiä koskevaa menettelyä tarvitse noudattaa. Alkuperävakuutuksella on sama oikeudellinen arvo kuin alkuperäilmoituksella tai EUR.1-tavaratodistuksella.</w:t>
      </w:r>
    </w:p>
    <w:p>
      <w:pPr>
        <w:rPr>
          <w:rFonts w:eastAsia="Arial Unicode MS"/>
          <w:noProof/>
        </w:rPr>
      </w:pPr>
      <w:r>
        <w:rPr>
          <w:noProof/>
        </w:rPr>
        <w:t>Ehdotetuissa säännöissä annettaisiin myös mahdollisuus sopia sellaisen alkuperäselvityksen käytöstä, joka on annettu ja/tai toimitettu sähköisesti.</w:t>
      </w:r>
    </w:p>
    <w:p>
      <w:pPr>
        <w:rPr>
          <w:rFonts w:eastAsia="Arial Unicode MS"/>
          <w:noProof/>
        </w:rPr>
      </w:pPr>
      <w:r>
        <w:rPr>
          <w:noProof/>
        </w:rPr>
        <w:t>Jotta vaihtoehtoisten sääntöjen mukaiset alkuperätuotteet voitaisiin erottaa yleissopimuksen mukaisista alkuperätuotteista, vaihtoehtoisiin sääntöihin pohjautuvissa alkuperätodistuksissa ja kauppalaskuilmoituksissa on oltava maininta sovelletuista säännöistä.</w:t>
      </w:r>
    </w:p>
    <w:p>
      <w:pPr>
        <w:pStyle w:val="Point1"/>
        <w:rPr>
          <w:noProof/>
        </w:rPr>
      </w:pPr>
      <w:r>
        <w:rPr>
          <w:noProof/>
        </w:rPr>
        <w:t>j)</w:t>
      </w:r>
      <w:r>
        <w:rPr>
          <w:noProof/>
        </w:rPr>
        <w:tab/>
        <w:t>Alkuperäselvityksen voimassaolo</w:t>
      </w:r>
    </w:p>
    <w:p>
      <w:pPr>
        <w:rPr>
          <w:rFonts w:eastAsia="Arial Unicode MS"/>
          <w:noProof/>
        </w:rPr>
      </w:pPr>
      <w:r>
        <w:rPr>
          <w:noProof/>
        </w:rPr>
        <w:t>Alkuperäselvityksen voimassaoloa ehdotetaan pidennettäväksi nykyisestä 4 kuukaudesta 10 kuukauteen. Tämän uskotaan saavan aikaan osapuolten välillä tapahtuvissa alkuperätuotteiden siirroissa tarvittavat lievennykset.</w:t>
      </w:r>
    </w:p>
    <w:p>
      <w:pPr>
        <w:pStyle w:val="ManualHeading2"/>
        <w:rPr>
          <w:noProof/>
        </w:rPr>
      </w:pPr>
      <w:r>
        <w:rPr>
          <w:noProof/>
        </w:rPr>
        <w:t>3.2.</w:t>
      </w:r>
      <w:r>
        <w:rPr>
          <w:noProof/>
        </w:rPr>
        <w:tab/>
        <w:t>Nimikekohtaiset säännöt</w:t>
      </w:r>
    </w:p>
    <w:p>
      <w:pPr>
        <w:pStyle w:val="ManualHeading3"/>
        <w:rPr>
          <w:noProof/>
        </w:rPr>
      </w:pPr>
      <w:r>
        <w:rPr>
          <w:noProof/>
        </w:rPr>
        <w:t>3.2.1.</w:t>
      </w:r>
      <w:r>
        <w:rPr>
          <w:noProof/>
        </w:rPr>
        <w:tab/>
        <w:t>Maataloustuotteet</w:t>
      </w:r>
    </w:p>
    <w:p>
      <w:pPr>
        <w:pStyle w:val="Point1"/>
        <w:rPr>
          <w:noProof/>
        </w:rPr>
      </w:pPr>
      <w:r>
        <w:rPr>
          <w:noProof/>
        </w:rPr>
        <w:t>a)</w:t>
      </w:r>
      <w:r>
        <w:rPr>
          <w:noProof/>
        </w:rPr>
        <w:tab/>
      </w:r>
      <w:r>
        <w:rPr>
          <w:noProof/>
        </w:rPr>
        <w:tab/>
        <w:t>Arvo ja paino</w:t>
      </w:r>
    </w:p>
    <w:p>
      <w:pPr>
        <w:rPr>
          <w:rFonts w:eastAsia="Arial Unicode MS"/>
          <w:noProof/>
        </w:rPr>
      </w:pPr>
      <w:r>
        <w:rPr>
          <w:noProof/>
        </w:rPr>
        <w:t xml:space="preserve">Aiemmin alkuperäainesten rajat ilmaistiin arvona. Uudet rajat ilmaistaan painona, jotta hintojen ja valuuttakurssien vaihtelun vaikutukset vältettäisiin (esim. harmonoidun järjestelmän ex 19 ja 20 ryhmä sekä nimikkeet 2105 ja 2106) ja tietyt sokeria koskevat rajat poistettaisiin (esim. 8 ryhmä ja nimike 2202). </w:t>
      </w:r>
    </w:p>
    <w:p>
      <w:pPr>
        <w:rPr>
          <w:rFonts w:eastAsia="Arial Unicode MS"/>
          <w:noProof/>
        </w:rPr>
      </w:pPr>
      <w:r>
        <w:rPr>
          <w:noProof/>
        </w:rPr>
        <w:t xml:space="preserve">Vaihtoehtoisissa säännöissä kynnysarvo korotetaan nykyisestä 20 prosentista 40 prosenttiin, ja niillä otettaisiin käyttöön tiettyjä nimikkeitä koskeva mahdollisuus ilmaista rajat joko arvona tai painona. Muutokset koskevat erityisesti seuraavia HS-ryhmiä ja -nimikkeitä: ex </w:t>
      </w:r>
      <w:r>
        <w:rPr>
          <w:noProof/>
        </w:rPr>
        <w:lastRenderedPageBreak/>
        <w:t>1302, 1704 (raja voidaan ilmaista joko arvona tai painona), 18 (1806: raja voidaan ilmaista joko arvona tai painona), 1901.</w:t>
      </w:r>
    </w:p>
    <w:p>
      <w:pPr>
        <w:pStyle w:val="Point1"/>
        <w:rPr>
          <w:noProof/>
        </w:rPr>
      </w:pPr>
      <w:r>
        <w:rPr>
          <w:noProof/>
        </w:rPr>
        <w:t>b)</w:t>
      </w:r>
      <w:r>
        <w:rPr>
          <w:noProof/>
        </w:rPr>
        <w:tab/>
      </w:r>
      <w:r>
        <w:rPr>
          <w:noProof/>
        </w:rPr>
        <w:tab/>
        <w:t>Hankintamallien mukauttaminen</w:t>
      </w:r>
    </w:p>
    <w:p>
      <w:pPr>
        <w:rPr>
          <w:rFonts w:eastAsia="Arial Unicode MS"/>
          <w:noProof/>
        </w:rPr>
      </w:pPr>
      <w:r>
        <w:rPr>
          <w:noProof/>
        </w:rPr>
        <w:t>Muille maataloustuotteille (kuten kasviöljyt, pähkinät ja tupakka) vahvistetaan joustavammat säännöt, jotka on mukautettu nykyiseen taloustilanteeseen. Tämä koskee erityisesti harmonoidun järjestelmän 14, 15, 20 (myös nimike 2008), 23 ja 24 ryhmää. Vaihtoehtoisilla säännöillä saavutetaan tasapaino alueellisten ja globaalien hankintojen välillä esim. 9 ja 12 ryhmässä. Sääntöjä on yksinkertaistettu (poikkeusten vähentäminen) 4, 5, 6, 8 ja 11 ryhmässä sekä ex 13 ryhmässä.</w:t>
      </w:r>
    </w:p>
    <w:p>
      <w:pPr>
        <w:pStyle w:val="ManualHeading3"/>
        <w:rPr>
          <w:noProof/>
        </w:rPr>
      </w:pPr>
      <w:r>
        <w:rPr>
          <w:noProof/>
        </w:rPr>
        <w:t>3.2.2.</w:t>
      </w:r>
      <w:r>
        <w:rPr>
          <w:noProof/>
        </w:rPr>
        <w:tab/>
        <w:t>Teollisuustuotteet (lukuun ottamatta tekstiilejä)</w:t>
      </w:r>
    </w:p>
    <w:p>
      <w:pPr>
        <w:rPr>
          <w:rFonts w:eastAsia="Arial Unicode MS"/>
          <w:noProof/>
        </w:rPr>
      </w:pPr>
      <w:r>
        <w:rPr>
          <w:noProof/>
        </w:rPr>
        <w:t xml:space="preserve">Ehdotettu kompromissiratkaisu sisältää huomattavia muutoksia nykyisiin sääntöihin </w:t>
      </w:r>
    </w:p>
    <w:p>
      <w:pPr>
        <w:rPr>
          <w:rFonts w:eastAsia="Arial Unicode MS"/>
          <w:noProof/>
        </w:rPr>
      </w:pPr>
      <w:r>
        <w:rPr>
          <w:noProof/>
        </w:rPr>
        <w:t>- nykyisessä ryhmäsäännössä asetetaan kaksi kumulatiivista edellytystä useille tuoteluokille. Vastedes tällaisia edellytyksiä on vain yksi (harmonoidun järjestelmän 74, 75, 76, 78 ja 79 ryhmä);</w:t>
      </w:r>
    </w:p>
    <w:p>
      <w:pPr>
        <w:rPr>
          <w:rFonts w:eastAsia="Arial Unicode MS"/>
          <w:noProof/>
        </w:rPr>
      </w:pPr>
      <w:r>
        <w:rPr>
          <w:noProof/>
        </w:rPr>
        <w:t>- useat ryhmäsäännöstä poikkeavat erityissäännöt on poistettu (harmonoidun järjestelmän 28, 35, 37, 38 ja 83 ryhmä). Tällainen horisontaalisempi lähestymistapa helpottaa sekä toimijoiden että tullin toimintaa;</w:t>
      </w:r>
    </w:p>
    <w:p>
      <w:pPr>
        <w:rPr>
          <w:rFonts w:eastAsia="Arial Unicode MS"/>
          <w:noProof/>
        </w:rPr>
      </w:pPr>
      <w:r>
        <w:rPr>
          <w:noProof/>
        </w:rPr>
        <w:t>- nykyiseen ryhmäsääntöön lisätään vaihtoehtoinen sääntö, jolloin viejällä on enemmän valinnanvaraa alkuperävaatimuksen täyttämiselle (27, 40, 42, 44, 70, 83, 84 ja 85 ryhmä).</w:t>
      </w:r>
    </w:p>
    <w:p>
      <w:pPr>
        <w:rPr>
          <w:rFonts w:eastAsia="Arial Unicode MS"/>
          <w:noProof/>
        </w:rPr>
      </w:pPr>
      <w:r>
        <w:rPr>
          <w:noProof/>
        </w:rPr>
        <w:t>Kaikkien näiden muutosten myötä nimikekohtaisista säännöksistä saadaan ajantasaisemmat ja nykyaikaisemmat, mikä yleisesti ottaen helpottaa alkuperäaseman saamista koskevien vaatimusten täyttämistä. Lisäksi edellä mainittu mahdollisuus käyttää tietyn ajan keskiarvoa noudettuna-hinnan ja ei-alkuperäainesten arvon laskemisessa yksinkertaistaa viejien tilannetta entisestään.</w:t>
      </w:r>
    </w:p>
    <w:p>
      <w:pPr>
        <w:pStyle w:val="ManualHeading3"/>
        <w:rPr>
          <w:noProof/>
        </w:rPr>
      </w:pPr>
      <w:r>
        <w:rPr>
          <w:noProof/>
        </w:rPr>
        <w:t>3.2.3.</w:t>
      </w:r>
      <w:r>
        <w:rPr>
          <w:noProof/>
        </w:rPr>
        <w:tab/>
        <w:t>Tekstiilit</w:t>
      </w:r>
    </w:p>
    <w:p>
      <w:pPr>
        <w:rPr>
          <w:rFonts w:eastAsia="Arial Unicode MS"/>
          <w:noProof/>
        </w:rPr>
      </w:pPr>
      <w:r>
        <w:rPr>
          <w:noProof/>
        </w:rPr>
        <w:t>Tekstiilejä ja vaatteita koskevia uusia vaihtoehtoja on otettu käyttöön ulkoisen jalostuksen ja poikkeamien osalta. Tekstiin on lisätty myös uusia alkuperän saamiseen oikeuttavia prosesseja erityisesti kankaiden osalta. Tämän uskotaan helpottavan tuotteiden saatavuutta. Kahdenvälistä täyskumulaatiota sovellettaisiin vastedes myös näihin tuotteisiin. Tällaisessa kumulaatiossa tekstiiliaineksille suoritetut käsittelyt (esim. neulominen ja kehrääminen) voidaan ottaa huomioon kumulaatiovyöhykkeellä tapahtuvassa tuotantoprosessissa.</w:t>
      </w:r>
    </w:p>
    <w:p>
      <w:pPr>
        <w:pStyle w:val="ManualHeading1"/>
        <w:rPr>
          <w:noProof/>
        </w:rPr>
      </w:pPr>
      <w:r>
        <w:rPr>
          <w:noProof/>
        </w:rPr>
        <w:t>4.</w:t>
      </w:r>
      <w:r>
        <w:rPr>
          <w:noProof/>
        </w:rPr>
        <w:tab/>
        <w:t>Oikeusperusta</w:t>
      </w:r>
    </w:p>
    <w:p>
      <w:pPr>
        <w:pStyle w:val="ManualHeading2"/>
        <w:rPr>
          <w:noProof/>
        </w:rPr>
      </w:pPr>
      <w:r>
        <w:rPr>
          <w:noProof/>
        </w:rPr>
        <w:t>4.1.</w:t>
      </w:r>
      <w:r>
        <w:rPr>
          <w:noProof/>
        </w:rPr>
        <w:tab/>
        <w:t>Aineellinen oikeusperusta</w:t>
      </w:r>
    </w:p>
    <w:p>
      <w:pPr>
        <w:pStyle w:val="ManualHeading3"/>
        <w:rPr>
          <w:noProof/>
        </w:rPr>
      </w:pPr>
      <w:r>
        <w:rPr>
          <w:noProof/>
        </w:rPr>
        <w:t>4.1.1.</w:t>
      </w:r>
      <w:r>
        <w:rPr>
          <w:noProof/>
        </w:rPr>
        <w:tab/>
        <w:t>Periaatteet</w:t>
      </w:r>
    </w:p>
    <w:p>
      <w:pPr>
        <w:rPr>
          <w:noProof/>
        </w:rPr>
      </w:pPr>
      <w:r>
        <w:rPr>
          <w:noProof/>
        </w:rPr>
        <w:t>Euroopan unionin toiminnasta tehdyn sopimuksen, jäljempänä ’SEUT-sopimus’, 218 artiklan 9 kohdassa määrätään päätöksistä ”</w:t>
      </w:r>
      <w:r>
        <w:rPr>
          <w:i/>
          <w:noProof/>
        </w:rPr>
        <w:t>sopimuksella perustetussa elimessä unionin puolesta esitettävien kantojen vahvistamisesta, silloin kun tämän elimen on annettava säädöksiä, joilla on oikeusvaikutuksia, lukuun ottamatta säädöksiä, joilla täydennetään tai muutetaan sopimuksen institutionaalisia rakenteita</w:t>
      </w:r>
      <w:r>
        <w:rPr>
          <w:noProof/>
        </w:rPr>
        <w:t>”.</w:t>
      </w:r>
    </w:p>
    <w:p>
      <w:pPr>
        <w:rPr>
          <w:noProof/>
        </w:rPr>
      </w:pPr>
      <w:r>
        <w:rPr>
          <w:noProof/>
        </w:rPr>
        <w:t>Ilmaisu ’</w:t>
      </w:r>
      <w:r>
        <w:rPr>
          <w:i/>
          <w:noProof/>
        </w:rPr>
        <w:t>säädökset, joilla on oikeusvaikutuksia</w:t>
      </w:r>
      <w:r>
        <w:rPr>
          <w:noProof/>
        </w:rPr>
        <w:t xml:space="preserve">’ käsittää myös sellaiset säädökset, joilla on oikeusvaikutuksia kyseiseen elimeen sovellettavan kansainvälisen oikeuden nojalla. Se kattaa </w:t>
      </w:r>
      <w:r>
        <w:rPr>
          <w:noProof/>
        </w:rPr>
        <w:lastRenderedPageBreak/>
        <w:t>myös välineet, joilla ei ole sitovaa vaikutusta kansainvälisen oikeuden nojalla, mutta jotka ”</w:t>
      </w:r>
      <w:r>
        <w:rPr>
          <w:i/>
          <w:noProof/>
        </w:rPr>
        <w:t>voivat vaikuttaa ratkaisevasti sen säännöstön sisältöön, jonka unionin lainsäätäjä antaa</w:t>
      </w:r>
      <w:r>
        <w:rPr>
          <w:noProof/>
        </w:rPr>
        <w:t>”</w:t>
      </w:r>
      <w:r>
        <w:rPr>
          <w:rStyle w:val="FootnoteReference"/>
          <w:noProof/>
        </w:rPr>
        <w:footnoteReference w:id="3"/>
      </w:r>
      <w:r>
        <w:rPr>
          <w:noProof/>
        </w:rPr>
        <w:t>.</w:t>
      </w:r>
    </w:p>
    <w:p>
      <w:pPr>
        <w:pStyle w:val="ManualHeading3"/>
        <w:rPr>
          <w:noProof/>
        </w:rPr>
      </w:pPr>
      <w:r>
        <w:rPr>
          <w:noProof/>
        </w:rPr>
        <w:t>4.1.2.</w:t>
      </w:r>
      <w:r>
        <w:rPr>
          <w:noProof/>
        </w:rPr>
        <w:tab/>
        <w:t>Soveltaminen käsillä olevassa asiassa</w:t>
      </w:r>
    </w:p>
    <w:p>
      <w:pPr>
        <w:rPr>
          <w:noProof/>
        </w:rPr>
      </w:pPr>
      <w:r>
        <w:rPr>
          <w:noProof/>
        </w:rPr>
        <w:t>Assosiointineuvosto on sopimuksella eli  Euroopan yhteisöjen ja niiden jäsenvaltioiden sekä Israelin valtion välisestä assosioinnista tehdyllä Euro–Välimeri-sopimuksella perustettu elin.</w:t>
      </w:r>
    </w:p>
    <w:p>
      <w:pPr>
        <w:rPr>
          <w:noProof/>
        </w:rPr>
      </w:pPr>
      <w:r>
        <w:rPr>
          <w:noProof/>
        </w:rPr>
        <w:t xml:space="preserve">Säädös, joka assosiointineuvoston on määrä antaa, on säädös, jolla on oikeusvaikutuksia. Suunnitellusta säädöksestä tulee sitova kansainvälisen lainsäädännön nojalla assosiointisopimuksen 69 artiklan 2 kohdan mukaisesti. </w:t>
      </w:r>
    </w:p>
    <w:p>
      <w:pPr>
        <w:rPr>
          <w:noProof/>
        </w:rPr>
      </w:pPr>
      <w:r>
        <w:rPr>
          <w:noProof/>
        </w:rPr>
        <w:t>Suunnitelluilla säädöksillä ei täydennetä eikä muuteta sopimuksen institutionaalisia rakenteita.</w:t>
      </w:r>
    </w:p>
    <w:p>
      <w:pPr>
        <w:rPr>
          <w:noProof/>
        </w:rPr>
      </w:pPr>
      <w:r>
        <w:rPr>
          <w:noProof/>
        </w:rPr>
        <w:t>Sen vuoksi päätösehdotuksen menettelyllinen oikeusperusta on SEUT-sopimuksen 218 artiklan 9 kohta.</w:t>
      </w:r>
    </w:p>
    <w:p>
      <w:pPr>
        <w:pStyle w:val="ManualHeading2"/>
        <w:rPr>
          <w:noProof/>
        </w:rPr>
      </w:pPr>
      <w:r>
        <w:rPr>
          <w:noProof/>
        </w:rPr>
        <w:t>4.2.</w:t>
      </w:r>
      <w:r>
        <w:rPr>
          <w:noProof/>
        </w:rPr>
        <w:tab/>
        <w:t>Aineellinen oikeusperusta</w:t>
      </w:r>
    </w:p>
    <w:p>
      <w:pPr>
        <w:pStyle w:val="ManualHeading3"/>
        <w:rPr>
          <w:noProof/>
        </w:rPr>
      </w:pPr>
      <w:r>
        <w:rPr>
          <w:noProof/>
        </w:rPr>
        <w:t>4.2.1.</w:t>
      </w:r>
      <w:r>
        <w:rPr>
          <w:noProof/>
        </w:rPr>
        <w:tab/>
        <w:t>Periaatteet</w:t>
      </w:r>
    </w:p>
    <w:p>
      <w:pPr>
        <w:rPr>
          <w:noProof/>
        </w:rPr>
      </w:pPr>
      <w:r>
        <w:rPr>
          <w:noProof/>
        </w:rPr>
        <w:t xml:space="preserve">SEUT-sopimuksen 218 artiklan 9 kohdan nojalla annettavan päätöksen aineellinen oikeusperusta määräytyy ensisijaisesti sen suunnitellun säädöksen tavoitteen ja sisällön perusteella, jota unionin puolesta otettava kanta koskee. </w:t>
      </w:r>
    </w:p>
    <w:p>
      <w:pPr>
        <w:pStyle w:val="ManualHeading3"/>
        <w:rPr>
          <w:noProof/>
        </w:rPr>
      </w:pPr>
      <w:r>
        <w:rPr>
          <w:noProof/>
        </w:rPr>
        <w:t>4.2.2.</w:t>
      </w:r>
      <w:r>
        <w:rPr>
          <w:noProof/>
        </w:rPr>
        <w:tab/>
        <w:t>Soveltaminen käsillä olevassa asiassa</w:t>
      </w:r>
    </w:p>
    <w:p>
      <w:pPr>
        <w:rPr>
          <w:noProof/>
        </w:rPr>
      </w:pPr>
      <w:r>
        <w:rPr>
          <w:noProof/>
        </w:rPr>
        <w:t>Suunnitellun säädöksen pääasiallinen tavoite ja sisältö koskevat yhteistä kauppapolitiikkaa.</w:t>
      </w:r>
    </w:p>
    <w:p>
      <w:pPr>
        <w:rPr>
          <w:i/>
          <w:noProof/>
        </w:rPr>
      </w:pPr>
      <w:r>
        <w:rPr>
          <w:noProof/>
        </w:rPr>
        <w:t>Sen vuoksi päätösehdotuksen aineellinen oikeusperusta on SEUT-sopimuksen 207 artiklan 4 kohta.</w:t>
      </w:r>
    </w:p>
    <w:p>
      <w:pPr>
        <w:pStyle w:val="ManualHeading2"/>
        <w:rPr>
          <w:noProof/>
        </w:rPr>
      </w:pPr>
      <w:r>
        <w:rPr>
          <w:noProof/>
        </w:rPr>
        <w:t>4.3.</w:t>
      </w:r>
      <w:r>
        <w:rPr>
          <w:noProof/>
        </w:rPr>
        <w:tab/>
        <w:t>Päätelmä</w:t>
      </w:r>
    </w:p>
    <w:p>
      <w:pPr>
        <w:rPr>
          <w:noProof/>
        </w:rPr>
      </w:pPr>
      <w:r>
        <w:rPr>
          <w:noProof/>
        </w:rPr>
        <w:t>Päätösehdotuksen oikeusperustan olisi oltava SEUT-sopimuksen 207 artiklan 4 kohdan ensimmäinen alakohta yhdessä SEUT-sopimuksen 218 artiklan 9 kohdan kanssa.</w:t>
      </w:r>
    </w:p>
    <w:p>
      <w:pPr>
        <w:pStyle w:val="ManualHeading1"/>
        <w:rPr>
          <w:noProof/>
        </w:rPr>
      </w:pPr>
      <w:r>
        <w:rPr>
          <w:noProof/>
        </w:rPr>
        <w:t>5.</w:t>
      </w:r>
      <w:r>
        <w:rPr>
          <w:noProof/>
        </w:rPr>
        <w:tab/>
        <w:t>Talousarviovaikutukset</w:t>
      </w:r>
    </w:p>
    <w:p>
      <w:pPr>
        <w:pStyle w:val="CommentText"/>
        <w:rPr>
          <w:noProof/>
          <w:sz w:val="24"/>
          <w:szCs w:val="24"/>
        </w:rPr>
      </w:pPr>
    </w:p>
    <w:p>
      <w:pPr>
        <w:rPr>
          <w:noProof/>
        </w:rPr>
      </w:pPr>
      <w:r>
        <w:rPr>
          <w:noProof/>
        </w:rPr>
        <w:t>Vaihtoehtoisten alkuperäsääntöjen käyttöönottoa koskevat muutosehdotukset perustuvat alkuperäsääntöjen uudistamisen periaatteeseen, ja niiden tarkoituksena on saattaa kyseiset säännöt vastaamaan hiljattain tehdyissä vapaakauppasopimuksissa määrättyjä uusia suuntauksia.  PEM-yleissopimuksen muutetuilla säännöillä lähinnä yksinkertaistetaan ja nykyaikaistetaan tullimenettelyjä, kuten</w:t>
      </w:r>
    </w:p>
    <w:p>
      <w:pPr>
        <w:rPr>
          <w:noProof/>
        </w:rPr>
      </w:pPr>
      <w:r>
        <w:rPr>
          <w:noProof/>
        </w:rPr>
        <w:t>Riittävä valmistus tai käsittely – keskiarvo: viejien on helpompi ennakoida tilanteita, kun noudettuna-hinta ja ei-alkuperäainesten arvo lasketaan keskiarvon perusteella markkinoiden vaihtelut huomioon ottaen</w:t>
      </w:r>
    </w:p>
    <w:p>
      <w:pPr>
        <w:rPr>
          <w:noProof/>
        </w:rPr>
      </w:pPr>
      <w:r>
        <w:rPr>
          <w:noProof/>
        </w:rPr>
        <w:t>Alkuperäselvitys: alkuperäselvityksiä yksinkertaistetaan, koska vastedes vain EUR.1-tavaratodistusta käytetään alkuperätodistuksena</w:t>
      </w:r>
    </w:p>
    <w:p>
      <w:pPr>
        <w:rPr>
          <w:noProof/>
        </w:rPr>
      </w:pPr>
      <w:r>
        <w:rPr>
          <w:noProof/>
        </w:rPr>
        <w:t>Alkuperäselvityksen voimassaolo: alkuperätuotteiden siirtoja kevennetään pidentämällä alkuperäselvitysten voimassaoloaikaa 4 kuukaudesta 10 kuukauteen.</w:t>
      </w:r>
    </w:p>
    <w:p>
      <w:pPr>
        <w:rPr>
          <w:noProof/>
        </w:rPr>
      </w:pPr>
      <w:r>
        <w:rPr>
          <w:noProof/>
        </w:rPr>
        <w:lastRenderedPageBreak/>
        <w:t>Näillä PEM-yleissopimukseen tehtävillä muutoksilla ei ole mitattavissa olevaa vaikutusta EU:n talousarvioon, koska niiden soveltamisala koskee pääasiassa kaupan helpottamista ja tulliviranomaisten nykyaikaisten käytäntöjen vahvistamista. Niillä otettaisiin käyttöön valinnaisia helpotuksia aloilla, jotka kuuluvat edelleen viranomaisten toimivaltaan, vaikuttamatta sääntöjen sisältöön (kirjanpidollinen erottelu, alkuperäselvitykset, keskiarvotus). Jotkin yksinkertaistukset (kuten alusten arviointiperusteiden lieventäminen) parantavat ennustettavuutta poistamalla edellytykset, joita tulliviranomaisten on tällä hetkellä vaikea valvoa, kun taas muut yksinkertaistukset (muuttamattomuus) koskevat logistiikkaa vaikuttamatta sääntöjen sisältöön.</w:t>
      </w:r>
    </w:p>
    <w:p>
      <w:pPr>
        <w:rPr>
          <w:noProof/>
        </w:rPr>
      </w:pPr>
      <w:r>
        <w:rPr>
          <w:noProof/>
        </w:rPr>
        <w:t>Vaikka tullinpalautusta koskevia määräyksiä muutetaan, tullinpalautuskieltoa sovelletaan edelleen tekstiili- ja vaatetusalalla, joka on jatkossakin yksi tärkeimmistä PEM-vyöhykkeen kaupan aloista. Muutetuilla säännöillä kodifioitaisiin nykyinen tilanne säilyttämällä joissakin sopimuspuolissa voimassa oleva kielto. Täyskumulaatio ehdotetaan otettavaksi yleisesti käyttöön PEM-vyöhykkeen sisällä. Tämän tarkoituksena on vahvistaa vyöhykkeen nykyisiä kaupparakenteita ja niiden täydentävyyttä, mutta tämän ei uskota vaikuttavan merkittävällä tavalla EU:ssa kannettaviin tulleihin, koska kumulaation soveltamisalaan kuuluvien tuotteiden on nykyiseen tapaan täytettävä omalla vyöhykkeellä saavutettua arvonlisäystä koskeva vaatimuksensa saadakseen etuudet.</w:t>
      </w:r>
    </w:p>
    <w:p>
      <w:pPr>
        <w:rPr>
          <w:noProof/>
        </w:rPr>
      </w:pPr>
      <w:r>
        <w:rPr>
          <w:noProof/>
        </w:rPr>
        <w:t>Maatalousalan ja jalostettujen maataloustuotteiden alan nimikekohtaisten sääntöjen muutokset ovat lähinnä menetelmien mukauttamista, joka ei vaikuta sääntöjen sisältöön. Nykyiset arvoina ilmaistavat rajat ilmaistaan vastedes painona. Tämä arviointiperuste on objektiivisempi, ja tulliviranomaisten on helpompi tarkastaa se. Teollisuustuotteiden tuotekohtaisten sääntöjen yksinkertaistaminen vaikuttanee vain vähän tulleista saataviin tuloihin, sillä monissa tapauksissa ne saattavat johtua pikemminkin muutoksista hankintalähteissä eikä niinkään siitä, että PEM-maista tuleva etuuskohteluun oikeutettu tuonti lisääntyisi sellaisen tuonnin kustannuksella, josta kannettiin aiemmin tuontitulleja. Näiden muutosten vaikutusta tuontitulleista saataviin tuloihin ei näin ollen voida ilmaista määrällisesti. Mitä tulee kauppaan ja sen vaikutuksiin etuuksien käyttöön, uusien sääntöjen myötä tapahtuva joustavuuden lisääntyminen korostaisi taloudellista yhdentymistä koko vyöhykkeellä ja esim. tekstiilialalla, jolla etuudet ovat jo nyt erittäin yleisiä. Tekstiilejä ja kumulaatiota koskevien sääntöjen parantamisen tarkoituksena on pääasiassa tehostaa alueellista yhdentymistä entisestään ja helpottaa ainesten saatavuutta vyöhykkeellä eikä se, että vastedes ei-alkuperäaineksia saisi tuoda enemmän vyöhykkeen ulkopuolelta.</w:t>
      </w:r>
    </w:p>
    <w:p>
      <w:pPr>
        <w:pStyle w:val="CommentText"/>
        <w:rPr>
          <w:rFonts w:eastAsia="Arial Unicode MS"/>
          <w:noProof/>
          <w:sz w:val="24"/>
          <w:szCs w:val="24"/>
          <w:highlight w:val="yellow"/>
        </w:rPr>
      </w:pPr>
    </w:p>
    <w:p>
      <w:pPr>
        <w:pStyle w:val="ManualHeading1"/>
        <w:rPr>
          <w:noProof/>
        </w:rPr>
      </w:pPr>
      <w:r>
        <w:rPr>
          <w:noProof/>
        </w:rPr>
        <w:t>6.</w:t>
      </w:r>
      <w:r>
        <w:rPr>
          <w:noProof/>
        </w:rPr>
        <w:tab/>
        <w:t>Suunnitellun säädöksen julkaiseminen</w:t>
      </w:r>
    </w:p>
    <w:p>
      <w:pPr>
        <w:rPr>
          <w:noProof/>
        </w:rPr>
      </w:pPr>
      <w:r>
        <w:rPr>
          <w:noProof/>
        </w:rPr>
        <w:t xml:space="preserve">Koska assosiointineuvoston säädöksellä muutetaan assosiaatiosopimusta, on aiheellista julkaista se </w:t>
      </w:r>
      <w:r>
        <w:rPr>
          <w:i/>
          <w:noProof/>
        </w:rPr>
        <w:t>Euroopan unionin virallisessa lehdessä</w:t>
      </w:r>
      <w:r>
        <w:rPr>
          <w:noProof/>
        </w:rPr>
        <w:t xml:space="preserve"> sen hyväksymisen jälkeen.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2020/0190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Euroopan yhteisöjen ja niiden jäsenvaltioiden sekä Israelin valtion välisestä assosioinnista tehdyllä Euro–Välimeri-sopimuksella perustetussa assosiointineuvostossa Euroopan unionin puolesta otettavasta kannasta käsitteen ”peräisin olevat tuotteet” (alkuperätuotteet) määrittelyä ja hallinnollisen yhteistyön menetelmiä koskevan mainitun sopimuksen pöytäkirjan N:o 4 muuttamiseen</w:t>
      </w:r>
    </w:p>
    <w:p>
      <w:pPr>
        <w:pStyle w:val="Institutionquiagit"/>
        <w:rPr>
          <w:b/>
          <w:noProof/>
        </w:rPr>
      </w:pPr>
      <w:r>
        <w:rPr>
          <w:b/>
          <w:noProof/>
        </w:rPr>
        <w:t>EUROOPAN UNIONIN NEUVOSTO, joka</w:t>
      </w:r>
    </w:p>
    <w:p>
      <w:pPr>
        <w:rPr>
          <w:noProof/>
        </w:rPr>
      </w:pPr>
      <w:r>
        <w:rPr>
          <w:noProof/>
        </w:rPr>
        <w:t>ottaa huomioon Euroopan unionin toiminnasta tehdyn sopimuksen ja erityisesti sen 207 artiklan 4 kohdan ensimmäisen alakohdan yhdessä 218 artiklan 9 kohdan kanssa,</w:t>
      </w:r>
    </w:p>
    <w:p>
      <w:pPr>
        <w:rPr>
          <w:noProof/>
        </w:rPr>
      </w:pPr>
      <w:r>
        <w:rPr>
          <w:noProof/>
        </w:rPr>
        <w:t>ottaa huomioon Euroopan komission ehdotuksen, sekä katsoo seuraavaa:</w:t>
      </w:r>
    </w:p>
    <w:p>
      <w:pPr>
        <w:rPr>
          <w:noProof/>
        </w:rPr>
      </w:pPr>
      <w:r>
        <w:rPr>
          <w:noProof/>
        </w:rPr>
        <w:t>sekä katsoo seuraavaa:</w:t>
      </w:r>
    </w:p>
    <w:p>
      <w:pPr>
        <w:pStyle w:val="ManualConsidrant"/>
        <w:rPr>
          <w:noProof/>
        </w:rPr>
      </w:pPr>
      <w:r>
        <w:rPr>
          <w:noProof/>
        </w:rPr>
        <w:t>(1)</w:t>
      </w:r>
      <w:r>
        <w:rPr>
          <w:noProof/>
        </w:rPr>
        <w:tab/>
        <w:t>Unioni teki  Euroopan yhteisöjen ja niiden jäsenvaltioiden sekä Israelin valtion välisestä assosioinnista tehdyn Euro–Välimeri-sopimuksen, jäljempänä ’sopimus’, neuvoston ja komission päätöksellä 2000/384/EY, EHTY</w:t>
      </w:r>
      <w:r>
        <w:rPr>
          <w:rStyle w:val="FootnoteReference"/>
          <w:noProof/>
        </w:rPr>
        <w:footnoteReference w:id="4"/>
      </w:r>
      <w:r>
        <w:rPr>
          <w:noProof/>
        </w:rPr>
        <w:t>, ja sopimus tuli voimaan 1 päivänä kesäkuuta 2000.</w:t>
      </w:r>
    </w:p>
    <w:p>
      <w:pPr>
        <w:pStyle w:val="ManualConsidrant"/>
        <w:rPr>
          <w:noProof/>
        </w:rPr>
      </w:pPr>
      <w:r>
        <w:rPr>
          <w:noProof/>
        </w:rPr>
        <w:t>(2)</w:t>
      </w:r>
      <w:r>
        <w:rPr>
          <w:noProof/>
        </w:rPr>
        <w:tab/>
        <w:t>Sopimukseen sisältyvä pöytäkirja N:o 4 koskee käsitteen ”peräisin olevat tuotteet” (alkuperätuotteet) määrittelyä ja hallinnollisen yhteistyön menetelmiä. Mainitun pöytäkirjan 39 artiklan nojalla sopimuksen 67 artiklalla perustettu assosiointineuvosto, jäljempänä ’assosiointineuvosto’, voi päättää muuttaa pöytäkirjan määräyksiä.</w:t>
      </w:r>
    </w:p>
    <w:p>
      <w:pPr>
        <w:pStyle w:val="ManualConsidrant"/>
        <w:rPr>
          <w:noProof/>
        </w:rPr>
      </w:pPr>
      <w:r>
        <w:rPr>
          <w:noProof/>
        </w:rPr>
        <w:t>(3)</w:t>
      </w:r>
      <w:r>
        <w:rPr>
          <w:noProof/>
        </w:rPr>
        <w:tab/>
        <w:t>Assosiaationeuvoston on määrä hyväksyä seuraavassa kokouksessaan päätös pöytäkirjan N:o 4 muuttamisesta.</w:t>
      </w:r>
    </w:p>
    <w:p>
      <w:pPr>
        <w:pStyle w:val="ManualConsidrant"/>
        <w:rPr>
          <w:noProof/>
        </w:rPr>
      </w:pPr>
      <w:r>
        <w:rPr>
          <w:noProof/>
        </w:rPr>
        <w:t>(4)</w:t>
      </w:r>
      <w:r>
        <w:rPr>
          <w:noProof/>
        </w:rPr>
        <w:tab/>
        <w:t>On aiheellista määrittää kanta, joka otetaan unionin puolesta assosiointineuvostossa, koska assosiointineuvoston päätös tulee olemaan unionia sitova.</w:t>
      </w:r>
    </w:p>
    <w:p>
      <w:pPr>
        <w:pStyle w:val="ManualConsidrant"/>
        <w:rPr>
          <w:noProof/>
        </w:rPr>
      </w:pPr>
      <w:r>
        <w:rPr>
          <w:noProof/>
        </w:rPr>
        <w:t>(5)</w:t>
      </w:r>
      <w:r>
        <w:rPr>
          <w:noProof/>
        </w:rPr>
        <w:tab/>
        <w:t>Unioni teki etuuskohteluun oikeuttavia Paneurooppa–Välimeri-alkuperäsääntöjä koskevan alueellisen yleissopimuksen, jäljempänä ’yleissopimus’, neuvoston päätöksellä 2013/93/EU</w:t>
      </w:r>
      <w:r>
        <w:rPr>
          <w:rStyle w:val="FootnoteReference"/>
          <w:noProof/>
        </w:rPr>
        <w:footnoteReference w:id="5"/>
      </w:r>
      <w:r>
        <w:rPr>
          <w:noProof/>
        </w:rPr>
        <w:t>, ja yleissopimus tuli voimaan 1 päivänä toukokuuta 2012. Siinä vahvistetaan sopimuspuolten välillä tehtyjen asiaankuuluvien sopimusten nojalla kaupattavien tavaroiden alkuperää koskevat määräykset, joita sovelletaan rajoittamatta kyseisissä sopimuksissa määrättyjen periaatteiden noudattamista.</w:t>
      </w:r>
    </w:p>
    <w:p>
      <w:pPr>
        <w:pStyle w:val="ManualConsidrant"/>
        <w:rPr>
          <w:noProof/>
        </w:rPr>
      </w:pPr>
      <w:r>
        <w:rPr>
          <w:noProof/>
        </w:rPr>
        <w:t>(6)</w:t>
      </w:r>
      <w:r>
        <w:rPr>
          <w:noProof/>
        </w:rPr>
        <w:tab/>
        <w:t xml:space="preserve">Yleissopimuksen 6 artiklassa määrätään, että kukin sopimuspuoli toteuttaa asianmukaiset toimenpiteet varmistaakseen yleissopimuksen tosiasiallisen </w:t>
      </w:r>
      <w:r>
        <w:rPr>
          <w:noProof/>
        </w:rPr>
        <w:lastRenderedPageBreak/>
        <w:t>soveltamisen. Tätä varten assosiointineuvoston olisi hyväksyttävä päätös yleissopimusta koskevan viittauksen lisäämisestä sopimuksen pöytäkirjaan N:o 4.</w:t>
      </w:r>
    </w:p>
    <w:p>
      <w:pPr>
        <w:pStyle w:val="ManualConsidrant"/>
        <w:rPr>
          <w:noProof/>
        </w:rPr>
      </w:pPr>
      <w:r>
        <w:rPr>
          <w:noProof/>
        </w:rPr>
        <w:t>(7)</w:t>
      </w:r>
      <w:r>
        <w:rPr>
          <w:noProof/>
        </w:rPr>
        <w:tab/>
        <w:t>Yleissopimuksen muutoksesta käytyjen keskustelujen tuloksena laadittiin uudet nykyaikaistetut ja joustavammat alkuperäsäännöt, jotka on määrä sisällyttää yleissopimukseen. Odotettaessa muutosprosessin lopputulosta EU ja Israel ovat ilmaisseet halukkuutensa soveltaa uusia sääntöjä mahdollisimman pian kahdenvälisesti ja vaihtoehtona nykyisten sääntöjen soveltamiselle.</w:t>
      </w:r>
    </w:p>
    <w:p>
      <w:pPr>
        <w:pStyle w:val="Formuledadoption"/>
        <w:rPr>
          <w:noProof/>
        </w:rPr>
      </w:pPr>
      <w:r>
        <w:rPr>
          <w:noProof/>
        </w:rPr>
        <w:t>ON HYVÄKSYNYT TÄMÄN PÄÄTÖKSEN:</w:t>
      </w:r>
    </w:p>
    <w:p>
      <w:pPr>
        <w:pStyle w:val="Titrearticle"/>
        <w:rPr>
          <w:noProof/>
        </w:rPr>
      </w:pPr>
      <w:r>
        <w:rPr>
          <w:noProof/>
        </w:rPr>
        <w:t>1 artikla</w:t>
      </w:r>
    </w:p>
    <w:p>
      <w:pPr>
        <w:jc w:val="left"/>
        <w:rPr>
          <w:i/>
          <w:noProof/>
        </w:rPr>
      </w:pPr>
      <w:r>
        <w:rPr>
          <w:noProof/>
        </w:rPr>
        <w:t>Assosiointineuvostossa unionin puolesta otettava kanta perustuu tämän päätöksen liitteenä olevaan assosiointineuvoston säädösluonnokseen.</w:t>
      </w:r>
    </w:p>
    <w:p>
      <w:pPr>
        <w:pStyle w:val="Titrearticle"/>
        <w:rPr>
          <w:noProof/>
        </w:rPr>
      </w:pPr>
      <w:r>
        <w:rPr>
          <w:noProof/>
        </w:rPr>
        <w:t xml:space="preserve">2 artikla </w:t>
      </w:r>
    </w:p>
    <w:p>
      <w:pPr>
        <w:rPr>
          <w:noProof/>
        </w:rPr>
      </w:pPr>
      <w:r>
        <w:rPr>
          <w:noProof/>
        </w:rPr>
        <w:t>Tämä päätös on osoitettu komissiolle.</w:t>
      </w:r>
    </w:p>
    <w:p>
      <w:pPr>
        <w:rPr>
          <w:noProof/>
        </w:rPr>
      </w:pP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footnotePr>
        <w:numRestart w:val="eachPage"/>
      </w:footnote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EF5F8" w16cid:durableId="21064A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EUVL L 147, 21.6.2000, s. 3.</w:t>
      </w:r>
    </w:p>
  </w:footnote>
  <w:footnote w:id="3">
    <w:p>
      <w:pPr>
        <w:pStyle w:val="FootnoteText"/>
      </w:pPr>
      <w:r>
        <w:rPr>
          <w:rStyle w:val="FootnoteReference"/>
        </w:rPr>
        <w:footnoteRef/>
      </w:r>
      <w:r>
        <w:tab/>
        <w:t xml:space="preserve">Unionin tuomioistuimen tuomio 7.10.2014, Saksa v. neuvosto, C-399/12, ECLI:EU:C:2014:2258, 61–64 kohta. </w:t>
      </w:r>
    </w:p>
  </w:footnote>
  <w:footnote w:id="4">
    <w:p>
      <w:pPr>
        <w:pStyle w:val="FootnoteText"/>
      </w:pPr>
      <w:r>
        <w:rPr>
          <w:rStyle w:val="FootnoteReference"/>
        </w:rPr>
        <w:footnoteRef/>
      </w:r>
      <w:r>
        <w:tab/>
        <w:t>Neuvoston päätös, tehty 19 päivänä huhtikuuta 2000, Euroopan yhteisöjen ja niiden jäsenvaltioiden sekä Israelin valtion välisen assosioinnin perustavan Euro-Välimeri-sopimuksen tekemisestä (EUVL L 147, 21.6.2000, s. 1).</w:t>
      </w:r>
    </w:p>
  </w:footnote>
  <w:footnote w:id="5">
    <w:p>
      <w:pPr>
        <w:pStyle w:val="FootnoteText"/>
      </w:pPr>
      <w:r>
        <w:rPr>
          <w:rStyle w:val="FootnoteReference"/>
          <w:lang w:val="en-US"/>
        </w:rPr>
        <w:footnoteRef/>
      </w:r>
      <w:r>
        <w:tab/>
        <w:t>Neuvoston päätös 2013/93/EU, annettu 14 päivänä huhtikuuta 2011, etuuskohteluun oikeuttavia Paneurooppa–Välimeri-alkuperäsääntöjä koskevan alueellisen yleissopimuksen allekirjoittamisesta Euroopan unionin puolesta (EUVL L 54, 26.2.2013, s.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5AA46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6A33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B0D6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2CE05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C3C60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2027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1D0801C"/>
    <w:lvl w:ilvl="0">
      <w:start w:val="1"/>
      <w:numFmt w:val="decimal"/>
      <w:pStyle w:val="ListNumber"/>
      <w:lvlText w:val="%1."/>
      <w:lvlJc w:val="left"/>
      <w:pPr>
        <w:tabs>
          <w:tab w:val="num" w:pos="360"/>
        </w:tabs>
        <w:ind w:left="360" w:hanging="360"/>
      </w:pPr>
    </w:lvl>
  </w:abstractNum>
  <w:abstractNum w:abstractNumId="7">
    <w:nsid w:val="FFFFFF89"/>
    <w:multiLevelType w:val="singleLevel"/>
    <w:tmpl w:val="E91A09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revisionView w:markup="0"/>
  <w:defaultTabStop w:val="720"/>
  <w:hyphenationZone w:val="425"/>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7 18:39: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5E765D7D-DAAE-45BA-8F74-C9C6D67FFC1B"/>
    <w:docVar w:name="LW_COVERPAGE_TYPE" w:val="1"/>
    <w:docVar w:name="LW_CROSSREFERENCE" w:val="&lt;UNUSED&gt;"/>
    <w:docVar w:name="LW_DocType" w:val="COM"/>
    <w:docVar w:name="LW_EMISSION" w:val="24.8.2020"/>
    <w:docVar w:name="LW_EMISSION_ISODATE" w:val="2020-08-24"/>
    <w:docVar w:name="LW_EMISSION_LOCATION" w:val="BRX"/>
    <w:docVar w:name="LW_EMISSION_PREFIX" w:val="Bryss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190"/>
    <w:docVar w:name="LW_REF.II.NEW.CP_YEAR" w:val="2020"/>
    <w:docVar w:name="LW_REF.INST.NEW" w:val="COM"/>
    <w:docVar w:name="LW_REF.INST.NEW_ADOPTED" w:val="final"/>
    <w:docVar w:name="LW_REF.INST.NEW_TEXT" w:val="(2020) 4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Euroopan yhteisöjen ja niiden jäsenvaltioiden sekä Israelin valtion välisestä assosioinnista tehdyllä Euro\u8211?Välimeri-sopimuksella perustetussa assosiointineuvostossa Euroopan unionin puolesta otettavasta kannasta käsitteen \u8221?peräisin olevat tuotteet\u8221? (alkuperätuotteet) määrittelyä ja hallinnollisen yhteistyön menetelmiä koskevan mainitun sopimuksen pöytäkirjan N:o 4 muuttamiseen"/>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FFF71-49C7-4EF7-9470-6EB91F6C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10</Pages>
  <Words>2433</Words>
  <Characters>20976</Characters>
  <Application>Microsoft Office Word</Application>
  <DocSecurity>0</DocSecurity>
  <Lines>338</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2019-08-20T15:08:00Z</cp:lastPrinted>
  <dcterms:created xsi:type="dcterms:W3CDTF">2020-09-03T14:11:00Z</dcterms:created>
  <dcterms:modified xsi:type="dcterms:W3CDTF">2020-09-07T16:39:00Z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