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59AF8CB-2F63-4BE1-888A-C2E761FBFA01" style="width:450.7pt;height:406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Din il-proposta tikkonċerna d-deċiżjoni li tistabbilixxi l-pożizzjoni li trid tittieħed f’isem l-Unjoni fis-Sottokumitat Doganali tal-Ftehim ta’ Assoċjazzjoni bejn l-UE u l-Georgia b’rabta mal-adozzjoni prevista ta’ Deċiżjoni li temenda l-Protokoll I tal-Ftehim ta’ Assoċjazzjoni bejn l-UE u l-Georgia.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>Il-Ftehim ta’ Assoċjazzjoni bejn l-Unjoni Ewropea u l-Komunità Ewropea tal-Enerġija Atomika u l-Istati Membri tagħhom, minn naħa l-waħda, u l-Georgia, min-naħa l-oħra</w:t>
      </w:r>
    </w:p>
    <w:p>
      <w:pPr>
        <w:rPr>
          <w:rFonts w:eastAsia="Arial Unicode MS"/>
          <w:noProof/>
        </w:rPr>
      </w:pPr>
      <w:r>
        <w:rPr>
          <w:noProof/>
        </w:rPr>
        <w:t>Il-Ftehim ta’ Assoċjazzjoni bejn l-Unjoni Ewropea u l-Komunità Ewropea tal-Enerġija Atomika u l-Istati Membri tagħhom, minn naħa l-waħda, u l-Georgia, min-naħa l-oħra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(“il-Ftehim”) għandu l-għan li tinkiseb l-integrazzjoni ekonomika gradwali tal-Georgia fis-Suq Intern tal-UE. Il-Ftehim daħal fis-seħħ fl-1 ta’ Lulju 2016.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Is-Sottokumitat Doganali </w:t>
      </w:r>
    </w:p>
    <w:p>
      <w:pPr>
        <w:rPr>
          <w:rFonts w:eastAsia="Arial Unicode MS"/>
          <w:noProof/>
        </w:rPr>
      </w:pPr>
      <w:r>
        <w:rPr>
          <w:noProof/>
        </w:rPr>
        <w:t>Is-Sottokumitat Doganali stabbilit f’konformità mad-dispożizzjonijiet tal-Artikolu 74(1) tal-Ftehim, jista’ jiddeċiedi li jemenda d-dispożizzjonijiet tal-Protokoll I dwar id-definizzjoni tal-kunċett ta’ “prodotti oriġinarji” u l-metodi ta’ koperazzjoni amministrattiva (l-Artikolu 3 tal-Protokoll I). Is-Sottokumitat Doganali jfassal id-deċiżjonijiet u r-rakkomandazzjonijiet tiegħu bi ftehim bejn iż-żewġ Partijiet.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L-att previst tas-Sottokumitat Doganali</w:t>
      </w:r>
    </w:p>
    <w:p>
      <w:pPr>
        <w:rPr>
          <w:rFonts w:eastAsia="Arial Unicode MS"/>
          <w:noProof/>
        </w:rPr>
      </w:pPr>
      <w:r>
        <w:rPr>
          <w:noProof/>
        </w:rPr>
        <w:t>Fil-laqgħa li jmiss tiegħu jew permezz ta’ skambju ta’ ittri, is-Sottokumitat Doganali jrid jadotta Deċiżjoni rigward l-emenda tad-dispożizzjonijiet tal-Protokoll I dwar id-definizzjoni tal-kunċett ta’ “prodotti oriġinarji” u l-metodi ta’ kooperazzjoni amministrattiva (“l-att previst”).</w:t>
      </w:r>
    </w:p>
    <w:p>
      <w:pPr>
        <w:rPr>
          <w:rFonts w:eastAsia="Arial Unicode MS"/>
          <w:noProof/>
        </w:rPr>
      </w:pPr>
      <w:r>
        <w:rPr>
          <w:noProof/>
        </w:rPr>
        <w:t>L-att previst għandu l-għan li jemenda d-dispożizzjonijiet tal-Protokoll I dwar id-definizzjoni tal-kunċett ta’ “prodotti oriġinarji” u l-metodi ta’ koperazzjoni amministrattiva.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Pożizzjoni li trid tittieħed f’isem l-Unjoni </w:t>
      </w:r>
    </w:p>
    <w:p>
      <w:pPr>
        <w:rPr>
          <w:rFonts w:eastAsia="Arial Unicode MS"/>
          <w:noProof/>
        </w:rPr>
      </w:pPr>
      <w:r>
        <w:rPr>
          <w:noProof/>
        </w:rPr>
        <w:t>Il-Konvenzjoni Reġjonali dwar ir-regoli preferenzjali tal-oriġini pan-Ewro-Mediterranji (“il-Konvenzjoni”) tistabbilixxi dispożizzjonijiet dwar l-oriġini tal-oġġetti nnegozjati skont Ftehimiet rilevanti konklużi bejn il-Partijiet Kontraenti. L-Unjoni ffirmat il-Konvenzjoni fil-15 ta’ Ġunju 2011. Permezz tad-Deċiżjoni Nru 1/2016 tiegħu, il-Kumitat Konġunt stabbilit bl-Artikolu 3(1) tal-Konvenzjoni ddeċieda li l-Georgia għandha tiġi mistiedna biex taċċedi għall-Konvenzjoni.</w:t>
      </w:r>
    </w:p>
    <w:p>
      <w:pPr>
        <w:rPr>
          <w:rFonts w:eastAsia="Arial Unicode MS"/>
          <w:noProof/>
        </w:rPr>
      </w:pPr>
      <w:r>
        <w:rPr>
          <w:noProof/>
        </w:rPr>
        <w:t>L-UE u l-Georgia ddepożitaw l-istrumenti tagħhom ta’ aċċettazzjoni għand id-depożitarju tal-Konvenzjoni fis-26 ta’ Marzu 2012 u fis-17 ta’ Mejju 2017 rispettivament. Bħala konsegwenza, b’applikazzjoni tal-Artikolu 10(2) tagħha, il-Konvenzjoni daħlet fis-seħħ fir-rigward tal-UE u l-Georgia fl-1 ta’ Mejju 2012 u fl-1 ta’ Lulju 2017 rispettivament.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 xml:space="preserve">L-Artikolu 6 tal-Konvenzjoni jipprevedi li kull Parti Kontraenti għandha tieħu l-miżuri xierqa biex tiżgura l-applikazzjoni effettiva tal-Konvenzjoni. Għal dak l-għan, is-Sottokumitat Doganali stabbilit mill-Ftehim ta’ Assoċjazzjoni li jistabbilixxi Assoċjazzjoni bejn l-Unjoni Ewropea u l-Komunità Ewropea tal-Enerġija Atomika u l-Istati Membri tagħhom, minn naħa l-waħda, u l-Georgia, min-naħa l-oħra, jenħtieġ jadotta Deċiżjoni li tintroduċi r-regoli tal-Konvenzjoni skont il-Protokoll I b’rabta mad-definizzjoni tal-kunċett ta’ “prodotti oriġinarji” u l-metodi ta’ koperazzjoni amministrattiva. Dan isir bl-introduzzjoni fil-Protokoll emendat ta’ referenza għall-Konvenzjoni li se tagħmlu applikabbli.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Fl-istess ħin, il-proċess li għaddej biex tiġi emendata l-Konvenzjoni wassal għal sett ġdid ta’ regoli tal-oriġini modernizzati u aktar flessibbli. L-emenda formali tal-Konvenzjoni teħtieġ il-vot unanimu tal-Partijiet Kontraenti. Peress li għad fadal xi Partijiet Kontraenti li għandhom xi oġġezzjonijiet għall-emenda, hemm ir-riskju li l-adozzjoni tiddewwem. Minbarra dan, ma tistax tiġi stabbilita skeda ta’ żmien ċara għall-applikazzjoni tal-Konvenzjoni emendata, minħabba l-għadd tal-Partijiet Kontraenti u l-proċeduri interni rispettivi tagħhom li huma meħtieġa li jkunu f’pożizzjoni li jivvutaw dwar l-adozzjoni formali u li jħejju d-dħul fis-seħħ tar-regoli emendati.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F’dan il-kuntest, l-Georgia talbet li tibda tapplika s-sett emendat ta’ regoli mill-aktar fis possibbli, minflok ir-regoli attwali tal-Konvenzjoni, filwaqt li tistenna l-eżitu tal-proċess tal-emenda. Din it-talba hija spjegata hawn taħt. </w:t>
      </w:r>
    </w:p>
    <w:p>
      <w:pPr>
        <w:pStyle w:val="Point1"/>
        <w:rPr>
          <w:noProof/>
        </w:rPr>
      </w:pPr>
      <w:r>
        <w:rPr>
          <w:noProof/>
        </w:rPr>
        <w:t xml:space="preserve"> </w:t>
      </w:r>
    </w:p>
    <w:p>
      <w:pPr>
        <w:rPr>
          <w:rFonts w:eastAsia="Arial Unicode MS"/>
          <w:noProof/>
        </w:rPr>
      </w:pPr>
      <w:r>
        <w:rPr>
          <w:noProof/>
        </w:rPr>
        <w:t>Dawn ir-regoli tal-oriġini alternattivi huma maħsuba għall-applikazzjoni proviżorja, fuq bażi fakultattiva u bilaterali, mill-UE u mill-Georgia sakemm tiġi konkluża u tidħol fis-seħħ l-emenda tal-Konvenzjoni. Dawn huma maħsuba biex japplikaw minflok ir-regoli tal-Konvenzjoni, peress li dawn tal-aħħar huma stabbiliti mingħajr preġudizzju għall-prinċipji stabbiliti fil-ftehimiet rilevanti u fi ftehimiet bilaterali relatati oħra bejn il-Partijiet Kontraenti. Għaldaqstant, dawn ir-regoli mhux se jkunu obbligatorji iżda se jkunu jistgħu jiġu applikati b’mod fakultattiv mill-operaturi ekonomiċi li jixtiequ jużaw preferenzi bbażati fuqhom, minflok preferenzi bbażati fuq il-Konvenzjoni. Dawn mhumiex maħsuba biex jimmodifikaw il-Konvenzjoni, li se tibqa’ tapplika għall-Partijiet Kontraenti, u mhux se jbiddlu d-drittijiet u l-obbligi tal-Partijiet Kontraenti skont il-Konvenzjoni.</w:t>
      </w:r>
    </w:p>
    <w:p>
      <w:pPr>
        <w:rPr>
          <w:rFonts w:eastAsia="Arial Unicode MS"/>
          <w:noProof/>
        </w:rPr>
      </w:pPr>
      <w:r>
        <w:rPr>
          <w:noProof/>
        </w:rPr>
        <w:t>Il-pożizzjoni li trid tittieħed mill-UE fi ħdan is-Sottokumitat Doganali jenħtieġ li tiġi stabbilita mill-Kunsill.</w:t>
      </w:r>
    </w:p>
    <w:p>
      <w:pPr>
        <w:rPr>
          <w:rFonts w:eastAsia="Arial Unicode MS"/>
          <w:noProof/>
        </w:rPr>
      </w:pPr>
      <w:r>
        <w:rPr>
          <w:noProof/>
        </w:rPr>
        <w:t>L-emendi proposti sa fejn huma relatati mal-Konvenzjoni attwali għandhom natura teknika u ma jaffettwawx is-sustanza tal-Protokoll b’rabta mar-regoli tal-oriġini fis-seħħ bħalissa. Għalhekk dawn ma jeħtiġux valutazzjoni tal-impatt.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Dettalji dwar ir-regoli tal-oriġini alternattivi</w:t>
      </w:r>
    </w:p>
    <w:p>
      <w:pPr>
        <w:rPr>
          <w:rFonts w:eastAsia="Arial Unicode MS"/>
          <w:noProof/>
        </w:rPr>
      </w:pPr>
      <w:r>
        <w:rPr>
          <w:noProof/>
        </w:rPr>
        <w:t>L-emendi proposti dwar l-introduzzjoni tas-sett alternattiv tar-regoli tal-oriġini jipprevedu flessibbiltajiet addizzjonali u elementi ta’ modernizzazzjoni, li diġà ġew miftiehma mill-Unjoni fi ftehimiet bilaterali oħra (il-Ftehim Ekonomiku u Kummerċjali Komprensiv bejn l-UE u l-Kanada, il-Ftehim ta’ Kummerċ Ħieles bejn l-UE u l-Vjetnam, il-Ftehim ta’ Sħubija Ekonomika bejn l-UE u l-Ġappun, il-Ftehim ta’ Sħubija Ekonomika bejn l-UE u l-Komunità għall-Iżvilupp tan-Nofsinhar tal-Afrika) jew fi skemi preferenzjali (Sistema Ġeneralizzata tal-Preferenzi). Ir-riskji prinċipali huma dawn: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</w:p>
    <w:p>
      <w:pPr>
        <w:pStyle w:val="Point1"/>
        <w:rPr>
          <w:noProof/>
        </w:rPr>
      </w:pPr>
      <w:r>
        <w:rPr>
          <w:noProof/>
        </w:rPr>
        <w:lastRenderedPageBreak/>
        <w:t>(a)</w:t>
      </w:r>
      <w:r>
        <w:rPr>
          <w:noProof/>
        </w:rPr>
        <w:tab/>
        <w:t>Prodotti miksuba għalkollox – “il-kundizzjonijiet tal-bastimenti”:</w:t>
      </w:r>
    </w:p>
    <w:p>
      <w:pPr>
        <w:rPr>
          <w:rFonts w:eastAsia="Arial Unicode MS"/>
          <w:noProof/>
        </w:rPr>
      </w:pPr>
      <w:r>
        <w:rPr>
          <w:noProof/>
        </w:rPr>
        <w:t>L-hekk imsejħa kundizzjonijiet tal-bastimenti li jinsabu fis-sett alternattiv tar-regoli huma aktar sempliċi u jipprovdu aktar flessibbiltà. Meta mqabbla mat-test attwali (l-Artikolu 5), ċerti kundizzjonijiet tħassru (jiġifieri rekwiżiti speċifiċi tal-ekwipaġġ); oħrajn ġew emendati biex jipprovdu aktar rilassament (is-sjieda).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Ħdim jew ipproċessar suffiċjenti – Bażi medja</w:t>
      </w:r>
    </w:p>
    <w:p>
      <w:pPr>
        <w:rPr>
          <w:rFonts w:eastAsia="Arial Unicode MS"/>
          <w:noProof/>
        </w:rPr>
      </w:pPr>
      <w:r>
        <w:rPr>
          <w:noProof/>
        </w:rPr>
        <w:t>Is-sett alternattiv tar-regoli propost (l-Artikolu 4) jagħti l-flessibbiltà lill-esportatur li jitlob awtorizzazzjoni lill-awtoritajiet doganali biex jikkalkulaw il-prezz mill-fabbrika u l-valur tal-materjali mhux oriġinarji fuq bażi medja biex jitqiesu l-varjazzjonijiet fil-kostijiet u fir-rati tal-kambju. Dan għandu jagħti aktar prevedibbiltà lill-esportaturi.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Tolleranza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It-tolleranza attwali (l-Artikolu 6) hi stabbilita għal 10 % fil-valur tal-prezz mill-fabbrika tal-prodott. </w:t>
      </w:r>
    </w:p>
    <w:p>
      <w:pPr>
        <w:rPr>
          <w:rFonts w:eastAsia="Arial Unicode MS"/>
          <w:noProof/>
        </w:rPr>
      </w:pPr>
      <w:r>
        <w:rPr>
          <w:noProof/>
        </w:rPr>
        <w:t>Għall-prodotti agrikoli, it-test propost (l-Artikolu 5) jipprevedi tolleranza ta’ 15 % tal-piż nett tal-prodott, u għall-prodotti industrijali jipprevedi tolleranza ta’ 15 % fil-valur tal-prezz mill-fabbrika tal-prodott.</w:t>
      </w:r>
    </w:p>
    <w:p>
      <w:pPr>
        <w:rPr>
          <w:rFonts w:eastAsia="Arial Unicode MS"/>
          <w:noProof/>
        </w:rPr>
      </w:pPr>
      <w:r>
        <w:rPr>
          <w:noProof/>
        </w:rPr>
        <w:t>It-tolleranza fil-piż tintroduċi kriterju aktar oġġettiv u livell limitu ta’ 15 % għandu jipprovdi livell ta’ klemenza suffiċjenti. Din tiżgura wkoll li l-varjazzjonijiet internazzjonali fil-prezzijiet tal-prodotti bażiċi ma jħallux impatt fuq l-oriġini tal-prodotti agrikoli.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>Akkumulazzjoni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It-test propost (l-Artikolu 7) iżomm l-akkumulazzjoni dijagonali għall-prodotti kollha bil-kundizzjoni li jiġi aċċettat l-istess sett ta’ regoli tal-oriġini alternattivi mis-sħab involuti fl-akkumulazzjoni. Barra minn hekk, dan jipprevedi akkumulazzjoni sħiħa ġeneralizzata għall-prodotti kollha għajr għat-tessuti u għall-ilbies elenkati fil-Kapitoli 50-63 tas-Sistema Armonizzata (SA). </w:t>
      </w:r>
    </w:p>
    <w:p>
      <w:pPr>
        <w:rPr>
          <w:rFonts w:eastAsia="Arial Unicode MS"/>
          <w:noProof/>
        </w:rPr>
      </w:pPr>
      <w:r>
        <w:rPr>
          <w:noProof/>
        </w:rPr>
        <w:t>Minbarra dan, għall-prodotti tal-Kapitoli 50-63 tas-SA, dan jipprevedi akkumulazzjoni sħiħa bilaterali. Fl-aħħar nett, l-Unjoni u l-Georgia se jkollhom l-għażla li jaqblu biex tiġi estiża l-akkumulazzjoni sħiħa ġeneralizzata wkoll għall-prodotti tal-Kapitoli 50-63 tas-SA.</w:t>
      </w:r>
    </w:p>
    <w:p>
      <w:pPr>
        <w:pStyle w:val="Point1"/>
        <w:rPr>
          <w:noProof/>
        </w:rPr>
      </w:pPr>
      <w:r>
        <w:rPr>
          <w:noProof/>
        </w:rPr>
        <w:t>(e)</w:t>
      </w:r>
      <w:r>
        <w:rPr>
          <w:noProof/>
        </w:rPr>
        <w:tab/>
        <w:t>Segregazzjoni tal-kontabbiltà</w:t>
      </w:r>
    </w:p>
    <w:p>
      <w:pPr>
        <w:rPr>
          <w:rFonts w:eastAsia="Arial Unicode MS"/>
          <w:noProof/>
        </w:rPr>
      </w:pPr>
      <w:r>
        <w:rPr>
          <w:noProof/>
        </w:rPr>
        <w:t>Skont ir-regoli attwali (l-Artikolu 20 tal-Konvenzjoni), l-awtoritajiet doganali jistgħu jawtorizzaw segregazzjoni tal-kontabbiltà meta “jinqalgħu kostijiet jew diffikultajiet materjali konsiderevoli fiż-żamma ta’ stokkijiet separati”. Ir-regola emendata (l-Artikolu 12) tistipula li l-awtoritajiet doganali jistgħu jawtorizzaw is-segregazzjoni tal-kontabbiltà “jekk jintużaw materjali funġibbli oriġinarji u mhux oriġinarji”.</w:t>
      </w:r>
    </w:p>
    <w:p>
      <w:pPr>
        <w:rPr>
          <w:rFonts w:eastAsia="Arial Unicode MS"/>
          <w:noProof/>
        </w:rPr>
      </w:pPr>
      <w:r>
        <w:rPr>
          <w:noProof/>
        </w:rPr>
        <w:t>Meta jitlob awtorizzazzjoni għal segregazzjoni tal-kontabbiltà, esportatur mhux se jkollu aktar il-bżonn jiġġustifika li ż-żamma ta’ stokkijiet separati għandha kost konsiderevoli jew toħloq diffikultajiet materjali; se jkun biżżejjed li jindika li se jintużaw materjali funġibbli.</w:t>
      </w:r>
    </w:p>
    <w:p>
      <w:pPr>
        <w:rPr>
          <w:rFonts w:eastAsia="Arial Unicode MS"/>
          <w:noProof/>
        </w:rPr>
      </w:pPr>
      <w:r>
        <w:rPr>
          <w:noProof/>
        </w:rPr>
        <w:t>Fil-każ taz-zokkor, peress li hu materjal jew prodott finali, l-istokkijiet oriġinarji u mhux oriġinarji mhux se jibqgħu jinżammu separati fiżikament.</w:t>
      </w:r>
    </w:p>
    <w:p>
      <w:pPr>
        <w:pStyle w:val="Point1"/>
        <w:rPr>
          <w:noProof/>
        </w:rPr>
      </w:pPr>
      <w:r>
        <w:rPr>
          <w:noProof/>
        </w:rPr>
        <w:t>(f)</w:t>
      </w:r>
      <w:r>
        <w:rPr>
          <w:noProof/>
        </w:rPr>
        <w:tab/>
        <w:t>Prinċipju tat-territorjalità</w:t>
      </w:r>
    </w:p>
    <w:p>
      <w:pPr>
        <w:rPr>
          <w:rFonts w:eastAsia="Arial Unicode MS"/>
          <w:noProof/>
        </w:rPr>
      </w:pPr>
      <w:r>
        <w:rPr>
          <w:noProof/>
        </w:rPr>
        <w:t>Ir-regoli attwali (l-Artikolu 12) jippermettu li ċertu xogħol jew ipproċessar isir barra mit-territorju skont ċerti kundizzjonijiet, għajr għall-prodotti tal-Kapitoli 50-63 tas-Sistema Armonizzata, bħat-tessuti. Ir-regoli proposti (l-Artikolu 12) ma għadhomx jinkludu l-esklużjoni għat-tessuti.</w:t>
      </w:r>
    </w:p>
    <w:p>
      <w:pPr>
        <w:pStyle w:val="Point1"/>
        <w:rPr>
          <w:noProof/>
        </w:rPr>
      </w:pPr>
      <w:r>
        <w:rPr>
          <w:noProof/>
        </w:rPr>
        <w:lastRenderedPageBreak/>
        <w:t>(g)</w:t>
      </w:r>
      <w:r>
        <w:rPr>
          <w:noProof/>
        </w:rPr>
        <w:tab/>
        <w:t>Nonalterazzjoni</w:t>
      </w:r>
    </w:p>
    <w:p>
      <w:pPr>
        <w:rPr>
          <w:rFonts w:eastAsia="Arial Unicode MS"/>
          <w:noProof/>
        </w:rPr>
      </w:pPr>
      <w:r>
        <w:rPr>
          <w:noProof/>
        </w:rPr>
        <w:t>Ir-regola tan-nonalterazzjoni proposta (l-Artikolu 14) tipprevedi aktar klemenza dwar il-moviment tal-prodotti oriġinarji bejn il-Partijiet Kontraenti. Jenħtieġ tevita sitwazzjonijiet fejn prodotti, li għalihom ma jkun hemm l-ebda dubju dwar l-istatus oriġinarju tagħhom, jiġu esklużi mill-benefiċċju tar-rata preferenzjali waqt l-importazzjoni għax ir-rekwiżiti formali tad-dispożizzjoni tat-trasport dirett ma jiġux issodisfati.</w:t>
      </w:r>
    </w:p>
    <w:p>
      <w:pPr>
        <w:pStyle w:val="Point1"/>
        <w:rPr>
          <w:noProof/>
        </w:rPr>
      </w:pPr>
      <w:r>
        <w:rPr>
          <w:noProof/>
        </w:rPr>
        <w:t>(h)</w:t>
      </w:r>
      <w:r>
        <w:rPr>
          <w:noProof/>
        </w:rPr>
        <w:tab/>
        <w:t>Projbizzjoni tar-restituzzjoni tad-dazji doganali jew eżenzjoni minnhom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Skont ir-regoli attwali (l-Artikolu 15), il-prinċipju ġenerali tal-projbizzjoni tar-restituzzjoni japplika għall-materjali użati fil-manifattura ta’ kwalunkwe prodott. Bir-regoli proposti (l-Artikolu 16) titneħħa l-projbizzjoni għall-prodotti kollha, għajr għall-materjali użati fil-manifattura ta’ prodotti li jaqgħu fil-kamp ta’ applikazzjoni tal-Kapitoli 50-63 tas-Sistema Armonizzata. Madankollu, it-test jipprevedi wkoll xi eċċezzjonijiet għall-projbizzjoni tar-restituzzjoni tad-dazju għal dawn il-prodotti. 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Prova tal-oriġini</w:t>
      </w:r>
    </w:p>
    <w:p>
      <w:pPr>
        <w:rPr>
          <w:rFonts w:eastAsia="Arial Unicode MS"/>
          <w:noProof/>
        </w:rPr>
      </w:pPr>
      <w:r>
        <w:rPr>
          <w:noProof/>
        </w:rPr>
        <w:t>It-test jintroduċi tip wieħed ta’ prova tal-oriġini (ċertifikat EUR.1 jew dikjarazzjoni tal-oriġini) minflok l-approċċ doppju EUR 1 u EUR.MED, u b’hekk jissimplifika sostanzjalment is-sistema. Dan mistenni jtejjeb il-konformità mill-operaturi ekonomiċi billi jevita l-iżbalji minħabba regoli kumplessi, u jiffaċilita l-ġestjoni min-naħa tal-awtoritajiet doganali. Barra minn hekk, dan ma jaffettwax il-kapaċità tal-verifika tal-provi tal-oriġini, li tibqa’ l-istess.</w:t>
      </w:r>
    </w:p>
    <w:p>
      <w:pPr>
        <w:rPr>
          <w:rFonts w:eastAsia="Arial Unicode MS"/>
          <w:noProof/>
        </w:rPr>
      </w:pPr>
      <w:r>
        <w:rPr>
          <w:noProof/>
        </w:rPr>
        <w:t>Ir-regoli emendati (l-Artikolu 17) jinkludu wkoll l-alternattiva ta’ qbil dwar l-applikazzjoni ta’ sistema ta’ esportaturi rreġistrati (REX). Dawn l-esportaturi rreġistrati f’bażi tad-</w:t>
      </w:r>
      <w:r>
        <w:rPr>
          <w:i/>
          <w:iCs/>
          <w:noProof/>
        </w:rPr>
        <w:t>data</w:t>
      </w:r>
      <w:r>
        <w:rPr>
          <w:noProof/>
        </w:rPr>
        <w:t xml:space="preserve"> komuni se jkunu responsabbli biex jagħmlu dikjarazzjonijiet huma stess dwar l-oriġini mingħajr ma jgħaddu mill-proċedura tal-esportaturi approvati. Id-dikjarazzjoni tal-oriġini jkollha l-istess valur ġuridiku bħad-dikjarazzjoni tal-oriġini jew iċ-ċertifikat tal-moviment EUR.1.</w:t>
      </w:r>
    </w:p>
    <w:p>
      <w:pPr>
        <w:rPr>
          <w:rFonts w:eastAsia="Arial Unicode MS"/>
          <w:noProof/>
        </w:rPr>
      </w:pPr>
      <w:r>
        <w:rPr>
          <w:noProof/>
        </w:rPr>
        <w:t>Barra minn hekk, ir-regoli emendati jipprevedu l-alternattiva ta’ qbil dwar l-użu tal-prova tal-oriġini li tinħareġ u/jew tiġi ppreżentata b’mod elettroniku.</w:t>
      </w:r>
    </w:p>
    <w:p>
      <w:pPr>
        <w:rPr>
          <w:rFonts w:eastAsia="Arial Unicode MS"/>
          <w:noProof/>
        </w:rPr>
      </w:pPr>
      <w:r>
        <w:rPr>
          <w:noProof/>
        </w:rPr>
        <w:t>Biex ikunu jistgħu jiddistingwu l-prodotti oriġinarji skont is-sett alternattiv tar-regoli mill-prodotti oriġinarji skont il-Konvenzjoni, iċ-ċertifikati tal-oriġini jew id-dikjarazzjonijiet tal-fattura bbażati fuq is-sett alternattiv tar-regoli jridu jinkludu dikjarazzjoni li tindika r-regoli applikati.</w:t>
      </w:r>
    </w:p>
    <w:p>
      <w:pPr>
        <w:pStyle w:val="Point1"/>
        <w:rPr>
          <w:noProof/>
        </w:rPr>
      </w:pPr>
      <w:r>
        <w:rPr>
          <w:noProof/>
        </w:rPr>
        <w:t>(j)</w:t>
      </w:r>
      <w:r>
        <w:rPr>
          <w:noProof/>
        </w:rPr>
        <w:tab/>
        <w:t>Validità tal-prova tal-oriġini</w:t>
      </w:r>
    </w:p>
    <w:p>
      <w:pPr>
        <w:rPr>
          <w:rFonts w:eastAsia="Arial Unicode MS"/>
          <w:noProof/>
        </w:rPr>
      </w:pPr>
      <w:r>
        <w:rPr>
          <w:noProof/>
        </w:rPr>
        <w:t>Qed jiġi propost li jiġi estiż il-perjodu tal-validità ta’ prova tal-oriġini minn erbgħa (4) għal għaxar (10) xhur. Mill-ġdid, jenħtieġ tipprovdi aktar klemenza dwar il-moviment għall-prodotti oriġinarji bejn il-Partijiet.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Regoli tal-lista</w:t>
      </w:r>
    </w:p>
    <w:p>
      <w:pPr>
        <w:pStyle w:val="ManualHeading3"/>
        <w:rPr>
          <w:noProof/>
        </w:rPr>
      </w:pPr>
      <w:r>
        <w:rPr>
          <w:noProof/>
        </w:rPr>
        <w:t>3.2.1.</w:t>
      </w:r>
      <w:r>
        <w:rPr>
          <w:noProof/>
        </w:rPr>
        <w:tab/>
        <w:t>Prodotti agrikoli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</w:r>
      <w:r>
        <w:rPr>
          <w:noProof/>
        </w:rPr>
        <w:tab/>
        <w:t>Valur u piż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Il-limitu tal-materjali mhux oriġinarji ġie espress biss fil-valur. Il-livelli limiti l-ġodda ġew espressi bħala piż biex tkun evitata l-varjazzjoni fil-prezzijiet u fir-rata tal-kambju (eż. l-ex Kapitoli 19, 20, 2105, 2106) flimkien ma’ tneħħija ta’ ċertu limitu għaz-zokkor (eż. il-Kapitolu 8 jew is-SA 2202).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Is-sett alternattiv tar-regoli għolla l-livell limitu tal-piż (minn 20 % għal 40 %) u l-possibbiltà li xi intestaturi jużaw valur jew piż ta’ għażla alternattiva. Il-Kapitoli u l-intestaturi tas-SA </w:t>
      </w:r>
      <w:r>
        <w:rPr>
          <w:noProof/>
        </w:rPr>
        <w:lastRenderedPageBreak/>
        <w:t>ikkonċernati mill-bidla huma b’mod partikolari: ex-1302, 1704 (piż jew valur ta’ regola alternattiva), 18 (1806: piż jew valur ta’ regola alternattiva), 1901.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</w:rPr>
        <w:tab/>
        <w:t>Adattament għax-xejriet tal-akkwist</w:t>
      </w:r>
    </w:p>
    <w:p>
      <w:pPr>
        <w:rPr>
          <w:rFonts w:eastAsia="Arial Unicode MS"/>
          <w:noProof/>
        </w:rPr>
      </w:pPr>
      <w:r>
        <w:rPr>
          <w:noProof/>
        </w:rPr>
        <w:t>Prodotti agrikoli oħra (jiġifieri ż-żjut veġetali, il-ġewż, it-tabakk) għandhom regoli aktar flessibbli adattati għar-realtà ekonomika b’mod partikolari għall-Kapitoli 14, 15, 20 (inkluż l-intestatura 2008), 23, 24 tas-SA. Is-sett alternattiv tar-regoli jikseb bilanċ bejn is-sorsi reġjonali u dawk globali bħal għall-Kapitoli 9 u 12. Ir-regoli ġew simplifikati (inqas eċċezzjonijiet) fil-Kapitoli 4, 5, 6, 8, 11, ex-13.</w:t>
      </w:r>
    </w:p>
    <w:p>
      <w:pPr>
        <w:pStyle w:val="ManualHeading3"/>
        <w:rPr>
          <w:noProof/>
        </w:rPr>
      </w:pPr>
      <w:r>
        <w:rPr>
          <w:noProof/>
        </w:rPr>
        <w:t>3.2.2.</w:t>
      </w:r>
      <w:r>
        <w:rPr>
          <w:noProof/>
        </w:rPr>
        <w:tab/>
        <w:t>Prodotti industrijali (għajr it-tessuti)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Il-kompromess propost jinkludi bidliet konsiderevoli meta mqabbel mar-regoli attwali: </w:t>
      </w:r>
    </w:p>
    <w:p>
      <w:pPr>
        <w:rPr>
          <w:rFonts w:eastAsia="Arial Unicode MS"/>
          <w:noProof/>
        </w:rPr>
      </w:pPr>
      <w:r>
        <w:rPr>
          <w:noProof/>
        </w:rPr>
        <w:t>- fir-rigward tal-għadd ta’ prodotti, ir-regola attwali tal-Kapitolu fiha kundizzjoni kumulattiva doppja. Din saret kundizzjoni waħda (il-Kapitoli 74, 75, 76, 78 u 79 tas-SA);</w:t>
      </w:r>
    </w:p>
    <w:p>
      <w:pPr>
        <w:rPr>
          <w:rFonts w:eastAsia="Arial Unicode MS"/>
          <w:noProof/>
        </w:rPr>
      </w:pPr>
      <w:r>
        <w:rPr>
          <w:noProof/>
        </w:rPr>
        <w:t>- tħassar għadd kbir ta’ regoli speċifiċi li qed jidderogaw mir-regola tal-Kapitolu (il-Kapitoli 28, 35, 37, 38 u 83 tas-SA). Dan l-approċċ aktar orizzontali joħloq ambjent aktar sempliċi għall-operaturi u għad-dwana;</w:t>
      </w:r>
    </w:p>
    <w:p>
      <w:pPr>
        <w:rPr>
          <w:rFonts w:eastAsia="Arial Unicode MS"/>
          <w:noProof/>
        </w:rPr>
      </w:pPr>
      <w:r>
        <w:rPr>
          <w:noProof/>
        </w:rPr>
        <w:t>- l-inklużjoni ta’ regola alternattiva fir-regola attwali tal-Kapitolu, li toffri għażla akbar lill-esportatur biex jissodisfa l-kriterju tal-oriġini (il-Kapitoli 27, 40, 42, 44, 70 u 83, 84 u 85).</w:t>
      </w:r>
    </w:p>
    <w:p>
      <w:pPr>
        <w:rPr>
          <w:rFonts w:eastAsia="Arial Unicode MS"/>
          <w:noProof/>
        </w:rPr>
      </w:pPr>
      <w:r>
        <w:rPr>
          <w:noProof/>
        </w:rPr>
        <w:t>Dawn il-bidliet kollha joħolqu regoli tal-lista aġġornati u mmodernizzati li b’mod ġenerali jagħmluha eħfef biex jiġi ssodisfat il-kriterju li jinkiseb l-istatus tal-oriġini ta’ prodott. Barra minn hekk, il-possibbiltà msemmija hawn fuq li tintuża bażi medja fuq perjodu taż-żmien għall-kalkolu tal-prezz mill-fabbrika u l-valur tal-prodotti mhux oriġinarji se tipprovdi aktar simplifikazzjoni għall-esportaturi.</w:t>
      </w:r>
    </w:p>
    <w:p>
      <w:pPr>
        <w:pStyle w:val="ManualHeading3"/>
        <w:rPr>
          <w:noProof/>
        </w:rPr>
      </w:pPr>
      <w:r>
        <w:rPr>
          <w:noProof/>
        </w:rPr>
        <w:t>3.2.3.</w:t>
      </w:r>
      <w:r>
        <w:rPr>
          <w:noProof/>
        </w:rPr>
        <w:tab/>
        <w:t>Tessuti</w:t>
      </w:r>
    </w:p>
    <w:p>
      <w:pPr>
        <w:rPr>
          <w:rFonts w:eastAsia="Arial Unicode MS"/>
          <w:noProof/>
        </w:rPr>
      </w:pPr>
      <w:r>
        <w:rPr>
          <w:noProof/>
        </w:rPr>
        <w:t>Fir-rigward tat-tessuti u tal-ilbies, ġew introdotti alternattivi ġodda fir-rigward tal-ipproċessar passiv u t-tolleranzi. Ġew introdotti wkoll proċessi ġodda għall-għoti tal-oriġini għal dawn il-prodotti, speċjalment għat-tessut li se jsir disponibbli aktar faċilment. Fl-aħħar nett, l-akkumulazzjoni sħiħa bilaterali se tapplika wkoll għal dawn il-prodotti. B’din l-akkumulazzjoni, l-ipproċessar li jsir fuq il-materjali tessili (jiġifieri l-insiġ, it-tidwir eċċ.) se jkun jista’ jitqies fil-proċess tal-produzzjoni fiż-żona tal-akkumulazzjoni.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Bażi ġuridika</w:t>
      </w:r>
    </w:p>
    <w:p>
      <w:pPr>
        <w:pStyle w:val="ManualHeading2"/>
        <w:rPr>
          <w:noProof/>
        </w:rPr>
      </w:pPr>
      <w:r>
        <w:rPr>
          <w:noProof/>
        </w:rPr>
        <w:t>4.1.</w:t>
      </w:r>
      <w:r>
        <w:rPr>
          <w:noProof/>
        </w:rPr>
        <w:tab/>
        <w:t>Bażi ġuridika proċedurali</w:t>
      </w:r>
    </w:p>
    <w:p>
      <w:pPr>
        <w:pStyle w:val="ManualHeading3"/>
        <w:rPr>
          <w:noProof/>
        </w:rPr>
      </w:pPr>
      <w:r>
        <w:rPr>
          <w:noProof/>
        </w:rPr>
        <w:t>4.1.1.</w:t>
      </w:r>
      <w:r>
        <w:rPr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 xml:space="preserve">” jinkludi l-atti li jkollhom effetti legali bis-saħħa tar-regoli tad-dritt internazzjonali li jirregolaw il-korp inkwistjoni. Jinkludi wkoll l-istrumenti </w:t>
      </w:r>
      <w:r>
        <w:rPr>
          <w:noProof/>
        </w:rPr>
        <w:lastRenderedPageBreak/>
        <w:t>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4.1.2.</w:t>
      </w:r>
      <w:r>
        <w:rPr>
          <w:noProof/>
        </w:rPr>
        <w:tab/>
        <w:t>Applikazzjoni għal dan il-każ</w:t>
      </w:r>
    </w:p>
    <w:p>
      <w:pPr>
        <w:rPr>
          <w:noProof/>
        </w:rPr>
      </w:pPr>
      <w:r>
        <w:rPr>
          <w:noProof/>
        </w:rPr>
        <w:t>Is-Sottokumitat Doganali huwa korp stabbilit permezz ta’ ftehim, jiġifieri l-Ftehim ta’ Assoċjazzjoni bejn l-Unjoni Ewropea u l-Komunità Ewropea tal-Enerġija Atomika u l-Istati Membri tagħhom, minn naħa l-waħda, u l-Georgia, min-naħa l-oħra.</w:t>
      </w:r>
    </w:p>
    <w:p>
      <w:pPr>
        <w:rPr>
          <w:noProof/>
        </w:rPr>
      </w:pPr>
      <w:r>
        <w:rPr>
          <w:noProof/>
        </w:rPr>
        <w:t xml:space="preserve">L-att li s-Sottokumitat Doganali huwa mitlub jadotta jikkostitwixxi att b’effetti legali. </w:t>
      </w:r>
    </w:p>
    <w:p>
      <w:pPr>
        <w:rPr>
          <w:noProof/>
        </w:rPr>
      </w:pPr>
      <w:r>
        <w:rPr>
          <w:noProof/>
        </w:rPr>
        <w:t>L-att previst la jissupplimenta u lanqas ma jemenda 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 l-Artikolu 218(9) tat-TFUE.</w:t>
      </w:r>
    </w:p>
    <w:p>
      <w:pPr>
        <w:pStyle w:val="ManualHeading2"/>
        <w:rPr>
          <w:noProof/>
        </w:rPr>
      </w:pPr>
      <w:r>
        <w:rPr>
          <w:noProof/>
        </w:rPr>
        <w:t>4.2.</w:t>
      </w:r>
      <w:r>
        <w:rPr>
          <w:noProof/>
        </w:rPr>
        <w:tab/>
        <w:t>Bażi ġuridika sostantiva</w:t>
      </w:r>
    </w:p>
    <w:p>
      <w:pPr>
        <w:pStyle w:val="ManualHeading3"/>
        <w:rPr>
          <w:noProof/>
        </w:rPr>
      </w:pPr>
      <w:r>
        <w:rPr>
          <w:noProof/>
        </w:rPr>
        <w:t>4.2.1.</w:t>
      </w:r>
      <w:r>
        <w:rPr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 xml:space="preserve">Il-bażi ġuridika sostantiva biex tittieħed Deċiżjoni skont l-Artikolu 218(9) tat-TFUE tiddependi primarjament mill-objettiv u mill-kontenut tal-att previst li dwaru tittieħed pożizzjoni f’isem l-Unjoni. </w:t>
      </w:r>
    </w:p>
    <w:p>
      <w:pPr>
        <w:pStyle w:val="ManualHeading3"/>
        <w:rPr>
          <w:noProof/>
        </w:rPr>
      </w:pPr>
      <w:r>
        <w:rPr>
          <w:noProof/>
        </w:rPr>
        <w:t>4.2.2.</w:t>
      </w:r>
      <w:r>
        <w:rPr>
          <w:noProof/>
        </w:rPr>
        <w:tab/>
        <w:t>Applikazzjoni għal dan il-każ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rPr>
          <w:i/>
          <w:noProof/>
        </w:rPr>
      </w:pPr>
      <w:r>
        <w:rPr>
          <w:noProof/>
        </w:rPr>
        <w:t>Għalhekk, il-bażi ġuridika sostantiva għad-deċiżjoni proposta hi l-ewwel subparagrafu tal-Artikolu 207(4) tat-TFUE.</w:t>
      </w:r>
    </w:p>
    <w:p>
      <w:pPr>
        <w:pStyle w:val="ManualHeading2"/>
        <w:rPr>
          <w:noProof/>
        </w:rPr>
      </w:pPr>
      <w:r>
        <w:rPr>
          <w:noProof/>
        </w:rPr>
        <w:t>4.3.</w:t>
      </w:r>
      <w:r>
        <w:rPr>
          <w:noProof/>
        </w:rPr>
        <w:tab/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l-ewwel subparagrafu tal-Artikolu 207(4), flimkien mal-Artikolu 218(9) TFUE.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Implikazzjonijiet baġitarji</w:t>
      </w:r>
    </w:p>
    <w:p>
      <w:pPr>
        <w:pStyle w:val="CommentText"/>
        <w:rPr>
          <w:noProof/>
          <w:sz w:val="24"/>
          <w:szCs w:val="24"/>
        </w:rPr>
      </w:pPr>
    </w:p>
    <w:p>
      <w:pPr>
        <w:rPr>
          <w:noProof/>
        </w:rPr>
      </w:pPr>
      <w:r>
        <w:rPr>
          <w:noProof/>
        </w:rPr>
        <w:t>L-emendi proposti relatati mal-introduzzjoni tas-sett alternattiv tar-regoli tal-oriġini huma bbażati fuq prinċipju ta’ modernizzazzjoni tar-regoli tal-oriġini sabiex jiġu allinjati max-xejriet il-ġodda stabbiliti mill-Ftehimiet ta’ Kummerċ Ħieles reċenti.  Ir-regoli emendati fil-Konvenzjoni PEM fihom, fil-biċċa l-kbira, elementi ta’ simplifikazzjoni tal-proċeduri doganali u elementi ta’ modernizzazzjoni, bħal:</w:t>
      </w:r>
    </w:p>
    <w:p>
      <w:pPr>
        <w:rPr>
          <w:noProof/>
        </w:rPr>
      </w:pPr>
      <w:r>
        <w:rPr>
          <w:noProof/>
        </w:rPr>
        <w:t>Ħdim jew ipproċessar suffiċjenti – Bażi medja: billi jiġi kkalkulat il-prezz mill-fabbrika u l-valur tal-materjali mhux oriġinarji fuq bażi medja b’kunsiderazzjoni tal-fluttwazzjonijiet tas-suq, jipprovdi lill-esportaturi b’aktar prevedibbiltà,</w:t>
      </w:r>
    </w:p>
    <w:p>
      <w:pPr>
        <w:rPr>
          <w:noProof/>
        </w:rPr>
      </w:pPr>
      <w:r>
        <w:rPr>
          <w:noProof/>
        </w:rPr>
        <w:t>Prova tal-oriġini: hija soġġetta għal simplifikazzjoni peress li se jintuża biss ċertifikat wieħed tat-tip tal-oriġini – EUR1,</w:t>
      </w:r>
    </w:p>
    <w:p>
      <w:pPr>
        <w:rPr>
          <w:noProof/>
        </w:rPr>
      </w:pPr>
      <w:r>
        <w:rPr>
          <w:noProof/>
        </w:rPr>
        <w:t>Validità ta’ prova tal-oriġini: tipprevedi aktar klemenza b’rabta mal-moviment ta’ prodotti oriġinarji, billi żżid il-validità minn erbgħa (4) xhur għal għaxar (10) xhur).</w:t>
      </w:r>
    </w:p>
    <w:p>
      <w:pPr>
        <w:rPr>
          <w:noProof/>
        </w:rPr>
      </w:pPr>
      <w:r>
        <w:rPr>
          <w:noProof/>
        </w:rPr>
        <w:lastRenderedPageBreak/>
        <w:t>Dawn l-emendi għall-Konvenzjoni PEM ma għandhomx impatt li jista’ jitkejjel fuq il-baġit tal-UE peress li l-kamp ta’ applikazzjoni tagħhom jikkonċerna prinċipalment il-faċilitazzjoni tal-kummerċ u l-konsolidazzjoni ta’ prattiki moderni mill-awtoritajiet doganali. Jipprevedu faċilitazzjoni fakultattiva fl-oqsma li jibqgħu taħt il-kompetenza tal-awtoritajiet mingħajr ma jkollhom impatt fuq is-sustanza tar-regoli (segregazzjoni tal-kontabbiltà, provi tal-oriġini, teħid ta’ medja). Uħud mill-aspetti tas-simplifikazzjoni (bħat-tnaqqis tal-kriterji tal-bastimenti) jipprevedu aktar prevedibbiltà billi jneħħu l-kundizzjonijiet li bħalissa huma diffiċli biex jiġu kkontrollati mill-awtoritajiet doganali filwaqt li oħrajn (nonalterazzjoni) jirreferu għal-loġistika mingħajr ma jaffettwaw is-sustanza tar-regoli.</w:t>
      </w:r>
    </w:p>
    <w:p>
      <w:pPr>
        <w:rPr>
          <w:noProof/>
        </w:rPr>
      </w:pPr>
      <w:r>
        <w:rPr>
          <w:noProof/>
        </w:rPr>
        <w:t>Għalkemm id-dispożizzjonijiet dwar ir-restituzzjoni tad-dazju huma emendati, il-projbizzjoni tar-restituzzjoni tad-dazju tinżamm fis-settur tat-tessuti u tal-ħwejjeġ, li jibqa’ wieħed mis-setturi ewlenin tal-kummerċ fiż-żona PEM. Ir-regoli emendati jikkodifikaw l-istatus quo billi jżommu fis-seħħ il-projbizzjoni li bħalissa qed tiġi applikata ma’ xi Partijiet Kontraenti. Il-ġeneralizzazzjoni proposta ta’ akkumulazzjoni sħiħa fiż-żona PEM għandha l-għan li ssaħħaħ ix-xejriet kummerċjali eżistenti fiż-żona u l-kumplimentarjetà tagħhom, iżda ma għandhiex taffettwa b’mod sinifikanti d-dazji doganali tal-UE miġbura peress li l-prodotti soġġetti għall-akkumulazzjoni se jkollhom jikkonformaw mar-rekwiżit tagħhom stess ta’ valur miżjud fiż-żona sabiex jibbenefikaw minn preferenzi, kif inhu l-każ bħalissa.</w:t>
      </w:r>
    </w:p>
    <w:p>
      <w:pPr>
        <w:rPr>
          <w:noProof/>
        </w:rPr>
      </w:pPr>
      <w:r>
        <w:rPr>
          <w:noProof/>
        </w:rPr>
        <w:t>L-emendi għar-regoli tal-lista fis-settur tal-prodotti agrikoli u l-prodotti agrikoli pproċessati jikkonsistu prinċipalment minn metodoloġija adattata mingħajr ma tiġi affettwata s-sustanza tar-regoli. Il-livelli limiti eżistenti attwalment espressi f’valuri se jiġu espressi f’piżijiet. Dan il-kriterju huwa aktar oġġettiv u aktar faċli biex jiġi kkontrollat mill-awtoritajiet doganali. Is-simplifikazzjoni tar-regoli speċifiċi għall-prodott għall-prodotti industrijali hija mistennija li jkollha impatt limitat fuq id-dħul mid-dazji doganali, peress li f’ħafna każijiet dawn jistgħu jwasslu għal aktar bidliet fl-akkwist milli f’żidiet fl-importazzjonijiet preferenzjali mill-pajjiżi tal-PEM li jissostitwixxu l-importazzjonijiet li qabel kienu soġġetti għal dazji tal-importazzjoni. Għalhekk, l-impatt ta’ dawk il-bidliet fuq id-dħul tad-dazju tal-importazzjoni mhuwiex kwantifikabbli. F’termini ta’ kummerċ u tal-impatt tiegħu fuq l-użu tal-preferenzi, ir-rilassamenti previsti fir-regoli l-ġodda jenfasizzaw l-integrazzjoni ekonomika fiż-żona kollha, pereżempju fis-settur tat-tessuti fejn l-użu tal-preferenzi diġà huwa għoli ħafna. Ir-regoli mtejba dwar it-tessuti u l-akkumulazzjoni huma prinċipalment maħsuba biex isaħħu l-integrazzjoni reġjonali diġà eżistenti u d-disponibbiltà tal-materjali fiż-żona, aktar milli biex jippermettu li jiġu importati aktar materjali mhux oriġinarji minn barra ż-żona.</w:t>
      </w:r>
    </w:p>
    <w:p>
      <w:pPr>
        <w:pStyle w:val="CommentText"/>
        <w:rPr>
          <w:rFonts w:eastAsia="Arial Unicode MS"/>
          <w:noProof/>
          <w:sz w:val="24"/>
          <w:szCs w:val="24"/>
          <w:highlight w:val="yellow"/>
        </w:rPr>
      </w:pP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Pubblikazzjoni tal-att previst</w:t>
      </w:r>
    </w:p>
    <w:p>
      <w:pPr>
        <w:rPr>
          <w:noProof/>
        </w:rPr>
      </w:pPr>
      <w:r>
        <w:rPr>
          <w:noProof/>
        </w:rPr>
        <w:t>Billi l-att tas-Sottokumitat Doganali se jemenda l-Ftehim ta’ Assoċjazzjoni, jixraq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2020/0199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fis-Sottokumitat Doganali stabbilit mill-Ftehim ta’ Assoċjazzjoni bejn l-Unjoni Ewropea u l-Komunità Ewropea tal-Enerġija Atomika u l-Istati Membri tagħhom, minn naħa l-waħda, u l-Georgia, min-naħa l-oħra, fir-rigward tal-emenda tal-Protokoll I ta’ dak il-Ftehim dwar id-definizzjoni tal-kunċett ta’ “prodotti oriġinarji” u l-metodi ta’ kooperazzjoni amministrattiva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l-ewwel subparagrafu tal-Artikolu 207(4),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Il-Ftehim ta’ Assoċjazzjoni bejn l-Unjoni Ewropea u l-Komunità Ewropea tal-Enerġija Atomika u l-Istati Membri tagħhom, minn naħa l-waħda, u l-Georgia, min-naħa l-oħra (“il-Ftehim”) ġie konkluż mill-Unjoni permezz tad-Deċiżjoni tal-Kunsill 2014/495/Euratom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daħal fis-seħħ fl-1 ta’ Lulju 2016.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Il-Ftehim jinkludi l-Protokoll I dwar id-definizzjoni tal-kunċett ta’ “prodotti oriġinarji” u l-metodi ta’ kooperazzjoni amministrattiva. Skont l-Artikolu 3 ta’ dak il-Protokoll, is-Sottokumitat Doganali stabbilit bl-Artikolu 74(1) tal-Ftehim (“is-Sottokumitat Doganali”) jista’ jiddeċiedi li jemenda d-dispożizzjonijiet tiegħu.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Fil-laqgħa li jmiss tiegħu, is-Sottokumitat Doganali jrid jadotta Deċiżjoni dwar emenda tal-Protokoll 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Jixraq li tiġi stabbilita l-pożizzjoni li trid tittieħed f’isem l-Unjoni fis-Sottokumitat Doganali għaliex id-Deċiżjoni tas-Sottokumitat Doganali se tkun vinkolanti fuq l-Unjoni.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Il-Konvenzjoni reġjonali dwar ir-regoli preferenzjali tal-oriġini pan-Ewro-Mediterranji (“il-Konvenzjoni”) ġiet konkluża mill-Unjoni bid-Deċiżjoni tal-Kunsill 2013/93/UE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daħlet fis-seħħ fir-rigward tal-Unjoni fl-1 ta’ Mejju 2012. Din tistabbilixxi dispożizzjonijiet dwar l-oriġini tal-oġġetti nnegozjati skont Ftehimiet rilevanti konklużi bejn il-Partijiet Kontraenti, li japplikaw mingħajr preġudizzju għall-prinċipji stabbiliti f’dawk il-Ftehimiet.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(6)</w:t>
      </w:r>
      <w:r>
        <w:rPr>
          <w:noProof/>
        </w:rPr>
        <w:tab/>
        <w:t>L-Artikolu 6 tal-Konvenzjoni jipprevedi li kull Parti Kontraenti trid tieħu miżuri xierqa biex tiżgura li l-Konvenzjoni tiġi applikata b’mod effettiv. Għal dak l-għan, is-Sottokumitat Doganali jenħtieġ jadotta Deċiżjoni li tintroduċi referenza għall-Konvenzjoni fil-Protokoll I tal-Ftehim.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Id-diskussjonijiet dwar l-emenda tal-Konvenzjoni wasslu għal sett ġdid ta’ regoli tal-oriġini iżjed moderni u iżjed flessibbli li jridu jiġu inkorporati fil-Konvenzjoni. L-Unjoni u l-Georgia wrew ir-rieda tagħhom li japplikaw ir-regoli l-ġodda b’mod bilaterali malajr kemm jista’ jkun, fuq bażi alternattiva flimkien mar-regoli attwali sakemm ikun hemm eżitu għall-proċess tal-emenda.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Fiż-żona tal-akkumulazzjoni kostitwita mill-Istati tal-EFTA, il-Gżejjer Faeroe, l-Unjoni Ewropea, it-Turkija, il-parteċipanti fil-Proċess ta’ Stabbilizzazzjoni u ta’ Assoċjazzjoni, ir-Repubblika tal-Moldova, il-Georgia u l-Ukrajna, jenħtieġ li tinżamm il-possibbiltà li jintużaw iċ-ċertifikati tal-moviment EUR.1 jew dikjarazzjoni tal-oriġini minflok iċ-ċertifikati tal-moviment EUR-MED jew id-dikjarazzjoni tal-oriġini EUR-MED bħala deroga mid-dispożizzjonijiet tal-Konvenzjoni fil-każ ta’ akkumulazzjoni dijagonali fost dawn is-sħab, </w:t>
      </w:r>
    </w:p>
    <w:p>
      <w:pPr>
        <w:pStyle w:val="ManualConsidrant"/>
        <w:rPr>
          <w:noProof/>
        </w:rPr>
      </w:pPr>
    </w:p>
    <w:p>
      <w:pPr>
        <w:pStyle w:val="ManualConsidrant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jc w:val="left"/>
        <w:rPr>
          <w:i/>
          <w:noProof/>
        </w:rPr>
      </w:pPr>
      <w:r>
        <w:rPr>
          <w:noProof/>
        </w:rPr>
        <w:t>Il-pożizzjoni li trid tittieħed f’isem l-Unjoni fis-Sottokumitat Doganali għandha tkun ibbażata fuq l-abbozz tal-att tas-Sottokumitat Doganali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 xml:space="preserve">Artikolu 2 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Page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EF5F8" w16cid:durableId="21064A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261, 30.8.2014, p. 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ta’ Ottubru 2014, Il-Ġermanja v Il-Kunsill, C-399/12, ECLI:EU:C:2014:2258, il-paragrafi 61 sa 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tas-16 ta’ Ġunju 2014 li tapprova l-konklużjoni, mill-Kummissjoni Ewropea, f’isem il-Komunità Ewropea tal-Enerġija Atomika, tal-Ftehim ta’ Assoċjazzjoni bejn l-Unjoni Ewropea u l-Komunità Ewropea tal-Enerġija Atomika u l-Istati Membri tagħha, minn naħa waħda, u l-Georgia, min-naħa l-oħra (ĠU L 261, 30.8.2014, p. 744).</w:t>
      </w:r>
    </w:p>
  </w:footnote>
  <w:footnote w:id="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Id-Deċiżjoni tal-Kunsill 2013/93/UE tal-14 ta’ April 2011 dwar l-iffirmar, f’isem l-Unjoni Ewropea, tal-Konvenzjoni Reġjonali dwar ir-regoli tal-oriġini preferenzjali pan-Ewro-Mediterranji (ĠU L 54, 26.2.2013, p. 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AA46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6A33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B0D6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2CE0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3C60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9202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D080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91A09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07 18:43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59AF8CB-2F63-4BE1-888A-C2E761FBFA01"/>
    <w:docVar w:name="LW_COVERPAGE_TYPE" w:val="1"/>
    <w:docVar w:name="LW_CROSSREFERENCE" w:val="&lt;UNUSED&gt;"/>
    <w:docVar w:name="LW_DocType" w:val="COM"/>
    <w:docVar w:name="LW_EMISSION" w:val="24.8.2020"/>
    <w:docVar w:name="LW_EMISSION_ISODATE" w:val="2020-08-24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9"/>
    <w:docVar w:name="LW_REF.II.NEW.CP_YEAR" w:val="2020"/>
    <w:docVar w:name="LW_REF.INST.NEW" w:val="COM"/>
    <w:docVar w:name="LW_REF.INST.NEW_ADOPTED" w:val="final"/>
    <w:docVar w:name="LW_REF.INST.NEW_TEXT" w:val="(2020) 4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s-Sottokumitat Doganali stabbilit mill-Ftehim ta\u8217? Asso\u267?jazzjoni bejn l-Unjoni Ewropea u l-Komunità Ewropea tal-Ener\u289?ija Atomika u l-Istati Membri tag\u295?hom, minn na\u295?a l-wa\u295?da, u l-Georgia, min-na\u295?a l-o\u295?ra, fir-rigward tal-emenda tal-Protokoll I ta\u8217? dak il-Ftehim dwar id-definizzjoni tal-kun\u267?ett ta\u8217? \u8220?prodotti ori\u289?inarji\u8221? u l-metodi ta\u8217? kooperazzjoni amministrattiv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0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0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3E71-A8D4-4F4F-BBE8-F7B6C09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2921</Words>
  <Characters>22175</Characters>
  <Application>Microsoft Office Word</Application>
  <DocSecurity>0</DocSecurity>
  <Lines>346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2019-08-20T15:08:00Z</cp:lastPrinted>
  <dcterms:created xsi:type="dcterms:W3CDTF">2020-08-05T13:30:00Z</dcterms:created>
  <dcterms:modified xsi:type="dcterms:W3CDTF">2020-09-07T16:43:00Z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