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0B2C37-29B3-420C-8944-26486200F0E7" style="width:450.6pt;height:407.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Forslagets genstand</w:t>
      </w:r>
    </w:p>
    <w:p>
      <w:pPr>
        <w:rPr>
          <w:rFonts w:eastAsia="Arial Unicode MS"/>
          <w:noProof/>
        </w:rPr>
      </w:pPr>
      <w:r>
        <w:rPr>
          <w:noProof/>
        </w:rPr>
        <w:t xml:space="preserve">Dette forslag vedrører afgørelsen om fastlæggelse af den holdning, der skal indtages på Unionens vegne i Toldunderudvalget for associeringsaftalen mellem EU og Republikken Moldova i forbindelse med den planlagte vedtagelse af en afgørelse om ændring af protokol II til associeringsaftalen mellem EU og Republikken Moldova. </w:t>
      </w:r>
    </w:p>
    <w:p>
      <w:pPr>
        <w:pStyle w:val="ManualHeading1"/>
        <w:rPr>
          <w:noProof/>
        </w:rPr>
      </w:pPr>
      <w:r>
        <w:rPr>
          <w:noProof/>
        </w:rPr>
        <w:t>2.</w:t>
      </w:r>
      <w:r>
        <w:rPr>
          <w:noProof/>
        </w:rPr>
        <w:tab/>
        <w:t>Baggrund for forslaget</w:t>
      </w:r>
    </w:p>
    <w:p>
      <w:pPr>
        <w:pStyle w:val="ManualHeading2"/>
        <w:rPr>
          <w:noProof/>
        </w:rPr>
      </w:pPr>
      <w:r>
        <w:rPr>
          <w:noProof/>
        </w:rPr>
        <w:t>2.1.</w:t>
      </w:r>
      <w:r>
        <w:rPr>
          <w:noProof/>
        </w:rPr>
        <w:tab/>
        <w:t>Associeringsaftalen mellem Den Europæiske Union og Det Europæiske Atomenergifællesskab og deres medlemsstater på den ene side og Republikken Moldova på den anden side</w:t>
      </w:r>
    </w:p>
    <w:p>
      <w:pPr>
        <w:rPr>
          <w:rFonts w:eastAsia="Arial Unicode MS"/>
          <w:noProof/>
        </w:rPr>
      </w:pPr>
      <w:r>
        <w:rPr>
          <w:noProof/>
        </w:rPr>
        <w:t>Formålet med associeringsaftalen mellem Den Europæiske Union og Det Europæiske Atomenergifællesskab og deres medlemsstater på den ene side og Republikken Moldova på den anden side</w:t>
      </w:r>
      <w:r>
        <w:rPr>
          <w:rStyle w:val="FootnoteReference"/>
          <w:noProof/>
        </w:rPr>
        <w:footnoteReference w:id="2"/>
      </w:r>
      <w:r>
        <w:rPr>
          <w:noProof/>
        </w:rPr>
        <w:t xml:space="preserve"> ("aftalen") er at skabe forudsætninger for styrkede økonomiske og handelsmæssige forbindelser, der kan føre til Republikken Moldovas gradvise integration i EU's indre marked. Aftalen trådte i kraft den 1. juli 2016.</w:t>
      </w:r>
    </w:p>
    <w:p>
      <w:pPr>
        <w:pStyle w:val="ManualHeading2"/>
        <w:rPr>
          <w:noProof/>
        </w:rPr>
      </w:pPr>
      <w:r>
        <w:rPr>
          <w:noProof/>
        </w:rPr>
        <w:t>2.2.</w:t>
      </w:r>
      <w:r>
        <w:rPr>
          <w:noProof/>
        </w:rPr>
        <w:tab/>
        <w:t xml:space="preserve">Toldunderudvalget  </w:t>
      </w:r>
    </w:p>
    <w:p>
      <w:pPr>
        <w:rPr>
          <w:rFonts w:eastAsia="Arial Unicode MS"/>
          <w:noProof/>
        </w:rPr>
      </w:pPr>
      <w:r>
        <w:rPr>
          <w:noProof/>
        </w:rPr>
        <w:t>Toldunderudvalget, som er oprettet i henhold til bestemmelserne i aftalens artikel 200, kan træffe afgørelse om at ændre bestemmelserne i protokol II om definitionen af begrebet "produkter med oprindelsesstatus" og om metoder for administrativt samarbejde (artikel 3 i protokol II). Toldunderudvalget udfærdiger sine afgørelser og fremsætter sine henstillinger efter fælles overenskomst mellem de to parter.</w:t>
      </w:r>
    </w:p>
    <w:p>
      <w:pPr>
        <w:pStyle w:val="ManualHeading2"/>
        <w:rPr>
          <w:noProof/>
        </w:rPr>
      </w:pPr>
      <w:r>
        <w:rPr>
          <w:noProof/>
        </w:rPr>
        <w:t>2.3.</w:t>
      </w:r>
      <w:r>
        <w:rPr>
          <w:noProof/>
        </w:rPr>
        <w:tab/>
        <w:t xml:space="preserve">Toldunderudvalget påtænkte retsakt </w:t>
      </w:r>
    </w:p>
    <w:p>
      <w:pPr>
        <w:rPr>
          <w:rFonts w:eastAsia="Arial Unicode MS"/>
          <w:noProof/>
        </w:rPr>
      </w:pPr>
      <w:r>
        <w:rPr>
          <w:noProof/>
        </w:rPr>
        <w:t>På sit næste møde eller ved brevveksling vil Toldunderudvalget vedtage en afgørelse om ændring af bestemmelserne i protokol II om definitionen af begrebet "produkter med oprindelsesstatus" og om metoder for administrativt samarbejde ("den påtænkte retsakt").</w:t>
      </w:r>
    </w:p>
    <w:p>
      <w:pPr>
        <w:rPr>
          <w:rFonts w:eastAsia="Arial Unicode MS"/>
          <w:noProof/>
        </w:rPr>
      </w:pPr>
      <w:r>
        <w:rPr>
          <w:noProof/>
        </w:rPr>
        <w:t>Formålet med den påtænkte retsakt er at ændre bestemmelserne i protokol II om definitionen af begrebet "produkter med oprindelsesstatus" og om metoder for administrativt samarbejde.</w:t>
      </w:r>
    </w:p>
    <w:p>
      <w:pPr>
        <w:pStyle w:val="ManualHeading1"/>
        <w:rPr>
          <w:noProof/>
        </w:rPr>
      </w:pPr>
      <w:r>
        <w:rPr>
          <w:noProof/>
        </w:rPr>
        <w:t>3.</w:t>
      </w:r>
      <w:r>
        <w:rPr>
          <w:noProof/>
        </w:rPr>
        <w:tab/>
        <w:t xml:space="preserve">Den holdning, der skal indtages på Unionens vegne </w:t>
      </w:r>
    </w:p>
    <w:p>
      <w:pPr>
        <w:rPr>
          <w:rFonts w:eastAsia="Arial Unicode MS"/>
          <w:noProof/>
        </w:rPr>
      </w:pPr>
      <w:r>
        <w:rPr>
          <w:noProof/>
        </w:rPr>
        <w:t>I den regionale konvention om pan-Euro-Middelhavsregler for præferenceoprindelse ("konventionen") fastsættes der bestemmelser om oprindelsen for de varer, der handles med inden for rammerne af de relevante aftaler, som er indgået mellem de kontraherende parter. Unionen undertegnede konventionen den 15. juni 2011. Det Blandede Udvalg, der er nedsat ved konventionens artikel 3, stk. 1, besluttede ved sin afgørelse nr. 2 af 21. maj 2014, at Republikken Moldova skulle opfordres til at tiltræde konventionen.</w:t>
      </w:r>
    </w:p>
    <w:p>
      <w:pPr>
        <w:rPr>
          <w:rFonts w:eastAsia="Arial Unicode MS"/>
          <w:noProof/>
        </w:rPr>
      </w:pPr>
      <w:r>
        <w:rPr>
          <w:noProof/>
        </w:rPr>
        <w:t>EU og Republikken Moldova deponerede deres godkendelsesinstrument hos depositaren for konventionen henholdsvis den 26. marts 2012 og den 31. juli 2015. I henhold til konventionens artikel 10, stk. 2, trådte konventionen således i kraft for så vidt angår EU den 1. maj 2012 og Republikken Moldova den 1. september 2015.</w:t>
      </w:r>
    </w:p>
    <w:p>
      <w:pPr>
        <w:rPr>
          <w:rFonts w:eastAsia="Arial Unicode MS"/>
          <w:noProof/>
        </w:rPr>
      </w:pPr>
      <w:r>
        <w:rPr>
          <w:noProof/>
        </w:rPr>
        <w:lastRenderedPageBreak/>
        <w:t xml:space="preserve">I konventionens artikel 6 fastsættes det, at hver kontraherende part skal træffe hensigtsmæssige foranstaltninger for at sikre, at konventionen anvendes effektivt. Derfor bør Toldunderudvalget, som er oprettet i henhold til associeringsaftalen mellem Den Europæiske Union og Det Europæiske Atomenergifællesskab og deres medlemsstater på den ene side og Republikken Moldova på den anden side, vedtage en afgørelse om at indføre konventionens bestemmelser i protokol II om definitionen af begrebet "produkter med oprindelsesstatus" og om metoder for administrativt samarbejde. Dette gøres ved at indsætte en henvisning til konventionen i den ændrede protokol, som vil gøre konventionen gældende. </w:t>
      </w:r>
    </w:p>
    <w:p>
      <w:pPr>
        <w:rPr>
          <w:rFonts w:eastAsia="Arial Unicode MS"/>
          <w:noProof/>
        </w:rPr>
      </w:pPr>
      <w:r>
        <w:rPr>
          <w:noProof/>
        </w:rPr>
        <w:t xml:space="preserve">Derudover har den igangværende proces med at ændre konventionen medført nye moderniserede og mere fleksible oprindelsesregler. Den formelle ændring af konventionen kræver enstemmighed blandt de kontraherende parter. Det forhold, at nogle kontraherende parter stadig har indvendinger mod ændringen, risikerer at forsinke vedtagelsen heraf. Som følge af det store antal kontraherende parter og de interne procedurer, de hver især skal gennemføre for at blive i stand til at stemme om den formelle vedtagelse og forberede ikrafttrædelsen af de ændrede regler, kan der ikke fastlægges noget klart tidspunkt for anvendelsen af den ændrede konvention. </w:t>
      </w:r>
    </w:p>
    <w:p>
      <w:pPr>
        <w:rPr>
          <w:rFonts w:eastAsia="Arial Unicode MS"/>
          <w:noProof/>
        </w:rPr>
      </w:pPr>
      <w:r>
        <w:rPr>
          <w:noProof/>
        </w:rPr>
        <w:t xml:space="preserve">På den baggrund har Republikken Moldova anmodet om at begynde at anvende de ændrede regler hurtigst muligt som alternativ til konventionens nuværende regler i afventning af resultatet af ændringsprocessen. Denne anmodning er nærmere beskrevet nedenfor. </w:t>
      </w:r>
    </w:p>
    <w:p>
      <w:pPr>
        <w:pStyle w:val="Point1"/>
        <w:rPr>
          <w:noProof/>
        </w:rPr>
      </w:pPr>
      <w:r>
        <w:rPr>
          <w:noProof/>
        </w:rPr>
        <w:t xml:space="preserve"> </w:t>
      </w:r>
    </w:p>
    <w:p>
      <w:pPr>
        <w:rPr>
          <w:rFonts w:eastAsia="Arial Unicode MS"/>
          <w:noProof/>
        </w:rPr>
      </w:pPr>
      <w:r>
        <w:rPr>
          <w:noProof/>
        </w:rPr>
        <w:t>Planen er, at EU og Republikken Moldova skal anvende disse alternative oprindelsesregler midlertidigt på frivillig og bilateral basis, indtil ændringen af konventionen er blevet vedtaget og trådt i kraft. De er tænkt som et alternativ til konventionens regler, idet disse ikke berører principperne i de relevante aftaler eller nogen anden dertil knyttet bilateral aftale mellem dens kontraherende parter. Reglerne vil således ikke være obligatoriske, men vil kunne anvendes valgfrit af de økonomiske operatører, der ønsker at anvende præferencebestemmelser, som bygger på de nye regler i stedet for på konventionens regler. De har ikke til formål at ændre konventionen, som fortsat vil gælde for de kontraherende parter, og de vil ikke ændre de kontraherende parters rettigheder og pligter i henhold til konventionen.</w:t>
      </w:r>
    </w:p>
    <w:p>
      <w:pPr>
        <w:rPr>
          <w:rFonts w:eastAsia="Arial Unicode MS"/>
          <w:noProof/>
        </w:rPr>
      </w:pPr>
      <w:r>
        <w:rPr>
          <w:noProof/>
        </w:rPr>
        <w:t>Den holdning, der skal indtages af EU i Toldunderudvalget, bør fastlægges af Rådet.</w:t>
      </w:r>
    </w:p>
    <w:p>
      <w:pPr>
        <w:rPr>
          <w:rFonts w:eastAsia="Arial Unicode MS"/>
          <w:noProof/>
        </w:rPr>
      </w:pPr>
      <w:r>
        <w:rPr>
          <w:noProof/>
        </w:rPr>
        <w:t>De foreslåede ændringer, for så vidt som de vedrører den nuværende konvention, er af teknisk karakter og berører ikke selve substansen af den gældende protokol om oprindelsesregler. Der er derfor ikke behov for en konsekvensanalyse.</w:t>
      </w:r>
    </w:p>
    <w:p>
      <w:pPr>
        <w:pStyle w:val="ManualHeading2"/>
        <w:rPr>
          <w:noProof/>
        </w:rPr>
      </w:pPr>
      <w:r>
        <w:rPr>
          <w:noProof/>
        </w:rPr>
        <w:t>3.1.</w:t>
      </w:r>
      <w:r>
        <w:rPr>
          <w:noProof/>
        </w:rPr>
        <w:tab/>
        <w:t>Nærmere beskrivelse af de alternative oprindelsesregler</w:t>
      </w:r>
    </w:p>
    <w:p>
      <w:pPr>
        <w:rPr>
          <w:rFonts w:eastAsia="Arial Unicode MS"/>
          <w:noProof/>
        </w:rPr>
      </w:pPr>
      <w:r>
        <w:rPr>
          <w:noProof/>
        </w:rPr>
        <w:t>De foreslåede ændringer vedrørende indførelsen af et alternativt sæt oprindelsesregler skaber øget fleksibilitet og indeholder visse moderniseringselementer, som allerede anvendes af Unionen i andre bilaterale aftaler (den samlede økonomi- og handelsaftale med Canada, frihandelsaftalen med Vietnam, den økonomiske partnerskabsaftale med Japan og den økonomiske partnerskabsaftale med Southern Africa Development Community) eller præferenceordninger (den generelle toldpræferenceordning). Det drejer sig navnlig om følgende ændringer:</w:t>
      </w:r>
    </w:p>
    <w:p>
      <w:pPr>
        <w:rPr>
          <w:rFonts w:eastAsia="Arial Unicode MS"/>
          <w:noProof/>
        </w:rPr>
      </w:pPr>
    </w:p>
    <w:p>
      <w:pPr>
        <w:pStyle w:val="Point1"/>
        <w:rPr>
          <w:noProof/>
        </w:rPr>
      </w:pPr>
      <w:r>
        <w:rPr>
          <w:noProof/>
        </w:rPr>
        <w:t>a)</w:t>
      </w:r>
      <w:r>
        <w:rPr>
          <w:noProof/>
        </w:rPr>
        <w:tab/>
        <w:t>Produkter, der er fuldt ud fremstillet — betingelser vedrørende skibe</w:t>
      </w:r>
    </w:p>
    <w:p>
      <w:pPr>
        <w:rPr>
          <w:rFonts w:eastAsia="Arial Unicode MS"/>
          <w:noProof/>
        </w:rPr>
      </w:pPr>
      <w:r>
        <w:rPr>
          <w:noProof/>
        </w:rPr>
        <w:t>Betingelserne vedrørende skibe i de alternative regler er enklere og giver mere fleksibilitet. Sammenlignet med de nuværende regler (artikel 5) er nogle af betingelserne blevet slettet (f.eks. særlige krav vedrørende besætningen), mens andre er blevet lempet (ejerskab).</w:t>
      </w:r>
    </w:p>
    <w:p>
      <w:pPr>
        <w:pStyle w:val="Point1"/>
        <w:rPr>
          <w:noProof/>
        </w:rPr>
      </w:pPr>
      <w:r>
        <w:rPr>
          <w:noProof/>
        </w:rPr>
        <w:lastRenderedPageBreak/>
        <w:t>b)</w:t>
      </w:r>
      <w:r>
        <w:rPr>
          <w:noProof/>
        </w:rPr>
        <w:tab/>
        <w:t>Tilstrækkelig bearbejdning eller forarbejdning — gennemsnitligt grundlag:</w:t>
      </w:r>
    </w:p>
    <w:p>
      <w:pPr>
        <w:rPr>
          <w:rFonts w:eastAsia="Arial Unicode MS"/>
          <w:noProof/>
        </w:rPr>
      </w:pPr>
      <w:r>
        <w:rPr>
          <w:noProof/>
        </w:rPr>
        <w:t>De foreslåede alternative regler (artikel 4) giver eksportøren mulighed for at anmode toldmyndighederne om tilladelse til at beregne prisen ab fabrik og værdien af materialer uden oprindelsesstatus på et gennemsnitligt grundlag for at tage hensyn til udsving i omkostninger og valutakurser. Det bør medføre større forudsigelighed for eksportørerne.</w:t>
      </w:r>
    </w:p>
    <w:p>
      <w:pPr>
        <w:pStyle w:val="Point1"/>
        <w:rPr>
          <w:noProof/>
        </w:rPr>
      </w:pPr>
      <w:r>
        <w:rPr>
          <w:noProof/>
        </w:rPr>
        <w:t>c)</w:t>
      </w:r>
      <w:r>
        <w:rPr>
          <w:noProof/>
        </w:rPr>
        <w:tab/>
        <w:t>Tolerancer:</w:t>
      </w:r>
    </w:p>
    <w:p>
      <w:pPr>
        <w:rPr>
          <w:rFonts w:eastAsia="Arial Unicode MS"/>
          <w:noProof/>
        </w:rPr>
      </w:pPr>
      <w:r>
        <w:rPr>
          <w:noProof/>
        </w:rPr>
        <w:t xml:space="preserve">Den nuværende tolerance (artikel 6) er sat til 10 % af det færdige produkts pris ab fabrik. </w:t>
      </w:r>
    </w:p>
    <w:p>
      <w:pPr>
        <w:rPr>
          <w:rFonts w:eastAsia="Arial Unicode MS"/>
          <w:noProof/>
        </w:rPr>
      </w:pPr>
      <w:r>
        <w:rPr>
          <w:noProof/>
        </w:rPr>
        <w:t>Med de foreslåede regler (artikel 5) fastsættes en tolerance for landbrugsprodukter på 15 % af produktets nettovægt og for industriprodukter på 15 % af produktets værdi ab fabrik.</w:t>
      </w:r>
    </w:p>
    <w:p>
      <w:pPr>
        <w:rPr>
          <w:rFonts w:eastAsia="Arial Unicode MS"/>
          <w:noProof/>
        </w:rPr>
      </w:pPr>
      <w:r>
        <w:rPr>
          <w:noProof/>
        </w:rPr>
        <w:t>En tolerance baseret på vægt udgør et mere objektivt kriterie, mens grænsen på 15 % bør udgøre en tilstrækkelig lempelse. Det sikrer samtidig, at de internationale prisudsving på råvarer ikke påvirker landbrugsprodukternes oprindelse.</w:t>
      </w:r>
    </w:p>
    <w:p>
      <w:pPr>
        <w:pStyle w:val="Point1"/>
        <w:rPr>
          <w:noProof/>
        </w:rPr>
      </w:pPr>
      <w:r>
        <w:rPr>
          <w:noProof/>
        </w:rPr>
        <w:t>d)</w:t>
      </w:r>
      <w:r>
        <w:rPr>
          <w:noProof/>
        </w:rPr>
        <w:tab/>
        <w:t>Kumulation:</w:t>
      </w:r>
    </w:p>
    <w:p>
      <w:pPr>
        <w:rPr>
          <w:rFonts w:eastAsia="Arial Unicode MS"/>
          <w:noProof/>
        </w:rPr>
      </w:pPr>
      <w:r>
        <w:rPr>
          <w:noProof/>
        </w:rPr>
        <w:t xml:space="preserve">De foreslåede regler (artikel 7) bibeholder diagonal kumulation for alle produkter. på den betingelse, at det samme sæt alternative oprindelsesregler godtages af de partnere, der er involveret i kumulationen. Derudover indføres der generaliseret fuld kumulation for alle produkter undtagen for tekstiler og beklædning henhørende under kapitel 50-63 i det harmoniserede system (HS). </w:t>
      </w:r>
    </w:p>
    <w:p>
      <w:pPr>
        <w:rPr>
          <w:rFonts w:eastAsia="Arial Unicode MS"/>
          <w:noProof/>
        </w:rPr>
      </w:pPr>
      <w:r>
        <w:rPr>
          <w:noProof/>
        </w:rPr>
        <w:t>For produkter henhørende under HS-kapitel 50-63 indføres der bilateral fuld kumulation. Endelig vil Unionen og Republikken Moldova have mulighed for at aftale at udvide den generaliserede fulde kumulation til også at omfatte produkter henhørende under HS-kapitel 50-63.</w:t>
      </w:r>
    </w:p>
    <w:p>
      <w:pPr>
        <w:pStyle w:val="Point1"/>
        <w:rPr>
          <w:noProof/>
        </w:rPr>
      </w:pPr>
      <w:r>
        <w:rPr>
          <w:noProof/>
        </w:rPr>
        <w:t>e)</w:t>
      </w:r>
      <w:r>
        <w:rPr>
          <w:noProof/>
        </w:rPr>
        <w:tab/>
        <w:t>Regnskabsmæssig adskillelse:</w:t>
      </w:r>
    </w:p>
    <w:p>
      <w:pPr>
        <w:rPr>
          <w:rFonts w:eastAsia="Arial Unicode MS"/>
          <w:noProof/>
        </w:rPr>
      </w:pPr>
      <w:r>
        <w:rPr>
          <w:noProof/>
        </w:rPr>
        <w:t>Ifølge de nuværende regler (artikel 20 i konventionen) kan toldmyndighederne tillade regnskabsmæssig adskillelse, hvis der er "betydelige omkostninger eller materielle vanskeligheder forbundet med at opretholde særskilte lagre". I de ændrede regler (artikel 12) fastslås det, at toldmyndighederne kan tillade regnskabsmæssig adskillelse "(h)vis der anvendes fungible materialer med og uden oprindelsesmæssig status".</w:t>
      </w:r>
    </w:p>
    <w:p>
      <w:pPr>
        <w:rPr>
          <w:rFonts w:eastAsia="Arial Unicode MS"/>
          <w:noProof/>
        </w:rPr>
      </w:pPr>
      <w:r>
        <w:rPr>
          <w:noProof/>
        </w:rPr>
        <w:t>Ved anmodningen om tilladelse til regnskabsmæssig adskillelse vil eksportøren ikke længere skulle begrunde, at opretholdelsen af særskilte lagre medfører betydelige omkostninger eller materielle vanskeligheder. Det vil være tilstrækkeligt at angive, at der er tale om fungible materialer.</w:t>
      </w:r>
    </w:p>
    <w:p>
      <w:pPr>
        <w:rPr>
          <w:rFonts w:eastAsia="Arial Unicode MS"/>
          <w:noProof/>
        </w:rPr>
      </w:pPr>
      <w:r>
        <w:rPr>
          <w:noProof/>
        </w:rPr>
        <w:t>Med hensyn til sukker, hvad enten der er tale om et materiale eller et slutprodukt, vil lagre med oprindelsesstatus og lagre uden oprindelsesstatus ikke længere skulle holdes fysisk adskilt.</w:t>
      </w:r>
    </w:p>
    <w:p>
      <w:pPr>
        <w:pStyle w:val="Point1"/>
        <w:rPr>
          <w:noProof/>
        </w:rPr>
      </w:pPr>
      <w:r>
        <w:rPr>
          <w:noProof/>
        </w:rPr>
        <w:t>f)</w:t>
      </w:r>
      <w:r>
        <w:rPr>
          <w:noProof/>
        </w:rPr>
        <w:tab/>
        <w:t>Territorialitetsprincippet:</w:t>
      </w:r>
    </w:p>
    <w:p>
      <w:pPr>
        <w:rPr>
          <w:rFonts w:eastAsia="Arial Unicode MS"/>
          <w:noProof/>
        </w:rPr>
      </w:pPr>
      <w:r>
        <w:rPr>
          <w:noProof/>
        </w:rPr>
        <w:t>Ifølge de nuværende regler (artikel 12) kan en vis bearbejdning eller forarbejdning på visse betingelser foretages uden for territoriet, undtagen for produkter henhørende under HS-kapitel 50-63, f.eks. tekstiler. De nye regler (artikel 12) udelukker ikke længere tekstiler.</w:t>
      </w:r>
    </w:p>
    <w:p>
      <w:pPr>
        <w:rPr>
          <w:rFonts w:eastAsia="Arial Unicode MS"/>
          <w:noProof/>
        </w:rPr>
      </w:pPr>
    </w:p>
    <w:p>
      <w:pPr>
        <w:pStyle w:val="Point1"/>
        <w:rPr>
          <w:noProof/>
        </w:rPr>
      </w:pPr>
      <w:r>
        <w:rPr>
          <w:noProof/>
        </w:rPr>
        <w:t>g)</w:t>
      </w:r>
      <w:r>
        <w:rPr>
          <w:noProof/>
        </w:rPr>
        <w:tab/>
        <w:t>Uændret tilstand:</w:t>
      </w:r>
    </w:p>
    <w:p>
      <w:pPr>
        <w:rPr>
          <w:rFonts w:eastAsia="Arial Unicode MS"/>
          <w:noProof/>
        </w:rPr>
      </w:pPr>
      <w:r>
        <w:rPr>
          <w:noProof/>
        </w:rPr>
        <w:t xml:space="preserve">Den foreslåede regel om uændret tilstand (artikel 14) medfører lempelser for bevægelsen af produkter med oprindelsesstatus mellem de kontraherende parter. Den bør forhindre </w:t>
      </w:r>
      <w:r>
        <w:rPr>
          <w:noProof/>
        </w:rPr>
        <w:lastRenderedPageBreak/>
        <w:t>situationer, hvor produkter, for hvilke der ikke hersker nogen tvivl med hensyn til deres oprindelsesstatus, ikke omfattes af præferencetold ved import, fordi de formelle krav i bestemmelserne om direkte transport ikke er opfyldt.</w:t>
      </w:r>
    </w:p>
    <w:p>
      <w:pPr>
        <w:pStyle w:val="Point1"/>
        <w:rPr>
          <w:noProof/>
        </w:rPr>
      </w:pPr>
      <w:r>
        <w:rPr>
          <w:noProof/>
        </w:rPr>
        <w:t>h)</w:t>
      </w:r>
      <w:r>
        <w:rPr>
          <w:noProof/>
        </w:rPr>
        <w:tab/>
        <w:t>Forbud mod toldgodtgørelse eller -fritagelse:</w:t>
      </w:r>
    </w:p>
    <w:p>
      <w:pPr>
        <w:rPr>
          <w:rFonts w:eastAsia="Arial Unicode MS"/>
          <w:noProof/>
        </w:rPr>
      </w:pPr>
      <w:r>
        <w:rPr>
          <w:noProof/>
        </w:rPr>
        <w:t xml:space="preserve">Ifølge de nuværende regler (artikel 15) gælder det generelle princip om forbud mod godtgørelse for materialer, der anvendes til fremstilling af ethvert produkt. Med de foreslåede regler (artikel 16) fjernes forbuddet for alle produkter, bortset fra materialer, der anvendes til fremstilling af produkter henhørende under HS-kapitel 50-63. Reglerne indeholder imidlertid visse undtagelser til forbuddet mod toldgodtgørelse for disse produkter. </w:t>
      </w:r>
    </w:p>
    <w:p>
      <w:pPr>
        <w:pStyle w:val="Point1"/>
        <w:rPr>
          <w:noProof/>
        </w:rPr>
      </w:pPr>
      <w:r>
        <w:rPr>
          <w:noProof/>
        </w:rPr>
        <w:t>i)</w:t>
      </w:r>
      <w:r>
        <w:rPr>
          <w:noProof/>
        </w:rPr>
        <w:tab/>
        <w:t>Oprindelsesbevis:</w:t>
      </w:r>
    </w:p>
    <w:p>
      <w:pPr>
        <w:rPr>
          <w:rFonts w:eastAsia="Arial Unicode MS"/>
          <w:noProof/>
        </w:rPr>
      </w:pPr>
      <w:r>
        <w:rPr>
          <w:noProof/>
        </w:rPr>
        <w:t>De nye regler indfører ét enkelt bevis for oprindelse (EUR.1 eller en oprindelseserklæring) i stedet for den dobbelte tilgang med EUR.1 og EUR-MED, hvilket indebærer en betydelig forenkling af ordningen. Det bør øge de økonomiske operatørers overholdelse af reglerne ved at forhindre fejl som følge af komplekse regler og lette toldmyndighedernes forvaltning. Samtidig bør det ikke påvirke kapaciteten til at kontrollere oprindelsesbeviser, som forbliver uændret.</w:t>
      </w:r>
    </w:p>
    <w:p>
      <w:pPr>
        <w:rPr>
          <w:rFonts w:eastAsia="Arial Unicode MS"/>
          <w:noProof/>
        </w:rPr>
      </w:pPr>
      <w:r>
        <w:rPr>
          <w:noProof/>
        </w:rPr>
        <w:t>De ændrede regler (artikel 17) indfører også en mulighed for at aftale at anvende et system med registrerede eksportører (REX-system). Disse eksportører, som er registreret i en fælles database, vil være ansvarlige for selv at udarbejde udtalelser om oprindelse uden at skulle gennemgå proceduren for godkendt eksportør. Udtalelsen om oprindelse vil have samme juridiske værdi som en oprindelseserklæring eller et varecertifikat EUR.1.</w:t>
      </w:r>
    </w:p>
    <w:p>
      <w:pPr>
        <w:rPr>
          <w:rFonts w:eastAsia="Arial Unicode MS"/>
          <w:noProof/>
        </w:rPr>
      </w:pPr>
      <w:r>
        <w:rPr>
          <w:noProof/>
        </w:rPr>
        <w:t>De ændrede regler indeholder desuden en mulighed for at aftale at anvende oprindelsesbeviser, der udstedes/indgives elektronisk.</w:t>
      </w:r>
    </w:p>
    <w:p>
      <w:pPr>
        <w:rPr>
          <w:rFonts w:eastAsia="Arial Unicode MS"/>
          <w:noProof/>
        </w:rPr>
      </w:pPr>
      <w:r>
        <w:rPr>
          <w:noProof/>
        </w:rPr>
        <w:t>For at gøre det muligt at skelne mellem produkter med oprindelsesstatus i henhold til de alternative regler og produkter med oprindelsesstatus i henhold til konventionen vil oprindelsescertifikater eller fakturaerklæringer, som bygger på de alternative regler, skulle indeholde en angivelse af, hvilke regler der er anvendt.</w:t>
      </w:r>
    </w:p>
    <w:p>
      <w:pPr>
        <w:pStyle w:val="Point1"/>
        <w:rPr>
          <w:noProof/>
        </w:rPr>
      </w:pPr>
      <w:r>
        <w:rPr>
          <w:noProof/>
        </w:rPr>
        <w:t>j)</w:t>
      </w:r>
      <w:r>
        <w:rPr>
          <w:noProof/>
        </w:rPr>
        <w:tab/>
        <w:t>Oprindelsesbevisets gyldighed:</w:t>
      </w:r>
    </w:p>
    <w:p>
      <w:pPr>
        <w:rPr>
          <w:rFonts w:eastAsia="Arial Unicode MS"/>
          <w:noProof/>
        </w:rPr>
      </w:pPr>
      <w:r>
        <w:rPr>
          <w:noProof/>
        </w:rPr>
        <w:t>Det foreslås at forlænge gyldighedsperioden for oprindelsesbeviser fra 4 til 10 måneder. Dette bør igen medføre lempelser for bevægelsen af produkter med oprindelsesstatus mellem parterne.</w:t>
      </w:r>
    </w:p>
    <w:p>
      <w:pPr>
        <w:pStyle w:val="ManualHeading2"/>
        <w:rPr>
          <w:noProof/>
        </w:rPr>
      </w:pPr>
      <w:r>
        <w:rPr>
          <w:noProof/>
        </w:rPr>
        <w:t>3.2.</w:t>
      </w:r>
      <w:r>
        <w:rPr>
          <w:noProof/>
        </w:rPr>
        <w:tab/>
        <w:t>Listeregler:</w:t>
      </w:r>
    </w:p>
    <w:p>
      <w:pPr>
        <w:pStyle w:val="ManualHeading3"/>
        <w:rPr>
          <w:noProof/>
        </w:rPr>
      </w:pPr>
      <w:r>
        <w:rPr>
          <w:noProof/>
        </w:rPr>
        <w:t>3.2.1.</w:t>
      </w:r>
      <w:r>
        <w:rPr>
          <w:noProof/>
        </w:rPr>
        <w:tab/>
        <w:t>Landbrugsprodukter</w:t>
      </w:r>
    </w:p>
    <w:p>
      <w:pPr>
        <w:pStyle w:val="Point1"/>
        <w:rPr>
          <w:noProof/>
        </w:rPr>
      </w:pPr>
      <w:r>
        <w:rPr>
          <w:noProof/>
        </w:rPr>
        <w:t>a)</w:t>
      </w:r>
      <w:r>
        <w:rPr>
          <w:noProof/>
        </w:rPr>
        <w:tab/>
      </w:r>
      <w:r>
        <w:rPr>
          <w:noProof/>
        </w:rPr>
        <w:tab/>
        <w:t>Værdi og vægt</w:t>
      </w:r>
    </w:p>
    <w:p>
      <w:pPr>
        <w:rPr>
          <w:rFonts w:eastAsia="Arial Unicode MS"/>
          <w:noProof/>
        </w:rPr>
      </w:pPr>
      <w:r>
        <w:rPr>
          <w:noProof/>
        </w:rPr>
        <w:t xml:space="preserve">Grænseværdierne for materialer uden oprindelsesstatus var kun udtrykt i værdi. De nye grænseværdier er udtrykt i vægt for at undgå udsving i priser og valutakurser (f.eks. ex-kapitel 19, 20 eller pos. 2105, 2106), samtidig med at nogle af grænseværdierne for sukker er slettet (f.eks. kapitel 8 eller pos. 2202). </w:t>
      </w:r>
    </w:p>
    <w:p>
      <w:pPr>
        <w:rPr>
          <w:rFonts w:eastAsia="Arial Unicode MS"/>
          <w:noProof/>
        </w:rPr>
      </w:pPr>
      <w:r>
        <w:rPr>
          <w:noProof/>
        </w:rPr>
        <w:t>Med de alternative regler er de vægtbaserede grænseværdier blevet hævet (fra 20 % til 40 %), mens der for nogle toldpositioner er mulighed for at vælge mellem værdi eller vægt. Følgende HS-kapitler og -positioner berøres af ændringerne: ex-1302, 1704 (valg mellem vægt eller værdi), 18 (1806: valg mellem vægt eller værdi), 1901.</w:t>
      </w:r>
    </w:p>
    <w:p>
      <w:pPr>
        <w:rPr>
          <w:rFonts w:eastAsia="Arial Unicode MS"/>
          <w:noProof/>
        </w:rPr>
      </w:pPr>
    </w:p>
    <w:p>
      <w:pPr>
        <w:pStyle w:val="Point1"/>
        <w:rPr>
          <w:noProof/>
        </w:rPr>
      </w:pPr>
      <w:r>
        <w:rPr>
          <w:noProof/>
        </w:rPr>
        <w:t>b)</w:t>
      </w:r>
      <w:r>
        <w:rPr>
          <w:noProof/>
        </w:rPr>
        <w:tab/>
      </w:r>
      <w:r>
        <w:rPr>
          <w:noProof/>
        </w:rPr>
        <w:tab/>
        <w:t>Tilpasning til forsyningsmønstre</w:t>
      </w:r>
    </w:p>
    <w:p>
      <w:pPr>
        <w:rPr>
          <w:rFonts w:eastAsia="Arial Unicode MS"/>
          <w:noProof/>
        </w:rPr>
      </w:pPr>
      <w:r>
        <w:rPr>
          <w:noProof/>
        </w:rPr>
        <w:lastRenderedPageBreak/>
        <w:t>For andre landbrugsprodukter (bl.a. vegetabilske olier, nødder, tobak) gælder mere fleksible regler, der er tilpasset den økonomiske virkelighed, navnlig HS-kapitel 14, 15, 20 (inklusive pos. 2008), 23, 24. De alternative regler skaber balance mellem regional og global forsyning, f.eks. for kapitel 9 og 12. Reglerne er også blevet forenklet (færre undtagelser) for kapitel 4, 5, 6, 8, 11, ex 13.</w:t>
      </w:r>
    </w:p>
    <w:p>
      <w:pPr>
        <w:pStyle w:val="ManualHeading3"/>
        <w:rPr>
          <w:noProof/>
        </w:rPr>
      </w:pPr>
      <w:r>
        <w:rPr>
          <w:noProof/>
        </w:rPr>
        <w:t>3.2.2.</w:t>
      </w:r>
      <w:r>
        <w:rPr>
          <w:noProof/>
        </w:rPr>
        <w:tab/>
        <w:t>Industriprodukter (undtagen tekstiler)</w:t>
      </w:r>
    </w:p>
    <w:p>
      <w:pPr>
        <w:rPr>
          <w:rFonts w:eastAsia="Arial Unicode MS"/>
          <w:noProof/>
        </w:rPr>
      </w:pPr>
      <w:r>
        <w:rPr>
          <w:noProof/>
        </w:rPr>
        <w:t xml:space="preserve">Det foreslåede kompromis indeholder væsentlige ændringer i forhold til de nuværende regler: </w:t>
      </w:r>
    </w:p>
    <w:p>
      <w:pPr>
        <w:rPr>
          <w:rFonts w:eastAsia="Arial Unicode MS"/>
          <w:noProof/>
        </w:rPr>
      </w:pPr>
      <w:r>
        <w:rPr>
          <w:noProof/>
        </w:rPr>
        <w:t>— For en række produkter indeholder de nuværende regler for de pågældende kapitler en dobbelt kumulativ betingelse. Dette ændres til én enkelt betingelse (HS-kapitel 74, 75, 76, 78 og 79).</w:t>
      </w:r>
    </w:p>
    <w:p>
      <w:pPr>
        <w:rPr>
          <w:rFonts w:eastAsia="Arial Unicode MS"/>
          <w:noProof/>
        </w:rPr>
      </w:pPr>
      <w:r>
        <w:rPr>
          <w:noProof/>
        </w:rPr>
        <w:t>— En lang række specifikke regler, som fraviger reglerne for det pågældende kapitel, er blevet slettet (HS-kapitel 28, 35, 37, 38 og 83). Denne mere horisontale tilgang letter arbejdet for de økonomiske operatører og toldmyndighederne.</w:t>
      </w:r>
    </w:p>
    <w:p>
      <w:pPr>
        <w:rPr>
          <w:rFonts w:eastAsia="Arial Unicode MS"/>
          <w:noProof/>
        </w:rPr>
      </w:pPr>
      <w:r>
        <w:rPr>
          <w:noProof/>
        </w:rPr>
        <w:t>— Der indføres en alternativ regel i reglerne for de pågældende kapitler, som giver eksportøren et større valg mht. opfyldelse af kriterierne for oprindelsesstatus (kapitel 27, 40, 42, 44, 70 og 83, 84 og 85).</w:t>
      </w:r>
    </w:p>
    <w:p>
      <w:pPr>
        <w:rPr>
          <w:rFonts w:eastAsia="Arial Unicode MS"/>
          <w:noProof/>
        </w:rPr>
      </w:pPr>
      <w:r>
        <w:rPr>
          <w:noProof/>
        </w:rPr>
        <w:t>Alle disse ændringer medfører ajourførte og mere moderne listeregler, som generelt vil gøre det lettere at opfylde kriterierne for at opnå oprindelsesstatus for et produkt. Den tidligere nævnte mulighed for at anvende et gennemsnitligt grundlag over en bestemt tidsperiode til at beregne prisen ab fabrik og værdien af produkter uden oprindelsesstatus vil desuden også lette arbejdet for eksportørerne.</w:t>
      </w:r>
    </w:p>
    <w:p>
      <w:pPr>
        <w:pStyle w:val="ManualHeading3"/>
        <w:rPr>
          <w:noProof/>
        </w:rPr>
      </w:pPr>
      <w:r>
        <w:rPr>
          <w:noProof/>
        </w:rPr>
        <w:t>3.2.3.</w:t>
      </w:r>
      <w:r>
        <w:rPr>
          <w:noProof/>
        </w:rPr>
        <w:tab/>
        <w:t>Tekstiler</w:t>
      </w:r>
    </w:p>
    <w:p>
      <w:pPr>
        <w:rPr>
          <w:rFonts w:eastAsia="Arial Unicode MS"/>
          <w:noProof/>
        </w:rPr>
      </w:pPr>
      <w:r>
        <w:rPr>
          <w:noProof/>
        </w:rPr>
        <w:t>Hvad angår tekstiler og beklædningsgenstande er der indført nye muligheder vedrørende passiv forædling og tolerancer. Samtidig er der indført nye behandlinger, som giver disse produkter oprindelsesstatus, navnlig for stof, som vil blive lettere tilgængeligt. Endelig vil der også gælde fuld bilateral kumulation for disse produkter. En sådan kumulation vil give mulighed for at tage hensyn til behandlingen af tekstilmaterialer (f.eks. vævning, spinding, etc.) i forbindelse med fremstillingen i kumulationsområdet.</w:t>
      </w:r>
    </w:p>
    <w:p>
      <w:pPr>
        <w:pStyle w:val="ManualHeading1"/>
        <w:rPr>
          <w:noProof/>
        </w:rPr>
      </w:pPr>
      <w:r>
        <w:rPr>
          <w:noProof/>
        </w:rPr>
        <w:t>4.</w:t>
      </w:r>
      <w:r>
        <w:rPr>
          <w:noProof/>
        </w:rPr>
        <w:tab/>
        <w:t>Retsgrundlag</w:t>
      </w:r>
    </w:p>
    <w:p>
      <w:pPr>
        <w:pStyle w:val="ManualHeading2"/>
        <w:rPr>
          <w:noProof/>
        </w:rPr>
      </w:pPr>
      <w:r>
        <w:rPr>
          <w:noProof/>
        </w:rPr>
        <w:t>4.1.</w:t>
      </w:r>
      <w:r>
        <w:rPr>
          <w:noProof/>
        </w:rPr>
        <w:tab/>
        <w:t>Proceduremæssigt retsgrundlag</w:t>
      </w:r>
    </w:p>
    <w:p>
      <w:pPr>
        <w:pStyle w:val="ManualHeading3"/>
        <w:rPr>
          <w:noProof/>
        </w:rPr>
      </w:pPr>
      <w:r>
        <w:rPr>
          <w:noProof/>
        </w:rPr>
        <w:t>4.1.1.</w:t>
      </w:r>
      <w:r>
        <w:rPr>
          <w:noProof/>
        </w:rPr>
        <w:tab/>
        <w:t>Principper</w:t>
      </w:r>
    </w:p>
    <w:p>
      <w:pPr>
        <w:rPr>
          <w:noProof/>
        </w:rPr>
      </w:pPr>
      <w:r>
        <w:rPr>
          <w:noProof/>
        </w:rPr>
        <w:t>I henhold til artikel 218, stk. 9, i traktaten om Den Europæiske Unions funktionsmåde (TEUF) vedtages der afgørelser om "fastlæggelse af, hvilke holdninger der skal indtages på Unionens vegne i et organ nedsat ved en aftale, når dette organ skal vedtage retsakter, der har retsvirkninger, bortset fra retsakter, der supplerer eller ændrer den institutionelle ramme for aftalen".</w:t>
      </w:r>
    </w:p>
    <w:p>
      <w:pPr>
        <w:rPr>
          <w:noProof/>
        </w:rPr>
      </w:pPr>
      <w:r>
        <w:rPr>
          <w:noProof/>
        </w:rPr>
        <w:t>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rPr>
        <w:footnoteReference w:id="3"/>
      </w:r>
      <w:r>
        <w:rPr>
          <w:noProof/>
        </w:rPr>
        <w:t>.</w:t>
      </w:r>
    </w:p>
    <w:p>
      <w:pPr>
        <w:pStyle w:val="ManualHeading3"/>
        <w:rPr>
          <w:noProof/>
        </w:rPr>
      </w:pPr>
      <w:r>
        <w:rPr>
          <w:noProof/>
        </w:rPr>
        <w:lastRenderedPageBreak/>
        <w:t>4.1.2.</w:t>
      </w:r>
      <w:r>
        <w:rPr>
          <w:noProof/>
        </w:rPr>
        <w:tab/>
        <w:t>Anvendelse på det foreliggende tilfælde</w:t>
      </w:r>
    </w:p>
    <w:p>
      <w:pPr>
        <w:rPr>
          <w:noProof/>
        </w:rPr>
      </w:pPr>
      <w:r>
        <w:rPr>
          <w:noProof/>
        </w:rPr>
        <w:t>Toldunderudvalget er et organ, der er oprettet ved en aftale, nemlig associeringsaftalen mellem Den Europæiske Union og Det Europæiske Atomenergifællesskab og deres medlemsstater på den ene side og Republikken Moldova på den anden side.</w:t>
      </w:r>
    </w:p>
    <w:p>
      <w:pPr>
        <w:rPr>
          <w:noProof/>
        </w:rPr>
      </w:pPr>
      <w:r>
        <w:rPr>
          <w:noProof/>
        </w:rPr>
        <w:t xml:space="preserve">Den retsakt, som Toldunderudvalget skal vedtage, er en retsakt, der har retsvirkninger. </w:t>
      </w:r>
    </w:p>
    <w:p>
      <w:pPr>
        <w:rPr>
          <w:noProof/>
        </w:rPr>
      </w:pPr>
      <w:r>
        <w:rPr>
          <w:noProof/>
        </w:rPr>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rPr>
          <w:noProof/>
        </w:rPr>
        <w:t>4.2.</w:t>
      </w:r>
      <w:r>
        <w:rPr>
          <w:noProof/>
        </w:rPr>
        <w:tab/>
        <w:t>Materielt retsgrundlag</w:t>
      </w:r>
    </w:p>
    <w:p>
      <w:pPr>
        <w:pStyle w:val="ManualHeading3"/>
        <w:rPr>
          <w:noProof/>
        </w:rPr>
      </w:pPr>
      <w:r>
        <w:rPr>
          <w:noProof/>
        </w:rPr>
        <w:t>4.2.1.</w:t>
      </w:r>
      <w:r>
        <w:rPr>
          <w:noProof/>
        </w:rPr>
        <w:tab/>
        <w:t>Principper</w:t>
      </w:r>
    </w:p>
    <w:p>
      <w:pPr>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w:t>
      </w:r>
    </w:p>
    <w:p>
      <w:pPr>
        <w:pStyle w:val="ManualHeading3"/>
        <w:rPr>
          <w:noProof/>
        </w:rPr>
      </w:pPr>
      <w:r>
        <w:rPr>
          <w:noProof/>
        </w:rPr>
        <w:t>4.2.2.</w:t>
      </w:r>
      <w:r>
        <w:rPr>
          <w:noProof/>
        </w:rPr>
        <w:tab/>
        <w:t>Anvendelse på det foreliggende tilfælde</w:t>
      </w:r>
    </w:p>
    <w:p>
      <w:pPr>
        <w:rPr>
          <w:noProof/>
        </w:rPr>
      </w:pPr>
      <w:r>
        <w:rPr>
          <w:noProof/>
        </w:rPr>
        <w:t>Det primære mål med og indhold af den påtænkte retsakt vedrører den fælles handelspolitik.</w:t>
      </w:r>
    </w:p>
    <w:p>
      <w:pPr>
        <w:rPr>
          <w:i/>
          <w:noProof/>
        </w:rPr>
      </w:pPr>
      <w:r>
        <w:rPr>
          <w:noProof/>
        </w:rPr>
        <w:t>Det materielle retsgrundlag for den foreslåede afgørelse er derfor artikel 207, stk. 4, første afsnit, i TEUF.</w:t>
      </w:r>
    </w:p>
    <w:p>
      <w:pPr>
        <w:pStyle w:val="ManualHeading2"/>
        <w:rPr>
          <w:noProof/>
        </w:rPr>
      </w:pPr>
      <w:r>
        <w:rPr>
          <w:noProof/>
        </w:rPr>
        <w:t>4.3.</w:t>
      </w:r>
      <w:r>
        <w:rPr>
          <w:noProof/>
        </w:rPr>
        <w:tab/>
        <w:t>Konklusion</w:t>
      </w:r>
    </w:p>
    <w:p>
      <w:pPr>
        <w:rPr>
          <w:noProof/>
        </w:rPr>
      </w:pPr>
      <w:r>
        <w:rPr>
          <w:noProof/>
        </w:rPr>
        <w:t>Retsgrundlaget for den foreslåede afgørelse bør være artikel 207, stk. 4, første afsnit, sammenholdt med artikel 218, stk. 9, i TEUF.</w:t>
      </w:r>
    </w:p>
    <w:p>
      <w:pPr>
        <w:pStyle w:val="ManualHeading1"/>
        <w:rPr>
          <w:noProof/>
        </w:rPr>
      </w:pPr>
      <w:r>
        <w:rPr>
          <w:noProof/>
        </w:rPr>
        <w:t>5.</w:t>
      </w:r>
      <w:r>
        <w:rPr>
          <w:noProof/>
        </w:rPr>
        <w:tab/>
        <w:t>Virkninger for budgettet</w:t>
      </w:r>
    </w:p>
    <w:p>
      <w:pPr>
        <w:pStyle w:val="CommentText"/>
        <w:rPr>
          <w:noProof/>
          <w:sz w:val="24"/>
          <w:szCs w:val="24"/>
        </w:rPr>
      </w:pPr>
    </w:p>
    <w:p>
      <w:pPr>
        <w:rPr>
          <w:noProof/>
        </w:rPr>
      </w:pPr>
      <w:r>
        <w:rPr>
          <w:noProof/>
        </w:rPr>
        <w:t>De foreslåede ændringer vedrørende indførelsen af et alternativt sæt oprindelsesregler er baseret på et princip om modernisering af oprindelsesreglerne for at bringe dem på linje med den seneste udvikling i de nyere frihandelsaftaler. De ændrede regler i konventionen omfatter primært elementer af forenkling af toldprocedurerne og moderniseringselementer, f.eks.:</w:t>
      </w:r>
    </w:p>
    <w:p>
      <w:pPr>
        <w:rPr>
          <w:noProof/>
        </w:rPr>
      </w:pPr>
      <w:r>
        <w:rPr>
          <w:noProof/>
        </w:rPr>
        <w:t>Tilstrækkelig bearbejdning eller forarbejdning — gennemsnitligt grundlag: ved at beregne prisen ab fabrik og værdien af materialerne uden oprindelsesstatus på et gennemsnitligt grundlag, så der tages hensyn til markedsudsving, sikres eksportørerne større forudsigelighed</w:t>
      </w:r>
    </w:p>
    <w:p>
      <w:pPr>
        <w:rPr>
          <w:noProof/>
        </w:rPr>
      </w:pPr>
      <w:r>
        <w:rPr>
          <w:noProof/>
        </w:rPr>
        <w:t>Oprindelsesbevis: det bliver forenklet, idet der nu kun anvendes én type af oprindelsescertifikat, nemlig EUR.1</w:t>
      </w:r>
    </w:p>
    <w:p>
      <w:pPr>
        <w:rPr>
          <w:noProof/>
        </w:rPr>
      </w:pPr>
      <w:r>
        <w:rPr>
          <w:noProof/>
        </w:rPr>
        <w:t>Oprindelsesbevisets gyldighed: det medfører lempelser for bevægelsen af produkter med oprindelsesstatus, idet gyldigheden hæves fra 4 til 10 måneder.</w:t>
      </w:r>
    </w:p>
    <w:p>
      <w:pPr>
        <w:rPr>
          <w:noProof/>
        </w:rPr>
      </w:pPr>
      <w:r>
        <w:rPr>
          <w:noProof/>
        </w:rPr>
        <w:t>Disse ændringer af konventionen har ingen mærkbar virkning for EU-budgettet, eftersom de primært vedrører en lettelse af samhandelen og en konsolidering af toldmyndighedernes moderne praksis. De giver mulighed for frivillige lettelser på områder, der er under myndighedernes kompetence, uden at dette berører reglernes indhold (regnskabsmæssig adskillelse, oprindelsesbeviser, gennemsnitlig beregning). Nogle forenklingsaspekter (såsom lempelsen af betingelserne vedrørende skibe) medfører større forudsigelighed, eftersom de betingelser, der i dag er vanskelige for toldmyndighederne at kontrollere, udgår, mens andre (reglen om uændret tilstand) vedrører logistiske aspekter og ikke berører reglernes indhold.</w:t>
      </w:r>
    </w:p>
    <w:p>
      <w:pPr>
        <w:rPr>
          <w:noProof/>
        </w:rPr>
      </w:pPr>
      <w:r>
        <w:rPr>
          <w:noProof/>
        </w:rPr>
        <w:lastRenderedPageBreak/>
        <w:t>Selv om der ændres i reglerne om toldgodtgørelse, opretholdes forbuddet mod toldgodtgørelse inden for tekstil- og beklædningssektoren, som fortsat er en af de vigtigste sektorer i handelsområdet. De ændrede regler kodificerer status quo ved at bibeholde forbud, der i øjeblikket anvendes ved nogle kontraherende parter. Formålet med den foreslåede generelle anvendelse af fuld kumulation i handelsområdet er at styrke de eksisterende handelsmønstre i området og deres komplementaritet, men dette bør ikke have nogen betydning for de opkrævede EU-toldafgifter, eftersom de produkter, der er omfattet af kumulation, vil skulle opfylde deres egne betingelser om værditilførsel i området, for at de kan blive omfattet af præferenceordningen, ligesom i dag.</w:t>
      </w:r>
    </w:p>
    <w:p>
      <w:pPr>
        <w:rPr>
          <w:noProof/>
        </w:rPr>
      </w:pPr>
      <w:r>
        <w:rPr>
          <w:noProof/>
        </w:rPr>
        <w:t>Ændringerne af listereglerne vedrørende landbrugsvarer og forarbejdede landbrugsvarer består primært i en ændret metode og berører ikke reglernes indhold. De gældende tærskler, der i dag er udtrykt i værdi, vil blive udtrykt i vægt. Dette kriterie er mere objektivt og lettere for toldmyndighederne at kontrollere. Forenklingen af de produktspecifikke regler for industriprodukter bør have en begrænset indvirkning på toldindtægterne, da de i mange tilfælde snarere vil føre til en ændring af forsyningskilderne end til en stigning i præferenceimporten fra lande omfattet af konventionen, som erstatter import, der tidligere var omfattet af importafgifter. Ændringernes følger for indtægterne fra importafgifterne kan derfor ikke bestemmes præcist. Med hensyn til samhandelen og dens indvirkning på anvendelsen af præferencer lægger lempelserne i de nye regler vægt på den økonomiske integration af hele handelsområdet, f.eks. inden for tekstilbranchen, hvor der allerede anvendes handelspræferencer i vidt omfang. De forbedrede regler vedrørende tekstiler og kumulation har primært til formål at styrke den allerede eksisterende regionale integration og tilgængelighed af materialer inden for handelsområdet, og ikke at give mulighed for at importere materialer uden oprindelsesstatus fra lande uden for handelsområdet.</w:t>
      </w:r>
    </w:p>
    <w:p>
      <w:pPr>
        <w:pStyle w:val="CommentText"/>
        <w:rPr>
          <w:rFonts w:eastAsia="Arial Unicode MS"/>
          <w:noProof/>
          <w:sz w:val="24"/>
          <w:szCs w:val="24"/>
          <w:highlight w:val="yellow"/>
        </w:rPr>
      </w:pPr>
    </w:p>
    <w:p>
      <w:pPr>
        <w:pStyle w:val="ManualHeading1"/>
        <w:rPr>
          <w:noProof/>
        </w:rPr>
      </w:pPr>
      <w:r>
        <w:rPr>
          <w:noProof/>
        </w:rPr>
        <w:t>6.</w:t>
      </w:r>
      <w:r>
        <w:rPr>
          <w:noProof/>
        </w:rPr>
        <w:tab/>
        <w:t>Offentliggørelse af den påtænkte retsakt</w:t>
      </w:r>
    </w:p>
    <w:p>
      <w:pPr>
        <w:rPr>
          <w:noProof/>
        </w:rPr>
      </w:pPr>
      <w:r>
        <w:rPr>
          <w:noProof/>
        </w:rPr>
        <w:t xml:space="preserve">Da Toldunderudvalgets afgørelse medfører en ændring af associeringsaftalen, bør den offentliggøres i </w:t>
      </w:r>
      <w:r>
        <w:rPr>
          <w:i/>
          <w:noProof/>
        </w:rPr>
        <w:t>Den Europæiske Unions Tidende</w:t>
      </w:r>
      <w:r>
        <w:rPr>
          <w:noProof/>
        </w:rPr>
        <w:t xml:space="preserve"> efter vedtagelsen.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Toldunderudvalget, der er oprettet ved associeringsaftalen mellem Den Europæiske Union og Det Europæiske Atomenergifællesskab og deres medlemsstater på den ene side og Republikken Moldova på den anden side, for så vidt angår ændring af aftalens protokol II om definition af begrebet "produkter med oprindelsesstatus" og om metoder for administrativt samarbejde</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207, stk. 4, første afsnit,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rPr>
          <w:noProof/>
        </w:rPr>
        <w:t>(1)</w:t>
      </w:r>
      <w:r>
        <w:rPr>
          <w:noProof/>
        </w:rPr>
        <w:tab/>
        <w:t>Associeringsaftalen mellem Den Europæiske Union og Det Europæiske Atomenergifællesskab og deres medlemsstater på den ene side og Republikken Moldova på den anden side ("aftalen") blev indgået af Unionen ved Rådets afgørelse 2014/493/Euratom</w:t>
      </w:r>
      <w:r>
        <w:rPr>
          <w:rStyle w:val="FootnoteReference"/>
          <w:noProof/>
        </w:rPr>
        <w:footnoteReference w:id="4"/>
      </w:r>
      <w:r>
        <w:rPr>
          <w:noProof/>
        </w:rPr>
        <w:t xml:space="preserve"> og trådte i kraft den 1. juli 2016.</w:t>
      </w:r>
    </w:p>
    <w:p>
      <w:pPr>
        <w:pStyle w:val="ManualConsidrant"/>
        <w:rPr>
          <w:noProof/>
        </w:rPr>
      </w:pPr>
      <w:r>
        <w:rPr>
          <w:noProof/>
        </w:rPr>
        <w:t>(2)</w:t>
      </w:r>
      <w:r>
        <w:rPr>
          <w:noProof/>
        </w:rPr>
        <w:tab/>
        <w:t>Aftalen indeholder en protokol II om definition af begrebet "produkter med oprindelsesstatus" og om metoder for administrativt samarbejde. I henhold til nævnte protokols artikel 3 kan Toldunderudvalget, som er oprettet efter aftalens artikel 200, træffe afgørelse om at ændre bestemmelserne i protokollen.</w:t>
      </w:r>
    </w:p>
    <w:p>
      <w:pPr>
        <w:pStyle w:val="ManualConsidrant"/>
        <w:rPr>
          <w:noProof/>
        </w:rPr>
      </w:pPr>
      <w:r>
        <w:rPr>
          <w:noProof/>
        </w:rPr>
        <w:t>(3)</w:t>
      </w:r>
      <w:r>
        <w:rPr>
          <w:noProof/>
        </w:rPr>
        <w:tab/>
        <w:t>Toldunderudvalget skal på sit næste møde vedtage en afgørelse om ændring af protokol II.</w:t>
      </w:r>
    </w:p>
    <w:p>
      <w:pPr>
        <w:pStyle w:val="ManualConsidrant"/>
        <w:rPr>
          <w:noProof/>
        </w:rPr>
      </w:pPr>
      <w:r>
        <w:rPr>
          <w:noProof/>
        </w:rPr>
        <w:t>(4)</w:t>
      </w:r>
      <w:r>
        <w:rPr>
          <w:noProof/>
        </w:rPr>
        <w:tab/>
        <w:t>Den holdning, som skal indtages på Unionens vegne i Toldunderudvalget, bør fastlægges, da Toldunderudvalgets afgørelse er bindende for Unionen.</w:t>
      </w:r>
    </w:p>
    <w:p>
      <w:pPr>
        <w:pStyle w:val="ManualConsidrant"/>
        <w:rPr>
          <w:noProof/>
        </w:rPr>
      </w:pPr>
      <w:r>
        <w:rPr>
          <w:noProof/>
        </w:rPr>
        <w:t>(5)</w:t>
      </w:r>
      <w:r>
        <w:rPr>
          <w:noProof/>
        </w:rPr>
        <w:tab/>
        <w:t>Den regionale konvention om pan-Euro-Middelhavsregler for præferenceoprindelse ("konventionen") blev indgået af Unionen ved Rådets afgørelse 2013/93/EU</w:t>
      </w:r>
      <w:r>
        <w:rPr>
          <w:rStyle w:val="FootnoteReference"/>
          <w:noProof/>
        </w:rPr>
        <w:footnoteReference w:id="5"/>
      </w:r>
      <w:r>
        <w:rPr>
          <w:noProof/>
        </w:rPr>
        <w:t xml:space="preserve"> og trådte for Unionens vedkommende i kraft den 1. maj 2012. Den fastsætter bestemmelser om oprindelsen for de varer, der handles med inden for rammerne af de relevante aftaler, </w:t>
      </w:r>
      <w:r>
        <w:rPr>
          <w:noProof/>
        </w:rPr>
        <w:lastRenderedPageBreak/>
        <w:t>som er indgået mellem de kontraherende parter, og som anvendes, uden at dette berører principperne i disse relevante aftaler.</w:t>
      </w:r>
    </w:p>
    <w:p>
      <w:pPr>
        <w:pStyle w:val="ManualConsidrant"/>
        <w:rPr>
          <w:noProof/>
        </w:rPr>
      </w:pPr>
      <w:r>
        <w:rPr>
          <w:noProof/>
        </w:rPr>
        <w:t>(6)</w:t>
      </w:r>
      <w:r>
        <w:rPr>
          <w:noProof/>
        </w:rPr>
        <w:tab/>
        <w:t>I henhold til konventionens artikel 6 skal hver kontraherende part træffe hensigtsmæssige foranstaltninger for at sikre, at konventionen anvendes effektivt. I den forbindelse bør Toldunderudvalget vedtage en afgørelse om indførelse af en henvisning til konventionen i protokol II til aftalen.</w:t>
      </w:r>
    </w:p>
    <w:p>
      <w:pPr>
        <w:pStyle w:val="ManualConsidrant"/>
        <w:rPr>
          <w:noProof/>
        </w:rPr>
      </w:pPr>
      <w:r>
        <w:rPr>
          <w:noProof/>
        </w:rPr>
        <w:t>(7)</w:t>
      </w:r>
      <w:r>
        <w:rPr>
          <w:noProof/>
        </w:rPr>
        <w:tab/>
        <w:t>Drøftelserne om ændringen af konventionen har medført nye moderniserede og mere fleksible oprindelsesregler, som skal indarbejdes i konventionen. Unionen og Republikken Moldova har tilkendegivet deres ønske om så hurtigt som muligt at anvende de nye regler bilateralt som alternativ til de gældende regler i afventning af resultatet af ændringsprocessen.</w:t>
      </w:r>
    </w:p>
    <w:p>
      <w:pPr>
        <w:pStyle w:val="ManualConsidrant"/>
        <w:rPr>
          <w:noProof/>
        </w:rPr>
      </w:pPr>
      <w:r>
        <w:rPr>
          <w:noProof/>
        </w:rPr>
        <w:t>(8)</w:t>
      </w:r>
      <w:r>
        <w:rPr>
          <w:noProof/>
        </w:rPr>
        <w:tab/>
        <w:t xml:space="preserve">I det kumulationsområde, der udgøres af EFTA-staterne, Færøerne, Den Europæiske Union, Tyrkiet, deltagerne i stabiliserings- og associeringsprocessen, Republikken Moldova, Georgien og Ukraine, bør muligheden for at anvende varecertifikater EUR.1 eller oprindelseserklæringer i stedet for varecertifikater EUR-MED eller EUR-MED-oprindelseserklæringer som en undtagelse fra bestemmelserne i konventionen i tilfælde af diagonal kumulation mellem disse partnere opretholdes — </w:t>
      </w:r>
    </w:p>
    <w:p>
      <w:pPr>
        <w:pStyle w:val="ManualConsidrant"/>
        <w:rPr>
          <w:noProof/>
        </w:rPr>
      </w:pPr>
    </w:p>
    <w:p>
      <w:pPr>
        <w:pStyle w:val="Formuledadoption"/>
        <w:rPr>
          <w:noProof/>
        </w:rPr>
      </w:pPr>
      <w:r>
        <w:rPr>
          <w:noProof/>
        </w:rPr>
        <w:t>VEDTAGET DENNE AFGØRELSE:</w:t>
      </w:r>
    </w:p>
    <w:p>
      <w:pPr>
        <w:pStyle w:val="Titrearticle"/>
        <w:rPr>
          <w:noProof/>
        </w:rPr>
      </w:pPr>
      <w:r>
        <w:rPr>
          <w:noProof/>
        </w:rPr>
        <w:t>Artikel 1</w:t>
      </w:r>
    </w:p>
    <w:p>
      <w:pPr>
        <w:jc w:val="left"/>
        <w:rPr>
          <w:i/>
          <w:noProof/>
        </w:rPr>
      </w:pPr>
      <w:r>
        <w:rPr>
          <w:noProof/>
        </w:rPr>
        <w:t>Den holdning, der skal indtages på Unionens vegne i Toldunderudvalget, baseres på Toldunderudvalgets udkast til retsakt, der er knyttet til denne afgørelse.</w:t>
      </w:r>
    </w:p>
    <w:p>
      <w:pPr>
        <w:pStyle w:val="Titrearticle"/>
        <w:rPr>
          <w:noProof/>
        </w:rPr>
      </w:pPr>
      <w:r>
        <w:rPr>
          <w:noProof/>
        </w:rPr>
        <w:t xml:space="preserve">Artikel 2 </w:t>
      </w:r>
    </w:p>
    <w:p>
      <w:pPr>
        <w:rPr>
          <w:noProof/>
        </w:rPr>
      </w:pPr>
      <w:r>
        <w:rPr>
          <w:noProof/>
        </w:rPr>
        <w:t>Denne afgørelse er rettet til Kommissionen.</w:t>
      </w:r>
    </w:p>
    <w:p>
      <w:pPr>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L 260 af 30.8.2014, s. 4.</w:t>
      </w:r>
    </w:p>
  </w:footnote>
  <w:footnote w:id="3">
    <w:p>
      <w:pPr>
        <w:pStyle w:val="FootnoteText"/>
      </w:pPr>
      <w:r>
        <w:rPr>
          <w:rStyle w:val="FootnoteReference"/>
        </w:rPr>
        <w:footnoteRef/>
      </w:r>
      <w:r>
        <w:tab/>
        <w:t xml:space="preserve">Domstolens dom af 7. oktober 2014 i sag C-399/12, Tyskland mod Rådet, ECLI:EU:C:2014:2258, præmis 61 til 64. </w:t>
      </w:r>
    </w:p>
  </w:footnote>
  <w:footnote w:id="4">
    <w:p>
      <w:pPr>
        <w:pStyle w:val="FootnoteText"/>
      </w:pPr>
      <w:r>
        <w:rPr>
          <w:rStyle w:val="FootnoteReference"/>
        </w:rPr>
        <w:footnoteRef/>
      </w:r>
      <w:r>
        <w:tab/>
        <w:t>Rådets afgørelse af 16. juni 2014 om godkendelse af Europa-Kommissionens indgåelse på Det Europæiske Atomenergifællesskabs vegne af associeringsaftalen mellem Den Europæiske Union og Det Europæiske Atomenergifællesskab og deres medlemsstater på den ene side og Republikken Moldova på den anden side</w:t>
      </w:r>
      <w:r>
        <w:cr/>
      </w:r>
      <w:r>
        <w:br/>
        <w:t>(EUT L 260 af 30.8.2014, s. 739).</w:t>
      </w:r>
    </w:p>
  </w:footnote>
  <w:footnote w:id="5">
    <w:p>
      <w:pPr>
        <w:pStyle w:val="FootnoteText"/>
      </w:pPr>
      <w:r>
        <w:rPr>
          <w:rStyle w:val="FootnoteReference"/>
          <w:lang w:val="en-US"/>
        </w:rPr>
        <w:footnoteRef/>
      </w:r>
      <w:r>
        <w:tab/>
        <w:t>Rådets afgørelse 2013/93/EU af 14. april 2011 om undertegnelse på Den Europæiske Unions vegne af den regionale konvention om pan-Euro-Middelhavsregler for præferenceoprindelse (EUT L 54 af 26.2.2013,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48: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20B2C37-29B3-420C-8944-26486200F0E7"/>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81"/>
    <w:docVar w:name="LW_REF.II.NEW.CP_YEAR" w:val="2020"/>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 Toldunderudvalget, der er oprettet ved associeringsaftalen mellem Den Europæiske Union og Det Europæiske Atomenergifællesskab og deres medlemsstater på den ene side og Republikken Moldova på den anden side, for så vidt angår ændring af aftalens protokol II om definition af begrebet &quot;produkter med oprindelsesstatus&quot; og om metoder for administrativt samarbejde"/>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0747-4767-4464-88F8-9975AA59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3334</Words>
  <Characters>20741</Characters>
  <Application>Microsoft Office Word</Application>
  <DocSecurity>0</DocSecurity>
  <Lines>345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2020-09-03T11:55:00Z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