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0B2C789-67CB-4206-8B68-E8ECBF3A5853" style="width:451pt;height:379.8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rPr>
          <w:noProof/>
        </w:rPr>
      </w:pPr>
      <w:r>
        <w:rPr>
          <w:noProof/>
        </w:rPr>
        <w:t>Dette forslag vedrører afgørelsen om fastlæggelse af den holdning, der skal indtages på Unionens vegne i konventionen om det fremtidige multilaterale samarbejde vedrørende fiskeriet i det nordøstlige Atlanterhav ("NEAFC-konventionen") til Det Forenede Kongerige Storbritannien og Nordirlands ("Det Forenede Kongerige") tiltrædelse af nævnte konvention på et selvstændigt grundlag i overgangsperioden.</w:t>
      </w:r>
    </w:p>
    <w:p>
      <w:pPr>
        <w:pStyle w:val="ManualHeading1"/>
        <w:rPr>
          <w:noProof/>
        </w:rPr>
      </w:pPr>
      <w:r>
        <w:t>1.</w:t>
      </w:r>
      <w:r>
        <w:tab/>
      </w:r>
      <w:r>
        <w:rPr>
          <w:noProof/>
        </w:rPr>
        <w:t>Baggrund for forslaget</w:t>
      </w:r>
    </w:p>
    <w:p>
      <w:pPr>
        <w:rPr>
          <w:noProof/>
        </w:rPr>
      </w:pPr>
      <w:r>
        <w:rPr>
          <w:noProof/>
        </w:rPr>
        <w:t xml:space="preserve">Den 29. marts 2017 meddelte Det Forenede Kongerige Det Europæiske Råd, at det havde til hensigt at træde ud af Den Europæiske Union i overensstemmelse med artikel 50 i traktaten om Den Europæiske Union. </w:t>
      </w:r>
    </w:p>
    <w:p>
      <w:pPr>
        <w:spacing w:before="0"/>
        <w:rPr>
          <w:noProof/>
        </w:rPr>
      </w:pPr>
      <w:r>
        <w:rPr>
          <w:noProof/>
        </w:rPr>
        <w:t>Unionen og Det Forenede Kongerige har forhandlet en udtrædelsesaftale, jf. artikel 50 i traktaten om Den Europæiske Union. Udtrædelsesaftalen</w:t>
      </w:r>
      <w:r>
        <w:rPr>
          <w:rStyle w:val="FootnoteReference"/>
          <w:noProof/>
        </w:rPr>
        <w:footnoteReference w:id="1"/>
      </w:r>
      <w:r>
        <w:rPr>
          <w:noProof/>
        </w:rPr>
        <w:t xml:space="preserve"> trådte i kraft den 1. februar 2020, efter at den var blevet vedtaget den 17. oktober 2019 sammen med den politiske erklæring, der fastlægger rammerne for det fremtidige partnerskab mellem Unionen og Det Forenede Kongerige. </w:t>
      </w:r>
    </w:p>
    <w:p>
      <w:pPr>
        <w:spacing w:before="0"/>
        <w:rPr>
          <w:noProof/>
        </w:rPr>
      </w:pPr>
      <w:r>
        <w:rPr>
          <w:noProof/>
        </w:rPr>
        <w:t xml:space="preserve">Udtrædelsesaftalens artikel 127, stk. 1, indeholder bestemmelser om en overgangsperiode, hvor EU-retten fortsat finder anvendelse på og i Det Forenede Kongerige ("overgangsperioden"). Overgangsperioden udløber den 31. december 2020. I henhold til udtrædelsesaftalens artikel 129, stk. 1, er Det Forenede Kongerige i overgangsperioden bundet af de forpligtelser, der følger af internationale aftaler indgået af Unionen, af medlemsstater, som handler på dens vegne, eller af Unionen og dens medlemsstater, der handler i fællesskab. I henhold til udtrædelsesaftalens artikel 129, stk. 3, skal Det Forenede Kongerige i overensstemmelse med princippet om loyalt samarbejde i overgangsperioden afstå fra handlinger eller initiativer, der kan skade Unionens interesser, navnlig inden for rammerne af internationale organisationer, agenturer, konferencer eller fora, som Det Forenede Kongerige er selvstændig part i. </w:t>
      </w:r>
    </w:p>
    <w:p>
      <w:pPr>
        <w:spacing w:before="0"/>
        <w:rPr>
          <w:noProof/>
        </w:rPr>
      </w:pPr>
      <w:r>
        <w:rPr>
          <w:noProof/>
        </w:rPr>
        <w:t xml:space="preserve">Unionen har meddelt sine internationale parter de særlige ordninger, der er fastsat i udtrædelsesaftalen, i henhold til hvilke Det Forenede Kongerige i en overgangsperiode skal behandles som en medlemsstat i forbindelse med de internationale aftaler, der er indgået af Unionen. </w:t>
      </w:r>
    </w:p>
    <w:p>
      <w:pPr>
        <w:spacing w:before="0"/>
        <w:rPr>
          <w:noProof/>
        </w:rPr>
      </w:pPr>
      <w:r>
        <w:rPr>
          <w:noProof/>
        </w:rPr>
        <w:t xml:space="preserve">Det vigtigste formål med NEAFC-konventionen er at fremme bevarelsen og den optimale udnyttelse af fiskeressourcerne i det nordøstlige Atlanterhav inden for rammer, der er tilpasset ordningen med kyststaternes udvidede fiskerijurisdiktion, og dermed at fremme det internationale samarbejde og internationale konsultationer vedrørende nævnte ressourcer. NEAFC-konventionen trådte i kraft den 17. marts 1982. Det Forenede Kongerige er depositar for NEAFC-konventionen. </w:t>
      </w:r>
    </w:p>
    <w:p>
      <w:pPr>
        <w:spacing w:before="0"/>
        <w:rPr>
          <w:noProof/>
        </w:rPr>
      </w:pPr>
      <w:r>
        <w:rPr>
          <w:noProof/>
        </w:rPr>
        <w:t xml:space="preserve">NEAFC-konventionen fra 1982 erstattede den oprindelige konvention angående fiskeriet i det nordøstlige Atlanterhav fra 1959 som følge af EU-medlemsstaternes udtræden som individuelle medlemmer af NEAFC-organisationen fra 1963 og udvidelsen af staternes fiskerizoner til 200 sømil i 1977. NEAFC-konventionen fra 1959 erstattede i sin tid konventionen fra 1946 angående fastsættelse af maskestørrelse for fiskeredskaber og mindstemål for fisk. </w:t>
      </w:r>
    </w:p>
    <w:p>
      <w:pPr>
        <w:spacing w:before="0"/>
        <w:rPr>
          <w:noProof/>
        </w:rPr>
      </w:pPr>
      <w:r>
        <w:rPr>
          <w:noProof/>
        </w:rPr>
        <w:lastRenderedPageBreak/>
        <w:t>NEAFC-konventionen fra 1982 blev ændret i 2004 (med tilføjelse af tvistbilæggelsesprocedurer) og i 2006 (hvor NEAFC-konventionen blev bragt i overensstemmelse med udviklingen i folkeretten og de internationale retsakter). Ændringerne fra 2004 og 2006 er dog ikke ratificeret fuldt ud af alle de kontraherende parter. Ved "Londonerklæringen" fra 2006 blev der opnået enighed mellem parterne om at anvende ændringerne på frivillig basis, indtil ratifikationen er afsluttet.</w:t>
      </w:r>
    </w:p>
    <w:p>
      <w:pPr>
        <w:spacing w:before="0"/>
        <w:rPr>
          <w:noProof/>
        </w:rPr>
      </w:pPr>
      <w:r>
        <w:rPr>
          <w:noProof/>
        </w:rPr>
        <w:t>Med henblik på NEAFC-konventionen nedsatte de kontraherende parter Kommissionen for Fiskeriet i det Nordøstlige Atlanterhav ("NEAFC"). NEAFC har status som juridisk person og besidder i sine forbindelser med andre internationale organisationer og på de kontraherende parters områder den rets- og handleevne, der er nødvendig, for at den kan udføre sine opgaver og opfylde sit formål.</w:t>
      </w:r>
    </w:p>
    <w:p>
      <w:pPr>
        <w:spacing w:before="0"/>
        <w:rPr>
          <w:noProof/>
        </w:rPr>
      </w:pPr>
      <w:r>
        <w:rPr>
          <w:noProof/>
        </w:rPr>
        <w:t>Der er fem kontraherende parter, alle kyststater, i NEAFC-konventionsområdet, nemlig Den Europæiske Union (EU), Danmark (for så vidt angår Færøerne og Grønland), Island, Norge og Den Russiske Føderation. Flagstater med en reel interesse i fiskeriet i det nordøstlige Atlanterhav kan få tildelt status som samarbejdende ikkekontraherende parter, hvilket giver dem ret til at give fartøjer, der fører deres flag, tilladelse til at udøve deres aktiviteter inden for NEAFC-konventionsområdet, hvis disse flagstater er indforstået med at skulle håndhæve NEAFC's foranstaltninger. Der er i øjeblikket seks samarbejdende ikkekontraherende parter, nemlig Bahamas, Canada, Curaçao, Liberia, Panama og New Zealand.</w:t>
      </w:r>
    </w:p>
    <w:p>
      <w:pPr>
        <w:spacing w:before="0"/>
        <w:rPr>
          <w:noProof/>
        </w:rPr>
      </w:pPr>
      <w:r>
        <w:rPr>
          <w:noProof/>
        </w:rPr>
        <w:t>Den Europæiske Union er part i NEAFC-konventionen</w:t>
      </w:r>
      <w:r>
        <w:rPr>
          <w:rStyle w:val="FootnoteReference"/>
          <w:noProof/>
        </w:rPr>
        <w:footnoteReference w:id="2"/>
      </w:r>
      <w:r>
        <w:rPr>
          <w:noProof/>
        </w:rPr>
        <w:t xml:space="preserve">, fordi formålet med konventionen er omfattet af den fælles fiskeripolitik, inden for hvilken Unionen har enekompetence. Medlemsstaterne er omfattet af NEAFC-konventionen i henhold til EU-retten. </w:t>
      </w:r>
    </w:p>
    <w:p>
      <w:pPr>
        <w:rPr>
          <w:rFonts w:eastAsia="Calibri"/>
          <w:noProof/>
        </w:rPr>
      </w:pPr>
      <w:r>
        <w:rPr>
          <w:noProof/>
        </w:rPr>
        <w:t>NEAFC har beføjelser til at vedtage henstillinger med henblik på forvaltningsforanstaltninger vedrørende fiskeriet i områder uden for de kontraherende parters fiskerijurisdiktion (det regulerede område) og i områder under en kontraherende parts fiskerijurisdiktion, hvis den relevante kontraherende part anmoder herom. En vedtagen henstilling bliver bindende for de kontraherende parter, medmindre en kontraherende part gør indsigelse mod den pågældende henstilling i rette tid.</w:t>
      </w:r>
    </w:p>
    <w:p>
      <w:pPr>
        <w:rPr>
          <w:rFonts w:eastAsia="Calibri"/>
          <w:noProof/>
        </w:rPr>
      </w:pPr>
      <w:r>
        <w:rPr>
          <w:noProof/>
        </w:rPr>
        <w:t>I henhold til NEAFC-konventionen kan enhver stat (undtagen Den Europæiske Unions medlemsstater) tiltræde konventionen på et hvilket som helst tidspunkt, forudsat at tre fjerdedele af de kontraherende parter godkender den pågældende stats ansøgning om tiltrædelse. Ansøgningen godkendes, hvis tre fjerdedele af de kontraherende parter senest 90 dage fra den dato, hvor depositaren giver meddelelse om at have modtaget ansøgningen, har givet depositaren meddelelse om deres godkendelse heraf</w:t>
      </w:r>
      <w:r>
        <w:rPr>
          <w:rStyle w:val="FootnoteReference"/>
          <w:rFonts w:eastAsia="Calibri"/>
          <w:noProof/>
          <w:lang w:eastAsia="en-GB"/>
        </w:rPr>
        <w:footnoteReference w:id="3"/>
      </w:r>
      <w:r>
        <w:rPr>
          <w:noProof/>
        </w:rPr>
        <w:t xml:space="preserve">. Depositaren giver den stat, der ansøger om tiltrædelse, og alle kontraherende parter meddelelse om resultatet af ansøgningen. Tiltrædelse sker ved deponering af et tiltrædelsesdokument hos depositaren og får virkning fra datoen for dennes modtagelse heraf.  </w:t>
      </w:r>
    </w:p>
    <w:p>
      <w:pPr>
        <w:spacing w:before="0"/>
        <w:rPr>
          <w:rFonts w:eastAsia="Calibri"/>
          <w:noProof/>
        </w:rPr>
      </w:pPr>
      <w:r>
        <w:rPr>
          <w:noProof/>
        </w:rPr>
        <w:t xml:space="preserve">Den 8. januar 2019 indgav Det Forenede Kongerige en ansøgning om tiltrædelse af NEAFC-konventionen som kontraherende part. Depositaren underrettede Europa-Kommissionen herom samme dag. </w:t>
      </w:r>
    </w:p>
    <w:p>
      <w:pPr>
        <w:spacing w:before="0"/>
        <w:rPr>
          <w:noProof/>
        </w:rPr>
      </w:pPr>
      <w:r>
        <w:rPr>
          <w:noProof/>
        </w:rPr>
        <w:t>Rådets afgørelse (EU) 2019/510</w:t>
      </w:r>
      <w:r>
        <w:rPr>
          <w:rStyle w:val="FootnoteReference"/>
          <w:noProof/>
        </w:rPr>
        <w:footnoteReference w:id="4"/>
      </w:r>
      <w:r>
        <w:rPr>
          <w:noProof/>
        </w:rPr>
        <w:t xml:space="preserve"> fastlægger Unionens holdning med henblik på godkendelse af Det Forenede Kongeriges ansøgning om tiltrædelse af NEAFC-konventionen og tillægger </w:t>
      </w:r>
      <w:r>
        <w:rPr>
          <w:noProof/>
        </w:rPr>
        <w:lastRenderedPageBreak/>
        <w:t xml:space="preserve">Kommissionen beføjelser til at meddele depositaren for NEAFC-konventionen Unionens holdning, hvis der i forbindelse med Det Forenede Kongeriges udtræden af Unionen ikke er indgået nogen udtrædelsesaftale inden udløbet af meddelelsesperioden som omhandlet i artikel 20, stk. 4, i NEAFC-konventionen. </w:t>
      </w:r>
    </w:p>
    <w:p>
      <w:pPr>
        <w:spacing w:before="0"/>
        <w:rPr>
          <w:noProof/>
        </w:rPr>
      </w:pPr>
      <w:r>
        <w:rPr>
          <w:noProof/>
        </w:rPr>
        <w:t xml:space="preserve">Det Forenede Kongeriges ansøgning om tiltrædelse er ikke blevet godkendt, idet det krævede flertal på tre fjerdedele af de kontraherende parter med henblik på meddelelse af godkendelsen til depositaren ikke blev nået. </w:t>
      </w:r>
    </w:p>
    <w:p>
      <w:pPr>
        <w:spacing w:before="0"/>
        <w:rPr>
          <w:noProof/>
        </w:rPr>
      </w:pPr>
      <w:r>
        <w:rPr>
          <w:noProof/>
        </w:rPr>
        <w:t>I overensstemmelse med udtrædelsesaftalens artikel 129, stk. 4, kan Det Forenede Kongerige i overgangsperioden forhandle, undertegne og ratificere internationale aftaler, det har indgået på egne vegne på områder, hvor Unionen har enekompetence, forudsat at disse aftaler ikke træder i kraft eller finder anvendelse i overgangsperioden, medmindre Unionen har godkendt det. Ved Rådets afgørelse 2020/135</w:t>
      </w:r>
      <w:r>
        <w:rPr>
          <w:rStyle w:val="FootnoteReference"/>
          <w:noProof/>
        </w:rPr>
        <w:footnoteReference w:id="5"/>
      </w:r>
      <w:r>
        <w:rPr>
          <w:noProof/>
        </w:rPr>
        <w:t xml:space="preserve"> fastsættes betingelserne og proceduren for sådanne godkendelser.</w:t>
      </w:r>
    </w:p>
    <w:p>
      <w:pPr>
        <w:rPr>
          <w:noProof/>
        </w:rPr>
      </w:pPr>
      <w:r>
        <w:rPr>
          <w:noProof/>
        </w:rPr>
        <w:t>Det Forenede Kongerige har ved brev af 3. april 2020 meddelt Europa-Kommissionen sin hensigt om på egne vegne at give sit samtykke til i overgangsperioden at blive bundet af NEAFC-konventionen. Ved Rådets gennemførelsesafgørelse (EU) XXX</w:t>
      </w:r>
      <w:r>
        <w:rPr>
          <w:rStyle w:val="FootnoteReference"/>
          <w:noProof/>
        </w:rPr>
        <w:footnoteReference w:id="6"/>
      </w:r>
      <w:r>
        <w:rPr>
          <w:noProof/>
        </w:rPr>
        <w:t xml:space="preserve"> bemyndiges Det Forenede Kongerige til at give sit samtykke til på egne vegne at blive bundet af NEAFC-konventionen, eftersom betingelserne i artikel 3, stk. 2, i Rådets afgørelse 2020/135 er opfyldt. </w:t>
      </w:r>
    </w:p>
    <w:p>
      <w:pPr>
        <w:pStyle w:val="ManualHeading1"/>
        <w:rPr>
          <w:rFonts w:eastAsia="Arial Unicode MS"/>
          <w:noProof/>
        </w:rPr>
      </w:pPr>
      <w:r>
        <w:t>2.</w:t>
      </w:r>
      <w:r>
        <w:tab/>
      </w:r>
      <w:r>
        <w:rPr>
          <w:noProof/>
        </w:rPr>
        <w:t>Den holdning, der skal indtages på Unionens vegne</w:t>
      </w:r>
    </w:p>
    <w:p>
      <w:pPr>
        <w:rPr>
          <w:rFonts w:eastAsia="Calibri"/>
          <w:noProof/>
        </w:rPr>
      </w:pPr>
      <w:r>
        <w:rPr>
          <w:noProof/>
        </w:rPr>
        <w:t>Rådets afgørelse bør sætte Kommissionen i stand til på Unionens vegne at godkende Det Forenede Kongeriges tiltrædelse af NEAFC-konventionen inden udløbet af den meddelelsesperiode, der er omhandlet i NEAFC-konventionens artikel 20, stk. 4.</w:t>
      </w:r>
    </w:p>
    <w:p>
      <w:pPr>
        <w:rPr>
          <w:noProof/>
        </w:rPr>
      </w:pPr>
      <w:r>
        <w:rPr>
          <w:noProof/>
        </w:rPr>
        <w:t>Et af de centrale mål for den fælles fiskeripolitik som fastsat i Europa-Parlamentets og Rådets forordning (EU) nr. 1380/2013</w:t>
      </w:r>
      <w:r>
        <w:rPr>
          <w:rStyle w:val="FootnoteReference"/>
          <w:noProof/>
        </w:rPr>
        <w:footnoteReference w:id="7"/>
      </w:r>
      <w:r>
        <w:rPr>
          <w:noProof/>
        </w:rPr>
        <w:t xml:space="preserve"> er at sikre, at fiskeriet er miljømæssigt, økonomisk og socialt bæredygtigt og forvaltes på en måde, der er i overensstemmelse med målene om at opnå økonomiske, sociale og beskæftigelsesmæssige fordele, om at genoprette fiskebestandene og opretholde disse på niveauer, der kan give det maksimale bæredygtige udbytte og bidrage til fødevareforsyningssikkerheden. </w:t>
      </w:r>
    </w:p>
    <w:p>
      <w:pPr>
        <w:rPr>
          <w:noProof/>
        </w:rPr>
      </w:pPr>
      <w:r>
        <w:rPr>
          <w:noProof/>
        </w:rPr>
        <w:t>Det er i Unionens interesse, at Det Forenede Kongerige samarbejder om forvaltningen af de fiskebestande, der er af fælles interesse, i fuld overensstemmelse med bestemmelserne i De Forenede Nationers havretskonvention af 10. december 1982</w:t>
      </w:r>
      <w:r>
        <w:rPr>
          <w:rStyle w:val="FootnoteReference"/>
          <w:noProof/>
        </w:rPr>
        <w:footnoteReference w:id="8"/>
      </w:r>
      <w:r>
        <w:rPr>
          <w:noProof/>
        </w:rPr>
        <w:t xml:space="preserve"> ("UNCLOS") og De Forenede Nationers aftale om gennemførelsen af bestemmelserne i De Forenede Nationers havretskonvention af 10. december 1982 vedrørende bevarelse og forvaltning af fælles fiskebestande og stærkt vandrende fiskebestande af 4. august 1995</w:t>
      </w:r>
      <w:r>
        <w:rPr>
          <w:rStyle w:val="FootnoteReference"/>
          <w:noProof/>
        </w:rPr>
        <w:footnoteReference w:id="9"/>
      </w:r>
      <w:r>
        <w:rPr>
          <w:noProof/>
        </w:rPr>
        <w:t xml:space="preserve"> ("UNFSA") såvel som andre internationale aftaler eller folkeretlige normer. </w:t>
      </w:r>
    </w:p>
    <w:p>
      <w:pPr>
        <w:rPr>
          <w:noProof/>
        </w:rPr>
      </w:pPr>
      <w:r>
        <w:rPr>
          <w:noProof/>
        </w:rPr>
        <w:lastRenderedPageBreak/>
        <w:t>I henhold til artikel 56, 63 og 116 i UNCLOS har Det Forenede Kongerige legitime fiskeriinteresser i NEAFC-konventionsområdet (åbent hav) og som kyststat, for så vidt som farvandene i Det Forenede Kongeriges eksklusive økonomiske zone er omfattet af NEAFC-konventionens anvendelsesområde.</w:t>
      </w:r>
    </w:p>
    <w:p>
      <w:pPr>
        <w:rPr>
          <w:noProof/>
        </w:rPr>
      </w:pPr>
      <w:r>
        <w:rPr>
          <w:noProof/>
        </w:rPr>
        <w:t>Hvis den samme bestand eller de samme bestande af tilknyttede arter forekommer både inden for den eksklusive økonomiske zone og i et område, som støder op til zonen, skal kyststaten og stater, som fisker efter sådanne bestande i det tilstødende område, i henhold til artikel 63, stk. 2, i UNCLOS og artikel 8 i UNFSA samarbejde om at nå til enighed om de nødvendige foranstaltninger med henblik på bevarelsen af disse bestande i det tilstødende område. Samarbejdet kan etableres inden for rammerne af regionale fiskeriforvaltningsorganisationer eller, hvis disse ikke har beføjelser til at forvalte den pågældende bestand, ved hjælp af ad hoc-ordninger mellem de lande, der har en interesse i dette fiskeri.</w:t>
      </w:r>
    </w:p>
    <w:p>
      <w:pPr>
        <w:rPr>
          <w:rFonts w:eastAsia="Times New Roman"/>
          <w:noProof/>
          <w:szCs w:val="24"/>
        </w:rPr>
      </w:pPr>
      <w:r>
        <w:rPr>
          <w:noProof/>
        </w:rPr>
        <w:t xml:space="preserve">Det Forenede Kongeriges tiltrædelse af NEAFC-konventionen vil sætte landet i stand til at samarbejde om de nødvendige fiskeriforvaltningsforanstaltninger og til at sikre, at fiskeriet udøves således, at den eller de pågældende bestande udnyttes bæredygtigt. </w:t>
      </w:r>
    </w:p>
    <w:p>
      <w:pPr>
        <w:rPr>
          <w:rFonts w:eastAsia="Calibri"/>
          <w:noProof/>
        </w:rPr>
      </w:pPr>
      <w:r>
        <w:rPr>
          <w:noProof/>
        </w:rPr>
        <w:t xml:space="preserve">I lyset af Det Forenede Kongeriges legitime fiskeriinteresser i NEAFC-konventionsområdet, Det Forenede Kongeriges forpligtelse til at samarbejde om den nødvendige fiskeriforvaltning og behovet for at sikre, at NEAFC-henstillingerne bliver bindende ved Det Forenede Kongeriges tiltrædelse, anbefaler Kommissionen, at Det Forenede Kongeriges ansøgning godkendes. </w:t>
      </w:r>
    </w:p>
    <w:p>
      <w:pPr>
        <w:rPr>
          <w:rFonts w:eastAsia="Calibri"/>
          <w:noProof/>
        </w:rPr>
      </w:pPr>
      <w:r>
        <w:rPr>
          <w:noProof/>
        </w:rPr>
        <w:t xml:space="preserve">Det foreslås, at Kommissionen tillægges beføjelser til at meddele depositaren for NEAFC-konventionen Unionens holdning, som er at godkende Det Forenede Kongeriges tiltrædelse af NEAFC-konventionen. </w:t>
      </w:r>
    </w:p>
    <w:p>
      <w:pPr>
        <w:pStyle w:val="ManualHeading1"/>
        <w:rPr>
          <w:noProof/>
        </w:rPr>
      </w:pPr>
      <w:r>
        <w:t>3.</w:t>
      </w:r>
      <w:r>
        <w:tab/>
      </w:r>
      <w:r>
        <w:rPr>
          <w:noProof/>
        </w:rPr>
        <w:t>Retsgrundlag</w:t>
      </w:r>
    </w:p>
    <w:p>
      <w:pPr>
        <w:pStyle w:val="ManualHeading2"/>
        <w:rPr>
          <w:noProof/>
        </w:rPr>
      </w:pPr>
      <w:r>
        <w:t>3.1.</w:t>
      </w:r>
      <w:r>
        <w:tab/>
      </w:r>
      <w:r>
        <w:rPr>
          <w:noProof/>
        </w:rPr>
        <w:t>Proceduremæssigt retsgrundlag</w:t>
      </w:r>
    </w:p>
    <w:p>
      <w:pPr>
        <w:pStyle w:val="ManualHeading3"/>
        <w:rPr>
          <w:noProof/>
        </w:rPr>
      </w:pPr>
      <w:r>
        <w:t>3.1.1.</w:t>
      </w:r>
      <w:r>
        <w:tab/>
      </w:r>
      <w:r>
        <w:rPr>
          <w:noProof/>
        </w:rPr>
        <w:t>Principper</w:t>
      </w:r>
    </w:p>
    <w:p>
      <w:pPr>
        <w:rPr>
          <w:noProof/>
        </w:rPr>
      </w:pPr>
      <w:r>
        <w:rPr>
          <w:noProof/>
        </w:rPr>
        <w:t>I henhold til artikel 218, stk. 9, i traktaten om Den Europæiske Unions funktionsmåde (TEUF) skal Rådet vedtage afgørelser om fastlæggelse af, "</w:t>
      </w:r>
      <w:r>
        <w:rPr>
          <w:i/>
          <w:iCs/>
          <w:noProof/>
        </w:rPr>
        <w:t>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Begrebet "</w:t>
      </w:r>
      <w:r>
        <w:rPr>
          <w:i/>
          <w:iCs/>
          <w:noProof/>
        </w:rPr>
        <w:t>retsakter, der har retsvirkninger</w:t>
      </w:r>
      <w:r>
        <w:rPr>
          <w:noProof/>
        </w:rPr>
        <w:t>" omfatter retsakter, der har retsvirkninger i medfør af de folkeretlige regler. Det omfatter også instrumenter, der ikke har bindende virkning i henhold til folkeretten, men som "</w:t>
      </w:r>
      <w:r>
        <w:rPr>
          <w:i/>
          <w:iCs/>
          <w:noProof/>
        </w:rPr>
        <w:t>vil kunne få afgørende indflydelse på indholdet af de regler, der vedtages af EU-lovgiver</w:t>
      </w:r>
      <w:r>
        <w:rPr>
          <w:noProof/>
        </w:rPr>
        <w:t>"</w:t>
      </w:r>
      <w:r>
        <w:rPr>
          <w:rStyle w:val="FootnoteReference"/>
          <w:noProof/>
        </w:rPr>
        <w:footnoteReference w:id="10"/>
      </w:r>
      <w:r>
        <w:rPr>
          <w:noProof/>
        </w:rPr>
        <w:t>.</w:t>
      </w:r>
    </w:p>
    <w:p>
      <w:pPr>
        <w:pStyle w:val="ManualHeading3"/>
        <w:rPr>
          <w:noProof/>
        </w:rPr>
      </w:pPr>
      <w:r>
        <w:t>3.1.2.</w:t>
      </w:r>
      <w:r>
        <w:tab/>
      </w:r>
      <w:r>
        <w:rPr>
          <w:noProof/>
        </w:rPr>
        <w:t>Princippernes anvendelse på det foreliggende tilfælde</w:t>
      </w:r>
    </w:p>
    <w:p>
      <w:pPr>
        <w:rPr>
          <w:rFonts w:eastAsia="Calibri"/>
          <w:noProof/>
        </w:rPr>
      </w:pPr>
      <w:r>
        <w:rPr>
          <w:noProof/>
        </w:rPr>
        <w:t>Enhver stat kan tiltræde NEAFC-konventionen når som helst. Ansøgningen godkendes, hvis tre fjerdedele af de kontraherende parter, senest 90 dage fra den dato, hvor depositaren giver meddelelse om at have modtaget ansøgningen, har givet depositaren meddelelse om deres godkendelse af ansøgningen. Depositaren giver den stat, der ansøger om tiltrædelse, og alle kontraherende parter meddelelse om resultatet af ansøgningen.</w:t>
      </w:r>
    </w:p>
    <w:p>
      <w:pPr>
        <w:rPr>
          <w:rFonts w:eastAsia="Calibri"/>
          <w:noProof/>
        </w:rPr>
      </w:pPr>
      <w:r>
        <w:rPr>
          <w:noProof/>
        </w:rPr>
        <w:lastRenderedPageBreak/>
        <w:t>Tiltrædelse sker ved deponering af et tiltrædelsesinstrument hos depositaren og får virkning fra datoen for dennes modtagelse heraf. Depositaren underretter alle signatarer og alle tiltrædende parter om de ratificerings-, accept-, godkendelses- og tiltrædelsesinstrumenter, der deponeres, og giver signatarerne meddelelse om, fra hvilken dato og for hvilke parter denne konvention træder i kraft.</w:t>
      </w:r>
    </w:p>
    <w:p>
      <w:pPr>
        <w:rPr>
          <w:noProof/>
        </w:rPr>
      </w:pPr>
      <w:r>
        <w:rPr>
          <w:noProof/>
        </w:rPr>
        <w:t xml:space="preserve">Det Forenede Kongeriges tiltræden vil, når den får virkning, være bindende i henhold til folkeretten, jf. NEAFC-konventionens artikel 24, og vil kunne få afgørende indflydelse på indholdet af EU-lovgivningen. </w:t>
      </w:r>
    </w:p>
    <w:p>
      <w:pPr>
        <w:rPr>
          <w:noProof/>
        </w:rPr>
      </w:pPr>
      <w:r>
        <w:rPr>
          <w:noProof/>
        </w:rPr>
        <w:t>Den påtænkte retsakt hverken supplerer eller ændrer den institutionelle ramme for NEAFC-konventionen. Det proceduremæssige retsgrundlag for den foreslåede afgørelse er derfor artikel 218, stk. 9, i TEUF.</w:t>
      </w:r>
    </w:p>
    <w:p>
      <w:pPr>
        <w:pStyle w:val="ManualHeading2"/>
        <w:rPr>
          <w:noProof/>
        </w:rPr>
      </w:pPr>
      <w:r>
        <w:t>3.2.</w:t>
      </w:r>
      <w:r>
        <w:tab/>
      </w:r>
      <w:r>
        <w:rPr>
          <w:noProof/>
        </w:rPr>
        <w:t>Materielt retsgrundlag</w:t>
      </w:r>
    </w:p>
    <w:p>
      <w:pPr>
        <w:pStyle w:val="ManualHeading3"/>
        <w:rPr>
          <w:noProof/>
        </w:rPr>
      </w:pPr>
      <w:r>
        <w:t>3.2.1.</w:t>
      </w:r>
      <w:r>
        <w:tab/>
      </w:r>
      <w:r>
        <w:rPr>
          <w:noProof/>
        </w:rPr>
        <w:t>Principper</w:t>
      </w:r>
    </w:p>
    <w:p>
      <w:pPr>
        <w:rPr>
          <w:noProof/>
        </w:rPr>
      </w:pPr>
      <w:r>
        <w:rPr>
          <w:noProof/>
        </w:rPr>
        <w:t>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elementer, og det ene af disse formål eller elementer kan bestemmes som det primære, mens det andet kun er sekundært, skal den afgørelse, der vedtages i henhold til artikel 218, stk. 9, i TEUF, have et enkelt materielt retsgrundlag, nemlig det, der kræves af det primære eller fremherskende formål eller element.</w:t>
      </w:r>
    </w:p>
    <w:p>
      <w:pPr>
        <w:pStyle w:val="ManualHeading3"/>
        <w:rPr>
          <w:noProof/>
        </w:rPr>
      </w:pPr>
      <w:r>
        <w:t>3.2.2.</w:t>
      </w:r>
      <w:r>
        <w:tab/>
      </w:r>
      <w:r>
        <w:rPr>
          <w:noProof/>
        </w:rPr>
        <w:t>Princippernes anvendelse på det foreliggende tilfælde</w:t>
      </w:r>
    </w:p>
    <w:p>
      <w:pPr>
        <w:rPr>
          <w:noProof/>
        </w:rPr>
      </w:pPr>
      <w:r>
        <w:rPr>
          <w:noProof/>
        </w:rPr>
        <w:t>Den påtænkte retsakts primære formål og indhold vedrører den fælles fiskeripolitik.</w:t>
      </w:r>
    </w:p>
    <w:p>
      <w:pPr>
        <w:rPr>
          <w:noProof/>
        </w:rPr>
      </w:pPr>
      <w:r>
        <w:rPr>
          <w:noProof/>
        </w:rPr>
        <w:t>Det materielle retsgrundlag for den foreslåede afgørelse er derfor artikel 43 i TEUF.</w:t>
      </w:r>
    </w:p>
    <w:p>
      <w:pPr>
        <w:pStyle w:val="ManualHeading2"/>
        <w:rPr>
          <w:noProof/>
        </w:rPr>
      </w:pPr>
      <w:r>
        <w:t>3.3.</w:t>
      </w:r>
      <w:r>
        <w:tab/>
      </w:r>
      <w:r>
        <w:rPr>
          <w:noProof/>
        </w:rPr>
        <w:t>Konklusion</w:t>
      </w:r>
    </w:p>
    <w:p>
      <w:pPr>
        <w:rPr>
          <w:noProof/>
        </w:rPr>
      </w:pPr>
      <w:r>
        <w:rPr>
          <w:noProof/>
        </w:rPr>
        <w:t>Retsgrundlaget for den foreslåede afgørelse bør være artikel 43 sammenholdt med artikel 218, stk. 9, i TEUF.</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2020/0243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inden for rammerne af konventionen om det fremtidige multilaterale samarbejde vedrørende fiskeriet i det nordøstlige Atlanterhav til Det Forenede Kongeriges ansøgning om tiltrædelse af denne konvention, og om ophævelse af Rådets afgørelse (EU) 2019/510</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43</w:t>
      </w:r>
      <w:r>
        <w:t>,</w:t>
      </w:r>
      <w:r>
        <w:rPr>
          <w:noProof/>
        </w:rPr>
        <w:t xml:space="preserve">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Konventionen om det fremtidige multilaterale samarbejde vedrørende fiskeriet i Det Nordøstlige Atlanterhav</w:t>
      </w:r>
      <w:r>
        <w:rPr>
          <w:rStyle w:val="FootnoteReference"/>
          <w:noProof/>
        </w:rPr>
        <w:footnoteReference w:id="11"/>
      </w:r>
      <w:r>
        <w:rPr>
          <w:noProof/>
        </w:rPr>
        <w:t xml:space="preserve"> ("NEAFC-konventionen") blev godkendt ved Rådets afgørelse 81/608/EØF</w:t>
      </w:r>
      <w:r>
        <w:rPr>
          <w:rStyle w:val="FootnoteReference"/>
          <w:noProof/>
        </w:rPr>
        <w:footnoteReference w:id="12"/>
      </w:r>
      <w:r>
        <w:rPr>
          <w:noProof/>
        </w:rPr>
        <w:t xml:space="preserve"> og trådte i kraft den 17. marts 1982. </w:t>
      </w:r>
    </w:p>
    <w:p>
      <w:pPr>
        <w:pStyle w:val="ManualConsidrant"/>
        <w:rPr>
          <w:noProof/>
        </w:rPr>
      </w:pPr>
      <w:r>
        <w:t>(2)</w:t>
      </w:r>
      <w:r>
        <w:tab/>
      </w:r>
      <w:r>
        <w:rPr>
          <w:noProof/>
        </w:rPr>
        <w:t xml:space="preserve">NEAFC-konventionen finder i øjeblikket anvendelse på Det Forenede Kongerige, eftersom Unionen er kontraherende part deri, og idet NEAFC-konventionens artikel 20, stk. 4, udelukker EU-medlemsstaternes tiltrædelse. </w:t>
      </w:r>
    </w:p>
    <w:p>
      <w:pPr>
        <w:pStyle w:val="ManualConsidrant"/>
        <w:rPr>
          <w:noProof/>
        </w:rPr>
      </w:pPr>
      <w:r>
        <w:t>(3)</w:t>
      </w:r>
      <w:r>
        <w:tab/>
      </w:r>
      <w:r>
        <w:rPr>
          <w:noProof/>
        </w:rPr>
        <w:t xml:space="preserve">I henhold til NEAFC-konventionens artikel 20, stk. 4, kan enhver stat tiltræde NEAFC-konventionen, forudsat at den pågældende stats ansøgning om tiltrædelse godkendes af tre fjerdedele af alle kontraherende parter i konventionen senest 90 dage fra den dato, hvorpå depositaren giver meddelelse om at have modtaget ansøgningen. </w:t>
      </w:r>
    </w:p>
    <w:p>
      <w:pPr>
        <w:pStyle w:val="ManualConsidrant"/>
        <w:rPr>
          <w:noProof/>
        </w:rPr>
      </w:pPr>
      <w:r>
        <w:t>(4)</w:t>
      </w:r>
      <w:r>
        <w:tab/>
      </w:r>
      <w:r>
        <w:rPr>
          <w:noProof/>
        </w:rPr>
        <w:t>Den 8. januar 2019 indgav Det Forenede Kongerige en ansøgning om at tiltræde NEAFC-konventionen som kontraherende part. Depositaren underrettede Europa-Kommissionen herom samme dag.</w:t>
      </w:r>
    </w:p>
    <w:p>
      <w:pPr>
        <w:pStyle w:val="ManualConsidrant"/>
        <w:rPr>
          <w:noProof/>
        </w:rPr>
      </w:pPr>
      <w:r>
        <w:t>(5)</w:t>
      </w:r>
      <w:r>
        <w:tab/>
      </w:r>
      <w:r>
        <w:rPr>
          <w:noProof/>
        </w:rPr>
        <w:t>Den 25. marts 2019 vedtog Rådet afgørelse (EU) 2019/510</w:t>
      </w:r>
      <w:r>
        <w:rPr>
          <w:rStyle w:val="FootnoteReference"/>
          <w:noProof/>
        </w:rPr>
        <w:footnoteReference w:id="13"/>
      </w:r>
      <w:r>
        <w:rPr>
          <w:noProof/>
        </w:rPr>
        <w:t xml:space="preserve"> om fastlæggelse af den holdning, som skal indtages på Den Europæiske Unions vegne inden for rammerne af NEAFC-konventionen til Det Forenede Kongeriges ansøgning om tiltrædelse af konventionen. Den holdning, der fastlægges i nævnte afgørelse, er at godkende Det Forenede Kongeriges tiltrædelse af NEAFC-konventionen, idet afgørelsen blev vedtaget med henblik på at foregribe den situation, hvor Det Forenede Kongerige forlader Unionen uden en udtrædelsesaftale. Derfor tillægges Kommissionen ved </w:t>
      </w:r>
      <w:r>
        <w:rPr>
          <w:noProof/>
        </w:rPr>
        <w:lastRenderedPageBreak/>
        <w:t>afgørelse (EU) 2019/510 alene beføjelser til at meddele Unionens holdning i det tilfælde, hvor der ikke indgås en udtrædelsesaftale.</w:t>
      </w:r>
    </w:p>
    <w:p>
      <w:pPr>
        <w:pStyle w:val="ManualConsidrant"/>
        <w:rPr>
          <w:noProof/>
        </w:rPr>
      </w:pPr>
      <w:r>
        <w:t>(6)</w:t>
      </w:r>
      <w:r>
        <w:tab/>
      </w:r>
      <w:r>
        <w:rPr>
          <w:noProof/>
        </w:rPr>
        <w:t xml:space="preserve">Desuden er Det Forenede Kongeriges ansøgning om tiltrædelse ikke blevet godkendt, idet det krævede flertal på tre fjerdedele af de kontraherende parter med henblik på meddelelse af godkendelsen til depositaren ikke blev nået. </w:t>
      </w:r>
    </w:p>
    <w:p>
      <w:pPr>
        <w:pStyle w:val="ManualConsidrant"/>
        <w:rPr>
          <w:noProof/>
        </w:rPr>
      </w:pPr>
      <w:r>
        <w:t>(7)</w:t>
      </w:r>
      <w:r>
        <w:tab/>
      </w:r>
      <w:r>
        <w:rPr>
          <w:noProof/>
        </w:rPr>
        <w:t>I henhold til artikel 129, stk. 4, i aftalen om Det Forenede Kongerige Storbritannien og Nordirlands udtræden af Den Europæiske Union og Det Europæiske Atomenergifællesskab kan Det Forenede Kongerige i overgangsperioden forhandle, undertegne og ratificere internationale aftaler, det har indgået på egne vegne på områder, hvor Unionen har enekompetence, forudsat at disse aftaler ikke træder i kraft eller finder anvendelse i overgangsperioden, medmindre Unionen har godkendt det. Ved Rådets afgørelse 2020/135</w:t>
      </w:r>
      <w:r>
        <w:rPr>
          <w:rStyle w:val="FootnoteReference"/>
          <w:noProof/>
        </w:rPr>
        <w:footnoteReference w:id="14"/>
      </w:r>
      <w:r>
        <w:rPr>
          <w:noProof/>
        </w:rPr>
        <w:t xml:space="preserve"> fastsættes betingelserne og proceduren for sådanne godkendelser.</w:t>
      </w:r>
    </w:p>
    <w:p>
      <w:pPr>
        <w:pStyle w:val="ManualConsidrant"/>
        <w:rPr>
          <w:noProof/>
        </w:rPr>
      </w:pPr>
      <w:r>
        <w:t>(8)</w:t>
      </w:r>
      <w:r>
        <w:tab/>
      </w:r>
      <w:r>
        <w:rPr>
          <w:noProof/>
        </w:rPr>
        <w:t xml:space="preserve">Det Forenede Kongerige har ved brev af 3. april 2020 meddelt Europa-Kommissionen sin hensigt om på egne vegne at give sit samtykke til i overgangsperioden at blive bundet af NEAFC-konventionen. </w:t>
      </w:r>
    </w:p>
    <w:p>
      <w:pPr>
        <w:pStyle w:val="ManualConsidrant"/>
        <w:rPr>
          <w:noProof/>
        </w:rPr>
      </w:pPr>
      <w:r>
        <w:t>(9)</w:t>
      </w:r>
      <w:r>
        <w:tab/>
      </w:r>
      <w:r>
        <w:rPr>
          <w:noProof/>
        </w:rPr>
        <w:t>Rådets gennemførelsesafgørelse (EU) XXX</w:t>
      </w:r>
      <w:r>
        <w:rPr>
          <w:rStyle w:val="FootnoteReference"/>
          <w:noProof/>
        </w:rPr>
        <w:footnoteReference w:id="15"/>
      </w:r>
      <w:r>
        <w:rPr>
          <w:noProof/>
        </w:rPr>
        <w:t xml:space="preserve"> bemyndiger Det Forenede Kongerige til at give sit samtykke til på egne vegne at blive bundet af NEAFC-konventionen, idet betingelserne i artikel 3, stk. 1, i Rådets afgørelse 2020/135 er opfyldt.</w:t>
      </w:r>
    </w:p>
    <w:p>
      <w:pPr>
        <w:pStyle w:val="ManualConsidrant"/>
        <w:rPr>
          <w:noProof/>
        </w:rPr>
      </w:pPr>
      <w:r>
        <w:t>(10)</w:t>
      </w:r>
      <w:r>
        <w:tab/>
      </w:r>
      <w:r>
        <w:rPr>
          <w:noProof/>
        </w:rPr>
        <w:t>I henhold til artikel 56, 63 og 116 i De Forenede Nationers havretskonvention (UNCLOS)</w:t>
      </w:r>
      <w:r>
        <w:rPr>
          <w:rStyle w:val="FootnoteReference"/>
          <w:noProof/>
        </w:rPr>
        <w:footnoteReference w:id="16"/>
      </w:r>
      <w:r>
        <w:rPr>
          <w:noProof/>
        </w:rPr>
        <w:t xml:space="preserve"> har Det Forenede Kongerige legitime fiskeriinteresser i NEAFC-konventionsområdet (åbent hav) som kyststat, for så vidt som farvandene i Det Forenede Kongerige eksklusive økonomiske zone er omfattet af NEAFC-konventionens anvendelsesområde. </w:t>
      </w:r>
    </w:p>
    <w:p>
      <w:pPr>
        <w:pStyle w:val="ManualConsidrant"/>
        <w:rPr>
          <w:noProof/>
        </w:rPr>
      </w:pPr>
      <w:r>
        <w:t>(11)</w:t>
      </w:r>
      <w:r>
        <w:tab/>
      </w:r>
      <w:r>
        <w:rPr>
          <w:noProof/>
        </w:rPr>
        <w:t>For at hindre ikkebæredygtigt fiskeri er det i Unionens interesse, at Det Forenede Kongerige samarbejder om forvaltningen af de fiskebestande, der er af fælles interesse, i fuld overensstemmelse med bestemmelserne i UNCLOS og De Forenede Nationers aftale om gennemførelsen af bestemmelserne i De Forenede Nationers havretskonvention af 10. december 1982 vedrørende bevarelse og forvaltning af fælles fiskebestande og stærkt vandrende fiskebestande af 4. august 1995 (UNFSA)</w:t>
      </w:r>
      <w:r>
        <w:rPr>
          <w:rStyle w:val="FootnoteReference"/>
          <w:noProof/>
        </w:rPr>
        <w:footnoteReference w:id="17"/>
      </w:r>
      <w:r>
        <w:rPr>
          <w:noProof/>
        </w:rPr>
        <w:t xml:space="preserve"> eller andre internationale aftaler eller folkeretlige normer.</w:t>
      </w:r>
    </w:p>
    <w:p>
      <w:pPr>
        <w:pStyle w:val="ManualConsidrant"/>
        <w:rPr>
          <w:noProof/>
        </w:rPr>
      </w:pPr>
      <w:r>
        <w:t>(12)</w:t>
      </w:r>
      <w:r>
        <w:tab/>
      </w:r>
      <w:r>
        <w:rPr>
          <w:noProof/>
        </w:rPr>
        <w:t xml:space="preserve">Hvis den samme bestand eller de samme bestande af tilknyttede arter forekommer både inden for den eksklusive økonomiske zone og i et område, som støder op til zonen, skal kyststaten og de stater, som fisker efter sådanne bestande i det tilstødende område, i henhold til artikel 63, stk. 2, i UNCLOS og artikel 8 i UNFSA samarbejde om at nå til enighed om de nødvendige foranstaltninger med henblik på bevarelsen af disse bestande i det tilstødende område. Dette samarbejde kan etableres inden for rammerne af regionale fiskeriforvaltningsorganisationer. Det Forenede Kongeriges tiltrædelse af NEAFC-konventionen vil sætte det i stand til at samarbejde om de </w:t>
      </w:r>
      <w:r>
        <w:rPr>
          <w:noProof/>
        </w:rPr>
        <w:lastRenderedPageBreak/>
        <w:t xml:space="preserve">nødvendige fiskeriforvaltningsforanstaltninger med henblik på at sikre, at fiskeriet udøves således, at den eller de berørte bestande udnyttes bæredygtigt. </w:t>
      </w:r>
    </w:p>
    <w:p>
      <w:pPr>
        <w:pStyle w:val="ManualConsidrant"/>
        <w:rPr>
          <w:noProof/>
        </w:rPr>
      </w:pPr>
      <w:r>
        <w:t>(13)</w:t>
      </w:r>
      <w:r>
        <w:tab/>
      </w:r>
      <w:r>
        <w:rPr>
          <w:noProof/>
        </w:rPr>
        <w:t>Hvis Det Forenede Kongerige tiltræder før udløbet af overgangsperioden, vil det være i stand til fuldt ud at opfylde de forpligtelser, der følger af UNCLOS</w:t>
      </w:r>
      <w:r>
        <w:rPr>
          <w:rStyle w:val="FootnoteReference"/>
          <w:noProof/>
          <w:vertAlign w:val="baseline"/>
        </w:rPr>
        <w:t xml:space="preserve"> </w:t>
      </w:r>
      <w:r>
        <w:rPr>
          <w:noProof/>
        </w:rPr>
        <w:t xml:space="preserve"> for så vidt angår bevarelses- og forvaltningsforanstaltninger, der får virkning fra det tidspunkt, hvor overgangsperioden udløber, og EU-retten ophører med at finde anvendelse på Det Forenede Kongerige. Det er derfor i Unionens interesse at godkende den ansøgning om tiltrædelse af NEAFC-konventionen, som Det Forenede Kongerige har indgivet, inden udløbet af den meddelelsesperiode, der er omhandlet i artikel 20, stk. 4, i NEAFC-konventionen.</w:t>
      </w:r>
    </w:p>
    <w:p>
      <w:pPr>
        <w:pStyle w:val="ManualConsidrant"/>
        <w:rPr>
          <w:noProof/>
        </w:rPr>
      </w:pPr>
      <w:r>
        <w:t>(14)</w:t>
      </w:r>
      <w:r>
        <w:tab/>
      </w:r>
      <w:r>
        <w:rPr>
          <w:noProof/>
        </w:rPr>
        <w:t xml:space="preserve">Af hensyn til klarheden og retssikkerheden bør afgørelse (EU) 2019/510 ophæves — </w:t>
      </w:r>
    </w:p>
    <w:p>
      <w:pPr>
        <w:pStyle w:val="Formuledadoption"/>
        <w:rPr>
          <w:noProof/>
        </w:rPr>
      </w:pPr>
      <w:r>
        <w:rPr>
          <w:noProof/>
        </w:rPr>
        <w:t>VEDTAGET DENNE AFGØRELSE:</w:t>
      </w:r>
    </w:p>
    <w:p>
      <w:pPr>
        <w:pStyle w:val="Titrearticle"/>
        <w:rPr>
          <w:noProof/>
        </w:rPr>
      </w:pPr>
      <w:r>
        <w:rPr>
          <w:noProof/>
        </w:rPr>
        <w:t>Artikel 1</w:t>
      </w:r>
    </w:p>
    <w:p>
      <w:pPr>
        <w:pStyle w:val="ManualNumPar1"/>
        <w:rPr>
          <w:noProof/>
        </w:rPr>
      </w:pPr>
      <w:r>
        <w:t>1.</w:t>
      </w:r>
      <w:r>
        <w:tab/>
      </w:r>
      <w:r>
        <w:rPr>
          <w:noProof/>
        </w:rPr>
        <w:t xml:space="preserve">Den holdning, der skal indtages på Unionens vegne inden for rammerne af konventionen om det fremtidige multilaterale samarbejde vedrørende fiskeriet i det nordøstlige Atlanterhav ("NEAFC-konventionen"), er at godkende Det Forenede Kongeriges ansøgning om at tiltræde NEAFC-konventionen. </w:t>
      </w:r>
    </w:p>
    <w:p>
      <w:pPr>
        <w:pStyle w:val="ManualNumPar1"/>
        <w:rPr>
          <w:noProof/>
        </w:rPr>
      </w:pPr>
      <w:r>
        <w:t>2.</w:t>
      </w:r>
      <w:r>
        <w:tab/>
      </w:r>
      <w:r>
        <w:rPr>
          <w:noProof/>
        </w:rPr>
        <w:t xml:space="preserve">Kommissionen tillægges beføjelser til at meddele depositaren for NEAFC-konventionen Unionens holdning inden udløbet af den meddelelsesperiode, der er omhandlet i artikel 20, stk. 4, i NEAFC-konventionen. </w:t>
      </w:r>
    </w:p>
    <w:p>
      <w:pPr>
        <w:pStyle w:val="Titrearticle"/>
        <w:rPr>
          <w:noProof/>
        </w:rPr>
      </w:pPr>
      <w:r>
        <w:rPr>
          <w:noProof/>
        </w:rPr>
        <w:t>Artikel 2</w:t>
      </w:r>
    </w:p>
    <w:p>
      <w:pPr>
        <w:rPr>
          <w:noProof/>
        </w:rPr>
      </w:pPr>
      <w:r>
        <w:rPr>
          <w:noProof/>
        </w:rPr>
        <w:t xml:space="preserve">Afgørelse (EU) 2019/510 ophæves. </w:t>
      </w:r>
    </w:p>
    <w:p>
      <w:pPr>
        <w:jc w:val="center"/>
        <w:rPr>
          <w:noProof/>
        </w:rPr>
      </w:pPr>
      <w:r>
        <w:rPr>
          <w:i/>
          <w:noProof/>
        </w:rPr>
        <w:t>Artikel 3</w:t>
      </w:r>
    </w:p>
    <w:p>
      <w:pPr>
        <w:rPr>
          <w:noProof/>
        </w:rPr>
      </w:pPr>
      <w:r>
        <w:rPr>
          <w:noProof/>
        </w:rPr>
        <w:t>Denne afgørelse er rettet til Kommissionen.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Aftale om Det Forenede Kongerige Storbritannien og Nordirlands udtræden af Den Europæiske Union og Det Europæiske Atomenergifællesskab (EUT C 384I af 12.11.2019, s. 1).</w:t>
      </w:r>
    </w:p>
  </w:footnote>
  <w:footnote w:id="2">
    <w:p>
      <w:pPr>
        <w:pStyle w:val="FootnoteText"/>
      </w:pPr>
      <w:r>
        <w:rPr>
          <w:rStyle w:val="FootnoteReference"/>
        </w:rPr>
        <w:footnoteRef/>
      </w:r>
      <w:r>
        <w:tab/>
        <w:t>EFT L 227 af 12.8.1981, s. 21.</w:t>
      </w:r>
    </w:p>
  </w:footnote>
  <w:footnote w:id="3">
    <w:p>
      <w:pPr>
        <w:pStyle w:val="FootnoteText"/>
      </w:pPr>
      <w:r>
        <w:rPr>
          <w:rStyle w:val="FootnoteReference"/>
        </w:rPr>
        <w:footnoteRef/>
      </w:r>
      <w:r>
        <w:tab/>
        <w:t>Med hensyn til Det Forenede Kongeriges ansøgning, der blev indgivet den 8. januar 2019, udløber perioden på 90 dage den 8. april 2019.</w:t>
      </w:r>
    </w:p>
  </w:footnote>
  <w:footnote w:id="4">
    <w:p>
      <w:pPr>
        <w:pStyle w:val="FootnoteText"/>
      </w:pPr>
      <w:r>
        <w:rPr>
          <w:rStyle w:val="FootnoteReference"/>
        </w:rPr>
        <w:footnoteRef/>
      </w:r>
      <w:r>
        <w:tab/>
        <w:t>Rådets afgørelse (EU) 2019/510 om fastlæggelse af den holdning, som på Den Europæiske Unions vegne skal indtages inden for rammerne af konventionen om det fremtidige multilaterale samarbejde vedrørende fiskeriet i det nordøstlige Atlanterhav, til Det Forenede Kongeriges ansøgning om tiltrædelse af denne konvention (EUT L 85 af 27.3.2019, s. 22).</w:t>
      </w:r>
    </w:p>
  </w:footnote>
  <w:footnote w:id="5">
    <w:p>
      <w:pPr>
        <w:pStyle w:val="FootnoteText"/>
      </w:pPr>
      <w:r>
        <w:rPr>
          <w:rStyle w:val="FootnoteReference"/>
        </w:rPr>
        <w:footnoteRef/>
      </w:r>
      <w:r>
        <w:tab/>
        <w:t>Rådets afgørelse (EU) 2020/135 af 30. januar 2020 om indgåelse af aftalen om Det Forenede Kongerige Storbritannien og Nordirlands udtræden af Den Europæiske Union og Det Europæiske Atomenergifællesskab (EUT L 29 af 31.1.2020, s. 1).</w:t>
      </w:r>
    </w:p>
  </w:footnote>
  <w:footnote w:id="6">
    <w:p>
      <w:pPr>
        <w:pStyle w:val="FootnoteText"/>
      </w:pPr>
      <w:r>
        <w:rPr>
          <w:rStyle w:val="FootnoteReference"/>
        </w:rPr>
        <w:footnoteRef/>
      </w:r>
      <w:r>
        <w:tab/>
        <w:t>(EUT L xxx af xxx, s. xxx).</w:t>
      </w:r>
    </w:p>
  </w:footnote>
  <w:footnote w:id="7">
    <w:p>
      <w:pPr>
        <w:pStyle w:val="FootnoteText"/>
      </w:pPr>
      <w:r>
        <w:rPr>
          <w:rStyle w:val="FootnoteReference"/>
        </w:rPr>
        <w:footnoteRef/>
      </w:r>
      <w:r>
        <w:tab/>
      </w:r>
      <w:r>
        <w:rPr>
          <w:rStyle w:val="Emphasis"/>
          <w:i w:val="0"/>
        </w:rPr>
        <w:t>EUT L 354 af 28.12.2013, s. 22</w:t>
      </w:r>
      <w:r>
        <w:rPr>
          <w:rStyle w:val="Emphasis"/>
        </w:rPr>
        <w:t>.</w:t>
      </w:r>
    </w:p>
  </w:footnote>
  <w:footnote w:id="8">
    <w:p>
      <w:pPr>
        <w:pStyle w:val="FootnoteText"/>
      </w:pPr>
      <w:r>
        <w:rPr>
          <w:rStyle w:val="FootnoteReference"/>
        </w:rPr>
        <w:footnoteRef/>
      </w:r>
      <w:r>
        <w:tab/>
        <w:t>De Forenede Nationers havretskonvention (EFT L 179 af 23.6.1998, s. 3).</w:t>
      </w:r>
    </w:p>
  </w:footnote>
  <w:footnote w:id="9">
    <w:p>
      <w:pPr>
        <w:pStyle w:val="FootnoteText"/>
      </w:pPr>
      <w:r>
        <w:rPr>
          <w:rStyle w:val="FootnoteReference"/>
        </w:rPr>
        <w:footnoteRef/>
      </w:r>
      <w:r>
        <w:tab/>
        <w:t>Aftale om gennemførelsen af bestemmelserne i De Forenede Nationers havretskonvention af 10. december 1982 vedrørende bevarelse og forvaltning af fælles fiskebestande og stærkt vandrende fiskebestande — erklæring vedrørende Det Europæiske Fællesskabs kompetence — fortolkende erklæringer (EFT L 189 af 3.7.1998, s. 17).</w:t>
      </w:r>
    </w:p>
  </w:footnote>
  <w:footnote w:id="10">
    <w:p>
      <w:pPr>
        <w:pStyle w:val="FootnoteText"/>
      </w:pPr>
      <w:r>
        <w:rPr>
          <w:rStyle w:val="FootnoteReference"/>
        </w:rPr>
        <w:footnoteRef/>
      </w:r>
      <w:r>
        <w:tab/>
        <w:t xml:space="preserve">Domstolens dom af 7. oktober 2014, Tyskland mod Rådet, C-399/12, ECLI:EU:C:2014:2258, præmis 61-64. </w:t>
      </w:r>
    </w:p>
  </w:footnote>
  <w:footnote w:id="11">
    <w:p>
      <w:pPr>
        <w:pStyle w:val="FootnoteText"/>
      </w:pPr>
      <w:r>
        <w:rPr>
          <w:rStyle w:val="FootnoteReference"/>
        </w:rPr>
        <w:footnoteRef/>
      </w:r>
      <w:r>
        <w:tab/>
        <w:t>EFT L 227 af 12.8.1981, s. 22.</w:t>
      </w:r>
    </w:p>
  </w:footnote>
  <w:footnote w:id="12">
    <w:p>
      <w:pPr>
        <w:pStyle w:val="FootnoteText"/>
      </w:pPr>
      <w:r>
        <w:rPr>
          <w:rStyle w:val="FootnoteReference"/>
        </w:rPr>
        <w:footnoteRef/>
      </w:r>
      <w:r>
        <w:tab/>
        <w:t>Rådets afgørelse 81/608/EØF af 13. juli 1981 om indgåelse af konventionen om det fremtidige multilaterale samarbejde vedrørende fiskeriet i Det Nordøstlige Atlanterhav (EFT L 227 af 12.8.1981, s. 21).</w:t>
      </w:r>
    </w:p>
  </w:footnote>
  <w:footnote w:id="13">
    <w:p>
      <w:pPr>
        <w:pStyle w:val="FootnoteText"/>
      </w:pPr>
      <w:r>
        <w:rPr>
          <w:rStyle w:val="FootnoteReference"/>
        </w:rPr>
        <w:footnoteRef/>
      </w:r>
      <w:r>
        <w:tab/>
        <w:t xml:space="preserve">Rådets afgørelse (EU) 2019/510 om fastlæggelse af den holdning, som på Den Europæiske Unions vegne skal indtages inden for rammerne af konventionen om det fremtidige multilaterale samarbejde vedrørende fiskeriet i det nordøstlige Atlanterhav, til Det Forenede Kongeriges ansøgning om tiltrædelse af denne konvention (EUT L 85 af 27.3.2019, s. 22). </w:t>
      </w:r>
    </w:p>
  </w:footnote>
  <w:footnote w:id="14">
    <w:p>
      <w:pPr>
        <w:pStyle w:val="FootnoteText"/>
      </w:pPr>
      <w:r>
        <w:rPr>
          <w:rStyle w:val="FootnoteReference"/>
        </w:rPr>
        <w:footnoteRef/>
      </w:r>
      <w:r>
        <w:tab/>
        <w:t>Rådets afgørelse (EU) 2020/135 af 30. januar 2020 om indgåelse af aftalen om Det Forenede Kongerige Storbritannien og Nordirlands udtræden af Den Europæiske Union og Det Europæiske Atomenergifællesskab (EUT L 29 af 31.1.2020, s. 1).</w:t>
      </w:r>
    </w:p>
  </w:footnote>
  <w:footnote w:id="15">
    <w:p>
      <w:pPr>
        <w:pStyle w:val="FootnoteText"/>
      </w:pPr>
      <w:r>
        <w:rPr>
          <w:rStyle w:val="FootnoteReference"/>
        </w:rPr>
        <w:footnoteRef/>
      </w:r>
      <w:r>
        <w:tab/>
        <w:t>Rådets gennemførelsesafgørelse (EU) 2020/XXX af [dato] om bemyndigelse af Det Forenede Kongerige til at give sit samtykke til på egne vegne at blive bundet af visse internationale aftaler vedrørende Unionens fælles fiskeripolitik, der træder i kraft eller anvendes i overgangsperioden (EUT L xxx af xxx, s. xxx).</w:t>
      </w:r>
    </w:p>
  </w:footnote>
  <w:footnote w:id="16">
    <w:p>
      <w:pPr>
        <w:pStyle w:val="FootnoteText"/>
      </w:pPr>
      <w:r>
        <w:rPr>
          <w:rStyle w:val="FootnoteReference"/>
        </w:rPr>
        <w:footnoteRef/>
      </w:r>
      <w:r>
        <w:tab/>
        <w:t>EFT L 179 af 23.6.1998, s. 3.</w:t>
      </w:r>
    </w:p>
  </w:footnote>
  <w:footnote w:id="17">
    <w:p>
      <w:pPr>
        <w:pStyle w:val="FootnoteText"/>
      </w:pPr>
      <w:r>
        <w:rPr>
          <w:rStyle w:val="FootnoteReference"/>
        </w:rPr>
        <w:footnoteRef/>
      </w:r>
      <w:r>
        <w:tab/>
        <w:t>EFT L 189 af 3.7.1998,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01: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0B2C789-67CB-4206-8B68-E8ECBF3A5853"/>
    <w:docVar w:name="LW_COVERPAGE_TYPE" w:val="1"/>
    <w:docVar w:name="LW_CROSSREFERENCE" w:val="&lt;UNUSED&gt;"/>
    <w:docVar w:name="LW_DocType" w:val="COM"/>
    <w:docVar w:name="LW_EMISSION" w:val="7.9.2020"/>
    <w:docVar w:name="LW_EMISSION_ISODATE" w:val="2020-09-07"/>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43"/>
    <w:docVar w:name="LW_REF.II.NEW.CP_YEAR" w:val="2020"/>
    <w:docVar w:name="LW_REF.INST.NEW" w:val="COM"/>
    <w:docVar w:name="LW_REF.INST.NEW_ADOPTED" w:val="final"/>
    <w:docVar w:name="LW_REF.INST.NEW_TEXT" w:val="(2020) 4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inden for rammerne af konventionen om det fremtidige multilaterale samarbejde vedrørende fiskeriet i det nordøstlige Atlanterhav til Det Forenede Kongeriges ansøgning om tiltrædelse af denne konvention, og om ophævelse af Rådets afgørelse (EU) 2019/510"/>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956">
      <w:bodyDiv w:val="1"/>
      <w:marLeft w:val="0"/>
      <w:marRight w:val="0"/>
      <w:marTop w:val="0"/>
      <w:marBottom w:val="0"/>
      <w:divBdr>
        <w:top w:val="none" w:sz="0" w:space="0" w:color="auto"/>
        <w:left w:val="none" w:sz="0" w:space="0" w:color="auto"/>
        <w:bottom w:val="none" w:sz="0" w:space="0" w:color="auto"/>
        <w:right w:val="none" w:sz="0" w:space="0" w:color="auto"/>
      </w:divBdr>
    </w:div>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B2D3E3-DC21-4A9F-8A10-5A804530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2877</Words>
  <Characters>17896</Characters>
  <Application>Microsoft Office Word</Application>
  <DocSecurity>0</DocSecurity>
  <Lines>288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2020-08-25T09:00:00Z</cp:lastPrinted>
  <dcterms:created xsi:type="dcterms:W3CDTF">2020-09-07T13:49:00Z</dcterms:created>
  <dcterms:modified xsi:type="dcterms:W3CDTF">2020-09-08T08:01:00Z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