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738A615-79A5-4D5B-AA40-E05E2FE9DB44" style="width:450.75pt;height:379.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rPr>
          <w:noProof/>
        </w:rPr>
      </w:pPr>
      <w:r>
        <w:rPr>
          <w:noProof/>
        </w:rPr>
        <w:t>Šis priekšlikums attiecas uz lēmumu par nostāju, kas Konvencijas par turpmāko daudzpusējo sadarbību Ziemeļaustrumatlantijas zvejniecībā (“</w:t>
      </w:r>
      <w:r>
        <w:rPr>
          <w:i/>
          <w:iCs/>
          <w:noProof/>
        </w:rPr>
        <w:t>NEAFC</w:t>
      </w:r>
      <w:r>
        <w:rPr>
          <w:noProof/>
        </w:rPr>
        <w:t xml:space="preserve"> konvencija”) satvarā Eiropas Savienības vārdā jāieņem saistībā ar Lielbritānijas un Ziemeļīrijas Apvienotās Karalistes (“Apvienotā Karaliste”) pievienošanos minētajai konvencijai savā vārdā pārejas periodā.</w:t>
      </w:r>
    </w:p>
    <w:p>
      <w:pPr>
        <w:pStyle w:val="ManualHeading1"/>
        <w:rPr>
          <w:noProof/>
        </w:rPr>
      </w:pPr>
      <w:r>
        <w:t>1.</w:t>
      </w:r>
      <w:r>
        <w:tab/>
      </w:r>
      <w:r>
        <w:rPr>
          <w:noProof/>
        </w:rPr>
        <w:t>Priekšlikuma konteksts</w:t>
      </w:r>
    </w:p>
    <w:p>
      <w:pPr>
        <w:rPr>
          <w:noProof/>
        </w:rPr>
      </w:pPr>
      <w:r>
        <w:rPr>
          <w:noProof/>
        </w:rPr>
        <w:t xml:space="preserve">2017. gada 29. martā Apvienotā Karaliste uz Līguma par Eiropas Savienību 50. panta pamata iesniedza Eiropadomei paziņojumu par nodomu izstāties no Eiropas Savienības. </w:t>
      </w:r>
    </w:p>
    <w:p>
      <w:pPr>
        <w:spacing w:before="0"/>
        <w:rPr>
          <w:noProof/>
        </w:rPr>
      </w:pPr>
      <w:r>
        <w:rPr>
          <w:noProof/>
        </w:rPr>
        <w:t>Savienība un Apvienotā Karaliste ir vienojušās par izstāšanās līgumu, ievērojot Līguma par Eiropas Savienību 50. pantu. Izstāšanās līgums</w:t>
      </w:r>
      <w:r>
        <w:rPr>
          <w:rStyle w:val="FootnoteReference"/>
          <w:noProof/>
        </w:rPr>
        <w:footnoteReference w:id="1"/>
      </w:r>
      <w:r>
        <w:rPr>
          <w:noProof/>
        </w:rPr>
        <w:t xml:space="preserve"> stājās spēkā 2020. gada 1. februārī pēc tam, kad 2019. gada 17. oktobrī bija panākta vienošanās par to un par Politisko deklarāciju, kurā izklāstīts Eiropas Savienības un Apvienotās Karalistes turpmāko attiecību satvars. </w:t>
      </w:r>
    </w:p>
    <w:p>
      <w:pPr>
        <w:spacing w:before="0"/>
        <w:rPr>
          <w:noProof/>
        </w:rPr>
      </w:pPr>
      <w:r>
        <w:rPr>
          <w:noProof/>
        </w:rPr>
        <w:t xml:space="preserve">Izstāšanās līguma 127. panta 1. punktā ir paredzēts pārejas periods, kura laikā Savienības tiesības joprojām ir piemērojamas Apvienotajai Karalistei un tās teritorijā (“pārejas periods”). Pārejas periods beidzas 2020. gada 31. decembrī. Izstāšanās līguma 129. panta 1. punktā ir noteikts, ka Apvienotajai Karalistei pārejas periodā ir saistoši pienākumi, ko rada starptautiskie nolīgumi, kurus noslēgusi Savienība, dalībvalstis, kas rīkojas tās vārdā, vai Savienība un tās dalībvalstis, rīkodamās kopīgi. Izstāšanās līguma 129. panta 3. punktā ir noteikts, ka saskaņā ar lojālas sadarbības principu Apvienotajai Karalistei pārejas periodā jāatturas no jebkuras rīcības vai iniciatīvas, kas varētu kaitēt Savienības interesēm, īpaši saistībā ar starptautiskajām organizācijām, aģentūrām, konferencēm vai forumiem, kuros Apvienotā Karaliste ir dalībniece pati par sevi. </w:t>
      </w:r>
    </w:p>
    <w:p>
      <w:pPr>
        <w:spacing w:before="0"/>
        <w:rPr>
          <w:noProof/>
        </w:rPr>
      </w:pPr>
      <w:r>
        <w:rPr>
          <w:noProof/>
        </w:rPr>
        <w:t xml:space="preserve">Savienība ir informējusi savus starptautiskos partnerus par Izstāšanās līgumā paredzēto īpašo kārtību, saskaņā ar kuru pret Apvienoto Karalisti pārejās periodā Savienības noslēgto starptautisko nolīgumu nolūkos būs tāda pati attieksme kā pret dalībvalstīm. </w:t>
      </w:r>
    </w:p>
    <w:p>
      <w:pPr>
        <w:spacing w:before="0"/>
        <w:rPr>
          <w:noProof/>
        </w:rPr>
      </w:pPr>
      <w:r>
        <w:rPr>
          <w:i/>
          <w:iCs/>
          <w:noProof/>
        </w:rPr>
        <w:t>NEAFC</w:t>
      </w:r>
      <w:r>
        <w:rPr>
          <w:noProof/>
        </w:rPr>
        <w:t xml:space="preserve"> konvencijas galvenais mērķis ir “veicināt Ziemeļaustrumatlantijas zvejas resursu saglabāšanu un optimālu izmantošanu sistēmā, kas atbilst režīmam, kādu nosaka piekrastes valstu paplašinātā zvejas jurisdikcija, un attiecīgi veicināt starptautisku sadarbību un konsultēšanos par šiem resursiem”. </w:t>
      </w:r>
      <w:r>
        <w:rPr>
          <w:i/>
          <w:iCs/>
          <w:noProof/>
        </w:rPr>
        <w:t>NEAFC</w:t>
      </w:r>
      <w:r>
        <w:rPr>
          <w:noProof/>
        </w:rPr>
        <w:t xml:space="preserve"> konvencija stājās spēkā 1982. gada 17. martā. Apvienotā Karaliste ir </w:t>
      </w:r>
      <w:r>
        <w:rPr>
          <w:i/>
          <w:iCs/>
          <w:noProof/>
        </w:rPr>
        <w:t>NEAFC</w:t>
      </w:r>
      <w:r>
        <w:rPr>
          <w:noProof/>
        </w:rPr>
        <w:t xml:space="preserve"> konvencijas depozitāre. </w:t>
      </w:r>
    </w:p>
    <w:p>
      <w:pPr>
        <w:spacing w:before="0"/>
        <w:rPr>
          <w:noProof/>
        </w:rPr>
      </w:pPr>
      <w:r>
        <w:rPr>
          <w:noProof/>
        </w:rPr>
        <w:t xml:space="preserve">1982. gada </w:t>
      </w:r>
      <w:r>
        <w:rPr>
          <w:i/>
          <w:iCs/>
          <w:noProof/>
        </w:rPr>
        <w:t>NEAFC</w:t>
      </w:r>
      <w:r>
        <w:rPr>
          <w:noProof/>
        </w:rPr>
        <w:t xml:space="preserve"> konvencija aizstāja sākotnējo 1959. gada Ziemeļaustrumatlantijas zvejniecības konvenciju, jo Eiropas Savienības dalībvalstis no 1963. gada </w:t>
      </w:r>
      <w:r>
        <w:rPr>
          <w:i/>
          <w:iCs/>
          <w:noProof/>
        </w:rPr>
        <w:t>NEAFC</w:t>
      </w:r>
      <w:r>
        <w:rPr>
          <w:noProof/>
        </w:rPr>
        <w:t xml:space="preserve"> organizācijas izstājās kā atsevišķas locekles un valstu zvejas zonu robežas 1977. gadā tika paplašinātas līdz 200 jūdzēm. Savukārt 1959. gada </w:t>
      </w:r>
      <w:r>
        <w:rPr>
          <w:i/>
          <w:iCs/>
          <w:noProof/>
        </w:rPr>
        <w:t>NEAFC</w:t>
      </w:r>
      <w:r>
        <w:rPr>
          <w:noProof/>
        </w:rPr>
        <w:t xml:space="preserve"> konvencija bija aizstājusi 1946. gada Konvenciju par zvejas rīku linuma acs izmēru un zivju izmēra ierobežojumu regulējumu. </w:t>
      </w:r>
    </w:p>
    <w:p>
      <w:pPr>
        <w:spacing w:before="0"/>
        <w:rPr>
          <w:noProof/>
        </w:rPr>
      </w:pPr>
      <w:r>
        <w:rPr>
          <w:noProof/>
        </w:rPr>
        <w:t xml:space="preserve">1982. gada </w:t>
      </w:r>
      <w:r>
        <w:rPr>
          <w:i/>
          <w:iCs/>
          <w:noProof/>
        </w:rPr>
        <w:t>NEAFC</w:t>
      </w:r>
      <w:r>
        <w:rPr>
          <w:noProof/>
        </w:rPr>
        <w:t xml:space="preserve"> konvencija tika grozīta 2004. gadā (tika iekļautas strīdu izšķiršanas procedūras) un 2006. gadā (</w:t>
      </w:r>
      <w:r>
        <w:rPr>
          <w:i/>
          <w:iCs/>
          <w:noProof/>
        </w:rPr>
        <w:t>NEAFC</w:t>
      </w:r>
      <w:r>
        <w:rPr>
          <w:noProof/>
        </w:rPr>
        <w:t xml:space="preserve"> konvencija tika saskaņota ar norisēm starptautisko tiesību aktu un instrumentu jomā). Ne visas līgumslēdzējas puses ir veikušas pilnu 2004. un 2006. gada grozījumu ratifikācijas procesu. 2006. gada Londonas deklarācijā puses vienojās par grozījumu brīvprātīgu piemērošanu līdz ratifikācijas pabeigšanai.</w:t>
      </w:r>
    </w:p>
    <w:p>
      <w:pPr>
        <w:spacing w:before="0"/>
        <w:rPr>
          <w:noProof/>
        </w:rPr>
      </w:pPr>
      <w:r>
        <w:rPr>
          <w:i/>
          <w:iCs/>
          <w:noProof/>
        </w:rPr>
        <w:t>NEAFC</w:t>
      </w:r>
      <w:r>
        <w:rPr>
          <w:noProof/>
        </w:rPr>
        <w:t xml:space="preserve"> konvencijas vajadzībām līgumslēdzējas puses izveidoja Ziemeļaustrumu Atlantijas zvejniecības komisiju (</w:t>
      </w:r>
      <w:r>
        <w:rPr>
          <w:i/>
          <w:iCs/>
          <w:noProof/>
        </w:rPr>
        <w:t>NEAFC</w:t>
      </w:r>
      <w:r>
        <w:rPr>
          <w:noProof/>
        </w:rPr>
        <w:t xml:space="preserve">). </w:t>
      </w:r>
      <w:r>
        <w:rPr>
          <w:i/>
          <w:iCs/>
          <w:noProof/>
        </w:rPr>
        <w:t>NEAFC</w:t>
      </w:r>
      <w:r>
        <w:rPr>
          <w:noProof/>
        </w:rPr>
        <w:t xml:space="preserve"> ir juridiska persona, un attiecībās ar citām </w:t>
      </w:r>
      <w:r>
        <w:rPr>
          <w:noProof/>
        </w:rPr>
        <w:lastRenderedPageBreak/>
        <w:t>starptautiskām organizācijām un līgumslēdzēju pušu teritorijās tai ir tāda rīcībspēja, kāda nepieciešama tās pienākumu pildīšanai un mērķu sasniegšanai.</w:t>
      </w:r>
    </w:p>
    <w:p>
      <w:pPr>
        <w:spacing w:before="0"/>
        <w:rPr>
          <w:noProof/>
        </w:rPr>
      </w:pPr>
      <w:r>
        <w:rPr>
          <w:noProof/>
        </w:rPr>
        <w:t xml:space="preserve">Ir piecas līgumslēdzējas puses, un tās visas ir </w:t>
      </w:r>
      <w:r>
        <w:rPr>
          <w:i/>
          <w:iCs/>
          <w:noProof/>
        </w:rPr>
        <w:t>NEAFC</w:t>
      </w:r>
      <w:r>
        <w:rPr>
          <w:noProof/>
        </w:rPr>
        <w:t xml:space="preserve"> konvencijas apgabala piekrastes valstis: Eiropas Savienība (ES), Dānija (attiecībā uz Fēru Salām un Grenlandi), Islande, Norvēģija un Krievijas Federācija. Karoga valstīm, kas ir patiesi ieinteresētas zvejot Atlantijas okeāna ziemeļaustrumu daļā, var piešķirt statusu “sadarbīga puse, kas nav līgumslēdzēja puse”, kurš tām ļauj piešķirt sava karoga kuģiem atļauju darboties </w:t>
      </w:r>
      <w:r>
        <w:rPr>
          <w:i/>
          <w:iCs/>
          <w:noProof/>
        </w:rPr>
        <w:t>NEAFC</w:t>
      </w:r>
      <w:r>
        <w:rPr>
          <w:noProof/>
        </w:rPr>
        <w:t xml:space="preserve"> konvencijas apgabalā, ja tie piekrīt ievērot </w:t>
      </w:r>
      <w:r>
        <w:rPr>
          <w:i/>
          <w:iCs/>
          <w:noProof/>
        </w:rPr>
        <w:t>NEAFC</w:t>
      </w:r>
      <w:r>
        <w:rPr>
          <w:noProof/>
        </w:rPr>
        <w:t xml:space="preserve"> pasākumus. Pašlaik ir sešas sadarbīgas puses, kas nav līgumslēdzējas puses: Bahamu Salas, Kanāda, Kirasao, Libērija, Panama un Jaunzēlande.</w:t>
      </w:r>
    </w:p>
    <w:p>
      <w:pPr>
        <w:spacing w:before="0"/>
        <w:rPr>
          <w:noProof/>
        </w:rPr>
      </w:pPr>
      <w:r>
        <w:rPr>
          <w:noProof/>
        </w:rPr>
        <w:t xml:space="preserve">Eiropas Savienība ir </w:t>
      </w:r>
      <w:r>
        <w:rPr>
          <w:i/>
          <w:iCs/>
          <w:noProof/>
        </w:rPr>
        <w:t>NEAFC</w:t>
      </w:r>
      <w:r>
        <w:rPr>
          <w:noProof/>
        </w:rPr>
        <w:t xml:space="preserve"> konvencijas</w:t>
      </w:r>
      <w:r>
        <w:rPr>
          <w:rStyle w:val="FootnoteReference"/>
          <w:noProof/>
        </w:rPr>
        <w:footnoteReference w:id="2"/>
      </w:r>
      <w:r>
        <w:rPr>
          <w:noProof/>
        </w:rPr>
        <w:t xml:space="preserve"> puse, jo minētās konvencijas priekšmets ietilpst Savienības ekskluzīvā kompetencē esošās kopējās zivsaimniecības politikas darbības jomā. Uz dalībvalstīm </w:t>
      </w:r>
      <w:r>
        <w:rPr>
          <w:i/>
          <w:iCs/>
          <w:noProof/>
        </w:rPr>
        <w:t>NEAFC</w:t>
      </w:r>
      <w:r>
        <w:rPr>
          <w:noProof/>
        </w:rPr>
        <w:t xml:space="preserve"> konvencija attiecas atbilstoši Savienības tiesību aktiem. </w:t>
      </w:r>
    </w:p>
    <w:p>
      <w:pPr>
        <w:rPr>
          <w:rFonts w:eastAsia="Calibri"/>
          <w:noProof/>
        </w:rPr>
      </w:pPr>
      <w:r>
        <w:rPr>
          <w:i/>
          <w:iCs/>
          <w:noProof/>
        </w:rPr>
        <w:t>NEAFC</w:t>
      </w:r>
      <w:r>
        <w:rPr>
          <w:noProof/>
        </w:rPr>
        <w:t xml:space="preserve"> ir organizācija, kuras kompetencē ir pieņemt ieteikumus par pārvaldības pasākumiem attiecībā uz zvejniecībām ārpus apgabaliem, kas ir līgumslēdzēju pušu zvejniecības jurisdikcijā (pārvaldības apgabals), un par apgabaliem, kas ir līgumslēdzēju pušu zvejniecības jurisdikcijā, ja attiecīgā līgumslēdzēja puse to pieprasa. Pieņemtie ieteikumi līgumslēdzējām pusēm kļūst saistoši, ja vien līgumslēdzēja puse laikus neiesniedz iebildumu pret šo ieteikumu.</w:t>
      </w:r>
    </w:p>
    <w:p>
      <w:pPr>
        <w:rPr>
          <w:rFonts w:eastAsia="Calibri"/>
          <w:noProof/>
        </w:rPr>
      </w:pPr>
      <w:r>
        <w:rPr>
          <w:noProof/>
        </w:rPr>
        <w:t xml:space="preserve">Saskaņā ar </w:t>
      </w:r>
      <w:r>
        <w:rPr>
          <w:i/>
          <w:iCs/>
          <w:noProof/>
        </w:rPr>
        <w:t>NEAFC</w:t>
      </w:r>
      <w:r>
        <w:rPr>
          <w:noProof/>
        </w:rPr>
        <w:t xml:space="preserve"> konvenciju ikviena valsts (izņemot Eiropas Savienības dalībvalstis) drīkst pievienoties konvencijai jebkurā laikā ar noteikumu, ka attiecīgās valsts pievienošanās pieteikumu apstiprina trīs ceturtdaļas no visām līgumslēdzējām pusēm. Pieteikums ir apstiprināts, ja 90 dienu laikā no paziņošanas dienas trīs ceturtdaļas līgumslēdzēju pušu depozitāram ir paziņojušas par pieteikuma apstiprināšanu</w:t>
      </w:r>
      <w:r>
        <w:rPr>
          <w:rStyle w:val="FootnoteReference"/>
          <w:rFonts w:eastAsia="Calibri"/>
          <w:noProof/>
          <w:lang w:eastAsia="en-GB"/>
        </w:rPr>
        <w:footnoteReference w:id="3"/>
      </w:r>
      <w:r>
        <w:rPr>
          <w:noProof/>
        </w:rPr>
        <w:t xml:space="preserve">. Valstij, kas iesniegusi pievienošanās pieteikumu, un visām līgumslēdzējām pusēm depozitārs paziņo pieteikšanās rezultātus. Pievienošanos veic, deponējot depozitāram pievienošanās dokumentu, un tā stājas spēkā minētā dokumenta saņemšanas dienā. </w:t>
      </w:r>
    </w:p>
    <w:p>
      <w:pPr>
        <w:spacing w:before="0"/>
        <w:rPr>
          <w:rFonts w:eastAsia="Calibri"/>
          <w:noProof/>
        </w:rPr>
      </w:pPr>
      <w:r>
        <w:rPr>
          <w:noProof/>
        </w:rPr>
        <w:t xml:space="preserve">2019. gada 8. janvārī Apvienotā Karaliste iesniedza pieteikumu par pievienošanos </w:t>
      </w:r>
      <w:r>
        <w:rPr>
          <w:i/>
          <w:iCs/>
          <w:noProof/>
        </w:rPr>
        <w:t>NEAFC</w:t>
      </w:r>
      <w:r>
        <w:rPr>
          <w:noProof/>
        </w:rPr>
        <w:t xml:space="preserve"> konvencijai līgumslēdzējas puses statusā. Tajā pašā dienā depozitārs par to paziņoja Eiropas Komisijai. </w:t>
      </w:r>
    </w:p>
    <w:p>
      <w:pPr>
        <w:spacing w:before="0"/>
        <w:rPr>
          <w:noProof/>
        </w:rPr>
      </w:pPr>
      <w:r>
        <w:rPr>
          <w:noProof/>
        </w:rPr>
        <w:t>Ar Padomes Lēmumu (ES) 2019/510</w:t>
      </w:r>
      <w:r>
        <w:rPr>
          <w:rStyle w:val="FootnoteReference"/>
          <w:noProof/>
        </w:rPr>
        <w:footnoteReference w:id="4"/>
      </w:r>
      <w:r>
        <w:rPr>
          <w:noProof/>
        </w:rPr>
        <w:t xml:space="preserve"> tika noteikta Savienības nostāja apstiprināt pieteikumu par Apvienotās Karalistes pievienošanos </w:t>
      </w:r>
      <w:r>
        <w:rPr>
          <w:i/>
          <w:iCs/>
          <w:noProof/>
        </w:rPr>
        <w:t>NEAFC</w:t>
      </w:r>
      <w:r>
        <w:rPr>
          <w:noProof/>
        </w:rPr>
        <w:t xml:space="preserve"> konvencijai un Komisija tika pilnvarota </w:t>
      </w:r>
      <w:r>
        <w:rPr>
          <w:i/>
          <w:iCs/>
          <w:noProof/>
        </w:rPr>
        <w:t>NEAFC</w:t>
      </w:r>
      <w:r>
        <w:rPr>
          <w:noProof/>
        </w:rPr>
        <w:t xml:space="preserve"> konvencijas depozitāram paziņot Savienības nostāju tikai tad, ja līdz </w:t>
      </w:r>
      <w:r>
        <w:rPr>
          <w:i/>
          <w:iCs/>
          <w:noProof/>
        </w:rPr>
        <w:t>NEAFC</w:t>
      </w:r>
      <w:r>
        <w:rPr>
          <w:noProof/>
        </w:rPr>
        <w:t xml:space="preserve"> konvencijas 20. panta 4. punktā minētā paziņošanas perioda beigām Apvienotā Karaliste no Savienības izstātos bez izstāšanās līguma. </w:t>
      </w:r>
    </w:p>
    <w:p>
      <w:pPr>
        <w:spacing w:before="0"/>
        <w:rPr>
          <w:noProof/>
        </w:rPr>
      </w:pPr>
      <w:r>
        <w:rPr>
          <w:noProof/>
        </w:rPr>
        <w:t xml:space="preserve">Apvienotās Karalistes pievienošanās pieteikums neguva nepieciešamo visu līgumslēdzēju pušu trīs ceturtdaļu apstiprinājumu: to līgumslēdzēju pušu trīs ceturtdaļu kvorums, kurām jāpaziņo depozitāram par pieteikuma apstiprināšanu, netika sasniegts. </w:t>
      </w:r>
    </w:p>
    <w:p>
      <w:pPr>
        <w:spacing w:before="0"/>
        <w:rPr>
          <w:noProof/>
        </w:rPr>
      </w:pPr>
      <w:r>
        <w:rPr>
          <w:noProof/>
        </w:rPr>
        <w:t xml:space="preserve">Saskaņā ar Izstāšanās līguma 129. panta 4. punktu Apvienotā Karaliste pārejas periodā drīkst risināt sarunas par starptautiskiem nolīgumiem, kurus tā noslēdz savā vārdā Savienības ekskluzīvās kompetences jomās, un parakstīt un ratificēt tos, ar noteikumu, ka minētie </w:t>
      </w:r>
      <w:r>
        <w:rPr>
          <w:noProof/>
        </w:rPr>
        <w:lastRenderedPageBreak/>
        <w:t>nolīgumi nestājas spēkā vai tos nepiemēro pārejas perioda laikā, izņemot, ja Savienība to ir atļāvusi. Padomes Lēmumā (ES) 2020/135</w:t>
      </w:r>
      <w:r>
        <w:rPr>
          <w:rStyle w:val="FootnoteReference"/>
          <w:noProof/>
        </w:rPr>
        <w:footnoteReference w:id="5"/>
      </w:r>
      <w:r>
        <w:rPr>
          <w:noProof/>
        </w:rPr>
        <w:t xml:space="preserve"> ir noteikti šādu atļauju došanas nosacījumi un procedūra.</w:t>
      </w:r>
    </w:p>
    <w:p>
      <w:pPr>
        <w:rPr>
          <w:noProof/>
        </w:rPr>
      </w:pPr>
      <w:r>
        <w:rPr>
          <w:noProof/>
        </w:rPr>
        <w:t xml:space="preserve">Ar 2020. gada 3. aprīļa vēstuli Apvienotā Karaliste paziņoja Eiropas Komisijai par savu nodomu paust piekrišanu pārejas periodā savā vārdā uzņemties </w:t>
      </w:r>
      <w:r>
        <w:rPr>
          <w:i/>
          <w:iCs/>
          <w:noProof/>
        </w:rPr>
        <w:t>NEAFC</w:t>
      </w:r>
      <w:r>
        <w:rPr>
          <w:noProof/>
        </w:rPr>
        <w:t xml:space="preserve"> konvencijas saistības. Padomes Īstenošanas lēmums XXX</w:t>
      </w:r>
      <w:r>
        <w:rPr>
          <w:rStyle w:val="FootnoteReference"/>
          <w:noProof/>
        </w:rPr>
        <w:footnoteReference w:id="6"/>
      </w:r>
      <w:r>
        <w:rPr>
          <w:noProof/>
        </w:rPr>
        <w:t xml:space="preserve"> atļauj Apvienotajai Karalistei paust piekrišanu savā vārdā uzņemties </w:t>
      </w:r>
      <w:r>
        <w:rPr>
          <w:i/>
          <w:iCs/>
          <w:noProof/>
        </w:rPr>
        <w:t>NEAFC</w:t>
      </w:r>
      <w:r>
        <w:rPr>
          <w:noProof/>
        </w:rPr>
        <w:t xml:space="preserve"> konvencijas saistības, jo ir izpildīti Padomes Lēmuma (ES) 2020/135 3. panta 2. punktā izklāstītie nosacījumi. </w:t>
      </w:r>
    </w:p>
    <w:p>
      <w:pPr>
        <w:pStyle w:val="ManualHeading1"/>
        <w:rPr>
          <w:rFonts w:eastAsia="Arial Unicode MS"/>
          <w:noProof/>
        </w:rPr>
      </w:pPr>
      <w:r>
        <w:t>2.</w:t>
      </w:r>
      <w:r>
        <w:tab/>
      </w:r>
      <w:r>
        <w:rPr>
          <w:noProof/>
        </w:rPr>
        <w:t>Savienības vārdā ieņemamā nostāja</w:t>
      </w:r>
    </w:p>
    <w:p>
      <w:pPr>
        <w:rPr>
          <w:rFonts w:eastAsia="Calibri"/>
          <w:noProof/>
        </w:rPr>
      </w:pPr>
      <w:r>
        <w:rPr>
          <w:noProof/>
        </w:rPr>
        <w:t xml:space="preserve">Šim Padomes lēmumam būtu jādod Komisijai iespēja Savienības vārdā apstiprināt Apvienotās Karalistes pievienošanos </w:t>
      </w:r>
      <w:r>
        <w:rPr>
          <w:i/>
          <w:iCs/>
          <w:noProof/>
        </w:rPr>
        <w:t>NEAFC</w:t>
      </w:r>
      <w:r>
        <w:rPr>
          <w:noProof/>
        </w:rPr>
        <w:t xml:space="preserve"> konvencijai līdz </w:t>
      </w:r>
      <w:r>
        <w:rPr>
          <w:i/>
          <w:iCs/>
          <w:noProof/>
        </w:rPr>
        <w:t>NEAFC</w:t>
      </w:r>
      <w:r>
        <w:rPr>
          <w:noProof/>
        </w:rPr>
        <w:t xml:space="preserve"> konvencijas 20. panta 4. punktā minētā paziņošanas termiņa beigām.</w:t>
      </w:r>
    </w:p>
    <w:p>
      <w:pPr>
        <w:rPr>
          <w:noProof/>
        </w:rPr>
      </w:pPr>
      <w:r>
        <w:rPr>
          <w:noProof/>
        </w:rPr>
        <w:t>Kā noteikts Eiropas Parlamenta un Padomes Regulā (ES) Nr. 1380/2013</w:t>
      </w:r>
      <w:r>
        <w:rPr>
          <w:rStyle w:val="FootnoteReference"/>
          <w:noProof/>
        </w:rPr>
        <w:footnoteReference w:id="7"/>
      </w:r>
      <w:r>
        <w:rPr>
          <w:noProof/>
        </w:rPr>
        <w:t xml:space="preserve">, kopējās zivsaimniecības politikas galvenais mērķis ir “nodrošināt, lai zvejas darbības būtu vides ziņā, ekonomiski un sociāli ilgtspējīgas un tiktu pārvaldītas saskaņā ar mērķiem gūt ekonomiskus, sociālus un nodarbinātības ieguvumus un atjaunot un uzturēt zivju krājumus virs tāda līmeņa, kas var nodrošināt maksimāli ilgtspējīgu nozvejas apjomu, un lai tās veicinātu pārtikas pieejamību”. </w:t>
      </w:r>
    </w:p>
    <w:p>
      <w:pPr>
        <w:rPr>
          <w:noProof/>
        </w:rPr>
      </w:pPr>
      <w:r>
        <w:rPr>
          <w:noProof/>
        </w:rPr>
        <w:t>Savienība ir ieinteresēta, lai Apvienotā Karaliste sadarbotos kopēju interešu krājumu pārvaldībā, pilnībā ievērojot noteikumus, kas izklāstīti Apvienoto Nāciju Organizācijas 1982. gada 10. decembra Jūras tiesību konvencijā</w:t>
      </w:r>
      <w:r>
        <w:rPr>
          <w:rStyle w:val="FootnoteReference"/>
          <w:noProof/>
        </w:rPr>
        <w:footnoteReference w:id="8"/>
      </w:r>
      <w:r>
        <w:rPr>
          <w:noProof/>
        </w:rPr>
        <w:t xml:space="preserve"> (</w:t>
      </w:r>
      <w:r>
        <w:rPr>
          <w:i/>
          <w:iCs/>
          <w:noProof/>
        </w:rPr>
        <w:t>UNCLOS</w:t>
      </w:r>
      <w:r>
        <w:rPr>
          <w:noProof/>
        </w:rPr>
        <w:t>) un Apvienoto Nāciju Organizācijas 1995. gada 4. augusta Nolīgumā par 1982. gada 10. decembra Apvienoto Nāciju Jūras tiesību konvencijas īstenošanu attiecībā uz transzonālo zivju krājumu un tālu migrējošo zivju krājumu saglabāšanu un apsaimniekošanu</w:t>
      </w:r>
      <w:r>
        <w:rPr>
          <w:rStyle w:val="FootnoteReference"/>
          <w:noProof/>
        </w:rPr>
        <w:footnoteReference w:id="9"/>
      </w:r>
      <w:r>
        <w:rPr>
          <w:noProof/>
        </w:rPr>
        <w:t xml:space="preserve"> (</w:t>
      </w:r>
      <w:r>
        <w:rPr>
          <w:i/>
          <w:iCs/>
          <w:noProof/>
        </w:rPr>
        <w:t>UNFSA</w:t>
      </w:r>
      <w:r>
        <w:rPr>
          <w:noProof/>
        </w:rPr>
        <w:t xml:space="preserve">) vai jebkuros citos starptautiskos nolīgumos vai starptautisko tiesību normās. </w:t>
      </w:r>
    </w:p>
    <w:p>
      <w:pPr>
        <w:rPr>
          <w:noProof/>
        </w:rPr>
      </w:pPr>
      <w:r>
        <w:rPr>
          <w:noProof/>
        </w:rPr>
        <w:t xml:space="preserve">Saskaņā ar </w:t>
      </w:r>
      <w:r>
        <w:rPr>
          <w:i/>
          <w:iCs/>
          <w:noProof/>
        </w:rPr>
        <w:t>UNCLOS</w:t>
      </w:r>
      <w:r>
        <w:rPr>
          <w:noProof/>
        </w:rPr>
        <w:t xml:space="preserve"> 56., 63. un 116. pantu Apvienotajai Karalistei ir likumīgas intereses zvejot </w:t>
      </w:r>
      <w:r>
        <w:rPr>
          <w:i/>
          <w:iCs/>
          <w:noProof/>
        </w:rPr>
        <w:t>NEAFC</w:t>
      </w:r>
      <w:r>
        <w:rPr>
          <w:noProof/>
        </w:rPr>
        <w:t xml:space="preserve"> konvencijas apgabalā (atklātā jūrā) un likumīgas intereses kā piekrastes valstij, ciktāl Apvienotās Karalistes ekskluzīvās ekonomiskās zonas ūdeņi ietilpst </w:t>
      </w:r>
      <w:r>
        <w:rPr>
          <w:i/>
          <w:iCs/>
          <w:noProof/>
        </w:rPr>
        <w:t>NEAFC</w:t>
      </w:r>
      <w:r>
        <w:rPr>
          <w:noProof/>
        </w:rPr>
        <w:t xml:space="preserve"> konvencijas apgabalā.</w:t>
      </w:r>
    </w:p>
    <w:p>
      <w:pPr>
        <w:rPr>
          <w:noProof/>
        </w:rPr>
      </w:pPr>
      <w:r>
        <w:rPr>
          <w:noProof/>
        </w:rPr>
        <w:t xml:space="preserve">Kā noteikts </w:t>
      </w:r>
      <w:r>
        <w:rPr>
          <w:i/>
          <w:iCs/>
          <w:noProof/>
        </w:rPr>
        <w:t>UNCLOS</w:t>
      </w:r>
      <w:r>
        <w:rPr>
          <w:noProof/>
        </w:rPr>
        <w:t xml:space="preserve"> 63. panta 2. punktā un </w:t>
      </w:r>
      <w:r>
        <w:rPr>
          <w:i/>
          <w:iCs/>
          <w:noProof/>
        </w:rPr>
        <w:t>UNFSA</w:t>
      </w:r>
      <w:r>
        <w:rPr>
          <w:noProof/>
        </w:rPr>
        <w:t xml:space="preserve"> 8. pantā, ja viens un tas pats saistīto sugu krājums vai krājumi sastopami gan ekskluzīvajā ekonomikas zonā, gan apgabalā, kas atrodas ārpus minētās zonas un blakus tai, piekrastes valstij un valstīm, kas apzvejo šādus krājumus blakus esošajā apgabalā, jāsadarbojas, lai vienotos par pasākumiem, kas vajadzīgi šo krājumu saglabāšanai blakus esošajā apgabalā. Šo sadarbību var izveidot ar reģionālajām zvejniecības pārvaldības organizācijām vai, ja reģionālajām zvejniecības pārvaldības organizācijām nav kompetences attiecībā uz konkrēto krājumu, izmantojot </w:t>
      </w:r>
      <w:r>
        <w:rPr>
          <w:i/>
          <w:iCs/>
          <w:noProof/>
        </w:rPr>
        <w:t>ad hoc</w:t>
      </w:r>
      <w:r>
        <w:rPr>
          <w:noProof/>
        </w:rPr>
        <w:t xml:space="preserve"> pasākumus starp valstīm, kuras ir ieinteresētas zvejniecībā.</w:t>
      </w:r>
    </w:p>
    <w:p>
      <w:pPr>
        <w:rPr>
          <w:rFonts w:eastAsia="Times New Roman"/>
          <w:noProof/>
          <w:szCs w:val="24"/>
        </w:rPr>
      </w:pPr>
      <w:r>
        <w:rPr>
          <w:noProof/>
        </w:rPr>
        <w:lastRenderedPageBreak/>
        <w:t xml:space="preserve">Apvienotās Karalistes pievienošanās </w:t>
      </w:r>
      <w:r>
        <w:rPr>
          <w:i/>
          <w:iCs/>
          <w:noProof/>
        </w:rPr>
        <w:t>NEAFC</w:t>
      </w:r>
      <w:r>
        <w:rPr>
          <w:noProof/>
        </w:rPr>
        <w:t xml:space="preserve"> konvencijai ļaus Apvienotajai Karalistei sadarboties vajadzīgo zvejniecības pārvaldības pasākumu jomā un nodrošināt to, ka zvejas darbības tiek veiktas tā, lai nepieļautu krājumu ilgtnespējīgu izmantošanu. </w:t>
      </w:r>
    </w:p>
    <w:p>
      <w:pPr>
        <w:rPr>
          <w:rFonts w:eastAsia="Calibri"/>
          <w:noProof/>
        </w:rPr>
      </w:pPr>
      <w:r>
        <w:rPr>
          <w:noProof/>
        </w:rPr>
        <w:t xml:space="preserve">Ņemot vērā Apvienotās Karalistes likumīgās intereses zvejot </w:t>
      </w:r>
      <w:r>
        <w:rPr>
          <w:i/>
          <w:iCs/>
          <w:noProof/>
        </w:rPr>
        <w:t>NEAFC</w:t>
      </w:r>
      <w:r>
        <w:rPr>
          <w:noProof/>
        </w:rPr>
        <w:t xml:space="preserve"> konvencijas apgabalā, Apvienotās Karalistes pienākumu sadarboties zvejniecības pārvaldībā un nepieciešamību nodrošināt, ka </w:t>
      </w:r>
      <w:r>
        <w:rPr>
          <w:i/>
          <w:iCs/>
          <w:noProof/>
        </w:rPr>
        <w:t>NEAFC</w:t>
      </w:r>
      <w:r>
        <w:rPr>
          <w:noProof/>
        </w:rPr>
        <w:t xml:space="preserve"> ieteikumi tūlīt pēc Apvienotās Karalistes pievienošanās tai ir saistoši, Komisija iesaka Apvienotās Karalistes pieteikumu pieņemt. </w:t>
      </w:r>
    </w:p>
    <w:p>
      <w:pPr>
        <w:rPr>
          <w:rFonts w:eastAsia="Calibri"/>
          <w:noProof/>
        </w:rPr>
      </w:pPr>
      <w:r>
        <w:rPr>
          <w:noProof/>
        </w:rPr>
        <w:t xml:space="preserve">Ir ierosināts Komisiju pilnvarot </w:t>
      </w:r>
      <w:r>
        <w:rPr>
          <w:i/>
          <w:iCs/>
          <w:noProof/>
        </w:rPr>
        <w:t>NEAFC</w:t>
      </w:r>
      <w:r>
        <w:rPr>
          <w:noProof/>
        </w:rPr>
        <w:t xml:space="preserve"> konvencijas depozitāru informēt par Savienības nostāju, ar ko tiek atbalstīta Apvienotās Karalistes pievienošanās </w:t>
      </w:r>
      <w:r>
        <w:rPr>
          <w:i/>
          <w:iCs/>
          <w:noProof/>
        </w:rPr>
        <w:t>NEAFC</w:t>
      </w:r>
      <w:r>
        <w:rPr>
          <w:noProof/>
        </w:rPr>
        <w:t xml:space="preserve"> konvencijai. </w:t>
      </w:r>
    </w:p>
    <w:p>
      <w:pPr>
        <w:pStyle w:val="ManualHeading1"/>
        <w:rPr>
          <w:noProof/>
        </w:rPr>
      </w:pPr>
      <w:r>
        <w:t>3.</w:t>
      </w:r>
      <w:r>
        <w:tab/>
      </w:r>
      <w:r>
        <w:rPr>
          <w:noProof/>
        </w:rPr>
        <w:t>Juridiskais pamats</w:t>
      </w:r>
    </w:p>
    <w:p>
      <w:pPr>
        <w:pStyle w:val="ManualHeading2"/>
        <w:rPr>
          <w:noProof/>
        </w:rPr>
      </w:pPr>
      <w:r>
        <w:t>3.1.</w:t>
      </w:r>
      <w:r>
        <w:tab/>
      </w:r>
      <w:r>
        <w:rPr>
          <w:noProof/>
        </w:rPr>
        <w:t>Procesuālais juridiskais pamats</w:t>
      </w:r>
    </w:p>
    <w:p>
      <w:pPr>
        <w:pStyle w:val="ManualHeading3"/>
        <w:rPr>
          <w:noProof/>
        </w:rPr>
      </w:pPr>
      <w:r>
        <w:t>3.1.1.</w:t>
      </w:r>
      <w:r>
        <w:tab/>
      </w:r>
      <w:r>
        <w:rPr>
          <w:noProof/>
        </w:rPr>
        <w:t>Principi</w:t>
      </w:r>
    </w:p>
    <w:p>
      <w:pPr>
        <w:rPr>
          <w:noProof/>
        </w:rPr>
      </w:pPr>
      <w:r>
        <w:rPr>
          <w:noProof/>
        </w:rPr>
        <w:t>Līguma par Eiropas Savienības darbību (LESD) 218. panta 9. punktā paredzēti lēmumi, ar kuriem nosaka “</w:t>
      </w:r>
      <w:r>
        <w:rPr>
          <w:i/>
          <w:iCs/>
          <w:noProof/>
        </w:rPr>
        <w:t>nostāju, kas Savienības vārdā jāapstiprina kādā ar nolīgumu izveidotā struktūrā, ja šāda struktūra ir tiesīga pieņemt lēmumus ar juridiskām sekām, izņemot lēmumus, kas papildina vai groza attiecīgajā nolīgumā noteikto iestāžu sistēmu</w:t>
      </w:r>
      <w:r>
        <w:rPr>
          <w:noProof/>
        </w:rPr>
        <w:t>”.</w:t>
      </w:r>
    </w:p>
    <w:p>
      <w:pPr>
        <w:rPr>
          <w:noProof/>
        </w:rPr>
      </w:pPr>
      <w:r>
        <w:rPr>
          <w:noProof/>
        </w:rPr>
        <w:t>Jēdziens “</w:t>
      </w:r>
      <w:r>
        <w:rPr>
          <w:i/>
          <w:iCs/>
          <w:noProof/>
        </w:rPr>
        <w:t>lēmumi ar juridiskām sekām</w:t>
      </w:r>
      <w:r>
        <w:rPr>
          <w:noProof/>
        </w:rPr>
        <w:t>” ietver aktus, kam ir juridiskas sekas saskaņā ar starptautisko tiesību normām. Tas ietver arī instrumentus, kam nav saistoša spēka saskaņā ar starptautiskajām tiesībām, bet kas “</w:t>
      </w:r>
      <w:r>
        <w:rPr>
          <w:i/>
          <w:iCs/>
          <w:noProof/>
        </w:rPr>
        <w:t>var būtiski ietekmēt Savienības likumdevēja pieņemtā tiesiskā regulējuma saturu</w:t>
      </w:r>
      <w:r>
        <w:rPr>
          <w:noProof/>
        </w:rPr>
        <w:t>”</w:t>
      </w:r>
      <w:r>
        <w:rPr>
          <w:rStyle w:val="FootnoteReference"/>
          <w:noProof/>
        </w:rPr>
        <w:footnoteReference w:id="10"/>
      </w:r>
      <w:r>
        <w:rPr>
          <w:noProof/>
        </w:rPr>
        <w:t>.</w:t>
      </w:r>
    </w:p>
    <w:p>
      <w:pPr>
        <w:pStyle w:val="ManualHeading3"/>
        <w:rPr>
          <w:noProof/>
        </w:rPr>
      </w:pPr>
      <w:r>
        <w:t>3.1.2.</w:t>
      </w:r>
      <w:r>
        <w:tab/>
      </w:r>
      <w:r>
        <w:rPr>
          <w:noProof/>
        </w:rPr>
        <w:t>Piemērošana konkrētajā gadījumā</w:t>
      </w:r>
    </w:p>
    <w:p>
      <w:pPr>
        <w:rPr>
          <w:rFonts w:eastAsia="Calibri"/>
          <w:noProof/>
        </w:rPr>
      </w:pPr>
      <w:r>
        <w:rPr>
          <w:noProof/>
        </w:rPr>
        <w:t xml:space="preserve">Ikviena valsts </w:t>
      </w:r>
      <w:r>
        <w:rPr>
          <w:i/>
          <w:iCs/>
          <w:noProof/>
        </w:rPr>
        <w:t>NEAFC</w:t>
      </w:r>
      <w:r>
        <w:rPr>
          <w:noProof/>
        </w:rPr>
        <w:t xml:space="preserve"> konvencijai drīkst pievienoties jebkurā laikā. Pieteikums ir apstiprināts, ja 90 dienu laikā no dienas, kurā depozitārs paziņo par pieteikuma saņemšanu, trīs ceturtdaļas visu līgumslēdzēju pušu depozitāram ir paziņojušas par pieteikuma apstiprināšanu. Valstij, kas iesniegusi pievienošanās pieteikumu, un visām līgumslēdzējām pusēm depozitārs paziņo pieteikšanās rezultātus.</w:t>
      </w:r>
    </w:p>
    <w:p>
      <w:pPr>
        <w:rPr>
          <w:rFonts w:eastAsia="Calibri"/>
          <w:noProof/>
        </w:rPr>
      </w:pPr>
      <w:r>
        <w:rPr>
          <w:noProof/>
        </w:rPr>
        <w:t>Pievienošanos veic, deponējot depozitāram pievienošanās dokumentu, un tā stājas spēkā minētā dokumenta saņemšanas dienā. Depozitārs informē visus parakstītājus un visas puses, kas pievienojas, par visiem deponētajiem ratifikācijas, pieņemšanas, apstiprināšanas vai pievienošanās dokumentiem un paziņo parakstītājiem datumu un tās līgumslēdzējas puses, attiecībā uz kurām šī konvencija stājas spēkā.</w:t>
      </w:r>
    </w:p>
    <w:p>
      <w:pPr>
        <w:rPr>
          <w:noProof/>
        </w:rPr>
      </w:pPr>
      <w:r>
        <w:rPr>
          <w:noProof/>
        </w:rPr>
        <w:t xml:space="preserve">Apvienotās Karalistes pievienošanās, tiklīdz tā stāsies spēkā, būs saistoša atbilstoši starptautiskajām tiesībām saskaņā ar </w:t>
      </w:r>
      <w:r>
        <w:rPr>
          <w:i/>
          <w:iCs/>
          <w:noProof/>
        </w:rPr>
        <w:t>NEAFC</w:t>
      </w:r>
      <w:r>
        <w:rPr>
          <w:noProof/>
        </w:rPr>
        <w:t xml:space="preserve"> konvencijas 24. pantu, un tā var būtiski ietekmēt ES tiesību aktu saturu. </w:t>
      </w:r>
    </w:p>
    <w:p>
      <w:pPr>
        <w:rPr>
          <w:noProof/>
        </w:rPr>
      </w:pPr>
      <w:r>
        <w:rPr>
          <w:noProof/>
        </w:rPr>
        <w:t xml:space="preserve">Paredzētais akts nepapildina un negroza </w:t>
      </w:r>
      <w:r>
        <w:rPr>
          <w:i/>
          <w:iCs/>
          <w:noProof/>
        </w:rPr>
        <w:t>NEAFC</w:t>
      </w:r>
      <w:r>
        <w:rPr>
          <w:noProof/>
        </w:rPr>
        <w:t xml:space="preserve"> konvencijā noteikto iestāžu sistēmu. Tāpēc ierosinātā lēmuma procesuālais juridiskais pamats ir LESD 218. panta 9. punkts.</w:t>
      </w:r>
    </w:p>
    <w:p>
      <w:pPr>
        <w:pStyle w:val="ManualHeading2"/>
        <w:rPr>
          <w:noProof/>
        </w:rPr>
      </w:pPr>
      <w:r>
        <w:t>3.2.</w:t>
      </w:r>
      <w:r>
        <w:tab/>
      </w:r>
      <w:r>
        <w:rPr>
          <w:noProof/>
        </w:rPr>
        <w:t>Materiālais juridiskais pamats</w:t>
      </w:r>
    </w:p>
    <w:p>
      <w:pPr>
        <w:pStyle w:val="ManualHeading3"/>
        <w:rPr>
          <w:noProof/>
        </w:rPr>
      </w:pPr>
      <w:r>
        <w:t>3.2.1.</w:t>
      </w:r>
      <w:r>
        <w:tab/>
      </w:r>
      <w:r>
        <w:rPr>
          <w:noProof/>
        </w:rPr>
        <w:t>Principi</w:t>
      </w:r>
    </w:p>
    <w:p>
      <w:pPr>
        <w:rPr>
          <w:noProof/>
        </w:rPr>
      </w:pPr>
      <w:r>
        <w:rPr>
          <w:noProof/>
        </w:rPr>
        <w:t xml:space="preserve">Lēmumam, ko pieņem saskaņā ar LESD 218. panta 9. punktu, materiālais juridiskais pamats galvenokārt ir atkarīgs no tā, kāds mērķis un saturs ir paredzētajam aktam, attiecībā uz kuru </w:t>
      </w:r>
      <w:r>
        <w:rPr>
          <w:noProof/>
        </w:rPr>
        <w:lastRenderedPageBreak/>
        <w:t>Savienības vārdā tiek ieņemta nostāja. Ja paredzētajam aktam ir vairāki mērķi vai vairāki komponenti un viens no tiem ir atzīstams par galveno, bet pārējiem ir pakārtota nozīme, tad lēmums, ko pieņem saskaņā ar LESD 218. panta 9. punktu, jābalsta uz viena materiālā juridiskā pamata, proti, tā, ko prasa galvenais jeb dominējošais mērķis vai komponents.</w:t>
      </w:r>
    </w:p>
    <w:p>
      <w:pPr>
        <w:pStyle w:val="ManualHeading3"/>
        <w:rPr>
          <w:noProof/>
        </w:rPr>
      </w:pPr>
      <w:r>
        <w:t>3.2.2.</w:t>
      </w:r>
      <w:r>
        <w:tab/>
      </w:r>
      <w:r>
        <w:rPr>
          <w:noProof/>
        </w:rPr>
        <w:t>Piemērošana konkrētajā gadījumā</w:t>
      </w:r>
    </w:p>
    <w:p>
      <w:pPr>
        <w:rPr>
          <w:noProof/>
        </w:rPr>
      </w:pPr>
      <w:r>
        <w:rPr>
          <w:noProof/>
        </w:rPr>
        <w:t>Paredzētā akta galvenais mērķis un saturs attiecas uz kopējo zivsaimniecības politiku.</w:t>
      </w:r>
    </w:p>
    <w:p>
      <w:pPr>
        <w:rPr>
          <w:noProof/>
        </w:rPr>
      </w:pPr>
      <w:r>
        <w:rPr>
          <w:noProof/>
        </w:rPr>
        <w:t>Tāpēc ierosinātā lēmuma materiālais juridiskais pamats ir LESD 43. pants.</w:t>
      </w:r>
    </w:p>
    <w:p>
      <w:pPr>
        <w:pStyle w:val="ManualHeading2"/>
        <w:rPr>
          <w:noProof/>
        </w:rPr>
      </w:pPr>
      <w:r>
        <w:t>3.3.</w:t>
      </w:r>
      <w:r>
        <w:tab/>
      </w:r>
      <w:r>
        <w:rPr>
          <w:noProof/>
        </w:rPr>
        <w:t>Secinājums</w:t>
      </w:r>
    </w:p>
    <w:p>
      <w:pPr>
        <w:rPr>
          <w:noProof/>
        </w:rPr>
      </w:pPr>
      <w:r>
        <w:rPr>
          <w:noProof/>
        </w:rPr>
        <w:t>Ierosinātā lēmuma juridiskajam pamatam vajadzētu būt LESD 43. pantam saistībā ar LESD 218. panta 9. punktu.</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2020/0243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nostāju, kas Konvencijas par turpmāko daudzpusējo sadarbību Ziemeļaustrumatlantijas zvejniecībā satvarā Eiropas Savienības vārdā jāieņem attiecībā uz Apvienotās Karalistes iesniegto pieteikumu par pievienošanos minētajai konvencijai, un ar ko atceļ Padomes Lēmumu (ES) 2019/510</w:t>
      </w:r>
    </w:p>
    <w:p>
      <w:pPr>
        <w:pStyle w:val="Institutionquiagit"/>
        <w:rPr>
          <w:b/>
          <w:noProof/>
        </w:rPr>
      </w:pPr>
      <w:r>
        <w:rPr>
          <w:b/>
          <w:noProof/>
        </w:rPr>
        <w:t>EIROPAS SAVIENĪBAS PADOME,</w:t>
      </w:r>
    </w:p>
    <w:p>
      <w:pPr>
        <w:rPr>
          <w:noProof/>
        </w:rPr>
      </w:pPr>
      <w:r>
        <w:rPr>
          <w:noProof/>
        </w:rPr>
        <w:t>ņemot vērā Līgumu par Eiropas Savienības darbību un jo īpaši tā 43. pantu saistībā ar 218. panta 9.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Konvencija par turpmāko daudzpusējo sadarbību Ziemeļaustrumatlantijas zvejniecībā</w:t>
      </w:r>
      <w:r>
        <w:rPr>
          <w:rStyle w:val="FootnoteReference"/>
          <w:noProof/>
        </w:rPr>
        <w:footnoteReference w:id="11"/>
      </w:r>
      <w:r>
        <w:rPr>
          <w:noProof/>
        </w:rPr>
        <w:t xml:space="preserve"> (“</w:t>
      </w:r>
      <w:r>
        <w:rPr>
          <w:i/>
          <w:iCs/>
          <w:noProof/>
        </w:rPr>
        <w:t>NEAFC</w:t>
      </w:r>
      <w:r>
        <w:rPr>
          <w:noProof/>
        </w:rPr>
        <w:t xml:space="preserve"> konvencija”) tika apstiprināta ar Padomes Lēmumu 81/608/EEK</w:t>
      </w:r>
      <w:r>
        <w:rPr>
          <w:rStyle w:val="FootnoteReference"/>
          <w:noProof/>
        </w:rPr>
        <w:footnoteReference w:id="12"/>
      </w:r>
      <w:r>
        <w:rPr>
          <w:noProof/>
        </w:rPr>
        <w:t xml:space="preserve"> un stājās spēkā 1982. gada 17. martā. </w:t>
      </w:r>
    </w:p>
    <w:p>
      <w:pPr>
        <w:pStyle w:val="ManualConsidrant"/>
        <w:rPr>
          <w:noProof/>
        </w:rPr>
      </w:pPr>
      <w:r>
        <w:t>(2)</w:t>
      </w:r>
      <w:r>
        <w:tab/>
      </w:r>
      <w:r>
        <w:rPr>
          <w:noProof/>
        </w:rPr>
        <w:t xml:space="preserve">Pašlaik </w:t>
      </w:r>
      <w:r>
        <w:rPr>
          <w:i/>
          <w:iCs/>
          <w:noProof/>
        </w:rPr>
        <w:t>NEAFC</w:t>
      </w:r>
      <w:r>
        <w:rPr>
          <w:noProof/>
        </w:rPr>
        <w:t xml:space="preserve"> konvenciju Apvienotajai Karalistei piemēro, jo Savienība ir minētās konvencijas līgumslēdzēja puse, savukārt </w:t>
      </w:r>
      <w:r>
        <w:rPr>
          <w:i/>
          <w:iCs/>
          <w:noProof/>
        </w:rPr>
        <w:t>NEAFC</w:t>
      </w:r>
      <w:r>
        <w:rPr>
          <w:noProof/>
        </w:rPr>
        <w:t xml:space="preserve"> konvencijas 20. panta 4. punkts nepieļauj Savienības dalībvalstu pievienošanos. </w:t>
      </w:r>
    </w:p>
    <w:p>
      <w:pPr>
        <w:pStyle w:val="ManualConsidrant"/>
        <w:rPr>
          <w:noProof/>
        </w:rPr>
      </w:pPr>
      <w:r>
        <w:t>(3)</w:t>
      </w:r>
      <w:r>
        <w:tab/>
      </w:r>
      <w:r>
        <w:rPr>
          <w:noProof/>
        </w:rPr>
        <w:t xml:space="preserve">Saskaņā ar </w:t>
      </w:r>
      <w:r>
        <w:rPr>
          <w:i/>
          <w:iCs/>
          <w:noProof/>
        </w:rPr>
        <w:t>NEAFC</w:t>
      </w:r>
      <w:r>
        <w:rPr>
          <w:noProof/>
        </w:rPr>
        <w:t xml:space="preserve"> konvencijas 20. panta 4. punktu jebkura valsts var pievienoties </w:t>
      </w:r>
      <w:r>
        <w:rPr>
          <w:i/>
          <w:iCs/>
          <w:noProof/>
        </w:rPr>
        <w:t>NEAFC</w:t>
      </w:r>
      <w:r>
        <w:rPr>
          <w:noProof/>
        </w:rPr>
        <w:t xml:space="preserve"> konvencijai, ja 90 dienu laikā no dienas, kad depozitārs paziņojis par pieteikuma saņemšanu, attiecīgās valsts pievienošanās pieteikumu apstiprina trīs ceturtdaļas no visām konvencijas līgumslēdzējām pusēm. </w:t>
      </w:r>
    </w:p>
    <w:p>
      <w:pPr>
        <w:pStyle w:val="ManualConsidrant"/>
        <w:rPr>
          <w:noProof/>
        </w:rPr>
      </w:pPr>
      <w:r>
        <w:t>(4)</w:t>
      </w:r>
      <w:r>
        <w:tab/>
      </w:r>
      <w:r>
        <w:rPr>
          <w:noProof/>
        </w:rPr>
        <w:t xml:space="preserve">2019. gada 8. janvārī Apvienotā Karaliste iesniedza pieteikumu par pievienošanos </w:t>
      </w:r>
      <w:r>
        <w:rPr>
          <w:i/>
          <w:iCs/>
          <w:noProof/>
        </w:rPr>
        <w:t>NEAFC</w:t>
      </w:r>
      <w:r>
        <w:rPr>
          <w:noProof/>
        </w:rPr>
        <w:t xml:space="preserve"> konvencijai līgumslēdzējas puses statusā. Tajā pašā dienā depozitārs par to paziņoja Eiropas Komisijai.</w:t>
      </w:r>
    </w:p>
    <w:p>
      <w:pPr>
        <w:pStyle w:val="ManualConsidrant"/>
        <w:rPr>
          <w:noProof/>
        </w:rPr>
      </w:pPr>
      <w:r>
        <w:t>(5)</w:t>
      </w:r>
      <w:r>
        <w:tab/>
      </w:r>
      <w:r>
        <w:rPr>
          <w:noProof/>
        </w:rPr>
        <w:t>Padome 2019. gada 25. martā pieņēma Lēmumu (ES) 2019/510</w:t>
      </w:r>
      <w:r>
        <w:rPr>
          <w:rStyle w:val="FootnoteReference"/>
          <w:noProof/>
        </w:rPr>
        <w:footnoteReference w:id="13"/>
      </w:r>
      <w:r>
        <w:rPr>
          <w:noProof/>
        </w:rPr>
        <w:t xml:space="preserve"> par nostāju, kas Eiropas Savienības vārdā jāieņem </w:t>
      </w:r>
      <w:r>
        <w:rPr>
          <w:i/>
          <w:iCs/>
          <w:noProof/>
        </w:rPr>
        <w:t>NEAFC</w:t>
      </w:r>
      <w:r>
        <w:rPr>
          <w:noProof/>
        </w:rPr>
        <w:t xml:space="preserve"> konvencijas vajadzībām saistībā ar Apvienotās Karalistes iesniegto pieteikumu par pievienošanos minētajai konvencijai. Minētais lēmums atbalstīja Apvienotās Karalistes pievienošanos </w:t>
      </w:r>
      <w:r>
        <w:rPr>
          <w:i/>
          <w:iCs/>
          <w:noProof/>
        </w:rPr>
        <w:t>NEAFC</w:t>
      </w:r>
      <w:r>
        <w:rPr>
          <w:noProof/>
        </w:rPr>
        <w:t xml:space="preserve"> konvencijai un tika pieņemts, lai sagatavotos situācijai, ja Apvienotā Karaliste no Savienības izstātos bez izstāšanās līguma. Tādējādi Lēmums (ES) 2019/510 Komisiju pilnvaroja paziņot Savienības nostāju tikai gadījumā, ja izstāšanās līgums netiktu noslēgts.</w:t>
      </w:r>
    </w:p>
    <w:p>
      <w:pPr>
        <w:pStyle w:val="ManualConsidrant"/>
        <w:rPr>
          <w:noProof/>
        </w:rPr>
      </w:pPr>
      <w:r>
        <w:lastRenderedPageBreak/>
        <w:t>(6)</w:t>
      </w:r>
      <w:r>
        <w:tab/>
      </w:r>
      <w:r>
        <w:rPr>
          <w:noProof/>
        </w:rPr>
        <w:t xml:space="preserve">Turklāt Apvienotās Karalistes pievienošanās pieteikums neguva nepieciešamo visu līgumslēdzēju pušu trīs ceturtdaļu apstiprinājumu: to līgumslēdzēju pušu trīs ceturtdaļu kvorums, kurām jāpaziņo depozitāram par pieteikuma apstiprināšanu, netika sasniegts. </w:t>
      </w:r>
    </w:p>
    <w:p>
      <w:pPr>
        <w:pStyle w:val="ManualConsidrant"/>
        <w:rPr>
          <w:noProof/>
        </w:rPr>
      </w:pPr>
      <w:r>
        <w:t>(7)</w:t>
      </w:r>
      <w:r>
        <w:tab/>
      </w:r>
      <w:r>
        <w:rPr>
          <w:noProof/>
        </w:rPr>
        <w:t>Saskaņā ar Līguma par Lielbritānijas un Ziemeļīrijas Apvienotās Karalistes izstāšanos no Eiropas Savienības un Eiropas Atomenerģijas kopienas 129. panta 4. punktu Apvienotā Karaliste pārejas periodā drīkst risināt sarunas par starptautiskiem nolīgumiem, kurus tā noslēdz savā vārdā Savienības ekskluzīvās kompetences jomās, un parakstīt un ratificēt tos, ar noteikumu, ka minētie nolīgumi nestājas spēkā vai tos nepiemēro pārejas perioda laikā, izņemot, ja Savienība to ir atļāvusi. Padomes Lēmumā (ES) 2020/135</w:t>
      </w:r>
      <w:r>
        <w:rPr>
          <w:rStyle w:val="FootnoteReference"/>
          <w:noProof/>
        </w:rPr>
        <w:footnoteReference w:id="14"/>
      </w:r>
      <w:r>
        <w:rPr>
          <w:noProof/>
        </w:rPr>
        <w:t xml:space="preserve"> ir noteikti šādu atļauju došanas nosacījumi un procedūra.</w:t>
      </w:r>
    </w:p>
    <w:p>
      <w:pPr>
        <w:pStyle w:val="ManualConsidrant"/>
        <w:rPr>
          <w:noProof/>
        </w:rPr>
      </w:pPr>
      <w:r>
        <w:t>(8)</w:t>
      </w:r>
      <w:r>
        <w:tab/>
      </w:r>
      <w:r>
        <w:rPr>
          <w:noProof/>
        </w:rPr>
        <w:t xml:space="preserve">Ar 2020. gada 3. aprīļa vēstuli Apvienotā Karaliste paziņoja Eiropas Komisijai par savu nodomu paust piekrišanu pārejas periodā savā vārdā uzņemties </w:t>
      </w:r>
      <w:r>
        <w:rPr>
          <w:i/>
          <w:iCs/>
          <w:noProof/>
        </w:rPr>
        <w:t>NEAFC</w:t>
      </w:r>
      <w:r>
        <w:rPr>
          <w:noProof/>
        </w:rPr>
        <w:t xml:space="preserve"> konvencijas saistības. </w:t>
      </w:r>
    </w:p>
    <w:p>
      <w:pPr>
        <w:pStyle w:val="ManualConsidrant"/>
        <w:rPr>
          <w:noProof/>
        </w:rPr>
      </w:pPr>
      <w:r>
        <w:t>(9)</w:t>
      </w:r>
      <w:r>
        <w:tab/>
      </w:r>
      <w:r>
        <w:rPr>
          <w:noProof/>
        </w:rPr>
        <w:t>Padomes Īstenošanas lēmums (ES) XXX</w:t>
      </w:r>
      <w:r>
        <w:rPr>
          <w:rStyle w:val="FootnoteReference"/>
          <w:noProof/>
        </w:rPr>
        <w:footnoteReference w:id="15"/>
      </w:r>
      <w:r>
        <w:rPr>
          <w:noProof/>
        </w:rPr>
        <w:t xml:space="preserve"> atļauj Apvienotajai Karalistei paust piekrišanu savā vārdā uzņemties </w:t>
      </w:r>
      <w:r>
        <w:rPr>
          <w:i/>
          <w:iCs/>
          <w:noProof/>
        </w:rPr>
        <w:t>NEAFC</w:t>
      </w:r>
      <w:r>
        <w:rPr>
          <w:noProof/>
        </w:rPr>
        <w:t xml:space="preserve"> konvencijas saistības, jo ir izpildīti Lēmuma (ES) 2020/135 3. panta 1. punktā izklāstītie nosacījumi.</w:t>
      </w:r>
    </w:p>
    <w:p>
      <w:pPr>
        <w:pStyle w:val="ManualConsidrant"/>
        <w:rPr>
          <w:noProof/>
        </w:rPr>
      </w:pPr>
      <w:r>
        <w:t>(10)</w:t>
      </w:r>
      <w:r>
        <w:tab/>
      </w:r>
      <w:r>
        <w:rPr>
          <w:noProof/>
        </w:rPr>
        <w:t>Saskaņā ar Apvienoto Nāciju Organizācijas Jūras tiesību konvencijas (</w:t>
      </w:r>
      <w:r>
        <w:rPr>
          <w:i/>
          <w:iCs/>
          <w:noProof/>
        </w:rPr>
        <w:t>UNCLOS</w:t>
      </w:r>
      <w:r>
        <w:rPr>
          <w:noProof/>
        </w:rPr>
        <w:t>)</w:t>
      </w:r>
      <w:r>
        <w:rPr>
          <w:rStyle w:val="FootnoteReference"/>
          <w:noProof/>
        </w:rPr>
        <w:footnoteReference w:id="16"/>
      </w:r>
      <w:r>
        <w:rPr>
          <w:noProof/>
        </w:rPr>
        <w:t xml:space="preserve"> 56., 63. un 116. pantu Apvienotajai Karalistei ir likumīgas intereses zvejot </w:t>
      </w:r>
      <w:r>
        <w:rPr>
          <w:i/>
          <w:iCs/>
          <w:noProof/>
        </w:rPr>
        <w:t>NEAFC</w:t>
      </w:r>
      <w:r>
        <w:rPr>
          <w:noProof/>
        </w:rPr>
        <w:t xml:space="preserve"> konvencijas apgabalā (atklātā jūrā) kā piekrastes valstij, ciktāl Apvienotās Karalistes ekskluzīvās ekonomiskās zonas ūdeņi ietilpst </w:t>
      </w:r>
      <w:r>
        <w:rPr>
          <w:i/>
          <w:iCs/>
          <w:noProof/>
        </w:rPr>
        <w:t>NEAFC</w:t>
      </w:r>
      <w:r>
        <w:rPr>
          <w:noProof/>
        </w:rPr>
        <w:t xml:space="preserve"> konvencijas apgabalā. </w:t>
      </w:r>
    </w:p>
    <w:p>
      <w:pPr>
        <w:pStyle w:val="ManualConsidrant"/>
        <w:rPr>
          <w:noProof/>
        </w:rPr>
      </w:pPr>
      <w:r>
        <w:t>(11)</w:t>
      </w:r>
      <w:r>
        <w:tab/>
      </w:r>
      <w:r>
        <w:rPr>
          <w:noProof/>
        </w:rPr>
        <w:t xml:space="preserve">Lai nepieļautu ilgtnespējīgas zvejniecības, Savienība ir ieinteresēta, lai Apvienotā Karaliste sadarbotos kopēju interešu krājumu pārvaldībā, pilnībā ievērojot noteikumus, kas izklāstīti </w:t>
      </w:r>
      <w:r>
        <w:rPr>
          <w:i/>
          <w:iCs/>
          <w:noProof/>
        </w:rPr>
        <w:t>UNCLOS</w:t>
      </w:r>
      <w:r>
        <w:rPr>
          <w:noProof/>
        </w:rPr>
        <w:t xml:space="preserve"> un Apvienoto Nāciju Organizācijas 1995. gada 4. augusta Nolīgumā par 1982. gada 10. decembra Apvienoto Nāciju Jūras tiesību konvencijas īstenošanu attiecībā uz transzonālo zivju krājumu un tālu migrējošo zivju krājumu saglabāšanu un apsaimniekošanu (</w:t>
      </w:r>
      <w:r>
        <w:rPr>
          <w:i/>
          <w:iCs/>
          <w:noProof/>
        </w:rPr>
        <w:t>UNFSA</w:t>
      </w:r>
      <w:r>
        <w:rPr>
          <w:noProof/>
        </w:rPr>
        <w:t>)</w:t>
      </w:r>
      <w:r>
        <w:rPr>
          <w:rStyle w:val="FootnoteReference"/>
          <w:noProof/>
        </w:rPr>
        <w:footnoteReference w:id="17"/>
      </w:r>
      <w:r>
        <w:rPr>
          <w:noProof/>
        </w:rPr>
        <w:t xml:space="preserve"> vai jebkuros citos starptautiskos nolīgumos vai starptautisko tiesību normās.</w:t>
      </w:r>
    </w:p>
    <w:p>
      <w:pPr>
        <w:pStyle w:val="ManualConsidrant"/>
        <w:rPr>
          <w:noProof/>
        </w:rPr>
      </w:pPr>
      <w:r>
        <w:t>(12)</w:t>
      </w:r>
      <w:r>
        <w:tab/>
      </w:r>
      <w:r>
        <w:rPr>
          <w:noProof/>
        </w:rPr>
        <w:t xml:space="preserve">Kā noteikts </w:t>
      </w:r>
      <w:r>
        <w:rPr>
          <w:i/>
          <w:iCs/>
          <w:noProof/>
        </w:rPr>
        <w:t>UNCLOS</w:t>
      </w:r>
      <w:r>
        <w:rPr>
          <w:noProof/>
        </w:rPr>
        <w:t xml:space="preserve"> 63. panta 2. punktā un </w:t>
      </w:r>
      <w:r>
        <w:rPr>
          <w:i/>
          <w:iCs/>
          <w:noProof/>
        </w:rPr>
        <w:t>UNFSA</w:t>
      </w:r>
      <w:r>
        <w:rPr>
          <w:noProof/>
        </w:rPr>
        <w:t xml:space="preserve"> 8. pantā, ja viens un tas pats saistīto sugu krājums vai krājumi sastopami gan ekskluzīvajā ekonomikas zonā, gan apgabalā, kas atrodas ārpus minētās zonas un blakus tai, piekrastes valstij un valstīm, kas apzvejo šādus krājumus blakus esošajā apgabalā, jāsadarbojas, lai vienotos par pasākumiem, kas vajadzīgi šo krājumu saglabāšanai blakus esošajā apgabalā. Šāda sadarbība var notikt reģionālo zvejniecības pārvaldības organizāciju satvarā. Apvienotās Karalistes pievienošanās </w:t>
      </w:r>
      <w:r>
        <w:rPr>
          <w:i/>
          <w:iCs/>
          <w:noProof/>
        </w:rPr>
        <w:t>NEAFC</w:t>
      </w:r>
      <w:r>
        <w:rPr>
          <w:noProof/>
        </w:rPr>
        <w:t xml:space="preserve"> konvencijai ļaus Apvienotajai Karalistei sadarboties vajadzīgo zvejniecības pārvaldības pasākumu jomā nolūkā nodrošināt to, ka zvejas darbības tiek veiktas veidā, kas nodrošina attiecīgo krājumu ilgtspējīgu izmantošanu. </w:t>
      </w:r>
    </w:p>
    <w:p>
      <w:pPr>
        <w:pStyle w:val="ManualConsidrant"/>
        <w:rPr>
          <w:noProof/>
        </w:rPr>
      </w:pPr>
      <w:r>
        <w:t>(13)</w:t>
      </w:r>
      <w:r>
        <w:tab/>
      </w:r>
      <w:r>
        <w:rPr>
          <w:noProof/>
        </w:rPr>
        <w:t xml:space="preserve">Šī pievienošanās vēl pirms pārejas perioda beigām ļaus Apvienotajai Karalistei pilnībā īstenot no </w:t>
      </w:r>
      <w:r>
        <w:rPr>
          <w:i/>
          <w:iCs/>
          <w:noProof/>
        </w:rPr>
        <w:t>UNCLOS</w:t>
      </w:r>
      <w:r>
        <w:rPr>
          <w:rStyle w:val="FootnoteReference"/>
          <w:noProof/>
          <w:vertAlign w:val="baseline"/>
        </w:rPr>
        <w:t xml:space="preserve"> </w:t>
      </w:r>
      <w:r>
        <w:rPr>
          <w:noProof/>
        </w:rPr>
        <w:t xml:space="preserve">izrietošos pienākumus attiecībā uz saglabāšanas un pārvaldības </w:t>
      </w:r>
      <w:r>
        <w:rPr>
          <w:noProof/>
        </w:rPr>
        <w:lastRenderedPageBreak/>
        <w:t xml:space="preserve">pasākumiem, kas stājas spēkā no pārejas perioda beigām, kad tai vairs nebūs piemērojami Savienības tiesību akti. Tāpēc Savienības interesēs ir apstiprināt Apvienotās Karalistes iesniegto pieteikumu par pievienošanos </w:t>
      </w:r>
      <w:r>
        <w:rPr>
          <w:i/>
          <w:iCs/>
          <w:noProof/>
        </w:rPr>
        <w:t>NEAFC</w:t>
      </w:r>
      <w:r>
        <w:rPr>
          <w:noProof/>
        </w:rPr>
        <w:t xml:space="preserve"> konvencijai līdz </w:t>
      </w:r>
      <w:r>
        <w:rPr>
          <w:i/>
          <w:iCs/>
          <w:noProof/>
        </w:rPr>
        <w:t>NEAFC</w:t>
      </w:r>
      <w:r>
        <w:rPr>
          <w:noProof/>
        </w:rPr>
        <w:t xml:space="preserve"> konvencijas 20. panta 4. punktā minētā paziņošanas termiņa beigām.</w:t>
      </w:r>
    </w:p>
    <w:p>
      <w:pPr>
        <w:pStyle w:val="ManualConsidrant"/>
        <w:rPr>
          <w:noProof/>
        </w:rPr>
      </w:pPr>
      <w:r>
        <w:t>(14)</w:t>
      </w:r>
      <w:r>
        <w:tab/>
      </w:r>
      <w:r>
        <w:rPr>
          <w:noProof/>
        </w:rPr>
        <w:t xml:space="preserve">Skaidrības un juridiskās noteiktības labad Lēmums (ES) 2019/510 būtu jāatceļ, </w:t>
      </w:r>
    </w:p>
    <w:p>
      <w:pPr>
        <w:pStyle w:val="Formuledadoption"/>
        <w:rPr>
          <w:noProof/>
        </w:rPr>
      </w:pPr>
      <w:r>
        <w:rPr>
          <w:noProof/>
        </w:rPr>
        <w:t>IR PIEŅĒMUSI ŠO LĒMUMU.</w:t>
      </w:r>
    </w:p>
    <w:p>
      <w:pPr>
        <w:pStyle w:val="Titrearticle"/>
        <w:rPr>
          <w:noProof/>
        </w:rPr>
      </w:pPr>
      <w:r>
        <w:rPr>
          <w:noProof/>
        </w:rPr>
        <w:t>1. pants</w:t>
      </w:r>
    </w:p>
    <w:p>
      <w:pPr>
        <w:pStyle w:val="ManualNumPar1"/>
        <w:rPr>
          <w:noProof/>
        </w:rPr>
      </w:pPr>
      <w:r>
        <w:t>1.</w:t>
      </w:r>
      <w:r>
        <w:tab/>
      </w:r>
      <w:r>
        <w:rPr>
          <w:noProof/>
        </w:rPr>
        <w:t>Nostāja, kas Savienības vārdā jāieņem Konvencijas par turpmāko daudzpusējo sadarbību Ziemeļaustrumatlantijas zvejniecībā (“</w:t>
      </w:r>
      <w:r>
        <w:rPr>
          <w:i/>
          <w:iCs/>
          <w:noProof/>
        </w:rPr>
        <w:t>NEAFC</w:t>
      </w:r>
      <w:r>
        <w:rPr>
          <w:noProof/>
        </w:rPr>
        <w:t xml:space="preserve"> konvencija”) satvarā, ir apstiprināt pieteikumu par Apvienotās Karalistes pievienošanos </w:t>
      </w:r>
      <w:r>
        <w:rPr>
          <w:i/>
          <w:iCs/>
          <w:noProof/>
        </w:rPr>
        <w:t>NEAFC</w:t>
      </w:r>
      <w:r>
        <w:rPr>
          <w:noProof/>
        </w:rPr>
        <w:t xml:space="preserve"> konvencijai. </w:t>
      </w:r>
    </w:p>
    <w:p>
      <w:pPr>
        <w:pStyle w:val="ManualNumPar1"/>
        <w:rPr>
          <w:noProof/>
        </w:rPr>
      </w:pPr>
      <w:r>
        <w:t>2.</w:t>
      </w:r>
      <w:r>
        <w:tab/>
      </w:r>
      <w:r>
        <w:rPr>
          <w:noProof/>
        </w:rPr>
        <w:t xml:space="preserve">Komisija ir pilnvarota līdz </w:t>
      </w:r>
      <w:r>
        <w:rPr>
          <w:i/>
          <w:iCs/>
          <w:noProof/>
        </w:rPr>
        <w:t>NEAFC</w:t>
      </w:r>
      <w:r>
        <w:rPr>
          <w:noProof/>
        </w:rPr>
        <w:t xml:space="preserve"> konvencijas 20. panta 4. punktā minētā paziņošanas termiņa beigām par Savienības nostāju paziņot </w:t>
      </w:r>
      <w:r>
        <w:rPr>
          <w:i/>
          <w:iCs/>
          <w:noProof/>
        </w:rPr>
        <w:t>NEAFC</w:t>
      </w:r>
      <w:r>
        <w:rPr>
          <w:noProof/>
        </w:rPr>
        <w:t xml:space="preserve"> konvencijas depozitāram. </w:t>
      </w:r>
    </w:p>
    <w:p>
      <w:pPr>
        <w:pStyle w:val="Titrearticle"/>
        <w:rPr>
          <w:noProof/>
        </w:rPr>
      </w:pPr>
      <w:r>
        <w:rPr>
          <w:noProof/>
        </w:rPr>
        <w:t>2. pants</w:t>
      </w:r>
    </w:p>
    <w:p>
      <w:pPr>
        <w:rPr>
          <w:noProof/>
        </w:rPr>
      </w:pPr>
      <w:r>
        <w:rPr>
          <w:noProof/>
        </w:rPr>
        <w:t xml:space="preserve">Lēmumu (ES) 2019/510 atceļ. </w:t>
      </w:r>
    </w:p>
    <w:p>
      <w:pPr>
        <w:jc w:val="center"/>
        <w:rPr>
          <w:noProof/>
        </w:rPr>
      </w:pPr>
      <w:r>
        <w:rPr>
          <w:i/>
          <w:noProof/>
        </w:rPr>
        <w:t>3. pants</w:t>
      </w:r>
    </w:p>
    <w:p>
      <w:pPr>
        <w:rPr>
          <w:noProof/>
        </w:rPr>
      </w:pPr>
      <w:r>
        <w:rPr>
          <w:noProof/>
        </w:rPr>
        <w:t>Šis lēmums ir adresēts Komisijai.</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Līgums par Lielbritānijas un Ziemeļīrijas Apvienotās Karalistes izstāšanos no Eiropas Savienības un Eiropas Atomenerģijas kopienas (OV C 384 I, 12.11.2019., 1. lpp.).</w:t>
      </w:r>
    </w:p>
  </w:footnote>
  <w:footnote w:id="2">
    <w:p>
      <w:pPr>
        <w:pStyle w:val="FootnoteText"/>
      </w:pPr>
      <w:r>
        <w:rPr>
          <w:rStyle w:val="FootnoteReference"/>
        </w:rPr>
        <w:footnoteRef/>
      </w:r>
      <w:r>
        <w:tab/>
        <w:t>OV L 227, 12.8.1981., 21. lpp.</w:t>
      </w:r>
    </w:p>
  </w:footnote>
  <w:footnote w:id="3">
    <w:p>
      <w:pPr>
        <w:pStyle w:val="FootnoteText"/>
      </w:pPr>
      <w:r>
        <w:rPr>
          <w:rStyle w:val="FootnoteReference"/>
        </w:rPr>
        <w:footnoteRef/>
      </w:r>
      <w:r>
        <w:tab/>
        <w:t>Attiecībā uz Apvienotās Karalistes 2019. gada 8. janvārī iesniegto pieteikumu 90 dienu termiņš beidzās 2019. gada 8. aprīlī.</w:t>
      </w:r>
    </w:p>
  </w:footnote>
  <w:footnote w:id="4">
    <w:p>
      <w:pPr>
        <w:pStyle w:val="FootnoteText"/>
      </w:pPr>
      <w:r>
        <w:rPr>
          <w:rStyle w:val="FootnoteReference"/>
        </w:rPr>
        <w:footnoteRef/>
      </w:r>
      <w:r>
        <w:tab/>
        <w:t>Padomes Lēmums (ES) 2019/510 (2019. gada 25. marts) par nostāju, kas Eiropas Savienības vārdā jāieņem Konvencijas par turpmāko daudzpusējo sadarbību Ziemeļaustrumatlantijas zvejniecībā vajadzībām saistībā ar Apvienotās Karalistes iesniegto pieteikumu par pievienošanos minētajai konvencijai (OV L 85, 27.3.2019., 22. lpp.).</w:t>
      </w:r>
    </w:p>
  </w:footnote>
  <w:footnote w:id="5">
    <w:p>
      <w:pPr>
        <w:pStyle w:val="FootnoteText"/>
      </w:pPr>
      <w:r>
        <w:rPr>
          <w:rStyle w:val="FootnoteReference"/>
        </w:rPr>
        <w:footnoteRef/>
      </w:r>
      <w:r>
        <w:tab/>
        <w:t>Padomes Lēmums (ES) 2020/135 (2020. gada 30. janvāris) par to, lai noslēgtu Līgumu par Lielbritānijas un Ziemeļīrijas Apvienotās Karalistes izstāšanos no Eiropas Savienības un Eiropas Atomenerģijas kopienas (OV L 29, 31.1.2020., 1. lpp.).</w:t>
      </w:r>
    </w:p>
  </w:footnote>
  <w:footnote w:id="6">
    <w:p>
      <w:pPr>
        <w:pStyle w:val="FootnoteText"/>
      </w:pPr>
      <w:r>
        <w:rPr>
          <w:rStyle w:val="FootnoteReference"/>
        </w:rPr>
        <w:footnoteRef/>
      </w:r>
      <w:r>
        <w:tab/>
        <w:t>(OV L xxx, xxx, xxx. lpp.).</w:t>
      </w:r>
    </w:p>
  </w:footnote>
  <w:footnote w:id="7">
    <w:p>
      <w:pPr>
        <w:pStyle w:val="FootnoteText"/>
      </w:pPr>
      <w:r>
        <w:rPr>
          <w:rStyle w:val="FootnoteReference"/>
        </w:rPr>
        <w:footnoteRef/>
      </w:r>
      <w:r>
        <w:tab/>
      </w:r>
      <w:r>
        <w:rPr>
          <w:rStyle w:val="Emphasis"/>
          <w:i w:val="0"/>
        </w:rPr>
        <w:t>OV L 354, 28.12.2013., 22. lpp.</w:t>
      </w:r>
      <w:r>
        <w:rPr>
          <w:rStyle w:val="Emphasis"/>
        </w:rPr>
        <w:t>.</w:t>
      </w:r>
    </w:p>
  </w:footnote>
  <w:footnote w:id="8">
    <w:p>
      <w:pPr>
        <w:pStyle w:val="FootnoteText"/>
      </w:pPr>
      <w:r>
        <w:rPr>
          <w:rStyle w:val="FootnoteReference"/>
        </w:rPr>
        <w:footnoteRef/>
      </w:r>
      <w:r>
        <w:tab/>
        <w:t>ANO Jūras tiesību konvencija (OV L 179, 23.6.1998., 3. lpp.).</w:t>
      </w:r>
    </w:p>
  </w:footnote>
  <w:footnote w:id="9">
    <w:p>
      <w:pPr>
        <w:pStyle w:val="FootnoteText"/>
      </w:pPr>
      <w:r>
        <w:rPr>
          <w:rStyle w:val="FootnoteReference"/>
        </w:rPr>
        <w:footnoteRef/>
      </w:r>
      <w:r>
        <w:tab/>
        <w:t>Nolīgums par 1982. gada 10. decembra Apvienoto Nāciju Jūras tiesību konvencijas īstenošanu attiecībā uz transzonālo zivju krājumu un tālu migrējošo zivju krājumu saglabāšanu un apsaimniekošanu – Deklarācija par Eiropas Kopienas kompetenci – Skaidrojošās deklarācijas (OV L 189, 3.7.1998., 17. lpp.).</w:t>
      </w:r>
    </w:p>
  </w:footnote>
  <w:footnote w:id="10">
    <w:p>
      <w:pPr>
        <w:pStyle w:val="FootnoteText"/>
      </w:pPr>
      <w:r>
        <w:rPr>
          <w:rStyle w:val="FootnoteReference"/>
        </w:rPr>
        <w:footnoteRef/>
      </w:r>
      <w:r>
        <w:tab/>
        <w:t xml:space="preserve">Tiesas spriedums, 2014. gada 7. oktobris, Vācija/Padome, C-399/12, ECLI:EU:C:2014:2258, 61.–64. punkts. </w:t>
      </w:r>
    </w:p>
  </w:footnote>
  <w:footnote w:id="11">
    <w:p>
      <w:pPr>
        <w:pStyle w:val="FootnoteText"/>
      </w:pPr>
      <w:r>
        <w:rPr>
          <w:rStyle w:val="FootnoteReference"/>
        </w:rPr>
        <w:footnoteRef/>
      </w:r>
      <w:r>
        <w:tab/>
        <w:t>OV L 227, 12.8.1981., 22. lpp.</w:t>
      </w:r>
    </w:p>
  </w:footnote>
  <w:footnote w:id="12">
    <w:p>
      <w:pPr>
        <w:pStyle w:val="FootnoteText"/>
      </w:pPr>
      <w:r>
        <w:rPr>
          <w:rStyle w:val="FootnoteReference"/>
        </w:rPr>
        <w:footnoteRef/>
      </w:r>
      <w:r>
        <w:tab/>
        <w:t>Padomes Lēmums 81/608/EEK (1981. gada 13. jūlijs), kas attiecas uz Konvencijas par turpmāko daudzpusējo sadarbību Ziemeļaustrumatlantijas zvejniecībā noslēgšanu (OV L 227, 12.8.1981., 21. lpp.).</w:t>
      </w:r>
    </w:p>
  </w:footnote>
  <w:footnote w:id="13">
    <w:p>
      <w:pPr>
        <w:pStyle w:val="FootnoteText"/>
      </w:pPr>
      <w:r>
        <w:rPr>
          <w:rStyle w:val="FootnoteReference"/>
        </w:rPr>
        <w:footnoteRef/>
      </w:r>
      <w:r>
        <w:tab/>
        <w:t xml:space="preserve">Padomes Lēmums (ES) 2019/510 (2019. gada 25. marts) par nostāju, kas Eiropas Savienības vārdā jāieņem Konvencijas par turpmāko daudzpusējo sadarbību Ziemeļaustrumatlantijas zvejniecībā vajadzībām saistībā ar Apvienotās Karalistes iesniegto pieteikumu par pievienošanos minētajai konvencijai (OV L 85, 27.3.2019., 22. lpp.). </w:t>
      </w:r>
    </w:p>
  </w:footnote>
  <w:footnote w:id="14">
    <w:p>
      <w:pPr>
        <w:pStyle w:val="FootnoteText"/>
      </w:pPr>
      <w:r>
        <w:rPr>
          <w:rStyle w:val="FootnoteReference"/>
        </w:rPr>
        <w:footnoteRef/>
      </w:r>
      <w:r>
        <w:tab/>
        <w:t>Padomes Lēmums (ES) 2020/135 (2020. gada 30. janvāris) par to, lai noslēgtu Līgumu par Lielbritānijas un Ziemeļīrijas Apvienotās Karalistes izstāšanos no Eiropas Savienības un Eiropas Atomenerģijas kopienas (OV L 29, 31.1.2020., 1. lpp.).</w:t>
      </w:r>
    </w:p>
  </w:footnote>
  <w:footnote w:id="15">
    <w:p>
      <w:pPr>
        <w:pStyle w:val="FootnoteText"/>
      </w:pPr>
      <w:r>
        <w:rPr>
          <w:rStyle w:val="FootnoteReference"/>
        </w:rPr>
        <w:footnoteRef/>
      </w:r>
      <w:r>
        <w:tab/>
        <w:t>Padomes Īstenošanas lēmums (ES) 2020/XXX ([datums]) par atļauju Apvienotajai Karalistei paust piekrišanu savā vārdā uzņemties dažu tādu starptautisku nolīgumu saistības, kuri piemērojami pārejas periodā, Savienības kopējās zivsaimniecības jomā (OV L xxx, xxx, xxx. lpp.).</w:t>
      </w:r>
    </w:p>
  </w:footnote>
  <w:footnote w:id="16">
    <w:p>
      <w:pPr>
        <w:pStyle w:val="FootnoteText"/>
      </w:pPr>
      <w:r>
        <w:rPr>
          <w:rStyle w:val="FootnoteReference"/>
        </w:rPr>
        <w:footnoteRef/>
      </w:r>
      <w:r>
        <w:tab/>
        <w:t>OV L 179, 23.6.1998., 3. lpp.</w:t>
      </w:r>
    </w:p>
  </w:footnote>
  <w:footnote w:id="17">
    <w:p>
      <w:pPr>
        <w:pStyle w:val="FootnoteText"/>
      </w:pPr>
      <w:r>
        <w:rPr>
          <w:rStyle w:val="FootnoteReference"/>
        </w:rPr>
        <w:footnoteRef/>
      </w:r>
      <w:r>
        <w:tab/>
        <w:t>OV L 189, 3.7.1998., 14.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DF88A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57C4A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8243A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A0617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4E4E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14DD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7AEF67A"/>
    <w:lvl w:ilvl="0">
      <w:start w:val="1"/>
      <w:numFmt w:val="decimal"/>
      <w:pStyle w:val="ListNumber"/>
      <w:lvlText w:val="%1."/>
      <w:lvlJc w:val="left"/>
      <w:pPr>
        <w:tabs>
          <w:tab w:val="num" w:pos="360"/>
        </w:tabs>
        <w:ind w:left="360" w:hanging="360"/>
      </w:pPr>
    </w:lvl>
  </w:abstractNum>
  <w:abstractNum w:abstractNumId="7">
    <w:nsid w:val="FFFFFF89"/>
    <w:multiLevelType w:val="singleLevel"/>
    <w:tmpl w:val="3CC0E47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8 10:00: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738A615-79A5-4D5B-AA40-E05E2FE9DB44"/>
    <w:docVar w:name="LW_COVERPAGE_TYPE" w:val="1"/>
    <w:docVar w:name="LW_CROSSREFERENCE" w:val="&lt;UNUSED&gt;"/>
    <w:docVar w:name="LW_DocType" w:val="COM"/>
    <w:docVar w:name="LW_EMISSION" w:val="7.9.2020"/>
    <w:docVar w:name="LW_EMISSION_ISODATE" w:val="2020-09-07"/>
    <w:docVar w:name="LW_EMISSION_LOCATION" w:val="BRX"/>
    <w:docVar w:name="LW_EMISSION_PREFIX" w:val="Briselē, "/>
    <w:docVar w:name="LW_EMISSION_SUFFIX" w:val="."/>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243"/>
    <w:docVar w:name="LW_REF.II.NEW.CP_YEAR" w:val="2020"/>
    <w:docVar w:name="LW_REF.INST.NEW" w:val="COM"/>
    <w:docVar w:name="LW_REF.INST.NEW_ADOPTED" w:val="final"/>
    <w:docVar w:name="LW_REF.INST.NEW_TEXT" w:val="(2020) 4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par nost\u257?ju, kas Konvencijas par turpm\u257?ko daudzpus\u275?jo sadarb\u299?bu Zieme\u316?austrumatlantijas zvejniec\u299?b\u257? satvar\u257? Eiropas Savien\u299?bas v\u257?rd\u257? j\u257?ie\u326?em attiec\u299?b\u257? uz Apvienot\u257?s Karalistes iesniegto pieteikumu par pievieno\u353?anos min\u275?tajai konvencijai, un ar ko atce\u316? Padomes L\u275?mumu (ES) 2019/510"/>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semiHidden/>
    <w:rPr>
      <w:rFonts w:ascii="Calibri" w:eastAsia="Times New Roman" w:hAnsi="Calibri" w:cs="Times New Roman"/>
      <w:szCs w:val="21"/>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semiHidden/>
    <w:rPr>
      <w:rFonts w:ascii="Calibri" w:eastAsia="Times New Roman" w:hAnsi="Calibri" w:cs="Times New Roman"/>
      <w:szCs w:val="21"/>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387956">
      <w:bodyDiv w:val="1"/>
      <w:marLeft w:val="0"/>
      <w:marRight w:val="0"/>
      <w:marTop w:val="0"/>
      <w:marBottom w:val="0"/>
      <w:divBdr>
        <w:top w:val="none" w:sz="0" w:space="0" w:color="auto"/>
        <w:left w:val="none" w:sz="0" w:space="0" w:color="auto"/>
        <w:bottom w:val="none" w:sz="0" w:space="0" w:color="auto"/>
        <w:right w:val="none" w:sz="0" w:space="0" w:color="auto"/>
      </w:divBdr>
    </w:div>
    <w:div w:id="12110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696D704-EAA8-4C66-8438-B786D716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2422</Words>
  <Characters>16690</Characters>
  <Application>Microsoft Office Word</Application>
  <DocSecurity>0</DocSecurity>
  <Lines>269</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2020-08-25T09:00:00Z</cp:lastPrinted>
  <dcterms:created xsi:type="dcterms:W3CDTF">2020-09-07T13:36:00Z</dcterms:created>
  <dcterms:modified xsi:type="dcterms:W3CDTF">2020-09-08T08:00:00Z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