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4" type="#_x0000_t75" alt="82BF86E5-E109-4577-9D9C-402DE4C1D554" style="width:450.2pt;height:334.35pt">
            <v:imagedata r:id="rId9" o:title=""/>
          </v:shape>
        </w:pict>
      </w:r>
    </w:p>
    <w:bookmarkEnd w:id="0"/>
    <w:p>
      <w:pPr>
        <w:rPr>
          <w:noProof/>
        </w:rPr>
        <w:sectPr>
          <w:headerReference w:type="even" r:id="rId10"/>
          <w:headerReference w:type="default" r:id="rId11"/>
          <w:footerReference w:type="even" r:id="rId12"/>
          <w:footerReference w:type="default" r:id="rId13"/>
          <w:headerReference w:type="first" r:id="rId14"/>
          <w:footerReference w:type="first" r:id="rId15"/>
          <w:pgSz w:w="11906" w:h="16838" w:code="9"/>
          <w:pgMar w:top="1134" w:right="1417" w:bottom="1134" w:left="1417" w:header="709" w:footer="709" w:gutter="0"/>
          <w:pgNumType w:start="0"/>
          <w:cols w:space="720"/>
          <w:docGrid w:linePitch="360"/>
        </w:sectPr>
      </w:pPr>
    </w:p>
    <w:p>
      <w:pPr>
        <w:pStyle w:val="TOCHeading"/>
        <w:tabs>
          <w:tab w:val="left" w:pos="1500"/>
        </w:tabs>
        <w:jc w:val="both"/>
        <w:rPr>
          <w:b w:val="0"/>
          <w:noProof/>
        </w:rPr>
      </w:pPr>
      <w:bookmarkStart w:id="1" w:name="_GoBack"/>
      <w:bookmarkEnd w:id="1"/>
      <w:r>
        <w:rPr>
          <w:noProof/>
        </w:rPr>
        <w:lastRenderedPageBreak/>
        <w:tab/>
      </w:r>
    </w:p>
    <w:sdt>
      <w:sdtPr>
        <w:rPr>
          <w:b w:val="0"/>
          <w:noProof/>
        </w:rPr>
        <w:id w:val="281923726"/>
        <w:docPartObj>
          <w:docPartGallery w:val="Table of Contents"/>
          <w:docPartUnique/>
        </w:docPartObj>
      </w:sdtPr>
      <w:sdtEndPr>
        <w:rPr>
          <w:bCs/>
        </w:rPr>
      </w:sdtEndPr>
      <w:sdtContent>
        <w:p>
          <w:pPr>
            <w:pStyle w:val="TOCHeading"/>
            <w:rPr>
              <w:noProof/>
            </w:rPr>
          </w:pPr>
          <w:r>
            <w:rPr>
              <w:noProof/>
            </w:rPr>
            <w:t>Satura rādītājs</w:t>
          </w:r>
        </w:p>
        <w:p>
          <w:pPr>
            <w:pStyle w:val="TOC1"/>
            <w:rPr>
              <w:rFonts w:asciiTheme="minorHAnsi" w:eastAsiaTheme="minorEastAsia" w:hAnsiTheme="minorHAnsi" w:cstheme="minorBidi"/>
              <w:caps w:val="0"/>
              <w:noProof/>
              <w:sz w:val="22"/>
              <w:szCs w:val="22"/>
              <w:lang w:val="en-US"/>
            </w:rPr>
          </w:pPr>
          <w:r>
            <w:rPr>
              <w:noProof/>
            </w:rPr>
            <w:fldChar w:fldCharType="begin"/>
          </w:r>
          <w:r>
            <w:rPr>
              <w:noProof/>
            </w:rPr>
            <w:instrText xml:space="preserve"> TOC \o "1-3" \h \z \u </w:instrText>
          </w:r>
          <w:r>
            <w:rPr>
              <w:noProof/>
            </w:rPr>
            <w:fldChar w:fldCharType="separate"/>
          </w:r>
          <w:hyperlink w:anchor="_Toc46847715" w:history="1">
            <w:r>
              <w:rPr>
                <w:rStyle w:val="Hyperlink"/>
                <w:noProof/>
              </w:rPr>
              <w:t>Kopsavilkums</w:t>
            </w:r>
            <w:r>
              <w:rPr>
                <w:noProof/>
                <w:webHidden/>
              </w:rPr>
              <w:tab/>
            </w:r>
            <w:r>
              <w:rPr>
                <w:noProof/>
                <w:webHidden/>
              </w:rPr>
              <w:fldChar w:fldCharType="begin"/>
            </w:r>
            <w:r>
              <w:rPr>
                <w:noProof/>
                <w:webHidden/>
              </w:rPr>
              <w:instrText xml:space="preserve"> PAGEREF _Toc46847715 \h </w:instrText>
            </w:r>
            <w:r>
              <w:rPr>
                <w:noProof/>
                <w:webHidden/>
              </w:rPr>
            </w:r>
            <w:r>
              <w:rPr>
                <w:noProof/>
                <w:webHidden/>
              </w:rPr>
              <w:fldChar w:fldCharType="separate"/>
            </w:r>
            <w:r>
              <w:rPr>
                <w:noProof/>
                <w:webHidden/>
              </w:rPr>
              <w:t>2</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47716" w:history="1">
            <w:r>
              <w:rPr>
                <w:rStyle w:val="Hyperlink"/>
                <w:noProof/>
              </w:rPr>
              <w:t>1.</w:t>
            </w:r>
            <w:r>
              <w:rPr>
                <w:rFonts w:asciiTheme="minorHAnsi" w:eastAsiaTheme="minorEastAsia" w:hAnsiTheme="minorHAnsi" w:cstheme="minorBidi"/>
                <w:caps w:val="0"/>
                <w:noProof/>
                <w:sz w:val="22"/>
                <w:szCs w:val="22"/>
                <w:lang w:val="en-US"/>
              </w:rPr>
              <w:tab/>
            </w:r>
            <w:r>
              <w:rPr>
                <w:rStyle w:val="Hyperlink"/>
                <w:noProof/>
              </w:rPr>
              <w:t>Politiskais konteksts</w:t>
            </w:r>
            <w:r>
              <w:rPr>
                <w:noProof/>
                <w:webHidden/>
              </w:rPr>
              <w:tab/>
            </w:r>
            <w:r>
              <w:rPr>
                <w:noProof/>
                <w:webHidden/>
              </w:rPr>
              <w:fldChar w:fldCharType="begin"/>
            </w:r>
            <w:r>
              <w:rPr>
                <w:noProof/>
                <w:webHidden/>
              </w:rPr>
              <w:instrText xml:space="preserve"> PAGEREF _Toc46847716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47717" w:history="1">
            <w:r>
              <w:rPr>
                <w:rStyle w:val="Hyperlink"/>
                <w:noProof/>
              </w:rPr>
              <w:t>2.</w:t>
            </w:r>
            <w:r>
              <w:rPr>
                <w:rFonts w:asciiTheme="minorHAnsi" w:eastAsiaTheme="minorEastAsia" w:hAnsiTheme="minorHAnsi" w:cstheme="minorBidi"/>
                <w:caps w:val="0"/>
                <w:noProof/>
                <w:sz w:val="22"/>
                <w:szCs w:val="22"/>
                <w:lang w:val="en-US"/>
              </w:rPr>
              <w:tab/>
            </w:r>
            <w:r>
              <w:rPr>
                <w:rStyle w:val="Hyperlink"/>
                <w:noProof/>
              </w:rPr>
              <w:t>Atbilstības līmenis ES</w:t>
            </w:r>
            <w:r>
              <w:rPr>
                <w:noProof/>
                <w:webHidden/>
              </w:rPr>
              <w:tab/>
            </w:r>
            <w:r>
              <w:rPr>
                <w:noProof/>
                <w:webHidden/>
              </w:rPr>
              <w:fldChar w:fldCharType="begin"/>
            </w:r>
            <w:r>
              <w:rPr>
                <w:noProof/>
                <w:webHidden/>
              </w:rPr>
              <w:instrText xml:space="preserve"> PAGEREF _Toc46847717 \h </w:instrText>
            </w:r>
            <w:r>
              <w:rPr>
                <w:noProof/>
                <w:webHidden/>
              </w:rPr>
            </w:r>
            <w:r>
              <w:rPr>
                <w:noProof/>
                <w:webHidden/>
              </w:rPr>
              <w:fldChar w:fldCharType="separate"/>
            </w:r>
            <w:r>
              <w:rPr>
                <w:noProof/>
                <w:webHidden/>
              </w:rPr>
              <w:t>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47720" w:history="1">
            <w:r>
              <w:rPr>
                <w:rStyle w:val="Hyperlink"/>
                <w:noProof/>
              </w:rPr>
              <w:t>2.1</w:t>
            </w:r>
            <w:r>
              <w:rPr>
                <w:rFonts w:asciiTheme="minorHAnsi" w:eastAsiaTheme="minorEastAsia" w:hAnsiTheme="minorHAnsi" w:cstheme="minorBidi"/>
                <w:noProof/>
                <w:sz w:val="22"/>
                <w:szCs w:val="22"/>
                <w:lang w:val="en-US"/>
              </w:rPr>
              <w:tab/>
            </w:r>
            <w:r>
              <w:rPr>
                <w:rStyle w:val="Hyperlink"/>
                <w:noProof/>
              </w:rPr>
              <w:t>Atbilstības tendences</w:t>
            </w:r>
            <w:r>
              <w:rPr>
                <w:noProof/>
                <w:webHidden/>
              </w:rPr>
              <w:tab/>
            </w:r>
            <w:r>
              <w:rPr>
                <w:noProof/>
                <w:webHidden/>
              </w:rPr>
              <w:fldChar w:fldCharType="begin"/>
            </w:r>
            <w:r>
              <w:rPr>
                <w:noProof/>
                <w:webHidden/>
              </w:rPr>
              <w:instrText xml:space="preserve"> PAGEREF _Toc46847720 \h </w:instrText>
            </w:r>
            <w:r>
              <w:rPr>
                <w:noProof/>
                <w:webHidden/>
              </w:rPr>
            </w:r>
            <w:r>
              <w:rPr>
                <w:noProof/>
                <w:webHidden/>
              </w:rPr>
              <w:fldChar w:fldCharType="separate"/>
            </w:r>
            <w:r>
              <w:rPr>
                <w:noProof/>
                <w:webHidden/>
              </w:rPr>
              <w:t>5</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47721" w:history="1">
            <w:r>
              <w:rPr>
                <w:rStyle w:val="Hyperlink"/>
                <w:noProof/>
              </w:rPr>
              <w:t>3</w:t>
            </w:r>
            <w:r>
              <w:rPr>
                <w:rFonts w:asciiTheme="minorHAnsi" w:eastAsiaTheme="minorEastAsia" w:hAnsiTheme="minorHAnsi" w:cstheme="minorBidi"/>
                <w:caps w:val="0"/>
                <w:noProof/>
                <w:sz w:val="22"/>
                <w:szCs w:val="22"/>
                <w:lang w:val="en-US"/>
              </w:rPr>
              <w:tab/>
            </w:r>
            <w:r>
              <w:rPr>
                <w:rStyle w:val="Hyperlink"/>
                <w:noProof/>
              </w:rPr>
              <w:t>Īstenošanas statuss — attālums līdz mērķim</w:t>
            </w:r>
            <w:r>
              <w:rPr>
                <w:noProof/>
                <w:webHidden/>
              </w:rPr>
              <w:tab/>
            </w:r>
            <w:r>
              <w:rPr>
                <w:noProof/>
                <w:webHidden/>
              </w:rPr>
              <w:fldChar w:fldCharType="begin"/>
            </w:r>
            <w:r>
              <w:rPr>
                <w:noProof/>
                <w:webHidden/>
              </w:rPr>
              <w:instrText xml:space="preserve"> PAGEREF _Toc46847721 \h </w:instrText>
            </w:r>
            <w:r>
              <w:rPr>
                <w:noProof/>
                <w:webHidden/>
              </w:rPr>
            </w:r>
            <w:r>
              <w:rPr>
                <w:noProof/>
                <w:webHidden/>
              </w:rPr>
              <w:fldChar w:fldCharType="separate"/>
            </w:r>
            <w:r>
              <w:rPr>
                <w:noProof/>
                <w:webHidden/>
              </w:rPr>
              <w:t>6</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47722" w:history="1">
            <w:r>
              <w:rPr>
                <w:rStyle w:val="Hyperlink"/>
                <w:noProof/>
              </w:rPr>
              <w:t>3.1</w:t>
            </w:r>
            <w:r>
              <w:rPr>
                <w:rFonts w:asciiTheme="minorHAnsi" w:eastAsiaTheme="minorEastAsia" w:hAnsiTheme="minorHAnsi" w:cstheme="minorBidi"/>
                <w:noProof/>
                <w:sz w:val="22"/>
                <w:szCs w:val="22"/>
                <w:lang w:val="en-US"/>
              </w:rPr>
              <w:tab/>
            </w:r>
            <w:r>
              <w:rPr>
                <w:rStyle w:val="Hyperlink"/>
                <w:noProof/>
              </w:rPr>
              <w:t>Notekūdeņu savākšana</w:t>
            </w:r>
            <w:r>
              <w:rPr>
                <w:noProof/>
                <w:webHidden/>
              </w:rPr>
              <w:tab/>
            </w:r>
            <w:r>
              <w:rPr>
                <w:noProof/>
                <w:webHidden/>
              </w:rPr>
              <w:fldChar w:fldCharType="begin"/>
            </w:r>
            <w:r>
              <w:rPr>
                <w:noProof/>
                <w:webHidden/>
              </w:rPr>
              <w:instrText xml:space="preserve"> PAGEREF _Toc46847722 \h </w:instrText>
            </w:r>
            <w:r>
              <w:rPr>
                <w:noProof/>
                <w:webHidden/>
              </w:rPr>
            </w:r>
            <w:r>
              <w:rPr>
                <w:noProof/>
                <w:webHidden/>
              </w:rPr>
              <w:fldChar w:fldCharType="separate"/>
            </w:r>
            <w:r>
              <w:rPr>
                <w:noProof/>
                <w:webHidden/>
              </w:rPr>
              <w:t>6</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847723" w:history="1">
            <w:r>
              <w:rPr>
                <w:rStyle w:val="Hyperlink"/>
                <w:noProof/>
              </w:rPr>
              <w:t>3.1.1</w:t>
            </w:r>
            <w:r>
              <w:rPr>
                <w:rFonts w:asciiTheme="minorHAnsi" w:eastAsiaTheme="minorEastAsia" w:hAnsiTheme="minorHAnsi" w:cstheme="minorBidi"/>
                <w:noProof/>
                <w:sz w:val="22"/>
                <w:szCs w:val="22"/>
                <w:lang w:val="en-US"/>
              </w:rPr>
              <w:tab/>
            </w:r>
            <w:r>
              <w:rPr>
                <w:rStyle w:val="Hyperlink"/>
                <w:noProof/>
              </w:rPr>
              <w:t>Individuālas sistēmas vai citas piemērotas sistēmas</w:t>
            </w:r>
            <w:r>
              <w:rPr>
                <w:noProof/>
                <w:webHidden/>
              </w:rPr>
              <w:tab/>
            </w:r>
            <w:r>
              <w:rPr>
                <w:noProof/>
                <w:webHidden/>
              </w:rPr>
              <w:fldChar w:fldCharType="begin"/>
            </w:r>
            <w:r>
              <w:rPr>
                <w:noProof/>
                <w:webHidden/>
              </w:rPr>
              <w:instrText xml:space="preserve"> PAGEREF _Toc46847723 \h </w:instrText>
            </w:r>
            <w:r>
              <w:rPr>
                <w:noProof/>
                <w:webHidden/>
              </w:rPr>
            </w:r>
            <w:r>
              <w:rPr>
                <w:noProof/>
                <w:webHidden/>
              </w:rPr>
              <w:fldChar w:fldCharType="separate"/>
            </w:r>
            <w:r>
              <w:rPr>
                <w:noProof/>
                <w:webHidden/>
              </w:rPr>
              <w:t>7</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47724" w:history="1">
            <w:r>
              <w:rPr>
                <w:rStyle w:val="Hyperlink"/>
                <w:noProof/>
              </w:rPr>
              <w:t>3.2</w:t>
            </w:r>
            <w:r>
              <w:rPr>
                <w:rFonts w:asciiTheme="minorHAnsi" w:eastAsiaTheme="minorEastAsia" w:hAnsiTheme="minorHAnsi" w:cstheme="minorBidi"/>
                <w:noProof/>
                <w:sz w:val="22"/>
                <w:szCs w:val="22"/>
                <w:lang w:val="en-US"/>
              </w:rPr>
              <w:tab/>
            </w:r>
            <w:r>
              <w:rPr>
                <w:rStyle w:val="Hyperlink"/>
                <w:noProof/>
              </w:rPr>
              <w:t>Otrreizējā (bioloģiskā) attīrīšana</w:t>
            </w:r>
            <w:r>
              <w:rPr>
                <w:noProof/>
                <w:webHidden/>
              </w:rPr>
              <w:tab/>
            </w:r>
            <w:r>
              <w:rPr>
                <w:noProof/>
                <w:webHidden/>
              </w:rPr>
              <w:fldChar w:fldCharType="begin"/>
            </w:r>
            <w:r>
              <w:rPr>
                <w:noProof/>
                <w:webHidden/>
              </w:rPr>
              <w:instrText xml:space="preserve"> PAGEREF _Toc46847724 \h </w:instrText>
            </w:r>
            <w:r>
              <w:rPr>
                <w:noProof/>
                <w:webHidden/>
              </w:rPr>
            </w:r>
            <w:r>
              <w:rPr>
                <w:noProof/>
                <w:webHidden/>
              </w:rPr>
              <w:fldChar w:fldCharType="separate"/>
            </w:r>
            <w:r>
              <w:rPr>
                <w:noProof/>
                <w:webHidden/>
              </w:rPr>
              <w:t>8</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47725" w:history="1">
            <w:r>
              <w:rPr>
                <w:rStyle w:val="Hyperlink"/>
                <w:noProof/>
              </w:rPr>
              <w:t>3.3</w:t>
            </w:r>
            <w:r>
              <w:rPr>
                <w:rFonts w:asciiTheme="minorHAnsi" w:eastAsiaTheme="minorEastAsia" w:hAnsiTheme="minorHAnsi" w:cstheme="minorBidi"/>
                <w:noProof/>
                <w:sz w:val="22"/>
                <w:szCs w:val="22"/>
                <w:lang w:val="en-US"/>
              </w:rPr>
              <w:tab/>
            </w:r>
            <w:r>
              <w:rPr>
                <w:rStyle w:val="Hyperlink"/>
                <w:noProof/>
              </w:rPr>
              <w:t>Stingrāka jeb terciārā attīrīšana</w:t>
            </w:r>
            <w:r>
              <w:rPr>
                <w:noProof/>
                <w:webHidden/>
              </w:rPr>
              <w:tab/>
            </w:r>
            <w:r>
              <w:rPr>
                <w:noProof/>
                <w:webHidden/>
              </w:rPr>
              <w:fldChar w:fldCharType="begin"/>
            </w:r>
            <w:r>
              <w:rPr>
                <w:noProof/>
                <w:webHidden/>
              </w:rPr>
              <w:instrText xml:space="preserve"> PAGEREF _Toc46847725 \h </w:instrText>
            </w:r>
            <w:r>
              <w:rPr>
                <w:noProof/>
                <w:webHidden/>
              </w:rPr>
            </w:r>
            <w:r>
              <w:rPr>
                <w:noProof/>
                <w:webHidden/>
              </w:rPr>
              <w:fldChar w:fldCharType="separate"/>
            </w:r>
            <w:r>
              <w:rPr>
                <w:noProof/>
                <w:webHidden/>
              </w:rPr>
              <w:t>9</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847726" w:history="1">
            <w:r>
              <w:rPr>
                <w:rStyle w:val="Hyperlink"/>
                <w:noProof/>
              </w:rPr>
              <w:t>3.3.1</w:t>
            </w:r>
            <w:r>
              <w:rPr>
                <w:rFonts w:asciiTheme="minorHAnsi" w:eastAsiaTheme="minorEastAsia" w:hAnsiTheme="minorHAnsi" w:cstheme="minorBidi"/>
                <w:noProof/>
                <w:sz w:val="22"/>
                <w:szCs w:val="22"/>
                <w:lang w:val="en-US"/>
              </w:rPr>
              <w:tab/>
            </w:r>
            <w:r>
              <w:rPr>
                <w:rStyle w:val="Hyperlink"/>
                <w:noProof/>
              </w:rPr>
              <w:t>Dalībvalstu noteiktas jutīgās zonas</w:t>
            </w:r>
            <w:r>
              <w:rPr>
                <w:noProof/>
                <w:webHidden/>
              </w:rPr>
              <w:tab/>
            </w:r>
            <w:r>
              <w:rPr>
                <w:noProof/>
                <w:webHidden/>
              </w:rPr>
              <w:fldChar w:fldCharType="begin"/>
            </w:r>
            <w:r>
              <w:rPr>
                <w:noProof/>
                <w:webHidden/>
              </w:rPr>
              <w:instrText xml:space="preserve"> PAGEREF _Toc46847726 \h </w:instrText>
            </w:r>
            <w:r>
              <w:rPr>
                <w:noProof/>
                <w:webHidden/>
              </w:rPr>
            </w:r>
            <w:r>
              <w:rPr>
                <w:noProof/>
                <w:webHidden/>
              </w:rPr>
              <w:fldChar w:fldCharType="separate"/>
            </w:r>
            <w:r>
              <w:rPr>
                <w:noProof/>
                <w:webHidden/>
              </w:rPr>
              <w:t>10</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47727" w:history="1">
            <w:r>
              <w:rPr>
                <w:rStyle w:val="Hyperlink"/>
                <w:noProof/>
              </w:rPr>
              <w:t>4</w:t>
            </w:r>
            <w:r>
              <w:rPr>
                <w:rFonts w:asciiTheme="minorHAnsi" w:eastAsiaTheme="minorEastAsia" w:hAnsiTheme="minorHAnsi" w:cstheme="minorBidi"/>
                <w:caps w:val="0"/>
                <w:noProof/>
                <w:sz w:val="22"/>
                <w:szCs w:val="22"/>
                <w:lang w:val="en-US"/>
              </w:rPr>
              <w:tab/>
            </w:r>
            <w:r>
              <w:rPr>
                <w:rStyle w:val="Hyperlink"/>
                <w:noProof/>
              </w:rPr>
              <w:t>Valstu īstenošanas programmas</w:t>
            </w:r>
            <w:r>
              <w:rPr>
                <w:noProof/>
                <w:webHidden/>
              </w:rPr>
              <w:tab/>
            </w:r>
            <w:r>
              <w:rPr>
                <w:noProof/>
                <w:webHidden/>
              </w:rPr>
              <w:fldChar w:fldCharType="begin"/>
            </w:r>
            <w:r>
              <w:rPr>
                <w:noProof/>
                <w:webHidden/>
              </w:rPr>
              <w:instrText xml:space="preserve"> PAGEREF _Toc46847727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47728" w:history="1">
            <w:r>
              <w:rPr>
                <w:rStyle w:val="Hyperlink"/>
                <w:noProof/>
              </w:rPr>
              <w:t>5</w:t>
            </w:r>
            <w:r>
              <w:rPr>
                <w:rFonts w:asciiTheme="minorHAnsi" w:eastAsiaTheme="minorEastAsia" w:hAnsiTheme="minorHAnsi" w:cstheme="minorBidi"/>
                <w:caps w:val="0"/>
                <w:noProof/>
                <w:sz w:val="22"/>
                <w:szCs w:val="22"/>
                <w:lang w:val="en-US"/>
              </w:rPr>
              <w:tab/>
            </w:r>
            <w:r>
              <w:rPr>
                <w:rStyle w:val="Hyperlink"/>
                <w:noProof/>
              </w:rPr>
              <w:t>Atbilstības nodrošināšanas veicināšana</w:t>
            </w:r>
            <w:r>
              <w:rPr>
                <w:noProof/>
                <w:webHidden/>
              </w:rPr>
              <w:tab/>
            </w:r>
            <w:r>
              <w:rPr>
                <w:noProof/>
                <w:webHidden/>
              </w:rPr>
              <w:fldChar w:fldCharType="begin"/>
            </w:r>
            <w:r>
              <w:rPr>
                <w:noProof/>
                <w:webHidden/>
              </w:rPr>
              <w:instrText xml:space="preserve"> PAGEREF _Toc46847728 \h </w:instrText>
            </w:r>
            <w:r>
              <w:rPr>
                <w:noProof/>
                <w:webHidden/>
              </w:rPr>
            </w:r>
            <w:r>
              <w:rPr>
                <w:noProof/>
                <w:webHidden/>
              </w:rPr>
              <w:fldChar w:fldCharType="separate"/>
            </w:r>
            <w:r>
              <w:rPr>
                <w:noProof/>
                <w:webHidden/>
              </w:rPr>
              <w:t>13</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47729" w:history="1">
            <w:r>
              <w:rPr>
                <w:rStyle w:val="Hyperlink"/>
                <w:noProof/>
              </w:rPr>
              <w:t>5.1</w:t>
            </w:r>
            <w:r>
              <w:rPr>
                <w:rFonts w:asciiTheme="minorHAnsi" w:eastAsiaTheme="minorEastAsia" w:hAnsiTheme="minorHAnsi" w:cstheme="minorBidi"/>
                <w:noProof/>
                <w:sz w:val="22"/>
                <w:szCs w:val="22"/>
                <w:lang w:val="en-US"/>
              </w:rPr>
              <w:tab/>
            </w:r>
            <w:r>
              <w:rPr>
                <w:rStyle w:val="Hyperlink"/>
                <w:noProof/>
              </w:rPr>
              <w:t>Finansējums un ieguldījumu finansēšana</w:t>
            </w:r>
            <w:r>
              <w:rPr>
                <w:noProof/>
                <w:webHidden/>
              </w:rPr>
              <w:tab/>
            </w:r>
            <w:r>
              <w:rPr>
                <w:noProof/>
                <w:webHidden/>
              </w:rPr>
              <w:fldChar w:fldCharType="begin"/>
            </w:r>
            <w:r>
              <w:rPr>
                <w:noProof/>
                <w:webHidden/>
              </w:rPr>
              <w:instrText xml:space="preserve"> PAGEREF _Toc46847729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847730" w:history="1">
            <w:r>
              <w:rPr>
                <w:rStyle w:val="Hyperlink"/>
                <w:noProof/>
              </w:rPr>
              <w:t>5.1.1</w:t>
            </w:r>
            <w:r>
              <w:rPr>
                <w:rFonts w:asciiTheme="minorHAnsi" w:eastAsiaTheme="minorEastAsia" w:hAnsiTheme="minorHAnsi" w:cstheme="minorBidi"/>
                <w:noProof/>
                <w:sz w:val="22"/>
                <w:szCs w:val="22"/>
                <w:lang w:val="en-US"/>
              </w:rPr>
              <w:tab/>
            </w:r>
            <w:r>
              <w:rPr>
                <w:rStyle w:val="Hyperlink"/>
                <w:noProof/>
              </w:rPr>
              <w:t>Finansēšanas stratēģijas</w:t>
            </w:r>
            <w:r>
              <w:rPr>
                <w:noProof/>
                <w:webHidden/>
              </w:rPr>
              <w:tab/>
            </w:r>
            <w:r>
              <w:rPr>
                <w:noProof/>
                <w:webHidden/>
              </w:rPr>
              <w:fldChar w:fldCharType="begin"/>
            </w:r>
            <w:r>
              <w:rPr>
                <w:noProof/>
                <w:webHidden/>
              </w:rPr>
              <w:instrText xml:space="preserve"> PAGEREF _Toc46847730 \h </w:instrText>
            </w:r>
            <w:r>
              <w:rPr>
                <w:noProof/>
                <w:webHidden/>
              </w:rPr>
            </w:r>
            <w:r>
              <w:rPr>
                <w:noProof/>
                <w:webHidden/>
              </w:rPr>
              <w:fldChar w:fldCharType="separate"/>
            </w:r>
            <w:r>
              <w:rPr>
                <w:noProof/>
                <w:webHidden/>
              </w:rPr>
              <w:t>13</w:t>
            </w:r>
            <w:r>
              <w:rPr>
                <w:noProof/>
                <w:webHidden/>
              </w:rPr>
              <w:fldChar w:fldCharType="end"/>
            </w:r>
          </w:hyperlink>
        </w:p>
        <w:p>
          <w:pPr>
            <w:pStyle w:val="TOC3"/>
            <w:tabs>
              <w:tab w:val="left" w:pos="1916"/>
            </w:tabs>
            <w:rPr>
              <w:rFonts w:asciiTheme="minorHAnsi" w:eastAsiaTheme="minorEastAsia" w:hAnsiTheme="minorHAnsi" w:cstheme="minorBidi"/>
              <w:noProof/>
              <w:sz w:val="22"/>
              <w:szCs w:val="22"/>
              <w:lang w:val="en-US"/>
            </w:rPr>
          </w:pPr>
          <w:hyperlink w:anchor="_Toc46847731" w:history="1">
            <w:r>
              <w:rPr>
                <w:rStyle w:val="Hyperlink"/>
                <w:noProof/>
              </w:rPr>
              <w:t>5.1.2</w:t>
            </w:r>
            <w:r>
              <w:rPr>
                <w:rFonts w:asciiTheme="minorHAnsi" w:eastAsiaTheme="minorEastAsia" w:hAnsiTheme="minorHAnsi" w:cstheme="minorBidi"/>
                <w:noProof/>
                <w:sz w:val="22"/>
                <w:szCs w:val="22"/>
                <w:lang w:val="en-US"/>
              </w:rPr>
              <w:tab/>
            </w:r>
            <w:r>
              <w:rPr>
                <w:rStyle w:val="Hyperlink"/>
                <w:noProof/>
              </w:rPr>
              <w:t>ES finansējums</w:t>
            </w:r>
            <w:r>
              <w:rPr>
                <w:noProof/>
                <w:webHidden/>
              </w:rPr>
              <w:tab/>
            </w:r>
            <w:r>
              <w:rPr>
                <w:noProof/>
                <w:webHidden/>
              </w:rPr>
              <w:fldChar w:fldCharType="begin"/>
            </w:r>
            <w:r>
              <w:rPr>
                <w:noProof/>
                <w:webHidden/>
              </w:rPr>
              <w:instrText xml:space="preserve"> PAGEREF _Toc46847731 \h </w:instrText>
            </w:r>
            <w:r>
              <w:rPr>
                <w:noProof/>
                <w:webHidden/>
              </w:rPr>
            </w:r>
            <w:r>
              <w:rPr>
                <w:noProof/>
                <w:webHidden/>
              </w:rPr>
              <w:fldChar w:fldCharType="separate"/>
            </w:r>
            <w:r>
              <w:rPr>
                <w:noProof/>
                <w:webHidden/>
              </w:rPr>
              <w:t>15</w:t>
            </w:r>
            <w:r>
              <w:rPr>
                <w:noProof/>
                <w:webHidden/>
              </w:rPr>
              <w:fldChar w:fldCharType="end"/>
            </w:r>
          </w:hyperlink>
        </w:p>
        <w:p>
          <w:pPr>
            <w:pStyle w:val="TOC2"/>
            <w:tabs>
              <w:tab w:val="left" w:pos="1077"/>
            </w:tabs>
            <w:rPr>
              <w:rFonts w:asciiTheme="minorHAnsi" w:eastAsiaTheme="minorEastAsia" w:hAnsiTheme="minorHAnsi" w:cstheme="minorBidi"/>
              <w:noProof/>
              <w:sz w:val="22"/>
              <w:szCs w:val="22"/>
              <w:lang w:val="en-US"/>
            </w:rPr>
          </w:pPr>
          <w:hyperlink w:anchor="_Toc46847732" w:history="1">
            <w:r>
              <w:rPr>
                <w:rStyle w:val="Hyperlink"/>
                <w:noProof/>
              </w:rPr>
              <w:t>5.2</w:t>
            </w:r>
            <w:r>
              <w:rPr>
                <w:rFonts w:asciiTheme="minorHAnsi" w:eastAsiaTheme="minorEastAsia" w:hAnsiTheme="minorHAnsi" w:cstheme="minorBidi"/>
                <w:noProof/>
                <w:sz w:val="22"/>
                <w:szCs w:val="22"/>
                <w:lang w:val="en-US"/>
              </w:rPr>
              <w:tab/>
            </w:r>
            <w:r>
              <w:rPr>
                <w:rStyle w:val="Hyperlink"/>
                <w:noProof/>
              </w:rPr>
              <w:t>Tiesību aktu prasību izpilde</w:t>
            </w:r>
            <w:r>
              <w:rPr>
                <w:noProof/>
                <w:webHidden/>
              </w:rPr>
              <w:tab/>
            </w:r>
            <w:r>
              <w:rPr>
                <w:noProof/>
                <w:webHidden/>
              </w:rPr>
              <w:fldChar w:fldCharType="begin"/>
            </w:r>
            <w:r>
              <w:rPr>
                <w:noProof/>
                <w:webHidden/>
              </w:rPr>
              <w:instrText xml:space="preserve"> PAGEREF _Toc46847732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47733" w:history="1">
            <w:r>
              <w:rPr>
                <w:rStyle w:val="Hyperlink"/>
                <w:noProof/>
              </w:rPr>
              <w:t>6</w:t>
            </w:r>
            <w:r>
              <w:rPr>
                <w:rFonts w:asciiTheme="minorHAnsi" w:eastAsiaTheme="minorEastAsia" w:hAnsiTheme="minorHAnsi" w:cstheme="minorBidi"/>
                <w:caps w:val="0"/>
                <w:noProof/>
                <w:sz w:val="22"/>
                <w:szCs w:val="22"/>
                <w:lang w:val="en-US"/>
              </w:rPr>
              <w:tab/>
            </w:r>
            <w:r>
              <w:rPr>
                <w:rStyle w:val="Hyperlink"/>
                <w:noProof/>
              </w:rPr>
              <w:t>Ietekme uz ūdens vidi</w:t>
            </w:r>
            <w:r>
              <w:rPr>
                <w:noProof/>
                <w:webHidden/>
              </w:rPr>
              <w:tab/>
            </w:r>
            <w:r>
              <w:rPr>
                <w:noProof/>
                <w:webHidden/>
              </w:rPr>
              <w:fldChar w:fldCharType="begin"/>
            </w:r>
            <w:r>
              <w:rPr>
                <w:noProof/>
                <w:webHidden/>
              </w:rPr>
              <w:instrText xml:space="preserve"> PAGEREF _Toc46847733 \h </w:instrText>
            </w:r>
            <w:r>
              <w:rPr>
                <w:noProof/>
                <w:webHidden/>
              </w:rPr>
            </w:r>
            <w:r>
              <w:rPr>
                <w:noProof/>
                <w:webHidden/>
              </w:rPr>
              <w:fldChar w:fldCharType="separate"/>
            </w:r>
            <w:r>
              <w:rPr>
                <w:noProof/>
                <w:webHidden/>
              </w:rPr>
              <w:t>15</w:t>
            </w:r>
            <w:r>
              <w:rPr>
                <w:noProof/>
                <w:webHidden/>
              </w:rPr>
              <w:fldChar w:fldCharType="end"/>
            </w:r>
          </w:hyperlink>
        </w:p>
        <w:p>
          <w:pPr>
            <w:pStyle w:val="TOC1"/>
            <w:rPr>
              <w:rFonts w:asciiTheme="minorHAnsi" w:eastAsiaTheme="minorEastAsia" w:hAnsiTheme="minorHAnsi" w:cstheme="minorBidi"/>
              <w:caps w:val="0"/>
              <w:noProof/>
              <w:sz w:val="22"/>
              <w:szCs w:val="22"/>
              <w:lang w:val="en-US"/>
            </w:rPr>
          </w:pPr>
          <w:hyperlink w:anchor="_Toc46847734" w:history="1">
            <w:r>
              <w:rPr>
                <w:rStyle w:val="Hyperlink"/>
                <w:noProof/>
              </w:rPr>
              <w:t>7</w:t>
            </w:r>
            <w:r>
              <w:rPr>
                <w:rFonts w:asciiTheme="minorHAnsi" w:eastAsiaTheme="minorEastAsia" w:hAnsiTheme="minorHAnsi" w:cstheme="minorBidi"/>
                <w:caps w:val="0"/>
                <w:noProof/>
                <w:sz w:val="22"/>
                <w:szCs w:val="22"/>
                <w:lang w:val="en-US"/>
              </w:rPr>
              <w:tab/>
            </w:r>
            <w:r>
              <w:rPr>
                <w:rStyle w:val="Hyperlink"/>
                <w:noProof/>
              </w:rPr>
              <w:t>Secinājumi</w:t>
            </w:r>
            <w:r>
              <w:rPr>
                <w:noProof/>
                <w:webHidden/>
              </w:rPr>
              <w:tab/>
            </w:r>
            <w:r>
              <w:rPr>
                <w:noProof/>
                <w:webHidden/>
              </w:rPr>
              <w:fldChar w:fldCharType="begin"/>
            </w:r>
            <w:r>
              <w:rPr>
                <w:noProof/>
                <w:webHidden/>
              </w:rPr>
              <w:instrText xml:space="preserve"> PAGEREF _Toc46847734 \h </w:instrText>
            </w:r>
            <w:r>
              <w:rPr>
                <w:noProof/>
                <w:webHidden/>
              </w:rPr>
            </w:r>
            <w:r>
              <w:rPr>
                <w:noProof/>
                <w:webHidden/>
              </w:rPr>
              <w:fldChar w:fldCharType="separate"/>
            </w:r>
            <w:r>
              <w:rPr>
                <w:noProof/>
                <w:webHidden/>
              </w:rPr>
              <w:t>16</w:t>
            </w:r>
            <w:r>
              <w:rPr>
                <w:noProof/>
                <w:webHidden/>
              </w:rPr>
              <w:fldChar w:fldCharType="end"/>
            </w:r>
          </w:hyperlink>
        </w:p>
        <w:p>
          <w:pPr>
            <w:rPr>
              <w:noProof/>
            </w:rPr>
          </w:pPr>
          <w:r>
            <w:rPr>
              <w:b/>
              <w:bCs/>
              <w:noProof/>
            </w:rPr>
            <w:fldChar w:fldCharType="end"/>
          </w:r>
        </w:p>
      </w:sdtContent>
    </w:sdt>
    <w:p>
      <w:pPr>
        <w:spacing w:after="200" w:line="276" w:lineRule="auto"/>
        <w:jc w:val="left"/>
        <w:rPr>
          <w:b/>
          <w:bCs/>
          <w:smallCaps/>
          <w:noProof/>
          <w:kern w:val="32"/>
          <w:szCs w:val="24"/>
        </w:rPr>
      </w:pPr>
      <w:bookmarkStart w:id="2" w:name="_Toc496003912"/>
      <w:r>
        <w:rPr>
          <w:noProof/>
        </w:rPr>
        <w:br w:type="page"/>
      </w:r>
    </w:p>
    <w:p>
      <w:pPr>
        <w:pStyle w:val="Heading1"/>
        <w:numPr>
          <w:ilvl w:val="0"/>
          <w:numId w:val="0"/>
        </w:numPr>
        <w:ind w:left="432" w:hanging="432"/>
        <w:rPr>
          <w:noProof/>
        </w:rPr>
      </w:pPr>
      <w:bookmarkStart w:id="3" w:name="_Toc46847715"/>
      <w:r>
        <w:rPr>
          <w:noProof/>
        </w:rPr>
        <w:t>Kopsavilkums</w:t>
      </w:r>
      <w:bookmarkEnd w:id="3"/>
    </w:p>
    <w:p>
      <w:pPr>
        <w:rPr>
          <w:noProof/>
        </w:rPr>
      </w:pPr>
      <w:hyperlink r:id="rId16" w:history="1">
        <w:r>
          <w:rPr>
            <w:noProof/>
          </w:rPr>
          <w:t>Komunālo notekūdeņu attīrīšanas direktīvas</w:t>
        </w:r>
      </w:hyperlink>
      <w:r>
        <w:rPr>
          <w:noProof/>
        </w:rPr>
        <w:t xml:space="preserve"> (KNAD) uzdevums ir virzīt ES uz nulles piesārņojuma mērķi, kas pasludināts paziņojumā “Eiropas zaļais kurss”</w:t>
      </w:r>
      <w:r>
        <w:rPr>
          <w:rStyle w:val="FootnoteReference"/>
          <w:noProof/>
        </w:rPr>
        <w:footnoteReference w:id="1"/>
      </w:r>
      <w:r>
        <w:rPr>
          <w:noProof/>
        </w:rPr>
        <w:t>.</w:t>
      </w:r>
    </w:p>
    <w:p>
      <w:pPr>
        <w:rPr>
          <w:noProof/>
        </w:rPr>
      </w:pPr>
      <w:r>
        <w:rPr>
          <w:noProof/>
        </w:rPr>
        <w:t xml:space="preserve">Šai nolūkā dalībvalstīm ir jānodrošina, ka aglomerācijas (lielpilsētas, pilsētas, apdzīvotas vietas) piemērotā veidā savāc un attīra notekūdeņus, kas citādi piesārņotu upes, ezerus un jūras. Tādējādi KNAD veic svarīgu uzdevumu cilvēku veselības aizsardzībā un ūdens ekosistēmu vispārējās noturības uzturēšanā. KNAD ir svarīga loma arī aprites ekonomikā, izmantojot atkārtoti attīrītus notekūdeņus un notekūdeņu dūņas, ražojot atjaunojamo energoresursu enerģiju un pārstrādājot barības vielas. </w:t>
      </w:r>
    </w:p>
    <w:p>
      <w:pPr>
        <w:rPr>
          <w:iCs/>
          <w:noProof/>
        </w:rPr>
      </w:pPr>
      <w:r>
        <w:rPr>
          <w:noProof/>
        </w:rPr>
        <w:t xml:space="preserve">Šis ir 10. divgadu ziņojums par to, kā dalībvalstis īsteno KNAD un savas ieguldījumu programmas. Tajā ir sniegta informācija par 2016. gadu un par vairāk nekā 23 600 aglomerācijām, kurās cilvēki (un ierobežotā mērā rūpniecība) rada notekūdeņus 612 miljonu cilvēka ekvivalentu (c. e.) apmērā. Pēdējos desmit gados komunālo notekūdeņu savākšana un attīrīšana ES ir uzlabojusies: 95 % atbilstības rādītājs savākšanai, 88 % — otrreizējai (bioloģiskajai) attīrīšanai un 86 % — stingrākai attīrīšanai (fosfora un slāpekļa atdalīšanai). Tomēr vēl ir daudz darāmā, lai panāktu pilnīgu atbilstību KNAD. Dažās dalībvalstīs, lai sasniegtu minēto mērķi, joprojām ir jāpieliek ievērojamas pūles: netiek savākti komunālie notekūdeņi, kas atbilst 6,6 miljoniem c. e. (1 %), savāktie notekūdeņi vairāk nekā 37 miljonu c. e. (6 %) apmērā netiek pietiekami labi attīrīti, lai atbilstu otrreizējās attīrīšanas standartiem, savukārt gandrīz 32 miljoni c. e. (8 %) neatbilst stingrākiem attīrīšanas standartiem. Tas nozīmē, ka ES ir aglomerācijas, kurās ir jābūvē vai jāuzlabo infrastruktūra. Neatbilstības gadījumos sistemātiski tiek ierosinātas pārkāpumu lietas. </w:t>
      </w:r>
    </w:p>
    <w:p>
      <w:pPr>
        <w:spacing w:after="220"/>
        <w:rPr>
          <w:noProof/>
        </w:rPr>
      </w:pPr>
      <w:r>
        <w:rPr>
          <w:noProof/>
        </w:rPr>
        <w:t>Finanses un plānošana joprojām ir galvenās problēmas, ar kurām saskaras ūdenssaimniecības nozare. 2016. gadā aplēstie kopējie ieguldījumi, kas nepieciešami, lai nodrošinātu atbilstību KNAD visās dalībvalstīs (tostarp tajā laikā Apvienotajā Karalistē), sasniedza gandrīz 229 miljardus EUR. Arī ESAO lēš, ka ES valstīm un Apvienotajai Karalistei laikposmā no 2020. līdz 2030. gadam būs jāiztērē papildu 253 miljardi EUR, lai sasniegtu un uzturētu atbilstību KNAD. Ir atzīts, ka pašreizējie izdevumi daudzās dalībvalstīs ir pārāk mazi, lai sasniegtu un uzturētu atbilstību ilgtermiņā</w:t>
      </w:r>
      <w:r>
        <w:rPr>
          <w:rStyle w:val="FootnoteReference"/>
          <w:noProof/>
        </w:rPr>
        <w:footnoteReference w:id="2"/>
      </w:r>
      <w:r>
        <w:rPr>
          <w:noProof/>
        </w:rPr>
        <w:t xml:space="preserve">. </w:t>
      </w:r>
    </w:p>
    <w:p>
      <w:pPr>
        <w:spacing w:after="220"/>
        <w:rPr>
          <w:b/>
          <w:bCs/>
          <w:smallCaps/>
          <w:noProof/>
          <w:kern w:val="32"/>
          <w:szCs w:val="24"/>
        </w:rPr>
      </w:pPr>
      <w:r>
        <w:rPr>
          <w:noProof/>
        </w:rPr>
        <w:t>Šā 10. ziņojuma dati tika izmantoti ne vien KNAD īstenošanas analīzei, bet arī tās izvērtēšanai. Attiecībā uz KNAD tika veikts Normatīvās atbilstības un izpildes programmas (</w:t>
      </w:r>
      <w:r>
        <w:rPr>
          <w:i/>
          <w:noProof/>
        </w:rPr>
        <w:t>REFIT</w:t>
      </w:r>
      <w:r>
        <w:rPr>
          <w:noProof/>
        </w:rPr>
        <w:t>) izvērtējums. Rezultāti tika publicēti 2019. gadā</w:t>
      </w:r>
      <w:r>
        <w:rPr>
          <w:rStyle w:val="FootnoteReference"/>
          <w:iCs/>
          <w:noProof/>
        </w:rPr>
        <w:footnoteReference w:id="3"/>
      </w:r>
      <w:r>
        <w:rPr>
          <w:noProof/>
        </w:rPr>
        <w:t xml:space="preserve">. Reaģējot uz izvērtējuma konstatējumiem, Komisija sāka ietekmes novērtējumu, kurā tiks novērtēti rīcībpolitikas varianti, ar kuriem padarīt KNAD piemērotu turpmākajām vajadzībām. </w:t>
      </w:r>
      <w:r>
        <w:rPr>
          <w:noProof/>
        </w:rPr>
        <w:br w:type="page"/>
      </w:r>
    </w:p>
    <w:p>
      <w:pPr>
        <w:pStyle w:val="Heading1"/>
        <w:numPr>
          <w:ilvl w:val="0"/>
          <w:numId w:val="26"/>
        </w:numPr>
        <w:rPr>
          <w:noProof/>
        </w:rPr>
      </w:pPr>
      <w:bookmarkStart w:id="4" w:name="_Toc46847716"/>
      <w:r>
        <w:rPr>
          <w:noProof/>
        </w:rPr>
        <w:t>Politiskais konteksts</w:t>
      </w:r>
      <w:bookmarkEnd w:id="2"/>
      <w:bookmarkEnd w:id="4"/>
    </w:p>
    <w:p>
      <w:pPr>
        <w:rPr>
          <w:noProof/>
        </w:rPr>
      </w:pPr>
      <w:hyperlink r:id="rId17" w:history="1">
        <w:r>
          <w:rPr>
            <w:noProof/>
          </w:rPr>
          <w:t>Komunālo notekūdeņu attīrīšanas direktīvas</w:t>
        </w:r>
      </w:hyperlink>
      <w:r>
        <w:rPr>
          <w:rStyle w:val="FootnoteReference"/>
          <w:noProof/>
        </w:rPr>
        <w:footnoteReference w:id="4"/>
      </w:r>
      <w:r>
        <w:rPr>
          <w:noProof/>
        </w:rPr>
        <w:t xml:space="preserve"> (KNAD) uzdevums ir virzīt ES uz nulles piesārņojuma mērķi, kas pasludināts paziņojumā “Eiropas zaļais kurss”</w:t>
      </w:r>
      <w:r>
        <w:rPr>
          <w:rStyle w:val="FootnoteReference"/>
          <w:noProof/>
        </w:rPr>
        <w:footnoteReference w:id="5"/>
      </w:r>
      <w:r>
        <w:rPr>
          <w:noProof/>
        </w:rPr>
        <w:t>. Saskaņā ar Ūdens pamatdirektīvu</w:t>
      </w:r>
      <w:r>
        <w:rPr>
          <w:rStyle w:val="FootnoteReference"/>
          <w:noProof/>
        </w:rPr>
        <w:footnoteReference w:id="6"/>
      </w:r>
      <w:r>
        <w:rPr>
          <w:noProof/>
        </w:rPr>
        <w:t xml:space="preserve"> (ŪPD) KNAD ir “pamatpasākums”. Tai ir svarīga loma, nodrošinot, lai tiktu uzlabots ES ūdenstilpju stāvoklis un ekosistēmu noturība, kā arī lai tiktu aizsargāta bioloģiskā daudzveidība. Ņemot vērā būtisko uzdevumu nodrošināt labu ES ūdenstilpņu stāvokli, vēlākais, līdz 2027. gadam, efektīva komunālo notekūdeņu savākšana un attīrīšana ir ļoti svarīga. Tās uzdevums ir arī aizsargāt cilvēku veselību, piemēram, notekūdeņu uzraudzība palīdzēja atklāt Covid-19 jau pirms pandēmijas, kā arī tās laikā, un, īstenojot šos uzraudzības pasākumus, var agrīni brīdināt veselības aizsardzības iestādes</w:t>
      </w:r>
      <w:r>
        <w:rPr>
          <w:rStyle w:val="FootnoteReference"/>
          <w:noProof/>
        </w:rPr>
        <w:footnoteReference w:id="7"/>
      </w:r>
      <w:r>
        <w:rPr>
          <w:noProof/>
        </w:rPr>
        <w:t>.</w:t>
      </w:r>
    </w:p>
    <w:p>
      <w:pPr>
        <w:rPr>
          <w:noProof/>
        </w:rPr>
      </w:pPr>
      <w:r>
        <w:rPr>
          <w:noProof/>
        </w:rPr>
        <w:t>Ūdenssaimniecības nozare ir svarīga Eiropas zaļā kursa kontekstā, jo​īsteno nepieciešamus pasākumus, lai sasniegtu ES mērķus panākt klimata neitralitāti un likvidēt piesārņojumu, vienlaikus veicinot ilgtspējīgu izaugsmi un radot darbavietas. Notekūdeņu nozare var dot savu ieguldījumu aprites ekonomikā, atkārtoti izmantojot attīrītus notekūdeņus un notekūdeņu dūņas, ražojot atjaunojamo energoresursu enerģiju un pārstrādājot barības vielas.</w:t>
      </w:r>
    </w:p>
    <w:p>
      <w:pPr>
        <w:rPr>
          <w:noProof/>
        </w:rPr>
      </w:pPr>
      <w:hyperlink r:id="rId18" w:history="1">
        <w:r>
          <w:rPr>
            <w:noProof/>
          </w:rPr>
          <w:t>KNAD</w:t>
        </w:r>
      </w:hyperlink>
      <w:r>
        <w:rPr>
          <w:noProof/>
        </w:rPr>
        <w:t xml:space="preserve"> ir arī solis ceļā uz to, lai tiktu sasniegti Apvienoto Nāciju Organizācijas ilgtspējīgas attīstības mērķi (IAM), jo īpaši 6. IAM, nodrošinot ūdens un sanitārijas pieejamību visiem</w:t>
      </w:r>
      <w:r>
        <w:rPr>
          <w:rStyle w:val="FootnoteReference"/>
          <w:noProof/>
        </w:rPr>
        <w:footnoteReference w:id="8"/>
      </w:r>
      <w:r>
        <w:rPr>
          <w:noProof/>
        </w:rPr>
        <w:t>. Visā pasaulē 2,4 miljardi cilvēku (no kuriem aptuveni 10 miljoni dzīvo ES) nav pieejama uzlabota sanitārija. ES ir zaļo tehnoloģiju avots ūdenssaimniecības nozarei visā pasaulē, kā arī novatorisku risinājumu avots; 8 no 15 pasaules lielākajiem ūdens apsaimniekošanas uzņēmumiem atrodas ES</w:t>
      </w:r>
      <w:r>
        <w:rPr>
          <w:rStyle w:val="FootnoteReference"/>
          <w:noProof/>
        </w:rPr>
        <w:footnoteReference w:id="9"/>
      </w:r>
      <w:r>
        <w:rPr>
          <w:noProof/>
        </w:rPr>
        <w:t xml:space="preserve">. </w:t>
      </w:r>
    </w:p>
    <w:p>
      <w:pPr>
        <w:rPr>
          <w:noProof/>
        </w:rPr>
      </w:pPr>
      <w:r>
        <w:rPr>
          <w:noProof/>
        </w:rPr>
        <w:t xml:space="preserve">Komisija 2020. gadā sāka ietekmes novērtēšanu ar mērķi noteikt rīcībpolitikas variantus, ar kuriem padarīt KNAD piemērotu turpmākajām vajadzībām. Tas tika darīts, reaģējot uz KNAD izvērtējumu, kas tika veikts vienlaikus ar </w:t>
      </w:r>
      <w:hyperlink r:id="rId19" w:history="1">
        <w:r>
          <w:rPr>
            <w:noProof/>
          </w:rPr>
          <w:t>ŪPD, no tās atvasināto direktīvu un Plūdu direktīvas</w:t>
        </w:r>
      </w:hyperlink>
      <w:r>
        <w:rPr>
          <w:noProof/>
        </w:rPr>
        <w:t xml:space="preserve"> atbilstības pārbaudi 2019. gadā. </w:t>
      </w:r>
    </w:p>
    <w:p>
      <w:pPr>
        <w:pStyle w:val="Heading1"/>
        <w:numPr>
          <w:ilvl w:val="0"/>
          <w:numId w:val="26"/>
        </w:numPr>
        <w:rPr>
          <w:noProof/>
        </w:rPr>
      </w:pPr>
      <w:bookmarkStart w:id="5" w:name="_Toc46847717"/>
      <w:bookmarkStart w:id="6" w:name="_Toc496003913"/>
      <w:r>
        <w:rPr>
          <w:noProof/>
        </w:rPr>
        <w:t>Atbilstības līmenis ES</w:t>
      </w:r>
      <w:bookmarkEnd w:id="5"/>
    </w:p>
    <w:p>
      <w:pPr>
        <w:spacing w:after="220"/>
        <w:rPr>
          <w:noProof/>
        </w:rPr>
      </w:pPr>
      <w:r>
        <w:rPr>
          <w:noProof/>
        </w:rPr>
        <w:t>Šis ir 10. divgadu ziņojums par to, kā dalībvalstis īsteno KNAD un savas ieguldījumu programmas.</w:t>
      </w:r>
      <w:r>
        <w:rPr>
          <w:rStyle w:val="FootnoteReference"/>
          <w:noProof/>
        </w:rPr>
        <w:t xml:space="preserve"> </w:t>
      </w:r>
      <w:r>
        <w:rPr>
          <w:rStyle w:val="FootnoteReference"/>
          <w:noProof/>
        </w:rPr>
        <w:footnoteReference w:id="10"/>
      </w:r>
      <w:r>
        <w:rPr>
          <w:noProof/>
        </w:rPr>
        <w:t xml:space="preserve"> Tajā ir apkopots to datu novērtējums, kas tika paziņoti 2016. gadā, pamatojoties uz KNAD 15. un 17. pantā izklāstītajām prasībām.</w:t>
      </w:r>
      <w:r>
        <w:rPr>
          <w:rStyle w:val="FootnoteReference"/>
          <w:noProof/>
        </w:rPr>
        <w:t xml:space="preserve"> </w:t>
      </w:r>
    </w:p>
    <w:p>
      <w:pPr>
        <w:rPr>
          <w:b/>
          <w:noProof/>
        </w:rPr>
      </w:pPr>
      <w:r>
        <w:rPr>
          <w:b/>
          <w:noProof/>
        </w:rPr>
        <w:t xml:space="preserve">Ir uzlabojusies komunālo notekūdeņu savākšana un attīrīšana, tomēr visā ES vēl nav panākta pilnīga atbilstība KNAD. </w:t>
      </w:r>
    </w:p>
    <w:p>
      <w:pPr>
        <w:rPr>
          <w:noProof/>
        </w:rPr>
      </w:pPr>
      <w:r>
        <w:rPr>
          <w:noProof/>
        </w:rPr>
        <w:t>ES 2016. gadā sasniedza augstu atbilstības līmeni:</w:t>
      </w:r>
    </w:p>
    <w:p>
      <w:pPr>
        <w:pStyle w:val="ListParagraph"/>
        <w:numPr>
          <w:ilvl w:val="0"/>
          <w:numId w:val="20"/>
        </w:numPr>
        <w:rPr>
          <w:noProof/>
        </w:rPr>
      </w:pPr>
      <w:r>
        <w:rPr>
          <w:noProof/>
        </w:rPr>
        <w:t>95 % attiecībā uz savākšanu (izmantojot kanalizācijas sistēmas un individuālas vai citas piemērotas sistēmas (</w:t>
      </w:r>
      <w:r>
        <w:rPr>
          <w:i/>
          <w:noProof/>
        </w:rPr>
        <w:t>IAS</w:t>
      </w:r>
      <w:r>
        <w:rPr>
          <w:noProof/>
        </w:rPr>
        <w:t>));</w:t>
      </w:r>
    </w:p>
    <w:p>
      <w:pPr>
        <w:pStyle w:val="ListParagraph"/>
        <w:numPr>
          <w:ilvl w:val="0"/>
          <w:numId w:val="20"/>
        </w:numPr>
        <w:rPr>
          <w:noProof/>
        </w:rPr>
      </w:pPr>
      <w:r>
        <w:rPr>
          <w:noProof/>
        </w:rPr>
        <w:t>88 % attiecībā uz otrreizējo (bioloģisko) attīrīšanu;</w:t>
      </w:r>
    </w:p>
    <w:p>
      <w:pPr>
        <w:pStyle w:val="ListParagraph"/>
        <w:numPr>
          <w:ilvl w:val="0"/>
          <w:numId w:val="20"/>
        </w:numPr>
        <w:rPr>
          <w:noProof/>
        </w:rPr>
      </w:pPr>
      <w:r>
        <w:rPr>
          <w:noProof/>
        </w:rPr>
        <w:t>86 % attiecībā uz attīrīšanu, kas ir stingrāka nekā otrreizējā attīrīšana (galvenokārt slāpekļa un/vai fosfora atdalīšana aglomerācijās ar vairāk nekā 10 000 c. e., kuras ietvaros notekūdeņus novada jutīgās zonās un to sateces baseinos).</w:t>
      </w:r>
    </w:p>
    <w:p>
      <w:pPr>
        <w:spacing w:after="200"/>
        <w:ind w:left="424"/>
        <w:rPr>
          <w:noProof/>
        </w:rPr>
      </w:pPr>
      <w:r>
        <w:rPr>
          <w:noProof/>
        </w:rPr>
        <w:t xml:space="preserve">Kā parādīts nākamajā attēlā, ne visi savāktie notekūdeņi ir jāattīra pēc viena un tā paša standarta un ne visiem savāktajiem notekūdeņiem ir jāatbilst 4. un 5. pantā izklāstītajām prasībām. Nepieciešamais attīrīšanas līmenis ir atkarīgs no aglomerācijas lieluma un no tā ūdens jutības, kurā notekūdeņi tiek novadīti. </w:t>
      </w:r>
    </w:p>
    <w:p>
      <w:pPr>
        <w:rPr>
          <w:i/>
          <w:noProof/>
          <w:sz w:val="20"/>
        </w:rPr>
      </w:pPr>
      <w:r>
        <w:rPr>
          <w:noProof/>
          <w:lang w:val="en-GB" w:eastAsia="en-GB"/>
        </w:rPr>
        <w:drawing>
          <wp:inline distT="0" distB="0" distL="0" distR="0">
            <wp:extent cx="5676900" cy="422275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676900" cy="4222750"/>
                    </a:xfrm>
                    <a:prstGeom prst="rect">
                      <a:avLst/>
                    </a:prstGeom>
                    <a:noFill/>
                    <a:ln>
                      <a:noFill/>
                    </a:ln>
                  </pic:spPr>
                </pic:pic>
              </a:graphicData>
            </a:graphic>
          </wp:inline>
        </w:drawing>
      </w:r>
      <w:r>
        <w:rPr>
          <w:i/>
          <w:noProof/>
          <w:sz w:val="20"/>
        </w:rPr>
        <w:t>1. attēls. Atbilstība 3., 4 un 5. panta prasībām ES 2016. gadā [noteiktam pantam atbilstošu aglomerāciju notekūdeņu slodzes procentuālā daļa].</w:t>
      </w:r>
    </w:p>
    <w:p>
      <w:pPr>
        <w:spacing w:after="0"/>
        <w:rPr>
          <w:i/>
          <w:noProof/>
          <w:sz w:val="20"/>
        </w:rPr>
      </w:pPr>
      <w:r>
        <w:rPr>
          <w:i/>
          <w:noProof/>
          <w:sz w:val="20"/>
        </w:rPr>
        <w:t xml:space="preserve">Apzīmējums “neapstiprināts” (pelēks) attiecas uz pārejas periodiem, kas piemērojami notekūdeņiem, kuri radušies nesen noteiktās jutīgās zonās. </w:t>
      </w:r>
      <w:r>
        <w:rPr>
          <w:i/>
          <w:iCs/>
          <w:noProof/>
          <w:sz w:val="20"/>
        </w:rPr>
        <w:t xml:space="preserve">Atbilstība 5. pantam ietver datus par dalībvalstīm, kas piemēro 5. panta 4. punktu. </w:t>
      </w:r>
    </w:p>
    <w:p>
      <w:pPr>
        <w:spacing w:after="200"/>
        <w:rPr>
          <w:noProof/>
        </w:rPr>
      </w:pPr>
    </w:p>
    <w:p>
      <w:pPr>
        <w:rPr>
          <w:noProof/>
        </w:rPr>
      </w:pPr>
      <w:r>
        <w:rPr>
          <w:noProof/>
        </w:rPr>
        <w:t xml:space="preserve">Dalībvalstis 2016. gadā ziņoja par vairāk nekā 23 600 aglomerācijām, kurās cilvēka ekvivalents (c. e.) bija vismaz 2000. Šīs aglomerācijas radīja notekūdeņu slodzi </w:t>
      </w:r>
      <w:r>
        <w:rPr>
          <w:b/>
          <w:noProof/>
        </w:rPr>
        <w:t>612 miljonu</w:t>
      </w:r>
      <w:r>
        <w:rPr>
          <w:noProof/>
        </w:rPr>
        <w:t> c. e. apmērā — galvenokārt no sadzīves avotiem, taču arī no rūpnieciskajiem notekūdeņiem un lietus notekūdeņiem. Rūpniecības daļa ir ierobežota, bet tās notekūdeņos var būt piesārņotāji, kurus komunālās attīrīšanas iekārtas neattīra tikpat efektīvi. Radīto notekūdeņu daudzums ir palielinājies par 1,5 %, salīdzinot ar 2014. gadu. Pašreizējo attīrīšanas iekārtu attīrīšanas jauda (783 miljoni c. e.) ir lielāka nekā pašlaik radītā notekūdeņu slodze, lai tās varētu pielāgoties iekārtas saņemtās slodzes izmaiņām un lai nākotnē varētu apmierināt lielākas vajadzības.</w:t>
      </w:r>
    </w:p>
    <w:p>
      <w:pPr>
        <w:rPr>
          <w:noProof/>
        </w:rPr>
      </w:pPr>
      <w:r>
        <w:rPr>
          <w:noProof/>
        </w:rPr>
        <w:t>Gandrīz 90 % ES notekūdeņu slodzes rada aglomerācijas ar vairāk nekā 10 000 c. e.; pusi rada lielās pilsētas (52 % no aglomerācijām ar vairāk nekā 100 000 c. e.). Tas var likt dalībvalstīm novirzīt lielāko daļu savu ieguldījumu neatbilstīgām notekūdeņu infrastruktūrām lielākās aglomerācijās (ar vairāk nekā 10 000 c. e.).</w:t>
      </w:r>
    </w:p>
    <w:p>
      <w:pPr>
        <w:pStyle w:val="ListParagraph"/>
        <w:keepNext/>
        <w:numPr>
          <w:ilvl w:val="0"/>
          <w:numId w:val="27"/>
        </w:numPr>
        <w:spacing w:before="240" w:after="60" w:line="276" w:lineRule="auto"/>
        <w:contextualSpacing w:val="0"/>
        <w:jc w:val="left"/>
        <w:outlineLvl w:val="0"/>
        <w:rPr>
          <w:b/>
          <w:bCs/>
          <w:smallCaps/>
          <w:noProof/>
          <w:vanish/>
          <w:kern w:val="32"/>
          <w:szCs w:val="24"/>
        </w:rPr>
      </w:pPr>
      <w:bookmarkStart w:id="7" w:name="_Toc46747370"/>
      <w:bookmarkStart w:id="8" w:name="_Toc46847718"/>
      <w:bookmarkEnd w:id="7"/>
      <w:bookmarkEnd w:id="8"/>
    </w:p>
    <w:p>
      <w:pPr>
        <w:pStyle w:val="ListParagraph"/>
        <w:keepNext/>
        <w:numPr>
          <w:ilvl w:val="0"/>
          <w:numId w:val="27"/>
        </w:numPr>
        <w:spacing w:before="240" w:after="60" w:line="276" w:lineRule="auto"/>
        <w:contextualSpacing w:val="0"/>
        <w:jc w:val="left"/>
        <w:outlineLvl w:val="0"/>
        <w:rPr>
          <w:b/>
          <w:bCs/>
          <w:smallCaps/>
          <w:noProof/>
          <w:vanish/>
          <w:kern w:val="32"/>
          <w:szCs w:val="24"/>
        </w:rPr>
      </w:pPr>
      <w:bookmarkStart w:id="9" w:name="_Toc46747371"/>
      <w:bookmarkStart w:id="10" w:name="_Toc46847719"/>
      <w:bookmarkEnd w:id="9"/>
      <w:bookmarkEnd w:id="10"/>
    </w:p>
    <w:p>
      <w:pPr>
        <w:pStyle w:val="Heading2"/>
        <w:rPr>
          <w:noProof/>
        </w:rPr>
      </w:pPr>
      <w:bookmarkStart w:id="11" w:name="_Toc46847720"/>
      <w:r>
        <w:rPr>
          <w:noProof/>
        </w:rPr>
        <w:t>Atbilstības tendences</w:t>
      </w:r>
      <w:bookmarkEnd w:id="11"/>
    </w:p>
    <w:p>
      <w:pPr>
        <w:rPr>
          <w:noProof/>
        </w:rPr>
      </w:pPr>
      <w:r>
        <w:rPr>
          <w:noProof/>
        </w:rPr>
        <w:t>Kopš KNAD pieņemšanas ir panākts būtisks progress tās īstenošanā un attiecībā uz atbilstību 3., 4. un 5. pantā izklāstītajām prasībām.</w:t>
      </w:r>
    </w:p>
    <w:p>
      <w:pPr>
        <w:spacing w:after="200" w:line="276" w:lineRule="auto"/>
        <w:jc w:val="left"/>
        <w:rPr>
          <w:noProof/>
        </w:rPr>
      </w:pPr>
      <w:r>
        <w:rPr>
          <w:noProof/>
          <w:lang w:val="en-GB" w:eastAsia="en-GB"/>
        </w:rPr>
        <w:drawing>
          <wp:inline distT="0" distB="0" distL="0" distR="0">
            <wp:extent cx="5657850" cy="4108450"/>
            <wp:effectExtent l="0" t="0" r="0" b="635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657850" cy="4108450"/>
                    </a:xfrm>
                    <a:prstGeom prst="rect">
                      <a:avLst/>
                    </a:prstGeom>
                    <a:noFill/>
                    <a:ln>
                      <a:noFill/>
                    </a:ln>
                  </pic:spPr>
                </pic:pic>
              </a:graphicData>
            </a:graphic>
          </wp:inline>
        </w:drawing>
      </w:r>
      <w:r>
        <w:rPr>
          <w:i/>
          <w:noProof/>
          <w:sz w:val="20"/>
        </w:rPr>
        <w:t>2. attēls. Atbilstības līmenis 3., 4. un 5. panta prasībām — statistiskās tendences (1998.–2016. gads)</w:t>
      </w:r>
    </w:p>
    <w:p>
      <w:pPr>
        <w:spacing w:after="200" w:line="276" w:lineRule="auto"/>
        <w:rPr>
          <w:noProof/>
        </w:rPr>
      </w:pPr>
      <w:r>
        <w:rPr>
          <w:noProof/>
        </w:rPr>
        <w:t>Pēdējos gados atbilstības līmenis ir stabilizējies. 2016. gadā atbilstība 3. panta prasībām saglabājās 2014. gada līmenī, savukārt atbilstība 4. pantam samazinājās par 1 %, bet atbilstība 5. pantam palielinājās par 1 %. 2016. gada dati sniedz pilnīgāku pārskatu nekā 2014. gada dati, jo 2016. gadā vairākas dalībvalstis (piem., Polija, Ungārija un Slovēnija) sasniedza savus galīgos termiņus. Tādējādi, aprēķinot atbilstības līmeni, tika ņemts vērā vairāk datu.</w:t>
      </w:r>
    </w:p>
    <w:p>
      <w:pPr>
        <w:spacing w:after="200" w:line="276" w:lineRule="auto"/>
        <w:rPr>
          <w:noProof/>
        </w:rPr>
      </w:pPr>
      <w:r>
        <w:rPr>
          <w:noProof/>
        </w:rPr>
        <w:t>Vērtības, kas norāda atbilstības līmeni 3., 4. un 5. panta prasībām, ir apvienotas, lai iegūtu vienu rādītāju. Kopējais atbilstības līmenis ES 2016. gadā palielinājās un bija 81 %.</w:t>
      </w:r>
    </w:p>
    <w:p>
      <w:pPr>
        <w:rPr>
          <w:i/>
          <w:noProof/>
          <w:sz w:val="20"/>
        </w:rPr>
      </w:pPr>
      <w:r>
        <w:rPr>
          <w:noProof/>
          <w:lang w:val="en-GB" w:eastAsia="en-GB"/>
        </w:rPr>
        <w:drawing>
          <wp:inline distT="0" distB="0" distL="0" distR="0">
            <wp:extent cx="5600700" cy="4222750"/>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600700" cy="4222750"/>
                    </a:xfrm>
                    <a:prstGeom prst="rect">
                      <a:avLst/>
                    </a:prstGeom>
                    <a:noFill/>
                    <a:ln>
                      <a:noFill/>
                    </a:ln>
                  </pic:spPr>
                </pic:pic>
              </a:graphicData>
            </a:graphic>
          </wp:inline>
        </w:drawing>
      </w:r>
      <w:r>
        <w:rPr>
          <w:i/>
          <w:noProof/>
          <w:sz w:val="20"/>
        </w:rPr>
        <w:t>3. attēls. Atbilstības līmenis KNAD prasībām ES, 2012–2016 [attiecīgajā gadā notekūdeņu slodze aglomerācijās atbilda standartiem]; *2012. gada slejā ir parādīti 2010.–2012. gada dati.</w:t>
      </w:r>
    </w:p>
    <w:p>
      <w:pPr>
        <w:pStyle w:val="Heading1"/>
        <w:rPr>
          <w:noProof/>
        </w:rPr>
      </w:pPr>
      <w:bookmarkStart w:id="12" w:name="_Toc46847721"/>
      <w:bookmarkStart w:id="13" w:name="_Toc496003923"/>
      <w:r>
        <w:rPr>
          <w:noProof/>
        </w:rPr>
        <w:t>Īstenošanas statuss — attālums līdz mērķim</w:t>
      </w:r>
      <w:bookmarkEnd w:id="12"/>
    </w:p>
    <w:p>
      <w:pPr>
        <w:rPr>
          <w:noProof/>
        </w:rPr>
      </w:pPr>
      <w:r>
        <w:rPr>
          <w:noProof/>
        </w:rPr>
        <w:t>“Attālums līdz mērķim” ir rādītājs, kas apzīmē to, cik daudz vēl ir jāizdara, lai izpildītu KNAD noteiktos standartus.</w:t>
      </w:r>
    </w:p>
    <w:p>
      <w:pPr>
        <w:pStyle w:val="Heading2"/>
        <w:rPr>
          <w:noProof/>
        </w:rPr>
      </w:pPr>
      <w:bookmarkStart w:id="14" w:name="_Toc496003914"/>
      <w:bookmarkStart w:id="15" w:name="_Toc46847722"/>
      <w:r>
        <w:rPr>
          <w:noProof/>
        </w:rPr>
        <w:t>Notekūdeņu savākšana</w:t>
      </w:r>
      <w:bookmarkEnd w:id="14"/>
      <w:bookmarkEnd w:id="15"/>
    </w:p>
    <w:p>
      <w:pPr>
        <w:numPr>
          <w:ilvl w:val="0"/>
          <w:numId w:val="19"/>
        </w:numPr>
        <w:rPr>
          <w:noProof/>
        </w:rPr>
      </w:pPr>
      <w:r>
        <w:rPr>
          <w:noProof/>
        </w:rPr>
        <w:t xml:space="preserve">Vēl ir jāsavāc </w:t>
      </w:r>
      <w:r>
        <w:rPr>
          <w:b/>
          <w:noProof/>
        </w:rPr>
        <w:t>1 %</w:t>
      </w:r>
      <w:r>
        <w:rPr>
          <w:noProof/>
        </w:rPr>
        <w:t xml:space="preserve"> no notekūdeņu slodzes (aptuveni </w:t>
      </w:r>
      <w:r>
        <w:rPr>
          <w:b/>
          <w:noProof/>
        </w:rPr>
        <w:t>6,6 miljoni</w:t>
      </w:r>
      <w:r>
        <w:rPr>
          <w:noProof/>
        </w:rPr>
        <w:t xml:space="preserve"> c. e.). </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2016. gadā ES</w:t>
      </w:r>
      <w:r>
        <w:rPr>
          <w:rStyle w:val="FootnoteReference"/>
          <w:rFonts w:ascii="Times New Roman" w:eastAsia="Times New Roman" w:hAnsi="Times New Roman" w:cs="Times New Roman"/>
          <w:noProof/>
          <w:position w:val="0"/>
          <w:sz w:val="24"/>
          <w:szCs w:val="20"/>
        </w:rPr>
        <w:footnoteReference w:id="11"/>
      </w:r>
      <w:r>
        <w:rPr>
          <w:rFonts w:ascii="Times New Roman" w:hAnsi="Times New Roman"/>
          <w:noProof/>
          <w:sz w:val="24"/>
          <w:szCs w:val="20"/>
        </w:rPr>
        <w:t xml:space="preserve"> netika savākti atbilstīgu un neatbilstīgu aglomerāciju radīti notekūdeņi gandrīz 6 605 000 c. e. apmērā. Nākamajā attēlā ir parādīts, ka attālums līdz mērķim ir diezgan mazs. </w:t>
      </w:r>
    </w:p>
    <w:p>
      <w:pPr>
        <w:rPr>
          <w:i/>
          <w:noProof/>
          <w:sz w:val="20"/>
        </w:rPr>
      </w:pPr>
      <w:r>
        <w:rPr>
          <w:noProof/>
          <w:lang w:val="en-GB" w:eastAsia="en-GB"/>
        </w:rPr>
        <w:drawing>
          <wp:inline distT="0" distB="0" distL="0" distR="0">
            <wp:extent cx="5760720" cy="3996975"/>
            <wp:effectExtent l="0" t="0" r="0" b="381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760720" cy="3996975"/>
                    </a:xfrm>
                    <a:prstGeom prst="rect">
                      <a:avLst/>
                    </a:prstGeom>
                    <a:noFill/>
                    <a:ln>
                      <a:noFill/>
                    </a:ln>
                  </pic:spPr>
                </pic:pic>
              </a:graphicData>
            </a:graphic>
          </wp:inline>
        </w:drawing>
      </w:r>
      <w:r>
        <w:rPr>
          <w:i/>
          <w:noProof/>
          <w:sz w:val="20"/>
        </w:rPr>
        <w:t>4. attēls. Attālums līdz notekūdeņu savākšanas mērķim ES, 2012.–2016. gads [notekūdeņu slodzes procentuālā daļa visās aglomerācijās; attiecīgajā gadā šī slodze neatbilda atbilstības kritērijiem]</w:t>
      </w:r>
    </w:p>
    <w:p>
      <w:pPr>
        <w:rPr>
          <w:noProof/>
        </w:rPr>
      </w:pPr>
      <w:r>
        <w:rPr>
          <w:noProof/>
        </w:rPr>
        <w:t>Jāpiebilst, ka 4. attēlā nav parādīta pilnīga aina, jo vairāk nekā 8 300 000 c. e. netika ņemti vērā, aprēķinot attālumu līdz savākšanas mērķim, tāpēc ka tā ir notekūdeņu slodze, attiecībā uz kuru 2016. gadā termiņi vēl nebija iestājušies</w:t>
      </w:r>
      <w:r>
        <w:rPr>
          <w:rStyle w:val="FootnoteReference"/>
          <w:noProof/>
        </w:rPr>
        <w:footnoteReference w:id="12"/>
      </w:r>
      <w:r>
        <w:rPr>
          <w:noProof/>
        </w:rPr>
        <w:t>.</w:t>
      </w:r>
    </w:p>
    <w:p>
      <w:pPr>
        <w:pStyle w:val="Heading3"/>
        <w:jc w:val="left"/>
        <w:rPr>
          <w:noProof/>
        </w:rPr>
      </w:pPr>
      <w:bookmarkStart w:id="16" w:name="_Toc46847723"/>
      <w:r>
        <w:rPr>
          <w:noProof/>
        </w:rPr>
        <w:t>Individuālas sistēmas vai citas piemērotas sistēmas</w:t>
      </w:r>
      <w:bookmarkEnd w:id="16"/>
      <w:r>
        <w:rPr>
          <w:noProof/>
        </w:rPr>
        <w:t xml:space="preserve"> </w:t>
      </w:r>
    </w:p>
    <w:p>
      <w:pPr>
        <w:rPr>
          <w:iCs/>
          <w:noProof/>
        </w:rPr>
      </w:pPr>
      <w:r>
        <w:rPr>
          <w:noProof/>
        </w:rPr>
        <w:t xml:space="preserve">Gan </w:t>
      </w:r>
      <w:r>
        <w:rPr>
          <w:i/>
          <w:noProof/>
        </w:rPr>
        <w:t>REFIT</w:t>
      </w:r>
      <w:r>
        <w:rPr>
          <w:noProof/>
        </w:rPr>
        <w:t xml:space="preserve"> izvērtējums, gan dati, ko dalībvalstis paziņojušas saskaņā ar ŪPD liecina, ka daudzās jomās necentralizētas sanitārijas sistēmas (zināmas kā </w:t>
      </w:r>
      <w:r>
        <w:rPr>
          <w:i/>
          <w:noProof/>
        </w:rPr>
        <w:t>IAS</w:t>
      </w:r>
      <w:r>
        <w:rPr>
          <w:rStyle w:val="FootnoteReference"/>
          <w:noProof/>
        </w:rPr>
        <w:footnoteReference w:id="13"/>
      </w:r>
      <w:r>
        <w:rPr>
          <w:noProof/>
        </w:rPr>
        <w:t>) rada būtisku spiedienu uz ūdenstilpnēm. Komisija pēta, vai ir ievēroti šo sistēmu ekspluatācijas nosacījumi (reģistrācija, atļaujas, uzraudzība un pārbaudes) dalībvalstīs, kuras tās plaši izmanto</w:t>
      </w:r>
      <w:r>
        <w:rPr>
          <w:rStyle w:val="FootnoteReference"/>
          <w:noProof/>
        </w:rPr>
        <w:footnoteReference w:id="14"/>
      </w:r>
      <w:r>
        <w:rPr>
          <w:noProof/>
        </w:rPr>
        <w:t xml:space="preserve">. </w:t>
      </w:r>
    </w:p>
    <w:p>
      <w:pPr>
        <w:rPr>
          <w:noProof/>
        </w:rPr>
      </w:pPr>
      <w:r>
        <w:rPr>
          <w:noProof/>
        </w:rPr>
        <w:t xml:space="preserve">Nākamajā attēlā ir parādīts, kuras dalībvalstis izmanto </w:t>
      </w:r>
      <w:r>
        <w:rPr>
          <w:i/>
          <w:noProof/>
        </w:rPr>
        <w:t>IAS</w:t>
      </w:r>
      <w:r>
        <w:rPr>
          <w:noProof/>
        </w:rPr>
        <w:t>:</w:t>
      </w:r>
    </w:p>
    <w:p>
      <w:pPr>
        <w:numPr>
          <w:ilvl w:val="0"/>
          <w:numId w:val="19"/>
        </w:numPr>
        <w:rPr>
          <w:noProof/>
        </w:rPr>
      </w:pPr>
      <w:r>
        <w:rPr>
          <w:noProof/>
        </w:rPr>
        <w:t xml:space="preserve">Polija, Ungārija, Slovākija, Slovēnija, Grieķija, Bulgārija, Čehija un Latvija ziņoja, ka </w:t>
      </w:r>
      <w:r>
        <w:rPr>
          <w:i/>
          <w:noProof/>
        </w:rPr>
        <w:t>IAS</w:t>
      </w:r>
      <w:r>
        <w:rPr>
          <w:noProof/>
        </w:rPr>
        <w:t xml:space="preserve"> tika savākti un/vai attīrīti vismaz 5 % notekūdeņu;</w:t>
      </w:r>
    </w:p>
    <w:p>
      <w:pPr>
        <w:numPr>
          <w:ilvl w:val="0"/>
          <w:numId w:val="19"/>
        </w:numPr>
        <w:rPr>
          <w:noProof/>
        </w:rPr>
      </w:pPr>
      <w:r>
        <w:rPr>
          <w:noProof/>
        </w:rPr>
        <w:t xml:space="preserve">Polija, Ungārija, Grieķija, Itālija un Vācija ziņoja, ka </w:t>
      </w:r>
      <w:r>
        <w:rPr>
          <w:i/>
          <w:noProof/>
        </w:rPr>
        <w:t>IAS</w:t>
      </w:r>
      <w:r>
        <w:rPr>
          <w:noProof/>
        </w:rPr>
        <w:t xml:space="preserve"> savāktā un/vai attīrītā slodze pārsniedza 1 miljonu c. e.</w:t>
      </w:r>
    </w:p>
    <w:p>
      <w:pPr>
        <w:rPr>
          <w:bCs/>
          <w:i/>
          <w:iCs/>
          <w:noProof/>
          <w:sz w:val="20"/>
        </w:rPr>
      </w:pPr>
      <w:r>
        <w:rPr>
          <w:noProof/>
          <w:lang w:val="en-GB" w:eastAsia="en-GB"/>
        </w:rPr>
        <w:drawing>
          <wp:inline distT="0" distB="0" distL="0" distR="0">
            <wp:extent cx="5613400" cy="4146550"/>
            <wp:effectExtent l="0" t="0" r="635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613400" cy="4146550"/>
                    </a:xfrm>
                    <a:prstGeom prst="rect">
                      <a:avLst/>
                    </a:prstGeom>
                    <a:noFill/>
                    <a:ln>
                      <a:noFill/>
                    </a:ln>
                  </pic:spPr>
                </pic:pic>
              </a:graphicData>
            </a:graphic>
          </wp:inline>
        </w:drawing>
      </w:r>
      <w:r>
        <w:rPr>
          <w:bCs/>
          <w:i/>
          <w:iCs/>
          <w:noProof/>
          <w:sz w:val="20"/>
        </w:rPr>
        <w:t>5. attēls. IAS izmantošana dalībvalstīs, 2016. gads [notekūdeņu slodze visās aglomerācijās katrā dalībvalstī, izteikta miljonos c. e. un procentos no kopējā daudzuma].</w:t>
      </w:r>
    </w:p>
    <w:p>
      <w:pPr>
        <w:pStyle w:val="Heading2"/>
        <w:rPr>
          <w:noProof/>
        </w:rPr>
      </w:pPr>
      <w:bookmarkStart w:id="17" w:name="_Toc496003915"/>
      <w:bookmarkStart w:id="18" w:name="_Toc46847724"/>
      <w:r>
        <w:rPr>
          <w:noProof/>
        </w:rPr>
        <w:t>Otrreizējā (bioloģiskā) attīrīšana</w:t>
      </w:r>
      <w:bookmarkEnd w:id="17"/>
      <w:bookmarkEnd w:id="18"/>
    </w:p>
    <w:p>
      <w:pPr>
        <w:numPr>
          <w:ilvl w:val="0"/>
          <w:numId w:val="19"/>
        </w:numPr>
        <w:rPr>
          <w:noProof/>
        </w:rPr>
      </w:pPr>
      <w:r>
        <w:rPr>
          <w:b/>
          <w:noProof/>
        </w:rPr>
        <w:t>6 %</w:t>
      </w:r>
      <w:r>
        <w:rPr>
          <w:noProof/>
        </w:rPr>
        <w:t xml:space="preserve"> no savāktās notekūdeņu slodzes (aptuveni </w:t>
      </w:r>
      <w:r>
        <w:rPr>
          <w:b/>
          <w:noProof/>
        </w:rPr>
        <w:t>37 miljoni</w:t>
      </w:r>
      <w:r>
        <w:rPr>
          <w:noProof/>
        </w:rPr>
        <w:t> c. e.) joprojām ir jāveic otrreizējā attīrīšana saskaņā ar KNAD prasībām.</w:t>
      </w:r>
    </w:p>
    <w:p>
      <w:pPr>
        <w:rPr>
          <w:noProof/>
        </w:rPr>
      </w:pPr>
      <w:r>
        <w:rPr>
          <w:noProof/>
        </w:rPr>
        <w:t>Dalībvalstīm ir jānodrošina otrreizēja attīrīšana</w:t>
      </w:r>
      <w:r>
        <w:rPr>
          <w:rStyle w:val="FootnoteReference"/>
          <w:noProof/>
        </w:rPr>
        <w:footnoteReference w:id="15"/>
      </w:r>
      <w:r>
        <w:rPr>
          <w:noProof/>
        </w:rPr>
        <w:t xml:space="preserve"> visās aglomerācijās ar vairāk nekā 10 000 c. e., kā arī tajās aglomerācijās ar vairāk nekā 2000 c. e., kas novada notekūdeņus saldūdenī un estuāros. 2016. gadā otrreizējai attīrīšanai netika pakļauti un/vai KNAD paredzētajām novadīšanas prasībām vēl neatbilda atbilstīgās un neatbilstīgās aglomerācijas ES savākti notekūdeņi vairāk nekā 37 116 000 c. e. apmērā. </w:t>
      </w:r>
    </w:p>
    <w:p>
      <w:pPr>
        <w:rPr>
          <w:i/>
          <w:noProof/>
          <w:sz w:val="20"/>
        </w:rPr>
      </w:pPr>
      <w:r>
        <w:rPr>
          <w:noProof/>
          <w:lang w:val="en-GB" w:eastAsia="en-GB"/>
        </w:rPr>
        <w:drawing>
          <wp:inline distT="0" distB="0" distL="0" distR="0">
            <wp:extent cx="5695950" cy="43815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695950" cy="4381500"/>
                    </a:xfrm>
                    <a:prstGeom prst="rect">
                      <a:avLst/>
                    </a:prstGeom>
                    <a:noFill/>
                    <a:ln>
                      <a:noFill/>
                    </a:ln>
                  </pic:spPr>
                </pic:pic>
              </a:graphicData>
            </a:graphic>
          </wp:inline>
        </w:drawing>
      </w:r>
      <w:r>
        <w:rPr>
          <w:i/>
          <w:noProof/>
          <w:sz w:val="20"/>
        </w:rPr>
        <w:t>6. attēls. Attālums līdz otrreizējās attīrīšanas mērķim ES, 2012.–2016. gads [notekūdeņu slodzes procentuālā daļa visās aglomerācijās; attiecīgajā gadā šī slodze neatbilda atbilstības kritērijiem]</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Līdz mērķim pietrūkst 300 000 c. e., kas netika iekļauti aprēķinos, jo attiecībā uz tiem 2016. gadā termiņi vēl nebija iestājušies. Turklāt nesavāktie notekūdeņi netika attīrīti vai ņemti vērā, aprēķinot attālumu līdz otrreizējās attīrīšanas mērķim.</w:t>
      </w:r>
    </w:p>
    <w:p>
      <w:pPr>
        <w:pStyle w:val="Heading2"/>
        <w:rPr>
          <w:noProof/>
        </w:rPr>
      </w:pPr>
      <w:bookmarkStart w:id="19" w:name="_Toc496003916"/>
      <w:bookmarkStart w:id="20" w:name="_Toc46847725"/>
      <w:r>
        <w:rPr>
          <w:noProof/>
        </w:rPr>
        <w:t>Stingrāka jeb terciārā attīrīšana</w:t>
      </w:r>
      <w:bookmarkEnd w:id="19"/>
      <w:bookmarkEnd w:id="20"/>
    </w:p>
    <w:p>
      <w:pPr>
        <w:numPr>
          <w:ilvl w:val="0"/>
          <w:numId w:val="19"/>
        </w:numPr>
        <w:rPr>
          <w:noProof/>
        </w:rPr>
      </w:pPr>
      <w:r>
        <w:rPr>
          <w:b/>
          <w:noProof/>
        </w:rPr>
        <w:t>8 %</w:t>
      </w:r>
      <w:r>
        <w:rPr>
          <w:noProof/>
        </w:rPr>
        <w:t xml:space="preserve"> no savāktās notekūdeņu slodzes (aptuveni </w:t>
      </w:r>
      <w:r>
        <w:rPr>
          <w:b/>
          <w:noProof/>
        </w:rPr>
        <w:t>32 miljoni</w:t>
      </w:r>
      <w:r>
        <w:rPr>
          <w:noProof/>
        </w:rPr>
        <w:t xml:space="preserve"> c. e.) joprojām ir jāveic stingrāka attīrīšana saskaņā ar KNAD prasībām</w:t>
      </w:r>
      <w:r>
        <w:rPr>
          <w:rStyle w:val="FootnoteReference"/>
          <w:noProof/>
        </w:rPr>
        <w:footnoteReference w:id="16"/>
      </w:r>
      <w:r>
        <w:rPr>
          <w:noProof/>
        </w:rPr>
        <w:t>.</w:t>
      </w:r>
    </w:p>
    <w:p>
      <w:pPr>
        <w:pStyle w:val="Text"/>
        <w:rPr>
          <w:noProof/>
        </w:rPr>
      </w:pPr>
      <w:r>
        <w:rPr>
          <w:rFonts w:ascii="Times New Roman" w:hAnsi="Times New Roman"/>
          <w:noProof/>
          <w:sz w:val="24"/>
          <w:szCs w:val="20"/>
        </w:rPr>
        <w:t>Dalībvalstīm parasti ir jānodrošina stingrāka attīrīšana</w:t>
      </w:r>
      <w:r>
        <w:rPr>
          <w:rStyle w:val="FootnoteReference"/>
          <w:rFonts w:ascii="Times New Roman" w:eastAsia="Times New Roman" w:hAnsi="Times New Roman" w:cs="Times New Roman"/>
          <w:noProof/>
          <w:position w:val="0"/>
          <w:sz w:val="24"/>
          <w:szCs w:val="20"/>
        </w:rPr>
        <w:footnoteReference w:id="17"/>
      </w:r>
      <w:r>
        <w:rPr>
          <w:rFonts w:ascii="Times New Roman" w:hAnsi="Times New Roman"/>
          <w:noProof/>
          <w:sz w:val="24"/>
          <w:szCs w:val="20"/>
        </w:rPr>
        <w:t xml:space="preserve"> aglomerācijās ar vairāk nekā 10 000 c. e., kuras veic nopludināšanu noteiktās jutīgās zonās un to sateces baseinos. 2016. gadā stingrākai attīrīšanai netika pakļauti un/vai KNAD paredzētajām novadīšanas prasībām neatbilda visās aglomerācijas ES savākti notekūdeņi vairāk nekā 31 780 000 c. e. apmērā. </w:t>
      </w:r>
    </w:p>
    <w:p>
      <w:pPr>
        <w:rPr>
          <w:i/>
          <w:noProof/>
          <w:sz w:val="20"/>
        </w:rPr>
      </w:pPr>
      <w:r>
        <w:rPr>
          <w:noProof/>
          <w:lang w:val="en-GB" w:eastAsia="en-GB"/>
        </w:rPr>
        <w:drawing>
          <wp:inline distT="0" distB="0" distL="0" distR="0">
            <wp:extent cx="5657850" cy="4279900"/>
            <wp:effectExtent l="0" t="0" r="0" b="635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657850" cy="4279900"/>
                    </a:xfrm>
                    <a:prstGeom prst="rect">
                      <a:avLst/>
                    </a:prstGeom>
                    <a:noFill/>
                    <a:ln>
                      <a:noFill/>
                    </a:ln>
                  </pic:spPr>
                </pic:pic>
              </a:graphicData>
            </a:graphic>
          </wp:inline>
        </w:drawing>
      </w:r>
      <w:r>
        <w:rPr>
          <w:i/>
          <w:noProof/>
          <w:sz w:val="20"/>
        </w:rPr>
        <w:t>7. attēls. Attālums līdz stingrākas attīrīšanas mērķim ES, 2012.–2016. gads [notekūdeņu slodzes procentuālā daļa visās aglomerācijās; attiecīgajā gadā šī slodze neatbilda atbilstības kritērijiem]</w:t>
      </w:r>
    </w:p>
    <w:p>
      <w:pPr>
        <w:pStyle w:val="Text"/>
        <w:rPr>
          <w:rFonts w:ascii="Times New Roman" w:eastAsia="Times New Roman" w:hAnsi="Times New Roman" w:cs="Times New Roman"/>
          <w:noProof/>
          <w:position w:val="0"/>
          <w:sz w:val="24"/>
          <w:szCs w:val="20"/>
        </w:rPr>
      </w:pPr>
      <w:r>
        <w:rPr>
          <w:rFonts w:ascii="Times New Roman" w:hAnsi="Times New Roman"/>
          <w:noProof/>
          <w:sz w:val="24"/>
          <w:szCs w:val="20"/>
        </w:rPr>
        <w:t>Attālums līdz mērķim nesniedz pilnu ainu, jo gandrīz 6 300 000 c. e. netika iekļauti aprēķinos, tāpēc ka attiecībā uz tiem termiņi vēl nebija iestājušies. Turklāt nesavāktie notekūdeņi netika attīrīti vai ņemti vērā, aprēķinot attālumu līdz stingrākas attīrīšanas mērķim.</w:t>
      </w:r>
    </w:p>
    <w:p>
      <w:pPr>
        <w:pStyle w:val="Heading3"/>
        <w:rPr>
          <w:noProof/>
        </w:rPr>
      </w:pPr>
      <w:bookmarkStart w:id="21" w:name="_Toc46847726"/>
      <w:r>
        <w:rPr>
          <w:noProof/>
        </w:rPr>
        <w:t>Dalībvalstu noteiktas jutīgās zonas</w:t>
      </w:r>
      <w:bookmarkEnd w:id="21"/>
    </w:p>
    <w:p>
      <w:pPr>
        <w:spacing w:after="200"/>
        <w:rPr>
          <w:noProof/>
        </w:rPr>
      </w:pPr>
      <w:r>
        <w:rPr>
          <w:noProof/>
        </w:rPr>
        <w:t>Ceturtdaļā ES teritorijas (24 %) stingrāka attīrīšana nav nepieciešama. To, vai ir nepieciešama stingrāka attīrīšana (t. i., vai zona ir jutīga), nosaka valsts līmenī. KNAD ir noteikts, ka nepieciešamais attīrīšanas līmenis ir atkarīgs no tās ūdenstilpnes jutīguma, kurā tiek novadīti notekūdeņi. Kā parādīts nākamajā kartē, dažas valstis visu savu teritoriju apzīmē kā jutīgu (zaļu, zilu un violetu), savukārt citas ir noteikušas tikai dažas jutīgās zonas (attēlotas kā zaļi plankumi dzeltenos kartes apgabalos).</w:t>
      </w:r>
    </w:p>
    <w:p>
      <w:pPr>
        <w:rPr>
          <w:i/>
          <w:noProof/>
          <w:sz w:val="20"/>
        </w:rPr>
      </w:pPr>
      <w:r>
        <w:rPr>
          <w:noProof/>
          <w:lang w:val="en-GB" w:eastAsia="en-GB"/>
        </w:rPr>
        <w:drawing>
          <wp:inline distT="0" distB="0" distL="0" distR="0">
            <wp:extent cx="5760720" cy="8120533"/>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760720" cy="8120533"/>
                    </a:xfrm>
                    <a:prstGeom prst="rect">
                      <a:avLst/>
                    </a:prstGeom>
                    <a:noFill/>
                    <a:ln>
                      <a:noFill/>
                    </a:ln>
                  </pic:spPr>
                </pic:pic>
              </a:graphicData>
            </a:graphic>
          </wp:inline>
        </w:drawing>
      </w:r>
      <w:r>
        <w:rPr>
          <w:i/>
          <w:noProof/>
          <w:sz w:val="20"/>
        </w:rPr>
        <w:t xml:space="preserve">8. attēls. ES jutīgo zonu un jutīgo zonu sateču pārskats, 2016. gads. </w:t>
      </w:r>
    </w:p>
    <w:p>
      <w:pPr>
        <w:spacing w:after="0"/>
        <w:rPr>
          <w:i/>
          <w:noProof/>
          <w:sz w:val="20"/>
        </w:rPr>
      </w:pPr>
      <w:r>
        <w:rPr>
          <w:i/>
          <w:noProof/>
          <w:sz w:val="20"/>
        </w:rPr>
        <w:t>5. panta 2. un 3. punkts: ir jāveic stingrāka attīrīšana aglomerācijās ar vairāk nekā 10 000 c. e.</w:t>
      </w:r>
    </w:p>
    <w:p>
      <w:pPr>
        <w:spacing w:after="0"/>
        <w:rPr>
          <w:i/>
          <w:noProof/>
          <w:sz w:val="20"/>
        </w:rPr>
      </w:pPr>
      <w:r>
        <w:rPr>
          <w:i/>
          <w:noProof/>
          <w:sz w:val="20"/>
        </w:rPr>
        <w:t>5. panta 4. punkts: ir jāatdala vismaz 75 % slāpekļa un fosfora.</w:t>
      </w:r>
    </w:p>
    <w:p>
      <w:pPr>
        <w:spacing w:after="0"/>
        <w:rPr>
          <w:i/>
          <w:noProof/>
          <w:sz w:val="20"/>
        </w:rPr>
      </w:pPr>
      <w:r>
        <w:rPr>
          <w:i/>
          <w:noProof/>
          <w:sz w:val="20"/>
        </w:rPr>
        <w:t>5. panta 8. punkts: stingrāka attīrīšana ir jāveic visā valstī.</w:t>
      </w:r>
    </w:p>
    <w:p>
      <w:pPr>
        <w:spacing w:after="0"/>
        <w:rPr>
          <w:i/>
          <w:noProof/>
          <w:sz w:val="20"/>
        </w:rPr>
      </w:pPr>
    </w:p>
    <w:p>
      <w:pPr>
        <w:pStyle w:val="Heading1"/>
        <w:rPr>
          <w:noProof/>
        </w:rPr>
      </w:pPr>
      <w:bookmarkStart w:id="22" w:name="_Toc46847727"/>
      <w:r>
        <w:rPr>
          <w:noProof/>
        </w:rPr>
        <w:t>Valstu īstenošanas programmas</w:t>
      </w:r>
      <w:bookmarkEnd w:id="22"/>
    </w:p>
    <w:p>
      <w:pPr>
        <w:rPr>
          <w:noProof/>
        </w:rPr>
      </w:pPr>
      <w:r>
        <w:rPr>
          <w:noProof/>
        </w:rPr>
        <w:t xml:space="preserve">Šajā sadaļā ir apkopota informācija, ko dalībvalstis paziņoja saskaņā ar KNAD 17. pantu, par prognozētajām ieguldījumu izmaksām, lai panāktu atbilstību KNAD, un paredzamajām ieguldījumu izmaksām notekūdeņu savākšanas un attīrīšanas infrastruktūras uzstādīšanai un atjaunošanai. </w:t>
      </w:r>
    </w:p>
    <w:p>
      <w:pPr>
        <w:spacing w:after="220"/>
        <w:rPr>
          <w:noProof/>
        </w:rPr>
      </w:pPr>
      <w:r>
        <w:rPr>
          <w:noProof/>
        </w:rPr>
        <w:t>Valstu iestāžu</w:t>
      </w:r>
      <w:r>
        <w:rPr>
          <w:rStyle w:val="FootnoteReference"/>
          <w:noProof/>
        </w:rPr>
        <w:footnoteReference w:id="18"/>
      </w:r>
      <w:r>
        <w:rPr>
          <w:noProof/>
        </w:rPr>
        <w:t xml:space="preserve"> aplēstās un valstu plānos iekļautās ieguldījumu izmaksas, kas nepieciešamas, lai nodrošinātu atbilstību KNAD, ir gandrīz </w:t>
      </w:r>
      <w:r>
        <w:rPr>
          <w:b/>
          <w:noProof/>
        </w:rPr>
        <w:t>229 miljardi EUR</w:t>
      </w:r>
      <w:r>
        <w:rPr>
          <w:noProof/>
        </w:rPr>
        <w:t>. Tas attiecas uz darbu attīrīšanas iekārtās (prognoze: vairāk nekā 166 miljardi EUR) un savākšanas sistēmās (prognoze: gandrīz 63 miljardi EUR). Salīdzinājumam — ESAO lēš, ka laikposmā no 2020. līdz 2030. gadam ES valstīm būs jāiztērē papildu 253 miljardi EUR, lai sasniegtu un uzturētu pilnīgu atbilstību KNAD</w:t>
      </w:r>
      <w:r>
        <w:rPr>
          <w:rStyle w:val="FootnoteReference"/>
          <w:noProof/>
        </w:rPr>
        <w:footnoteReference w:id="19"/>
      </w:r>
      <w:r>
        <w:rPr>
          <w:noProof/>
        </w:rPr>
        <w:t>.</w:t>
      </w:r>
    </w:p>
    <w:p>
      <w:pPr>
        <w:rPr>
          <w:noProof/>
        </w:rPr>
      </w:pPr>
      <w:r>
        <w:rPr>
          <w:noProof/>
        </w:rPr>
        <w:t>“Ieguldījumu vajadzības” pēc definīcijas aptver tikai neatbilstīgās aglomerācijas, un tajās netiek ņemtas vērā ne darbības izmaksas, ne arī izmaksas, kas saistītas ar infrastruktūras uzturēšanu labā stāvoklī, lai saglabātu atbilstību KNAD. To gadu skaits, uz kuriem attiecas šī prognoze, dažādās valstīs ir atšķirīgs.</w:t>
      </w:r>
    </w:p>
    <w:p>
      <w:pPr>
        <w:rPr>
          <w:noProof/>
        </w:rPr>
      </w:pPr>
      <w:r>
        <w:rPr>
          <w:noProof/>
        </w:rPr>
        <w:t>Pretstatā iepriekš aprakstītajām “ieguldījumu vajadzībām” “paredzamās ieguldījumu izmaksas” pēc definīcijas ir turpmāko ieguldījumu aprēķins un ietver paredzamās izmaksas infrastruktūras uzturēšanai labā stāvoklī, lai tā joprojām būtu atbilstoša. To gadu skaits, uz kuriem attiecas šī prognoze, dažādās valstīs ir atšķirīgs. Tālāk dotajā 9. attēlā ir parādīts, ka tikai divas valstis plāno ieguldīt vairāk nekā 100 EUR uz vienu iedzīvotāju gadā. Vairums valstu ziņo, ka tās plāno ieguldīt gadā mazāk nekā 40 EUR uz vienu iedzīvotāju. Dati, kas norādīti 9. attēlā, ir jāvērtē uzmanīgi, jo ne visas dalībvalstis saskaņā ar 17. pantu iesniegtajos ziņojumos ir iekļāvušas visas ieguldījumu un uzturēšanas izmaksas. Turklāt paziņotās prognozes laikposms dažādās valstīs ir atšķirīgs: Beļģija ziņoja par laikposmu no 2009. līdz 2017. gadam, savukārt Čehijas ziņojums attiecas uz 2016. un 2017. gadu. Arī valsts lielums var ietekmēt 9. attēlā atspoguļotos rādītājus: ir parādīts, ka Luksemburgas ieguldījumi ir vislielākie, taču to var attiecināt uz vienu lielu plānotu ieguldījumu mazā valstī.</w:t>
      </w:r>
    </w:p>
    <w:p>
      <w:pPr>
        <w:rPr>
          <w:i/>
          <w:noProof/>
          <w:sz w:val="20"/>
        </w:rPr>
      </w:pPr>
      <w:bookmarkStart w:id="23" w:name="_Toc30517097"/>
      <w:r>
        <w:rPr>
          <w:noProof/>
          <w:lang w:val="en-GB" w:eastAsia="en-GB"/>
        </w:rPr>
        <w:drawing>
          <wp:inline distT="0" distB="0" distL="0" distR="0">
            <wp:extent cx="5760720" cy="387151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760720" cy="3871510"/>
                    </a:xfrm>
                    <a:prstGeom prst="rect">
                      <a:avLst/>
                    </a:prstGeom>
                    <a:noFill/>
                    <a:ln>
                      <a:noFill/>
                    </a:ln>
                  </pic:spPr>
                </pic:pic>
              </a:graphicData>
            </a:graphic>
          </wp:inline>
        </w:drawing>
      </w:r>
      <w:r>
        <w:rPr>
          <w:i/>
          <w:noProof/>
          <w:sz w:val="20"/>
        </w:rPr>
        <w:t>9. attēls. Dalībvalstu īstenošanas programmas — paredzamās ieguldījumu izmaksas gadā uz vienu iedzīvotāju notekūdeņu savākšanas sistēmu un attīrīšanas iekārtu uzstādīšanai un atjaunošanai [EUR uz vienu iedzīvotāju gadā].</w:t>
      </w:r>
      <w:bookmarkEnd w:id="23"/>
    </w:p>
    <w:p>
      <w:pPr>
        <w:keepNext/>
        <w:spacing w:after="0"/>
        <w:rPr>
          <w:noProof/>
        </w:rPr>
      </w:pPr>
      <w:r>
        <w:rPr>
          <w:b/>
          <w:i/>
          <w:noProof/>
          <w:sz w:val="16"/>
          <w:szCs w:val="16"/>
        </w:rPr>
        <w:t>Piezīme:</w:t>
      </w:r>
      <w:r>
        <w:rPr>
          <w:i/>
          <w:noProof/>
          <w:sz w:val="16"/>
          <w:szCs w:val="16"/>
        </w:rPr>
        <w:t xml:space="preserve"> Vācija un Ungārija neiesniedza datus par paredzamajiem ieguldījumiem.</w:t>
      </w:r>
    </w:p>
    <w:p>
      <w:pPr>
        <w:keepNext/>
        <w:spacing w:after="0"/>
        <w:rPr>
          <w:i/>
          <w:noProof/>
          <w:sz w:val="16"/>
          <w:szCs w:val="16"/>
        </w:rPr>
      </w:pPr>
      <w:r>
        <w:rPr>
          <w:i/>
          <w:noProof/>
          <w:sz w:val="16"/>
          <w:szCs w:val="16"/>
        </w:rPr>
        <w:t xml:space="preserve">Oranžā līnija, kas šķērso visu grafiku, ir vidējās paredzamās ieguldījumu izmaksas gadā ES. </w:t>
      </w:r>
    </w:p>
    <w:p>
      <w:pPr>
        <w:rPr>
          <w:noProof/>
        </w:rPr>
      </w:pPr>
    </w:p>
    <w:p>
      <w:pPr>
        <w:pStyle w:val="Heading1"/>
        <w:rPr>
          <w:noProof/>
        </w:rPr>
      </w:pPr>
      <w:bookmarkStart w:id="24" w:name="_Toc46847728"/>
      <w:r>
        <w:rPr>
          <w:noProof/>
        </w:rPr>
        <w:t>Atbilstības nodrošināšanas veicināšana</w:t>
      </w:r>
      <w:bookmarkEnd w:id="13"/>
      <w:bookmarkEnd w:id="24"/>
    </w:p>
    <w:p>
      <w:pPr>
        <w:pStyle w:val="Heading2"/>
        <w:rPr>
          <w:noProof/>
        </w:rPr>
      </w:pPr>
      <w:bookmarkStart w:id="25" w:name="_Toc496003924"/>
      <w:bookmarkStart w:id="26" w:name="_Toc46847729"/>
      <w:r>
        <w:rPr>
          <w:noProof/>
        </w:rPr>
        <w:t xml:space="preserve">Finansējums un ieguldījumu </w:t>
      </w:r>
      <w:bookmarkEnd w:id="25"/>
      <w:r>
        <w:rPr>
          <w:noProof/>
        </w:rPr>
        <w:t>finansēšana</w:t>
      </w:r>
      <w:bookmarkEnd w:id="26"/>
    </w:p>
    <w:p>
      <w:pPr>
        <w:rPr>
          <w:noProof/>
        </w:rPr>
      </w:pPr>
      <w:r>
        <w:rPr>
          <w:noProof/>
        </w:rPr>
        <w:t>Komisija ir izstrādājusi vairākas iniciatīvas, lai atbalstītu centienus nodrošināt pilnīgu atbilstību KNAD. Tās ietver iniciatīvas ieguldījumu plānošanas uzlabošanai (piem., ESAO pētījums, kas sniedz salīdzināmus datus par finansēšanas stratēģijām un ieguldījumu vajadzībām) un ES kohēzijas politikas finansējumu (ierosinātā kohēzijas politika 2021.–2027. gadam ir cieši saistīta ar valstu ieguldījumu plānošanu ilgtspējīgai ūdens apsaimniekošanai).</w:t>
      </w:r>
    </w:p>
    <w:p>
      <w:pPr>
        <w:pStyle w:val="Heading3"/>
        <w:rPr>
          <w:noProof/>
        </w:rPr>
      </w:pPr>
      <w:bookmarkStart w:id="27" w:name="_Toc46847730"/>
      <w:r>
        <w:rPr>
          <w:noProof/>
        </w:rPr>
        <w:t>Finansēšanas stratēģijas</w:t>
      </w:r>
      <w:bookmarkEnd w:id="27"/>
      <w:r>
        <w:rPr>
          <w:noProof/>
        </w:rPr>
        <w:t xml:space="preserve"> </w:t>
      </w:r>
    </w:p>
    <w:p>
      <w:pPr>
        <w:rPr>
          <w:noProof/>
        </w:rPr>
      </w:pPr>
      <w:r>
        <w:rPr>
          <w:noProof/>
        </w:rPr>
        <w:t>ESAO ir sniegusi ieteikumus,</w:t>
      </w:r>
      <w:hyperlink w:anchor="_Toc24773421" w:history="1">
        <w:r>
          <w:rPr>
            <w:noProof/>
          </w:rPr>
          <w:t xml:space="preserve"> kā risināt finansēšanas problēmas</w:t>
        </w:r>
      </w:hyperlink>
      <w:r>
        <w:rPr>
          <w:noProof/>
        </w:rPr>
        <w:t xml:space="preserve"> dalībvalstīs ar ierobežotām finansēšanas spējām un lielām ieguldījumu vajadzībām. Tie ietver esošo aktīvu un finanšu resursu labāku izmantošanu, ieguldījumu vajadzību samazināšanu un papildu finanšu avotu izmantošanu</w:t>
      </w:r>
      <w:r>
        <w:rPr>
          <w:rStyle w:val="FootnoteReference"/>
          <w:noProof/>
        </w:rPr>
        <w:footnoteReference w:id="20"/>
      </w:r>
      <w:r>
        <w:rPr>
          <w:noProof/>
        </w:rPr>
        <w:t xml:space="preserve">. </w:t>
      </w:r>
    </w:p>
    <w:p>
      <w:pPr>
        <w:rPr>
          <w:noProof/>
        </w:rPr>
      </w:pPr>
      <w:r>
        <w:rPr>
          <w:noProof/>
        </w:rPr>
        <w:t>ESAO ir prognozējusi kopējos ieguldījumus, kas nepieciešami, lai panāktu atbilstību KNAD. Tālāk ir sniegts salīdzinošs pārskats, kurā atspoguļoti kumulatīvi papildu izdevumi līdz 2030. gadam par ūdensapgādi un sanitāriju uz vienu iedzīvotāju, apvienojot trīs scenārijus:</w:t>
      </w:r>
    </w:p>
    <w:p>
      <w:pPr>
        <w:pStyle w:val="ListParagraph"/>
        <w:numPr>
          <w:ilvl w:val="0"/>
          <w:numId w:val="43"/>
        </w:numPr>
        <w:rPr>
          <w:noProof/>
        </w:rPr>
      </w:pPr>
      <w:r>
        <w:rPr>
          <w:noProof/>
        </w:rPr>
        <w:t>“rīkoties kā parasti” (urbanizācijas virzīts scenārijs),</w:t>
      </w:r>
    </w:p>
    <w:p>
      <w:pPr>
        <w:pStyle w:val="ListParagraph"/>
        <w:numPr>
          <w:ilvl w:val="0"/>
          <w:numId w:val="43"/>
        </w:numPr>
        <w:rPr>
          <w:noProof/>
        </w:rPr>
      </w:pPr>
      <w:r>
        <w:rPr>
          <w:noProof/>
        </w:rPr>
        <w:t>atbilstība Dzeramā ūdens direktīvai (DŪD) un Komunālo notekūdeņu attīrīšanas direktīvai (KNAD), un</w:t>
      </w:r>
    </w:p>
    <w:p>
      <w:pPr>
        <w:pStyle w:val="ListParagraph"/>
        <w:numPr>
          <w:ilvl w:val="0"/>
          <w:numId w:val="43"/>
        </w:numPr>
        <w:rPr>
          <w:noProof/>
        </w:rPr>
      </w:pPr>
      <w:r>
        <w:rPr>
          <w:noProof/>
        </w:rPr>
        <w:t xml:space="preserve">efektivitāte (noplūdes ūdensapgādē samazināšana). </w:t>
      </w:r>
    </w:p>
    <w:p>
      <w:pPr>
        <w:rPr>
          <w:noProof/>
        </w:rPr>
      </w:pPr>
      <w:r>
        <w:rPr>
          <w:noProof/>
        </w:rPr>
        <w:t>Ieguldījumi, kas nepieciešami, lai panāktu pilnīgu atbilstību KNAD 27 dalībvalstīs un Apvienotajā Karalistē, laikposmā no 2020. līdz 2030. gadam kopā veido papildu 253 miljardus EUR.</w:t>
      </w:r>
    </w:p>
    <w:p>
      <w:pPr>
        <w:pStyle w:val="CaptionSubtitle"/>
        <w:rPr>
          <w:noProof/>
        </w:rPr>
      </w:pPr>
      <w:bookmarkStart w:id="28" w:name="_Toc19037971"/>
      <w:bookmarkStart w:id="29" w:name="_Toc19123600"/>
      <w:r>
        <w:rPr>
          <w:noProof/>
        </w:rPr>
        <w:t>Rīcība kā parasti + atbilstība + efektivitāte (EUR)</w:t>
      </w:r>
      <w:bookmarkEnd w:id="28"/>
      <w:bookmarkEnd w:id="29"/>
    </w:p>
    <w:p>
      <w:pPr>
        <w:pStyle w:val="Sourcenotes"/>
        <w:rPr>
          <w:noProof/>
        </w:rPr>
      </w:pPr>
      <w:r>
        <w:rPr>
          <w:noProof/>
          <w:lang w:val="en-GB" w:eastAsia="en-GB"/>
        </w:rPr>
        <w:drawing>
          <wp:inline distT="0" distB="0" distL="0" distR="0">
            <wp:extent cx="5760720" cy="3590212"/>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760720" cy="3590212"/>
                    </a:xfrm>
                    <a:prstGeom prst="rect">
                      <a:avLst/>
                    </a:prstGeom>
                    <a:noFill/>
                    <a:ln>
                      <a:noFill/>
                    </a:ln>
                  </pic:spPr>
                </pic:pic>
              </a:graphicData>
            </a:graphic>
          </wp:inline>
        </w:drawing>
      </w:r>
      <w:r>
        <w:rPr>
          <w:noProof/>
        </w:rPr>
        <w:t xml:space="preserve">Avots: ESAO analīze, pamatojoties uz Eiropas Komisijas un </w:t>
      </w:r>
      <w:r>
        <w:rPr>
          <w:i/>
          <w:noProof/>
        </w:rPr>
        <w:t>Eurostat</w:t>
      </w:r>
      <w:r>
        <w:rPr>
          <w:noProof/>
        </w:rPr>
        <w:t xml:space="preserve"> datiem.</w:t>
      </w:r>
    </w:p>
    <w:p>
      <w:pPr>
        <w:spacing w:after="0"/>
        <w:ind w:right="329"/>
        <w:rPr>
          <w:i/>
          <w:noProof/>
          <w:sz w:val="16"/>
          <w:szCs w:val="16"/>
        </w:rPr>
      </w:pPr>
      <w:r>
        <w:rPr>
          <w:i/>
          <w:noProof/>
          <w:sz w:val="16"/>
          <w:szCs w:val="16"/>
        </w:rPr>
        <w:t>Scenāriju skaidrojums:</w:t>
      </w:r>
    </w:p>
    <w:p>
      <w:pPr>
        <w:pStyle w:val="ListParagraph"/>
        <w:numPr>
          <w:ilvl w:val="0"/>
          <w:numId w:val="33"/>
        </w:numPr>
        <w:spacing w:after="0"/>
        <w:ind w:right="329"/>
        <w:jc w:val="left"/>
        <w:rPr>
          <w:i/>
          <w:noProof/>
          <w:sz w:val="16"/>
          <w:szCs w:val="16"/>
        </w:rPr>
      </w:pPr>
      <w:r>
        <w:rPr>
          <w:i/>
          <w:noProof/>
          <w:sz w:val="16"/>
        </w:rPr>
        <w:t xml:space="preserve">“rīkoties kā parasti” scenārijs ataino to, cik daudz būtu jāiztērē līdz 2030. gadam, pieaugot iedzīvotāju skaitam; </w:t>
      </w:r>
    </w:p>
    <w:p>
      <w:pPr>
        <w:pStyle w:val="ListParagraph"/>
        <w:numPr>
          <w:ilvl w:val="0"/>
          <w:numId w:val="33"/>
        </w:numPr>
        <w:spacing w:after="0"/>
        <w:ind w:right="329"/>
        <w:jc w:val="left"/>
        <w:rPr>
          <w:i/>
          <w:noProof/>
          <w:sz w:val="16"/>
          <w:szCs w:val="16"/>
        </w:rPr>
      </w:pPr>
      <w:r>
        <w:rPr>
          <w:i/>
          <w:noProof/>
          <w:sz w:val="16"/>
        </w:rPr>
        <w:t xml:space="preserve">ūdensapgādes scenārijā ir atainots tas, cik daudz būtu jāiztērē līdz 2030. gadam, lai izpildītu pārstrādātās DŪD prasības; </w:t>
      </w:r>
    </w:p>
    <w:p>
      <w:pPr>
        <w:pStyle w:val="ListParagraph"/>
        <w:numPr>
          <w:ilvl w:val="0"/>
          <w:numId w:val="33"/>
        </w:numPr>
        <w:spacing w:after="0"/>
        <w:ind w:right="329"/>
        <w:jc w:val="left"/>
        <w:rPr>
          <w:i/>
          <w:noProof/>
          <w:sz w:val="16"/>
          <w:szCs w:val="16"/>
        </w:rPr>
      </w:pPr>
      <w:r>
        <w:rPr>
          <w:i/>
          <w:noProof/>
          <w:sz w:val="16"/>
        </w:rPr>
        <w:t>notekūdeņu scenārijā ir atainots tas, cik daudz būtu jāiztērē līdz 2030. gadam, lai izpildītu KNAD prasības.</w:t>
      </w:r>
    </w:p>
    <w:p>
      <w:pPr>
        <w:rPr>
          <w:i/>
          <w:noProof/>
          <w:sz w:val="20"/>
        </w:rPr>
      </w:pPr>
    </w:p>
    <w:p>
      <w:pPr>
        <w:rPr>
          <w:i/>
          <w:noProof/>
          <w:sz w:val="20"/>
        </w:rPr>
      </w:pPr>
      <w:r>
        <w:rPr>
          <w:i/>
          <w:noProof/>
          <w:sz w:val="20"/>
        </w:rPr>
        <w:t>10. attēls. Papildu izdevumi līdz 2030. gadam uz vienu iedzīvotāju attiecībā uz notekūdeņu un dzeramā ūdens sistēmām [EUR uz vienu iedzīvotāju]. Avots: ESAO (2020).</w:t>
      </w:r>
    </w:p>
    <w:p>
      <w:pPr>
        <w:rPr>
          <w:noProof/>
        </w:rPr>
      </w:pPr>
      <w:r>
        <w:rPr>
          <w:noProof/>
        </w:rPr>
        <w:t xml:space="preserve">Šā dokumenta 9. attēlā ir parādīts, ka ieguldījumi notekūdeņu infrastruktūrā, lai panāktu atbilstību KNAD, veido lielāko daļu no kopējiem papildu izdevumiem. Papildu izdevumi uz vienu iedzīvotāju ir robežās no 500 EUR līdz 1000 EUR par ūdensapgādi un sanitāriju. </w:t>
      </w:r>
    </w:p>
    <w:p>
      <w:pPr>
        <w:rPr>
          <w:noProof/>
        </w:rPr>
      </w:pPr>
      <w:r>
        <w:rPr>
          <w:noProof/>
        </w:rPr>
        <w:t xml:space="preserve">Apkopojot — tika noskaidrots, ka </w:t>
      </w:r>
      <w:r>
        <w:rPr>
          <w:b/>
          <w:noProof/>
        </w:rPr>
        <w:t>pašreizējie izdevumi daudzās dalībvalstīs ir pārāk mazi, lai panāktu atbilstību un uzturētu to ilgtermiņā.</w:t>
      </w:r>
    </w:p>
    <w:p>
      <w:pPr>
        <w:pStyle w:val="Default"/>
        <w:rPr>
          <w:noProof/>
          <w:sz w:val="22"/>
          <w:szCs w:val="22"/>
        </w:rPr>
      </w:pPr>
    </w:p>
    <w:p>
      <w:pPr>
        <w:pStyle w:val="Heading3"/>
        <w:rPr>
          <w:noProof/>
        </w:rPr>
      </w:pPr>
      <w:bookmarkStart w:id="30" w:name="_Toc46847731"/>
      <w:r>
        <w:rPr>
          <w:noProof/>
        </w:rPr>
        <w:t>ES finansējums</w:t>
      </w:r>
      <w:bookmarkEnd w:id="30"/>
    </w:p>
    <w:p>
      <w:pPr>
        <w:rPr>
          <w:noProof/>
        </w:rPr>
      </w:pPr>
      <w:r>
        <w:rPr>
          <w:noProof/>
        </w:rPr>
        <w:t>Eiropas fondiem, jo​īpaši Eiropas Reģionālās attīstības fondam un Kohēzijas fondam, ir uzdevums attīstīt notekūdeņu infrastruktūru, ja dalībvalstīm nav pietiekamu līdzekļu, lai veiktu ieguldījumus savā notekūdeņu nozarē. Dalībvalstis laikposmam no 2014. līdz 2020. gadam ūdens apsaimniekošanai no kohēzijas politikas līdzekļiem ir piešķīrušas 15,4 miljardus EUR. Lielākā daļa no plānotā budžeta (apmēram 10,8 miljardi EUR) tiek novirzīta notekūdeņu attīrīšanai, tostarp staciju un kanalizācijas tīklu būvniecībai vai modernizācijai, daļu finansējuma piešķirot arī dūņu apsaimniekošanai</w:t>
      </w:r>
      <w:r>
        <w:rPr>
          <w:rStyle w:val="FootnoteReference"/>
          <w:noProof/>
        </w:rPr>
        <w:footnoteReference w:id="21"/>
      </w:r>
      <w:r>
        <w:rPr>
          <w:noProof/>
        </w:rPr>
        <w:t>. Paredzams, ka 2014.–2020. gadā dalībvalstis 17,7 miljoniem cilvēku nodrošinās pieslēgumu jaunām vai modernizētām notekūdeņu attīrīšanas iekārtām</w:t>
      </w:r>
      <w:r>
        <w:rPr>
          <w:rStyle w:val="FootnoteReference"/>
          <w:noProof/>
        </w:rPr>
        <w:footnoteReference w:id="22"/>
      </w:r>
      <w:r>
        <w:rPr>
          <w:noProof/>
        </w:rPr>
        <w:t xml:space="preserve">. Šis atbalsts piesaista papildu valsts un privāto finansējumu, un to papildina citi ES finansējuma avoti, piemēram, </w:t>
      </w:r>
      <w:r>
        <w:rPr>
          <w:i/>
          <w:noProof/>
        </w:rPr>
        <w:t>LIFE</w:t>
      </w:r>
      <w:r>
        <w:rPr>
          <w:noProof/>
        </w:rPr>
        <w:t xml:space="preserve"> un “Apvārsnis 2020”. Ar kopējo ieguldījumu vairāk nekā 300 miljonu EUR apmērā laikposmā no 2014. līdz 2018. gadam pamatprogramma “Apvārsnis 2020” un finanšu instruments </w:t>
      </w:r>
      <w:r>
        <w:rPr>
          <w:i/>
          <w:noProof/>
        </w:rPr>
        <w:t>LIFE</w:t>
      </w:r>
      <w:r>
        <w:rPr>
          <w:noProof/>
        </w:rPr>
        <w:t xml:space="preserve"> līdzfinansē vairāk nekā 70 pētniecības un inovāciju projektus, kas saistīti ar notekūdeņiem.</w:t>
      </w:r>
      <w:r>
        <w:rPr>
          <w:rStyle w:val="FootnoteReference"/>
          <w:noProof/>
        </w:rPr>
        <w:t xml:space="preserve"> </w:t>
      </w:r>
      <w:r>
        <w:rPr>
          <w:rStyle w:val="FootnoteReference"/>
          <w:noProof/>
        </w:rPr>
        <w:footnoteReference w:id="23"/>
      </w:r>
    </w:p>
    <w:p>
      <w:pPr>
        <w:rPr>
          <w:noProof/>
        </w:rPr>
      </w:pPr>
      <w:r>
        <w:rPr>
          <w:noProof/>
        </w:rPr>
        <w:t>Attiecībā uz 2021.–2027. gada kohēzijas politikas fondiem Komisija ierosināja, ka valstu ieguldījumu plāni ir priekšnoteikums finansējuma saņemšanai, lai nodrošinātu, ka resursi tiek izmantoti visefektīvāk.</w:t>
      </w:r>
    </w:p>
    <w:p>
      <w:pPr>
        <w:pStyle w:val="Heading2"/>
        <w:rPr>
          <w:noProof/>
        </w:rPr>
      </w:pPr>
      <w:bookmarkStart w:id="31" w:name="_Toc496003925"/>
      <w:bookmarkStart w:id="32" w:name="_Toc46847732"/>
      <w:r>
        <w:rPr>
          <w:noProof/>
        </w:rPr>
        <w:t>Tiesību aktu prasību izpilde</w:t>
      </w:r>
      <w:bookmarkEnd w:id="31"/>
      <w:bookmarkEnd w:id="32"/>
    </w:p>
    <w:p>
      <w:pPr>
        <w:rPr>
          <w:noProof/>
        </w:rPr>
      </w:pPr>
      <w:r>
        <w:rPr>
          <w:noProof/>
        </w:rPr>
        <w:t>Attiecībā uz vairumu neatbilstīgo aglomerāciju, kas minētas īstenošanas ziņojumos, ir ierosinātas pārkāpumu lietas. Komisija sistemātiski izskata gadījumus, kad KNAD piemērošana ir bijusi slikta vai nepareiza. Attiecībā uz valstīm, kas pievienojās ES 2004. gadā vai vēlāk, lietas tika ierosinātas 2016.–2018. gadā un joprojām turpinās, dažās dalībvalstīs (Latvijā un Lietuvā) prasības ir gandrīz izpildītas, savukārt viena lieta (Kipra) tiek izskatīta Tiesā. Tiks arī ierosinātas lietas, kas atbilst termiņiem, kuri beidzās 2014. un 2015. gadā. Vienlaikus vecākas lietas ir nonākušas Tiesā otrā sprieduma saņemšanai. Tiesa ir izdevusi sešus spriedumus, trijos no kuriem ir uzlikts naudas sods un soda maksājumi dalībvalstīm</w:t>
      </w:r>
      <w:r>
        <w:rPr>
          <w:rStyle w:val="FootnoteReference"/>
          <w:noProof/>
        </w:rPr>
        <w:footnoteReference w:id="24"/>
      </w:r>
      <w:r>
        <w:rPr>
          <w:noProof/>
        </w:rPr>
        <w:t xml:space="preserve"> līdz 25 miljonu EUR apmērā (vienreizējs maksājums) un aptuveni 30 miljonu EUR apmērā kā naudas soda maksājums ik pēc sešiem mēnešiem. </w:t>
      </w:r>
    </w:p>
    <w:p>
      <w:pPr>
        <w:pStyle w:val="Heading1"/>
        <w:rPr>
          <w:noProof/>
        </w:rPr>
      </w:pPr>
      <w:bookmarkStart w:id="33" w:name="_Toc46847733"/>
      <w:bookmarkStart w:id="34" w:name="_Toc496003922"/>
      <w:bookmarkEnd w:id="6"/>
      <w:r>
        <w:rPr>
          <w:noProof/>
        </w:rPr>
        <w:t>Ietekme uz ūdens vidi</w:t>
      </w:r>
      <w:bookmarkEnd w:id="33"/>
      <w:r>
        <w:rPr>
          <w:noProof/>
        </w:rPr>
        <w:t xml:space="preserve"> </w:t>
      </w:r>
      <w:bookmarkEnd w:id="34"/>
    </w:p>
    <w:p>
      <w:pPr>
        <w:pStyle w:val="Text1"/>
        <w:ind w:left="0"/>
        <w:rPr>
          <w:noProof/>
        </w:rPr>
      </w:pPr>
      <w:r>
        <w:rPr>
          <w:noProof/>
        </w:rPr>
        <w:t>KNAD ir svarīgs uzdevums — uzturēt ūdens ekosistēmu vispārējo noturību un aizsargāt to bioloģisko daudzveidību, kas ir būtiska ŪPD mērķu sasniegšanai. Pēdējos 30 gados, īstenojot KNAD, ir būtiski uzlabota upju, ezeru un jūru kvalitāte. Piemēram, nākamajā attēlā ir parādīts, kā, īstenojot KNAD, samazināt slodzi, kas sasniedz ūdenstilpnes</w:t>
      </w:r>
      <w:r>
        <w:rPr>
          <w:rStyle w:val="FootnoteReference"/>
          <w:noProof/>
        </w:rPr>
        <w:footnoteReference w:id="25"/>
      </w:r>
      <w:r>
        <w:rPr>
          <w:noProof/>
        </w:rPr>
        <w:t>.</w:t>
      </w:r>
    </w:p>
    <w:p>
      <w:pPr>
        <w:rPr>
          <w:i/>
          <w:noProof/>
          <w:sz w:val="20"/>
        </w:rPr>
      </w:pPr>
      <w:bookmarkStart w:id="35" w:name="_Toc496003931"/>
      <w:r>
        <w:rPr>
          <w:noProof/>
          <w:lang w:val="en-GB" w:eastAsia="en-GB"/>
        </w:rPr>
        <w:drawing>
          <wp:inline distT="0" distB="0" distL="0" distR="0">
            <wp:extent cx="5760720" cy="3013354"/>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60720" cy="3013354"/>
                    </a:xfrm>
                    <a:prstGeom prst="rect">
                      <a:avLst/>
                    </a:prstGeom>
                    <a:noFill/>
                    <a:ln>
                      <a:noFill/>
                    </a:ln>
                  </pic:spPr>
                </pic:pic>
              </a:graphicData>
            </a:graphic>
          </wp:inline>
        </w:drawing>
      </w:r>
      <w:r>
        <w:rPr>
          <w:i/>
          <w:noProof/>
          <w:sz w:val="20"/>
        </w:rPr>
        <w:t xml:space="preserve">11. attēls. Bioķīmiskā skābekļa patēriņa (BSP) slodze (tonnas gadā) attīrītos notekūdeņos. </w:t>
      </w:r>
    </w:p>
    <w:p>
      <w:pPr>
        <w:pStyle w:val="Heading1"/>
        <w:rPr>
          <w:noProof/>
        </w:rPr>
      </w:pPr>
      <w:bookmarkStart w:id="36" w:name="_Toc46847734"/>
      <w:r>
        <w:rPr>
          <w:noProof/>
        </w:rPr>
        <w:t>Secinājumi</w:t>
      </w:r>
      <w:bookmarkEnd w:id="35"/>
      <w:bookmarkEnd w:id="36"/>
    </w:p>
    <w:p>
      <w:pPr>
        <w:rPr>
          <w:noProof/>
        </w:rPr>
      </w:pPr>
      <w:r>
        <w:rPr>
          <w:noProof/>
        </w:rPr>
        <w:t xml:space="preserve">Šajā ziņojumā Komisija secina, ka komunālo notekūdeņu savākšana un attīrīšana ES ir uzlabojusies. Notekūdeņu savākšana un attīrīšana saskaņā ar KNAD ir būtisks solis ceļā uz Ūdens pamatdirektīvas mērķu sasniegšanu. </w:t>
      </w:r>
    </w:p>
    <w:p>
      <w:pPr>
        <w:rPr>
          <w:noProof/>
        </w:rPr>
      </w:pPr>
      <w:r>
        <w:rPr>
          <w:noProof/>
        </w:rPr>
        <w:t>Tomēr, lai sasniegtu pilnīgu atbilstību KNAD, vēl ir daudz darāmā. Šīs direktīvas īstenošanai ir nepieciešama pastāvīga dalībvalstu apņemšanās, uzlabota ieguldījumu plānošana, tostarp tālredzīgi notekūdeņu infrastruktūras atjaunošanas plāni. Komisija ir izstrādājusi vairākas iniciatīvas, lai palīdzētu dalībvalstīm panākt atbilstību.</w:t>
      </w:r>
    </w:p>
    <w:p>
      <w:pPr>
        <w:rPr>
          <w:noProof/>
        </w:rPr>
      </w:pPr>
      <w:r>
        <w:rPr>
          <w:noProof/>
        </w:rPr>
        <w:t xml:space="preserve">Finanses un plānošana joprojām ir galvenās problēmas, ar kurām saskaras ūdenssaimniecības nozare. Ir konstatēts, ka pašreizējie ieguldījumi daudzās dalībvalstīs ir pārāk mazi, lai sasniegtu un uzturētu atbilstību ilgtermiņā. </w:t>
      </w:r>
    </w:p>
    <w:p>
      <w:pPr>
        <w:rPr>
          <w:noProof/>
        </w:rPr>
      </w:pPr>
      <w:r>
        <w:rPr>
          <w:noProof/>
        </w:rPr>
        <w:t>Komisija ir izvērtējusi KNAD</w:t>
      </w:r>
      <w:r>
        <w:rPr>
          <w:rStyle w:val="FootnoteReference"/>
          <w:noProof/>
        </w:rPr>
        <w:footnoteReference w:id="26"/>
      </w:r>
      <w:r>
        <w:rPr>
          <w:noProof/>
        </w:rPr>
        <w:t xml:space="preserve"> un tagad ir sākusi ietekmes novērtēšanu, lai noteiktu rīcībpolitikas variantus, ar kuriem padarīt KNAD piemērotu turpmākajām vajadzībām.</w:t>
      </w:r>
    </w:p>
    <w:sectPr>
      <w:headerReference w:type="even" r:id="rId31"/>
      <w:headerReference w:type="default" r:id="rId32"/>
      <w:footerReference w:type="even" r:id="rId33"/>
      <w:footerReference w:type="default" r:id="rId34"/>
      <w:headerReference w:type="first" r:id="rId35"/>
      <w:footerReference w:type="first" r:id="rId36"/>
      <w:pgSz w:w="11906" w:h="16838" w:code="9"/>
      <w:pgMar w:top="1417" w:right="1417" w:bottom="1417" w:left="1417" w:header="567" w:footer="567"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pPr>
        <w:spacing w:after="0"/>
      </w:pPr>
      <w:r>
        <w:separator/>
      </w:r>
    </w:p>
  </w:endnote>
  <w:endnote w:type="continuationSeparator" w:id="0">
    <w:p>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EC Square Sans Pro">
    <w:altName w:val="Segoe UI Light"/>
    <w:panose1 w:val="020B0506040000020004"/>
    <w:charset w:val="00"/>
    <w:family w:val="swiss"/>
    <w:pitch w:val="variable"/>
    <w:sig w:usb0="A00002BF" w:usb1="5000E0FB" w:usb2="00000000" w:usb3="00000000" w:csb0="0000019F" w:csb1="00000000"/>
  </w:font>
  <w:font w:name="EC Square Sans Pro Light">
    <w:altName w:val="Corbel"/>
    <w:panose1 w:val="020B0506000000020004"/>
    <w:charset w:val="00"/>
    <w:family w:val="swiss"/>
    <w:pitch w:val="variable"/>
    <w:sig w:usb0="A00002BF" w:usb1="5000E0FB" w:usb2="0000000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LV</w:t>
    </w:r>
    <w:r>
      <w:rPr>
        <w:rFonts w:ascii="Arial" w:hAnsi="Arial" w:cs="Arial"/>
        <w:b/>
        <w:sz w:val="48"/>
      </w:rPr>
      <w:tab/>
    </w:r>
    <w:r>
      <w:rPr>
        <w:rFonts w:ascii="Arial" w:hAnsi="Arial" w:cs="Arial"/>
        <w:b/>
        <w:sz w:val="48"/>
      </w:rPr>
      <w:tab/>
    </w:r>
    <w:r>
      <w:tab/>
    </w:r>
    <w:r>
      <w:rPr>
        <w:rFonts w:ascii="Arial" w:hAnsi="Arial" w:cs="Arial"/>
        <w:b/>
        <w:sz w:val="48"/>
      </w:rPr>
      <w:t>LV</w: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57246459"/>
      <w:docPartObj>
        <w:docPartGallery w:val="Page Numbers (Bottom of Page)"/>
        <w:docPartUnique/>
      </w:docPartObj>
    </w:sdtPr>
    <w:sdtContent>
      <w:p>
        <w:pPr>
          <w:pStyle w:val="Footer"/>
          <w:jc w:val="right"/>
        </w:pPr>
        <w:r>
          <w:fldChar w:fldCharType="begin"/>
        </w:r>
        <w:r>
          <w:instrText xml:space="preserve"> PAGE   \* MERGEFORMAT </w:instrText>
        </w:r>
        <w:r>
          <w:fldChar w:fldCharType="separate"/>
        </w:r>
        <w:r>
          <w:rPr>
            <w:noProof/>
          </w:rPr>
          <w:t>2</w:t>
        </w:r>
        <w:r>
          <w:fldChar w:fldCharType="end"/>
        </w:r>
      </w:p>
    </w:sdtContent>
  </w:sdt>
  <w:p>
    <w:pPr>
      <w:pStyle w:val="Foote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pPr>
        <w:spacing w:after="0"/>
      </w:pPr>
      <w:r>
        <w:separator/>
      </w:r>
    </w:p>
  </w:footnote>
  <w:footnote w:type="continuationSeparator" w:id="0">
    <w:p>
      <w:pPr>
        <w:spacing w:after="0"/>
      </w:pPr>
      <w:r>
        <w:continuationSeparator/>
      </w:r>
    </w:p>
  </w:footnote>
  <w:footnote w:id="1">
    <w:p>
      <w:pPr>
        <w:pStyle w:val="FootnoteText"/>
      </w:pPr>
      <w:r>
        <w:rPr>
          <w:rStyle w:val="FootnoteReference"/>
        </w:rPr>
        <w:footnoteRef/>
      </w:r>
      <w:r>
        <w:t xml:space="preserve"> Komisijas paziņojums “Eiropas zaļais kurss” (COM(2019) 640 final ):</w:t>
      </w:r>
      <w:r>
        <w:rPr>
          <w:rFonts w:ascii="Segoe UI" w:hAnsi="Segoe UI"/>
          <w:color w:val="444444"/>
          <w:sz w:val="21"/>
          <w:szCs w:val="21"/>
        </w:rPr>
        <w:t xml:space="preserve"> </w:t>
      </w:r>
      <w:hyperlink r:id="rId1" w:history="1">
        <w:r>
          <w:rPr>
            <w:rStyle w:val="Hyperlink"/>
          </w:rPr>
          <w:t>https://eur-lex.europa.eu/legal-content/LV/TXT/?uri=COM%3A2019%3A640%3AFIN</w:t>
        </w:r>
      </w:hyperlink>
    </w:p>
  </w:footnote>
  <w:footnote w:id="2">
    <w:p>
      <w:pPr>
        <w:pStyle w:val="FootnoteText"/>
      </w:pPr>
      <w:r>
        <w:rPr>
          <w:rStyle w:val="FootnoteReference"/>
        </w:rPr>
        <w:footnoteRef/>
      </w:r>
      <w:r>
        <w:t xml:space="preserve"> ESAO, 2020, “</w:t>
      </w:r>
      <w:r>
        <w:rPr>
          <w:i/>
        </w:rPr>
        <w:t>Estimating investment needs and financing capacities for water-related investment in EU member countries</w:t>
      </w:r>
      <w:r>
        <w:t xml:space="preserve">”: </w:t>
      </w:r>
      <w:r>
        <w:rPr>
          <w:rStyle w:val="Hyperlink"/>
        </w:rPr>
        <w:t>https://ec.europa.eu/environment/water/water-framework/economics/OECD_study_en.htm.</w:t>
      </w:r>
    </w:p>
  </w:footnote>
  <w:footnote w:id="3">
    <w:p>
      <w:pPr>
        <w:pStyle w:val="FootnoteText"/>
      </w:pPr>
      <w:r>
        <w:rPr>
          <w:rStyle w:val="FootnoteReference"/>
        </w:rPr>
        <w:footnoteRef/>
      </w:r>
      <w:r>
        <w:t xml:space="preserve"> KNAD izvērtējums (SWD(2019)701): </w:t>
      </w:r>
      <w:hyperlink r:id="rId2" w:history="1">
        <w:r>
          <w:rPr>
            <w:rStyle w:val="Hyperlink"/>
          </w:rPr>
          <w:t>https://ec.europa.eu/environment/water/water-urbanwaste/pdf/UWWTD%20Evaluation%20SWD%20448-701%20web.pdf</w:t>
        </w:r>
      </w:hyperlink>
      <w:r>
        <w:t xml:space="preserve">. </w:t>
      </w:r>
    </w:p>
  </w:footnote>
  <w:footnote w:id="4">
    <w:p>
      <w:pPr>
        <w:pStyle w:val="FootnoteText"/>
        <w:spacing w:after="0"/>
      </w:pPr>
      <w:r>
        <w:rPr>
          <w:rStyle w:val="FootnoteReference"/>
        </w:rPr>
        <w:footnoteRef/>
      </w:r>
      <w:r>
        <w:t xml:space="preserve"> Padomes Direktīva par komunālo notekūdeņu attīrīšanu (91/271/EEK): </w:t>
      </w:r>
      <w:hyperlink r:id="rId3" w:history="1">
        <w:r>
          <w:rPr>
            <w:rStyle w:val="Hyperlink"/>
          </w:rPr>
          <w:t>https://eur-lex.europa.eu/legal-content/LV/TXT/?qid=1581334912523&amp;uri=CELEX:01991L0271-20140101</w:t>
        </w:r>
      </w:hyperlink>
      <w:r>
        <w:t>.</w:t>
      </w:r>
    </w:p>
  </w:footnote>
  <w:footnote w:id="5">
    <w:p>
      <w:pPr>
        <w:pStyle w:val="FootnoteText"/>
      </w:pPr>
      <w:r>
        <w:rPr>
          <w:rStyle w:val="FootnoteReference"/>
        </w:rPr>
        <w:footnoteRef/>
      </w:r>
      <w:r>
        <w:t xml:space="preserve"> Komisijas paziņojums “Eiropas zaļais kurss” (COM(2019) 640 final). </w:t>
      </w:r>
    </w:p>
  </w:footnote>
  <w:footnote w:id="6">
    <w:p>
      <w:pPr>
        <w:pStyle w:val="FootnoteText"/>
      </w:pPr>
      <w:r>
        <w:rPr>
          <w:rStyle w:val="FootnoteReference"/>
        </w:rPr>
        <w:footnoteRef/>
      </w:r>
      <w:r>
        <w:t xml:space="preserve"> Ūdens pamatdirektīva (2000/60/EK): </w:t>
      </w:r>
      <w:hyperlink r:id="rId4" w:history="1">
        <w:r>
          <w:rPr>
            <w:rStyle w:val="Hyperlink"/>
          </w:rPr>
          <w:t>https://eur-lex.europa.eu/legal-content/LV/TXT/?uri=CELEX:02000L0060-20141120</w:t>
        </w:r>
      </w:hyperlink>
      <w:r>
        <w:t xml:space="preserve">. </w:t>
      </w:r>
    </w:p>
  </w:footnote>
  <w:footnote w:id="7">
    <w:p>
      <w:pPr>
        <w:pStyle w:val="FootnoteText"/>
      </w:pPr>
      <w:r>
        <w:rPr>
          <w:rStyle w:val="FootnoteReference"/>
        </w:rPr>
        <w:footnoteRef/>
      </w:r>
      <w:r>
        <w:t xml:space="preserve"> </w:t>
      </w:r>
      <w:hyperlink r:id="rId5" w:history="1">
        <w:r>
          <w:rPr>
            <w:rStyle w:val="Hyperlink"/>
          </w:rPr>
          <w:t>https://ec.europa.eu/jrc/en/science-update/call-notice-feasibility-assessment-eu-wide-wastewater-monitoring-system-sars-cov-2-surveillance</w:t>
        </w:r>
      </w:hyperlink>
      <w:r>
        <w:t xml:space="preserve">. </w:t>
      </w:r>
    </w:p>
  </w:footnote>
  <w:footnote w:id="8">
    <w:p>
      <w:pPr>
        <w:pStyle w:val="CommentText"/>
      </w:pPr>
      <w:r>
        <w:rPr>
          <w:rStyle w:val="FootnoteReference"/>
        </w:rPr>
        <w:footnoteRef/>
      </w:r>
      <w:r>
        <w:rPr>
          <w:sz w:val="16"/>
          <w:szCs w:val="16"/>
        </w:rPr>
        <w:t xml:space="preserve"> </w:t>
      </w:r>
      <w:r>
        <w:t>Apvienoto Nāciju Organizācijas ilgtspējīgas attīstības mērķi:</w:t>
      </w:r>
      <w:r>
        <w:rPr>
          <w:sz w:val="16"/>
          <w:szCs w:val="16"/>
        </w:rPr>
        <w:t xml:space="preserve"> </w:t>
      </w:r>
      <w:hyperlink r:id="rId6" w:history="1">
        <w:r>
          <w:rPr>
            <w:rStyle w:val="Hyperlink"/>
          </w:rPr>
          <w:t>http://www.un.org/sustainabledevelopment/water-and-sanitation/</w:t>
        </w:r>
      </w:hyperlink>
      <w:r>
        <w:rPr>
          <w:sz w:val="16"/>
          <w:szCs w:val="16"/>
        </w:rPr>
        <w:t xml:space="preserve"> </w:t>
      </w:r>
      <w:r>
        <w:t>un</w:t>
      </w:r>
      <w:r>
        <w:rPr>
          <w:sz w:val="16"/>
          <w:szCs w:val="16"/>
        </w:rPr>
        <w:t xml:space="preserve"> </w:t>
      </w:r>
      <w:hyperlink r:id="rId7" w:history="1">
        <w:r>
          <w:rPr>
            <w:rStyle w:val="Hyperlink"/>
          </w:rPr>
          <w:t>https://ec.europa.eu/eurostat/web/sdi/clean-water-and-sanitation</w:t>
        </w:r>
      </w:hyperlink>
      <w:r>
        <w:t>.</w:t>
      </w:r>
    </w:p>
  </w:footnote>
  <w:footnote w:id="9">
    <w:p>
      <w:pPr>
        <w:pStyle w:val="FootnoteText"/>
        <w:spacing w:after="0"/>
      </w:pPr>
      <w:r>
        <w:rPr>
          <w:rStyle w:val="FootnoteReference"/>
        </w:rPr>
        <w:footnoteRef/>
      </w:r>
      <w:r>
        <w:t xml:space="preserve"> KNAD izvērtējums (SWD(2019)701). </w:t>
      </w:r>
    </w:p>
  </w:footnote>
  <w:footnote w:id="10">
    <w:p>
      <w:pPr>
        <w:pStyle w:val="FootnoteText"/>
        <w:spacing w:after="120"/>
        <w:ind w:left="0" w:firstLine="0"/>
      </w:pPr>
      <w:r>
        <w:rPr>
          <w:rStyle w:val="FootnoteReference"/>
          <w:sz w:val="16"/>
          <w:szCs w:val="16"/>
        </w:rPr>
        <w:footnoteRef/>
      </w:r>
      <w:r>
        <w:rPr>
          <w:sz w:val="16"/>
          <w:szCs w:val="16"/>
        </w:rPr>
        <w:t xml:space="preserve"> </w:t>
      </w:r>
      <w:r>
        <w:t>2016. gada datos saistībā ar KNAD ir iekļauti arī Apvienotās Karalistes dati, taču nav iekļauta lielākā daļa Horvātijas datu, jo 2016. gadā tai nebija saistību attiecībā uz atbilstības nodrošināšanu.</w:t>
      </w:r>
    </w:p>
    <w:p>
      <w:pPr>
        <w:pStyle w:val="FootnoteText"/>
        <w:spacing w:after="120"/>
        <w:ind w:left="0" w:firstLine="0"/>
      </w:pPr>
      <w:r>
        <w:t>.</w:t>
      </w:r>
    </w:p>
  </w:footnote>
  <w:footnote w:id="11">
    <w:p>
      <w:pPr>
        <w:pStyle w:val="FootnoteText"/>
      </w:pPr>
      <w:r>
        <w:rPr>
          <w:rStyle w:val="FootnoteReference"/>
        </w:rPr>
        <w:footnoteRef/>
      </w:r>
      <w:r>
        <w:t xml:space="preserve"> Dalībvalstis un Apvienotā Karaliste, kas pārskata periodā bija dalībvalsts.</w:t>
      </w:r>
    </w:p>
  </w:footnote>
  <w:footnote w:id="12">
    <w:p>
      <w:pPr>
        <w:pStyle w:val="FootnoteText"/>
        <w:rPr>
          <w:sz w:val="16"/>
          <w:szCs w:val="16"/>
        </w:rPr>
      </w:pPr>
      <w:r>
        <w:rPr>
          <w:rStyle w:val="FootnoteReference"/>
        </w:rPr>
        <w:footnoteRef/>
      </w:r>
      <w:r>
        <w:t xml:space="preserve"> Tas attiecas uz pārejas periodiem, kas piemērojami nesen noteiktām jutīgām zonām. </w:t>
      </w:r>
    </w:p>
  </w:footnote>
  <w:footnote w:id="13">
    <w:p>
      <w:pPr>
        <w:pStyle w:val="FootnoteText"/>
      </w:pPr>
      <w:r>
        <w:rPr>
          <w:rStyle w:val="FootnoteReference"/>
        </w:rPr>
        <w:footnoteRef/>
      </w:r>
      <w:r>
        <w:t xml:space="preserve"> 3. pants: “Ja [vispārējas] kanalizācijas sistēmu izveidošana nav pamatota, jo tā vai nu nedos nekādu labumu videi, vai ietvers pārmērīgas izmaksas, izmanto individuālas sistēmas vai citas piemērotas sistēmas, kas nodrošina to pašu vides aizsardzības līmeni.”</w:t>
      </w:r>
    </w:p>
  </w:footnote>
  <w:footnote w:id="14">
    <w:p>
      <w:pPr>
        <w:pStyle w:val="FootnoteText"/>
      </w:pPr>
      <w:r>
        <w:rPr>
          <w:rStyle w:val="FootnoteReference"/>
        </w:rPr>
        <w:footnoteRef/>
      </w:r>
      <w:r>
        <w:t xml:space="preserve"> Komisija nosūtīja oficiāla paziņojuma vēstules dalībvalstīm, kas aktīvi izmanto </w:t>
      </w:r>
      <w:r>
        <w:rPr>
          <w:i/>
        </w:rPr>
        <w:t>IAS</w:t>
      </w:r>
      <w:r>
        <w:t>, lai noskaidrotu, vai tās ir ieviesušas juridisku pienākumu izveidot savienojumu ar kanalizācijas tīkliem, kur tas ir iespējams.</w:t>
      </w:r>
    </w:p>
  </w:footnote>
  <w:footnote w:id="15">
    <w:p>
      <w:pPr>
        <w:pStyle w:val="FootnoteText"/>
      </w:pPr>
      <w:r>
        <w:rPr>
          <w:rStyle w:val="FootnoteReference"/>
        </w:rPr>
        <w:footnoteRef/>
      </w:r>
      <w:r>
        <w:t xml:space="preserve"> Otrreizēja attīrīšana papildina cieto vielu atdalīšanu (sākotnējā attīrīšana), sadalot organiskās vielas, izmantojot baktērijas.</w:t>
      </w:r>
    </w:p>
  </w:footnote>
  <w:footnote w:id="16">
    <w:p>
      <w:pPr>
        <w:pStyle w:val="FootnoteText"/>
      </w:pPr>
      <w:r>
        <w:rPr>
          <w:rStyle w:val="FootnoteReference"/>
        </w:rPr>
        <w:footnoteRef/>
      </w:r>
      <w:r>
        <w:t xml:space="preserve"> SWD(2019)701 norādīts, ka līdz mērķim pietrūkst 7 %. Piem., Kipras skaidrojums pēc SWD(2019)701 izvērtējuma publicēšanas palielināja minēto procentuālo daļu par aptuveni 1 %.</w:t>
      </w:r>
    </w:p>
  </w:footnote>
  <w:footnote w:id="17">
    <w:p>
      <w:pPr>
        <w:pStyle w:val="FootnoteText"/>
      </w:pPr>
      <w:r>
        <w:rPr>
          <w:rStyle w:val="FootnoteReference"/>
        </w:rPr>
        <w:footnoteRef/>
      </w:r>
      <w:r>
        <w:t xml:space="preserve"> Stingrāka attīrīšana ietver fosfora vai slāpekļa (barības vielu) atdalīšanu, lai aizsargātu ūdeņus, ko apdraud eitrofikācija. Tā var ietvert arī dezinfekciju, lai aizsargātu peldvietas vai čaulgliemju ieguves vietas.</w:t>
      </w:r>
    </w:p>
  </w:footnote>
  <w:footnote w:id="18">
    <w:p>
      <w:pPr>
        <w:pStyle w:val="FootnoteText"/>
      </w:pPr>
      <w:r>
        <w:rPr>
          <w:rStyle w:val="FootnoteReference"/>
        </w:rPr>
        <w:footnoteRef/>
      </w:r>
      <w:r>
        <w:t xml:space="preserve"> 27 dalībvalstis un Apvienotā Karaliste, kas bija dalībvalsts pārskata periodā. </w:t>
      </w:r>
    </w:p>
  </w:footnote>
  <w:footnote w:id="19">
    <w:p>
      <w:pPr>
        <w:pStyle w:val="FootnoteText"/>
      </w:pPr>
      <w:r>
        <w:rPr>
          <w:rStyle w:val="FootnoteReference"/>
        </w:rPr>
        <w:footnoteRef/>
      </w:r>
      <w:r>
        <w:t xml:space="preserve"> ESAO “</w:t>
      </w:r>
      <w:r>
        <w:rPr>
          <w:i/>
        </w:rPr>
        <w:t>Estimating investment needs and financing capacities for water-related investment in EU member countries</w:t>
      </w:r>
      <w:r>
        <w:t xml:space="preserve">”: </w:t>
      </w:r>
      <w:r>
        <w:rPr>
          <w:rStyle w:val="Hyperlink"/>
        </w:rPr>
        <w:t>https://ec.europa.eu/environment/water/water-framework/economics/OECD_study_en.htm.</w:t>
      </w:r>
    </w:p>
  </w:footnote>
  <w:footnote w:id="20">
    <w:p>
      <w:pPr>
        <w:pStyle w:val="FootnoteText"/>
      </w:pPr>
      <w:r>
        <w:rPr>
          <w:rStyle w:val="FootnoteReference"/>
        </w:rPr>
        <w:footnoteRef/>
      </w:r>
      <w:r>
        <w:t xml:space="preserve"> 5. nodaļa ESAO pētījumā “</w:t>
      </w:r>
      <w:r>
        <w:rPr>
          <w:i/>
        </w:rPr>
        <w:t>Estimating investment needs and financing capacities for water-related investment in EU member countries</w:t>
      </w:r>
      <w:r>
        <w:t xml:space="preserve">”: </w:t>
      </w:r>
      <w:r>
        <w:rPr>
          <w:rStyle w:val="Hyperlink"/>
        </w:rPr>
        <w:t>https://ec.europa.eu/environment/water/water-framework/economics/OECD_study_en.htm.</w:t>
      </w:r>
    </w:p>
  </w:footnote>
  <w:footnote w:id="21">
    <w:p>
      <w:pPr>
        <w:pStyle w:val="FootnoteText"/>
      </w:pPr>
      <w:r>
        <w:rPr>
          <w:rStyle w:val="FootnoteReference"/>
        </w:rPr>
        <w:footnoteRef/>
      </w:r>
      <w:r>
        <w:t xml:space="preserve"> Eiropas strukturālie un investīciju fondi: </w:t>
      </w:r>
      <w:hyperlink r:id="rId8" w:history="1">
        <w:r>
          <w:rPr>
            <w:rStyle w:val="Hyperlink"/>
          </w:rPr>
          <w:t>https://cohesiondata.ec.europa.eu/EU-Level/ESIF-Categorisation-Intervention-Fields-with-filte/8m22-gy44</w:t>
        </w:r>
      </w:hyperlink>
      <w:r>
        <w:rPr>
          <w:rStyle w:val="Hyperlink"/>
        </w:rPr>
        <w:t xml:space="preserve"> </w:t>
      </w:r>
      <w:r>
        <w:t xml:space="preserve">un </w:t>
      </w:r>
      <w:hyperlink r:id="rId9" w:history="1">
        <w:r>
          <w:rPr>
            <w:rStyle w:val="Hyperlink"/>
          </w:rPr>
          <w:t>https://ec.europa.eu/regional_policy/en/policy/what/key-achievements/</w:t>
        </w:r>
      </w:hyperlink>
      <w:r>
        <w:t>.</w:t>
      </w:r>
    </w:p>
  </w:footnote>
  <w:footnote w:id="22">
    <w:p>
      <w:pPr>
        <w:pStyle w:val="FootnoteText"/>
      </w:pPr>
      <w:r>
        <w:rPr>
          <w:rStyle w:val="FootnoteReference"/>
        </w:rPr>
        <w:footnoteRef/>
      </w:r>
      <w:r>
        <w:t xml:space="preserve"> Eiropas strukturālie un investīciju fondi, kopējie rādītāji, 2014.–2020. gads: </w:t>
      </w:r>
      <w:hyperlink r:id="rId10" w:history="1">
        <w:r>
          <w:rPr>
            <w:rStyle w:val="Hyperlink"/>
          </w:rPr>
          <w:t>https://cohesiondata.ec.europa.eu/stories/s/4ij4-23vs</w:t>
        </w:r>
      </w:hyperlink>
      <w:r>
        <w:rPr>
          <w:color w:val="1F497D"/>
        </w:rPr>
        <w:t>.</w:t>
      </w:r>
    </w:p>
  </w:footnote>
  <w:footnote w:id="23">
    <w:p>
      <w:pPr>
        <w:pStyle w:val="FootnoteText"/>
      </w:pPr>
      <w:r>
        <w:rPr>
          <w:rStyle w:val="FootnoteReference"/>
        </w:rPr>
        <w:footnoteRef/>
      </w:r>
      <w:r>
        <w:t xml:space="preserve"> Mazo un vidējo uzņēmumu izpildaģentūras (</w:t>
      </w:r>
      <w:r>
        <w:rPr>
          <w:i/>
        </w:rPr>
        <w:t>EASME</w:t>
      </w:r>
      <w:r>
        <w:t>) iekšējie dati, kas 2019. gadā iesniegti ENV.C.2.</w:t>
      </w:r>
    </w:p>
  </w:footnote>
  <w:footnote w:id="24">
    <w:p>
      <w:pPr>
        <w:pStyle w:val="FootnoteText"/>
      </w:pPr>
      <w:r>
        <w:rPr>
          <w:rStyle w:val="FootnoteReference"/>
        </w:rPr>
        <w:footnoteRef/>
      </w:r>
      <w:r>
        <w:t xml:space="preserve"> Tiesas 2018. gada 25. jūlija spriedums Komisija/Spānija, C-205/17; 2018. gada 31. maija spriedums Komisija/Itālija, C-251/17; 2018. gada 22. februāra spriedums Komisija/Grieķija, C-328/16.</w:t>
      </w:r>
    </w:p>
  </w:footnote>
  <w:footnote w:id="25">
    <w:p>
      <w:pPr>
        <w:pStyle w:val="FootnoteText"/>
      </w:pPr>
      <w:r>
        <w:rPr>
          <w:rStyle w:val="FootnoteReference"/>
        </w:rPr>
        <w:footnoteRef/>
      </w:r>
      <w:r>
        <w:t xml:space="preserve"> KNAD izvērtējums (SWD(2019)701): </w:t>
      </w:r>
      <w:hyperlink r:id="rId11" w:history="1">
        <w:r>
          <w:rPr>
            <w:rStyle w:val="Hyperlink"/>
          </w:rPr>
          <w:t>https://ec.europa.eu/environment/water/water-urbanwaste/pdf/UWWTD%20Evaluation%20SWD%20448-701%20web.pdf</w:t>
        </w:r>
      </w:hyperlink>
      <w:r>
        <w:t>.</w:t>
      </w:r>
    </w:p>
  </w:footnote>
  <w:footnote w:id="26">
    <w:p>
      <w:pPr>
        <w:pStyle w:val="FootnoteText"/>
      </w:pPr>
      <w:r>
        <w:rPr>
          <w:rStyle w:val="FootnoteReference"/>
        </w:rPr>
        <w:footnoteRef/>
      </w:r>
      <w:r>
        <w:t xml:space="preserve"> Tostarp Eiropas atveseļošanas plāns: </w:t>
      </w:r>
      <w:hyperlink r:id="rId12" w:history="1">
        <w:r>
          <w:rPr>
            <w:rStyle w:val="Hyperlink"/>
          </w:rPr>
          <w:t>https://ec.europa.eu/info/live-work-travel-eu/health/coronavirus-response/recovery-plan-europe</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EA58E78E"/>
    <w:lvl w:ilvl="0">
      <w:start w:val="1"/>
      <w:numFmt w:val="decimal"/>
      <w:pStyle w:val="ListNumber5"/>
      <w:lvlText w:val="%1."/>
      <w:lvlJc w:val="left"/>
      <w:pPr>
        <w:tabs>
          <w:tab w:val="num" w:pos="1492"/>
        </w:tabs>
        <w:ind w:left="1492" w:hanging="360"/>
      </w:pPr>
    </w:lvl>
  </w:abstractNum>
  <w:abstractNum w:abstractNumId="1">
    <w:nsid w:val="FFFFFF80"/>
    <w:multiLevelType w:val="singleLevel"/>
    <w:tmpl w:val="E7A64A6A"/>
    <w:lvl w:ilvl="0">
      <w:start w:val="1"/>
      <w:numFmt w:val="bullet"/>
      <w:pStyle w:val="ListBullet5"/>
      <w:lvlText w:val=""/>
      <w:lvlJc w:val="left"/>
      <w:pPr>
        <w:tabs>
          <w:tab w:val="num" w:pos="1492"/>
        </w:tabs>
        <w:ind w:left="1492" w:hanging="360"/>
      </w:pPr>
      <w:rPr>
        <w:rFonts w:ascii="Symbol" w:hAnsi="Symbol" w:hint="default"/>
      </w:rPr>
    </w:lvl>
  </w:abstractNum>
  <w:abstractNum w:abstractNumId="2">
    <w:nsid w:val="FFFFFF83"/>
    <w:multiLevelType w:val="singleLevel"/>
    <w:tmpl w:val="F958274A"/>
    <w:lvl w:ilvl="0">
      <w:start w:val="1"/>
      <w:numFmt w:val="bullet"/>
      <w:lvlText w:val=""/>
      <w:lvlJc w:val="left"/>
      <w:pPr>
        <w:tabs>
          <w:tab w:val="num" w:pos="643"/>
        </w:tabs>
        <w:ind w:left="643" w:hanging="360"/>
      </w:pPr>
      <w:rPr>
        <w:rFonts w:ascii="Symbol" w:hAnsi="Symbol" w:hint="default"/>
      </w:rPr>
    </w:lvl>
  </w:abstractNum>
  <w:abstractNum w:abstractNumId="3">
    <w:nsid w:val="08DE61A8"/>
    <w:multiLevelType w:val="hybridMultilevel"/>
    <w:tmpl w:val="686A40CA"/>
    <w:name w:val="LegalNumParListTemplate3"/>
    <w:lvl w:ilvl="0" w:tplc="A588FCC0">
      <w:start w:val="1"/>
      <w:numFmt w:val="decimal"/>
      <w:lvlText w:val="%1."/>
      <w:lvlJc w:val="left"/>
      <w:pPr>
        <w:tabs>
          <w:tab w:val="num" w:pos="476"/>
        </w:tabs>
        <w:ind w:left="476" w:hanging="476"/>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0A701B64"/>
    <w:multiLevelType w:val="hybridMultilevel"/>
    <w:tmpl w:val="F69659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2417941"/>
    <w:multiLevelType w:val="hybridMultilevel"/>
    <w:tmpl w:val="FC422C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AB546BE"/>
    <w:multiLevelType w:val="hybridMultilevel"/>
    <w:tmpl w:val="8BA24EB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7">
    <w:nsid w:val="1B1530A4"/>
    <w:multiLevelType w:val="multilevel"/>
    <w:tmpl w:val="8CE23BCC"/>
    <w:lvl w:ilvl="0">
      <w:start w:val="1"/>
      <w:numFmt w:val="decimal"/>
      <w:pStyle w:val="ListNumber2"/>
      <w:lvlText w:val="(%1)"/>
      <w:lvlJc w:val="left"/>
      <w:pPr>
        <w:tabs>
          <w:tab w:val="num" w:pos="1911"/>
        </w:tabs>
        <w:ind w:left="1911" w:hanging="709"/>
      </w:pPr>
    </w:lvl>
    <w:lvl w:ilvl="1">
      <w:start w:val="1"/>
      <w:numFmt w:val="lowerLetter"/>
      <w:pStyle w:val="ListNumber2Level2"/>
      <w:lvlText w:val="(%2)"/>
      <w:lvlJc w:val="left"/>
      <w:pPr>
        <w:tabs>
          <w:tab w:val="num" w:pos="2619"/>
        </w:tabs>
        <w:ind w:left="2619" w:hanging="708"/>
      </w:pPr>
    </w:lvl>
    <w:lvl w:ilvl="2">
      <w:start w:val="1"/>
      <w:numFmt w:val="bullet"/>
      <w:pStyle w:val="ListNumber2Level3"/>
      <w:lvlText w:val="–"/>
      <w:lvlJc w:val="left"/>
      <w:pPr>
        <w:tabs>
          <w:tab w:val="num" w:pos="3328"/>
        </w:tabs>
        <w:ind w:left="3328" w:hanging="709"/>
      </w:pPr>
      <w:rPr>
        <w:rFonts w:ascii="Times New Roman" w:hAnsi="Times New Roman"/>
      </w:rPr>
    </w:lvl>
    <w:lvl w:ilvl="3">
      <w:start w:val="1"/>
      <w:numFmt w:val="bullet"/>
      <w:pStyle w:val="ListNumber2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8">
    <w:nsid w:val="1C616768"/>
    <w:multiLevelType w:val="hybridMultilevel"/>
    <w:tmpl w:val="2EF0F2C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18F1B15"/>
    <w:multiLevelType w:val="hybridMultilevel"/>
    <w:tmpl w:val="34528F9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22DD3599"/>
    <w:multiLevelType w:val="multilevel"/>
    <w:tmpl w:val="4EAA5BA6"/>
    <w:lvl w:ilvl="0">
      <w:start w:val="1"/>
      <w:numFmt w:val="decimal"/>
      <w:pStyle w:val="ListNumber"/>
      <w:lvlText w:val="(%1)"/>
      <w:lvlJc w:val="left"/>
      <w:pPr>
        <w:tabs>
          <w:tab w:val="num" w:pos="709"/>
        </w:tabs>
        <w:ind w:left="709" w:hanging="709"/>
      </w:pPr>
    </w:lvl>
    <w:lvl w:ilvl="1">
      <w:start w:val="1"/>
      <w:numFmt w:val="lowerLetter"/>
      <w:pStyle w:val="ListNumberLevel2"/>
      <w:lvlText w:val="(%2)"/>
      <w:lvlJc w:val="left"/>
      <w:pPr>
        <w:tabs>
          <w:tab w:val="num" w:pos="1417"/>
        </w:tabs>
        <w:ind w:left="1417" w:hanging="708"/>
      </w:pPr>
    </w:lvl>
    <w:lvl w:ilvl="2">
      <w:start w:val="1"/>
      <w:numFmt w:val="bullet"/>
      <w:pStyle w:val="ListNumberLevel3"/>
      <w:lvlText w:val="–"/>
      <w:lvlJc w:val="left"/>
      <w:pPr>
        <w:tabs>
          <w:tab w:val="num" w:pos="2126"/>
        </w:tabs>
        <w:ind w:left="2126" w:hanging="709"/>
      </w:pPr>
      <w:rPr>
        <w:rFonts w:ascii="Times New Roman" w:hAnsi="Times New Roman"/>
      </w:rPr>
    </w:lvl>
    <w:lvl w:ilvl="3">
      <w:start w:val="1"/>
      <w:numFmt w:val="bullet"/>
      <w:pStyle w:val="ListNumberLevel4"/>
      <w:lvlText w:val=""/>
      <w:lvlJc w:val="left"/>
      <w:pPr>
        <w:tabs>
          <w:tab w:val="num" w:pos="2835"/>
        </w:tabs>
        <w:ind w:left="2835"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1">
    <w:nsid w:val="25A1521B"/>
    <w:multiLevelType w:val="hybridMultilevel"/>
    <w:tmpl w:val="43D6D330"/>
    <w:lvl w:ilvl="0" w:tplc="2272C7EC">
      <w:start w:val="1"/>
      <w:numFmt w:val="decimal"/>
      <w:pStyle w:val="Para"/>
      <w:lvlText w:val="%1."/>
      <w:lvlJc w:val="left"/>
      <w:pPr>
        <w:tabs>
          <w:tab w:val="num" w:pos="1400"/>
        </w:tabs>
        <w:ind w:left="680" w:firstLine="0"/>
      </w:pPr>
      <w:rPr>
        <w:rFonts w:hint="default"/>
      </w:rPr>
    </w:lvl>
    <w:lvl w:ilvl="1" w:tplc="08090019" w:tentative="1">
      <w:start w:val="1"/>
      <w:numFmt w:val="lowerLetter"/>
      <w:lvlText w:val="%2."/>
      <w:lvlJc w:val="left"/>
      <w:pPr>
        <w:ind w:left="2120" w:hanging="360"/>
      </w:pPr>
    </w:lvl>
    <w:lvl w:ilvl="2" w:tplc="0809001B" w:tentative="1">
      <w:start w:val="1"/>
      <w:numFmt w:val="lowerRoman"/>
      <w:lvlText w:val="%3."/>
      <w:lvlJc w:val="right"/>
      <w:pPr>
        <w:ind w:left="2840" w:hanging="180"/>
      </w:pPr>
    </w:lvl>
    <w:lvl w:ilvl="3" w:tplc="0809000F" w:tentative="1">
      <w:start w:val="1"/>
      <w:numFmt w:val="decimal"/>
      <w:lvlText w:val="%4."/>
      <w:lvlJc w:val="left"/>
      <w:pPr>
        <w:ind w:left="3560" w:hanging="360"/>
      </w:pPr>
    </w:lvl>
    <w:lvl w:ilvl="4" w:tplc="08090019" w:tentative="1">
      <w:start w:val="1"/>
      <w:numFmt w:val="lowerLetter"/>
      <w:lvlText w:val="%5."/>
      <w:lvlJc w:val="left"/>
      <w:pPr>
        <w:ind w:left="4280" w:hanging="360"/>
      </w:pPr>
    </w:lvl>
    <w:lvl w:ilvl="5" w:tplc="0809001B" w:tentative="1">
      <w:start w:val="1"/>
      <w:numFmt w:val="lowerRoman"/>
      <w:lvlText w:val="%6."/>
      <w:lvlJc w:val="right"/>
      <w:pPr>
        <w:ind w:left="5000" w:hanging="180"/>
      </w:pPr>
    </w:lvl>
    <w:lvl w:ilvl="6" w:tplc="0809000F" w:tentative="1">
      <w:start w:val="1"/>
      <w:numFmt w:val="decimal"/>
      <w:lvlText w:val="%7."/>
      <w:lvlJc w:val="left"/>
      <w:pPr>
        <w:ind w:left="5720" w:hanging="360"/>
      </w:pPr>
    </w:lvl>
    <w:lvl w:ilvl="7" w:tplc="08090019" w:tentative="1">
      <w:start w:val="1"/>
      <w:numFmt w:val="lowerLetter"/>
      <w:lvlText w:val="%8."/>
      <w:lvlJc w:val="left"/>
      <w:pPr>
        <w:ind w:left="6440" w:hanging="360"/>
      </w:pPr>
    </w:lvl>
    <w:lvl w:ilvl="8" w:tplc="0809001B" w:tentative="1">
      <w:start w:val="1"/>
      <w:numFmt w:val="lowerRoman"/>
      <w:lvlText w:val="%9."/>
      <w:lvlJc w:val="right"/>
      <w:pPr>
        <w:ind w:left="7160" w:hanging="180"/>
      </w:pPr>
    </w:lvl>
  </w:abstractNum>
  <w:abstractNum w:abstractNumId="12">
    <w:nsid w:val="28DA7E6A"/>
    <w:multiLevelType w:val="hybridMultilevel"/>
    <w:tmpl w:val="B8344812"/>
    <w:lvl w:ilvl="0" w:tplc="98966136">
      <w:numFmt w:val="bullet"/>
      <w:lvlText w:val="-"/>
      <w:lvlJc w:val="left"/>
      <w:pPr>
        <w:ind w:left="720" w:hanging="360"/>
      </w:pPr>
      <w:rPr>
        <w:rFonts w:ascii="Calibri" w:eastAsia="Times New Roman"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2B75631B"/>
    <w:multiLevelType w:val="singleLevel"/>
    <w:tmpl w:val="A4DC141A"/>
    <w:lvl w:ilvl="0">
      <w:start w:val="1"/>
      <w:numFmt w:val="bullet"/>
      <w:pStyle w:val="ListBullet1"/>
      <w:lvlText w:val=""/>
      <w:lvlJc w:val="left"/>
      <w:pPr>
        <w:tabs>
          <w:tab w:val="num" w:pos="765"/>
        </w:tabs>
        <w:ind w:left="765" w:hanging="283"/>
      </w:pPr>
      <w:rPr>
        <w:rFonts w:ascii="Symbol" w:hAnsi="Symbol"/>
      </w:rPr>
    </w:lvl>
  </w:abstractNum>
  <w:abstractNum w:abstractNumId="14">
    <w:nsid w:val="2CAB4527"/>
    <w:multiLevelType w:val="multilevel"/>
    <w:tmpl w:val="26C24C12"/>
    <w:lvl w:ilvl="0">
      <w:start w:val="1"/>
      <w:numFmt w:val="decimal"/>
      <w:pStyle w:val="ListNumber3"/>
      <w:lvlText w:val="(%1)"/>
      <w:lvlJc w:val="left"/>
      <w:pPr>
        <w:tabs>
          <w:tab w:val="num" w:pos="1911"/>
        </w:tabs>
        <w:ind w:left="1911" w:hanging="709"/>
      </w:pPr>
    </w:lvl>
    <w:lvl w:ilvl="1">
      <w:start w:val="1"/>
      <w:numFmt w:val="lowerLetter"/>
      <w:pStyle w:val="ListNumber3Level2"/>
      <w:lvlText w:val="(%2)"/>
      <w:lvlJc w:val="left"/>
      <w:pPr>
        <w:tabs>
          <w:tab w:val="num" w:pos="2619"/>
        </w:tabs>
        <w:ind w:left="2619" w:hanging="708"/>
      </w:pPr>
    </w:lvl>
    <w:lvl w:ilvl="2">
      <w:start w:val="1"/>
      <w:numFmt w:val="bullet"/>
      <w:pStyle w:val="ListNumber3Level3"/>
      <w:lvlText w:val="–"/>
      <w:lvlJc w:val="left"/>
      <w:pPr>
        <w:tabs>
          <w:tab w:val="num" w:pos="3328"/>
        </w:tabs>
        <w:ind w:left="3328" w:hanging="709"/>
      </w:pPr>
      <w:rPr>
        <w:rFonts w:ascii="Times New Roman" w:hAnsi="Times New Roman"/>
      </w:rPr>
    </w:lvl>
    <w:lvl w:ilvl="3">
      <w:start w:val="1"/>
      <w:numFmt w:val="bullet"/>
      <w:pStyle w:val="ListNumber3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D293CE3"/>
    <w:multiLevelType w:val="multilevel"/>
    <w:tmpl w:val="8D7C4D2A"/>
    <w:lvl w:ilvl="0">
      <w:start w:val="1"/>
      <w:numFmt w:val="decimal"/>
      <w:pStyle w:val="LegalNumPar"/>
      <w:lvlText w:val="%1."/>
      <w:lvlJc w:val="left"/>
      <w:pPr>
        <w:ind w:left="476" w:hanging="476"/>
      </w:pPr>
      <w:rPr>
        <w:rFonts w:hint="default"/>
      </w:rPr>
    </w:lvl>
    <w:lvl w:ilvl="1">
      <w:start w:val="1"/>
      <w:numFmt w:val="lowerLetter"/>
      <w:pStyle w:val="LegalNumPar2"/>
      <w:lvlText w:val="%2."/>
      <w:lvlJc w:val="left"/>
      <w:pPr>
        <w:ind w:left="953" w:hanging="477"/>
      </w:pPr>
      <w:rPr>
        <w:rFonts w:hint="default"/>
      </w:rPr>
    </w:lvl>
    <w:lvl w:ilvl="2">
      <w:start w:val="1"/>
      <w:numFmt w:val="lowerRoman"/>
      <w:pStyle w:val="LegalNumPar3"/>
      <w:lvlText w:val="%3."/>
      <w:lvlJc w:val="left"/>
      <w:pPr>
        <w:ind w:left="1429" w:hanging="476"/>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6">
    <w:nsid w:val="2FBE5195"/>
    <w:multiLevelType w:val="hybridMultilevel"/>
    <w:tmpl w:val="04A229C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34293F3F"/>
    <w:multiLevelType w:val="singleLevel"/>
    <w:tmpl w:val="B074E4EC"/>
    <w:lvl w:ilvl="0">
      <w:start w:val="1"/>
      <w:numFmt w:val="bullet"/>
      <w:pStyle w:val="ListDash"/>
      <w:lvlText w:val="–"/>
      <w:lvlJc w:val="left"/>
      <w:pPr>
        <w:tabs>
          <w:tab w:val="num" w:pos="283"/>
        </w:tabs>
        <w:ind w:left="283" w:hanging="283"/>
      </w:pPr>
      <w:rPr>
        <w:rFonts w:ascii="Times New Roman" w:hAnsi="Times New Roman"/>
      </w:rPr>
    </w:lvl>
  </w:abstractNum>
  <w:abstractNum w:abstractNumId="18">
    <w:nsid w:val="358B6119"/>
    <w:multiLevelType w:val="multilevel"/>
    <w:tmpl w:val="A8BA546C"/>
    <w:lvl w:ilvl="0">
      <w:start w:val="1"/>
      <w:numFmt w:val="decimal"/>
      <w:pStyle w:val="ListNumber1"/>
      <w:lvlText w:val="(%1)"/>
      <w:lvlJc w:val="left"/>
      <w:pPr>
        <w:tabs>
          <w:tab w:val="num" w:pos="1191"/>
        </w:tabs>
        <w:ind w:left="1191" w:hanging="709"/>
      </w:pPr>
    </w:lvl>
    <w:lvl w:ilvl="1">
      <w:start w:val="1"/>
      <w:numFmt w:val="lowerLetter"/>
      <w:pStyle w:val="ListNumber1Level2"/>
      <w:lvlText w:val="(%2)"/>
      <w:lvlJc w:val="left"/>
      <w:pPr>
        <w:tabs>
          <w:tab w:val="num" w:pos="1899"/>
        </w:tabs>
        <w:ind w:left="1899" w:hanging="708"/>
      </w:pPr>
    </w:lvl>
    <w:lvl w:ilvl="2">
      <w:start w:val="1"/>
      <w:numFmt w:val="bullet"/>
      <w:pStyle w:val="ListNumber1Level3"/>
      <w:lvlText w:val="–"/>
      <w:lvlJc w:val="left"/>
      <w:pPr>
        <w:tabs>
          <w:tab w:val="num" w:pos="2608"/>
        </w:tabs>
        <w:ind w:left="2608" w:hanging="709"/>
      </w:pPr>
      <w:rPr>
        <w:rFonts w:ascii="Times New Roman" w:hAnsi="Times New Roman"/>
      </w:rPr>
    </w:lvl>
    <w:lvl w:ilvl="3">
      <w:start w:val="1"/>
      <w:numFmt w:val="bullet"/>
      <w:pStyle w:val="ListNumber1Level4"/>
      <w:lvlText w:val=""/>
      <w:lvlJc w:val="left"/>
      <w:pPr>
        <w:tabs>
          <w:tab w:val="num" w:pos="3317"/>
        </w:tabs>
        <w:ind w:left="331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3AFB6DC8"/>
    <w:multiLevelType w:val="singleLevel"/>
    <w:tmpl w:val="D97CFDF8"/>
    <w:lvl w:ilvl="0">
      <w:start w:val="1"/>
      <w:numFmt w:val="bullet"/>
      <w:pStyle w:val="ListBullet2"/>
      <w:lvlText w:val=""/>
      <w:lvlJc w:val="left"/>
      <w:pPr>
        <w:tabs>
          <w:tab w:val="num" w:pos="1485"/>
        </w:tabs>
        <w:ind w:left="1485" w:hanging="283"/>
      </w:pPr>
      <w:rPr>
        <w:rFonts w:ascii="Symbol" w:hAnsi="Symbol"/>
      </w:rPr>
    </w:lvl>
  </w:abstractNum>
  <w:abstractNum w:abstractNumId="20">
    <w:nsid w:val="3BDF0DF3"/>
    <w:multiLevelType w:val="hybridMultilevel"/>
    <w:tmpl w:val="44C233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3CAA0B64"/>
    <w:multiLevelType w:val="multilevel"/>
    <w:tmpl w:val="99446054"/>
    <w:lvl w:ilvl="0">
      <w:start w:val="1"/>
      <w:numFmt w:val="bullet"/>
      <w:lvlText w:val=""/>
      <w:lvlJc w:val="left"/>
      <w:pPr>
        <w:ind w:left="284" w:hanging="284"/>
      </w:pPr>
      <w:rPr>
        <w:rFonts w:ascii="Symbol" w:hAnsi="Symbol" w:hint="default"/>
        <w:color w:val="43707D"/>
      </w:rPr>
    </w:lvl>
    <w:lvl w:ilvl="1">
      <w:start w:val="7"/>
      <w:numFmt w:val="bullet"/>
      <w:lvlText w:val="o"/>
      <w:lvlJc w:val="left"/>
      <w:pPr>
        <w:ind w:left="567" w:hanging="283"/>
      </w:pPr>
      <w:rPr>
        <w:rFonts w:ascii="Courier New" w:hAnsi="Courier New" w:hint="default"/>
        <w:color w:val="43707D"/>
      </w:rPr>
    </w:lvl>
    <w:lvl w:ilvl="2">
      <w:start w:val="1"/>
      <w:numFmt w:val="bullet"/>
      <w:lvlText w:val=""/>
      <w:lvlJc w:val="left"/>
      <w:pPr>
        <w:ind w:left="2840" w:hanging="360"/>
      </w:pPr>
      <w:rPr>
        <w:rFonts w:ascii="Wingdings" w:hAnsi="Wingdings" w:hint="default"/>
      </w:rPr>
    </w:lvl>
    <w:lvl w:ilvl="3">
      <w:start w:val="1"/>
      <w:numFmt w:val="bullet"/>
      <w:lvlText w:val=""/>
      <w:lvlJc w:val="left"/>
      <w:pPr>
        <w:ind w:left="3560" w:hanging="360"/>
      </w:pPr>
      <w:rPr>
        <w:rFonts w:ascii="Symbol" w:hAnsi="Symbol" w:hint="default"/>
      </w:rPr>
    </w:lvl>
    <w:lvl w:ilvl="4">
      <w:start w:val="1"/>
      <w:numFmt w:val="bullet"/>
      <w:lvlText w:val="o"/>
      <w:lvlJc w:val="left"/>
      <w:pPr>
        <w:ind w:left="4280" w:hanging="360"/>
      </w:pPr>
      <w:rPr>
        <w:rFonts w:ascii="Courier New" w:hAnsi="Courier New" w:cs="Courier New" w:hint="default"/>
      </w:rPr>
    </w:lvl>
    <w:lvl w:ilvl="5">
      <w:start w:val="1"/>
      <w:numFmt w:val="bullet"/>
      <w:lvlText w:val=""/>
      <w:lvlJc w:val="left"/>
      <w:pPr>
        <w:ind w:left="5000" w:hanging="360"/>
      </w:pPr>
      <w:rPr>
        <w:rFonts w:ascii="Wingdings" w:hAnsi="Wingdings" w:hint="default"/>
      </w:rPr>
    </w:lvl>
    <w:lvl w:ilvl="6">
      <w:start w:val="1"/>
      <w:numFmt w:val="bullet"/>
      <w:lvlText w:val=""/>
      <w:lvlJc w:val="left"/>
      <w:pPr>
        <w:ind w:left="5720" w:hanging="360"/>
      </w:pPr>
      <w:rPr>
        <w:rFonts w:ascii="Symbol" w:hAnsi="Symbol" w:hint="default"/>
      </w:rPr>
    </w:lvl>
    <w:lvl w:ilvl="7">
      <w:start w:val="1"/>
      <w:numFmt w:val="bullet"/>
      <w:lvlText w:val="o"/>
      <w:lvlJc w:val="left"/>
      <w:pPr>
        <w:ind w:left="6440" w:hanging="360"/>
      </w:pPr>
      <w:rPr>
        <w:rFonts w:ascii="Courier New" w:hAnsi="Courier New" w:cs="Courier New" w:hint="default"/>
      </w:rPr>
    </w:lvl>
    <w:lvl w:ilvl="8">
      <w:start w:val="1"/>
      <w:numFmt w:val="bullet"/>
      <w:lvlText w:val=""/>
      <w:lvlJc w:val="left"/>
      <w:pPr>
        <w:ind w:left="7160" w:hanging="360"/>
      </w:pPr>
      <w:rPr>
        <w:rFonts w:ascii="Wingdings" w:hAnsi="Wingdings" w:hint="default"/>
      </w:rPr>
    </w:lvl>
  </w:abstractNum>
  <w:abstractNum w:abstractNumId="22">
    <w:nsid w:val="3CF00E18"/>
    <w:multiLevelType w:val="singleLevel"/>
    <w:tmpl w:val="4E1A982C"/>
    <w:lvl w:ilvl="0">
      <w:start w:val="1"/>
      <w:numFmt w:val="bullet"/>
      <w:pStyle w:val="ListBullet"/>
      <w:lvlText w:val=""/>
      <w:lvlJc w:val="left"/>
      <w:pPr>
        <w:tabs>
          <w:tab w:val="num" w:pos="283"/>
        </w:tabs>
        <w:ind w:left="283" w:hanging="283"/>
      </w:pPr>
      <w:rPr>
        <w:rFonts w:ascii="Symbol" w:hAnsi="Symbol"/>
      </w:rPr>
    </w:lvl>
  </w:abstractNum>
  <w:abstractNum w:abstractNumId="23">
    <w:nsid w:val="413E1818"/>
    <w:multiLevelType w:val="hybridMultilevel"/>
    <w:tmpl w:val="0D049430"/>
    <w:lvl w:ilvl="0" w:tplc="08090001">
      <w:start w:val="1"/>
      <w:numFmt w:val="bullet"/>
      <w:lvlText w:val=""/>
      <w:lvlJc w:val="left"/>
      <w:pPr>
        <w:ind w:left="784" w:hanging="360"/>
      </w:pPr>
      <w:rPr>
        <w:rFonts w:ascii="Symbol" w:hAnsi="Symbol" w:hint="default"/>
      </w:rPr>
    </w:lvl>
    <w:lvl w:ilvl="1" w:tplc="08090003" w:tentative="1">
      <w:start w:val="1"/>
      <w:numFmt w:val="bullet"/>
      <w:lvlText w:val="o"/>
      <w:lvlJc w:val="left"/>
      <w:pPr>
        <w:ind w:left="1504" w:hanging="360"/>
      </w:pPr>
      <w:rPr>
        <w:rFonts w:ascii="Courier New" w:hAnsi="Courier New" w:cs="Courier New" w:hint="default"/>
      </w:rPr>
    </w:lvl>
    <w:lvl w:ilvl="2" w:tplc="08090005" w:tentative="1">
      <w:start w:val="1"/>
      <w:numFmt w:val="bullet"/>
      <w:lvlText w:val=""/>
      <w:lvlJc w:val="left"/>
      <w:pPr>
        <w:ind w:left="2224" w:hanging="360"/>
      </w:pPr>
      <w:rPr>
        <w:rFonts w:ascii="Wingdings" w:hAnsi="Wingdings" w:hint="default"/>
      </w:rPr>
    </w:lvl>
    <w:lvl w:ilvl="3" w:tplc="08090001" w:tentative="1">
      <w:start w:val="1"/>
      <w:numFmt w:val="bullet"/>
      <w:lvlText w:val=""/>
      <w:lvlJc w:val="left"/>
      <w:pPr>
        <w:ind w:left="2944" w:hanging="360"/>
      </w:pPr>
      <w:rPr>
        <w:rFonts w:ascii="Symbol" w:hAnsi="Symbol" w:hint="default"/>
      </w:rPr>
    </w:lvl>
    <w:lvl w:ilvl="4" w:tplc="08090003" w:tentative="1">
      <w:start w:val="1"/>
      <w:numFmt w:val="bullet"/>
      <w:lvlText w:val="o"/>
      <w:lvlJc w:val="left"/>
      <w:pPr>
        <w:ind w:left="3664" w:hanging="360"/>
      </w:pPr>
      <w:rPr>
        <w:rFonts w:ascii="Courier New" w:hAnsi="Courier New" w:cs="Courier New" w:hint="default"/>
      </w:rPr>
    </w:lvl>
    <w:lvl w:ilvl="5" w:tplc="08090005" w:tentative="1">
      <w:start w:val="1"/>
      <w:numFmt w:val="bullet"/>
      <w:lvlText w:val=""/>
      <w:lvlJc w:val="left"/>
      <w:pPr>
        <w:ind w:left="4384" w:hanging="360"/>
      </w:pPr>
      <w:rPr>
        <w:rFonts w:ascii="Wingdings" w:hAnsi="Wingdings" w:hint="default"/>
      </w:rPr>
    </w:lvl>
    <w:lvl w:ilvl="6" w:tplc="08090001" w:tentative="1">
      <w:start w:val="1"/>
      <w:numFmt w:val="bullet"/>
      <w:lvlText w:val=""/>
      <w:lvlJc w:val="left"/>
      <w:pPr>
        <w:ind w:left="5104" w:hanging="360"/>
      </w:pPr>
      <w:rPr>
        <w:rFonts w:ascii="Symbol" w:hAnsi="Symbol" w:hint="default"/>
      </w:rPr>
    </w:lvl>
    <w:lvl w:ilvl="7" w:tplc="08090003" w:tentative="1">
      <w:start w:val="1"/>
      <w:numFmt w:val="bullet"/>
      <w:lvlText w:val="o"/>
      <w:lvlJc w:val="left"/>
      <w:pPr>
        <w:ind w:left="5824" w:hanging="360"/>
      </w:pPr>
      <w:rPr>
        <w:rFonts w:ascii="Courier New" w:hAnsi="Courier New" w:cs="Courier New" w:hint="default"/>
      </w:rPr>
    </w:lvl>
    <w:lvl w:ilvl="8" w:tplc="08090005" w:tentative="1">
      <w:start w:val="1"/>
      <w:numFmt w:val="bullet"/>
      <w:lvlText w:val=""/>
      <w:lvlJc w:val="left"/>
      <w:pPr>
        <w:ind w:left="6544" w:hanging="360"/>
      </w:pPr>
      <w:rPr>
        <w:rFonts w:ascii="Wingdings" w:hAnsi="Wingdings" w:hint="default"/>
      </w:rPr>
    </w:lvl>
  </w:abstractNum>
  <w:abstractNum w:abstractNumId="24">
    <w:nsid w:val="44F77304"/>
    <w:multiLevelType w:val="multilevel"/>
    <w:tmpl w:val="554CD142"/>
    <w:lvl w:ilvl="0">
      <w:start w:val="1"/>
      <w:numFmt w:val="bullet"/>
      <w:lvlText w:val=""/>
      <w:lvlJc w:val="left"/>
      <w:pPr>
        <w:ind w:left="284" w:hanging="284"/>
      </w:pPr>
      <w:rPr>
        <w:rFonts w:ascii="Symbol" w:hAnsi="Symbol" w:hint="default"/>
        <w:color w:val="43707D"/>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nsid w:val="46113D4F"/>
    <w:multiLevelType w:val="singleLevel"/>
    <w:tmpl w:val="A3323CB8"/>
    <w:lvl w:ilvl="0">
      <w:start w:val="1"/>
      <w:numFmt w:val="bullet"/>
      <w:pStyle w:val="ListDash3"/>
      <w:lvlText w:val="–"/>
      <w:lvlJc w:val="left"/>
      <w:pPr>
        <w:tabs>
          <w:tab w:val="num" w:pos="1485"/>
        </w:tabs>
        <w:ind w:left="1485" w:hanging="283"/>
      </w:pPr>
      <w:rPr>
        <w:rFonts w:ascii="Times New Roman" w:hAnsi="Times New Roman"/>
      </w:rPr>
    </w:lvl>
  </w:abstractNum>
  <w:abstractNum w:abstractNumId="26">
    <w:nsid w:val="4AF6761B"/>
    <w:multiLevelType w:val="multilevel"/>
    <w:tmpl w:val="8220A362"/>
    <w:lvl w:ilvl="0">
      <w:start w:val="1"/>
      <w:numFmt w:val="bullet"/>
      <w:pStyle w:val="Bulletpoints"/>
      <w:lvlText w:val=""/>
      <w:lvlJc w:val="left"/>
      <w:pPr>
        <w:ind w:left="284" w:hanging="284"/>
      </w:pPr>
      <w:rPr>
        <w:rFonts w:ascii="Symbol" w:hAnsi="Symbol" w:hint="default"/>
        <w:color w:val="43707D"/>
      </w:rPr>
    </w:lvl>
    <w:lvl w:ilvl="1">
      <w:start w:val="1"/>
      <w:numFmt w:val="bullet"/>
      <w:lvlText w:val="o"/>
      <w:lvlJc w:val="left"/>
      <w:pPr>
        <w:ind w:left="567" w:hanging="283"/>
      </w:pPr>
      <w:rPr>
        <w:rFonts w:ascii="Courier New" w:hAnsi="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nsid w:val="4B2F1E38"/>
    <w:multiLevelType w:val="hybridMultilevel"/>
    <w:tmpl w:val="DF2C304C"/>
    <w:lvl w:ilvl="0" w:tplc="4D6A7242">
      <w:start w:val="1"/>
      <w:numFmt w:val="decimal"/>
      <w:lvlText w:val="%1."/>
      <w:lvlJc w:val="left"/>
      <w:pPr>
        <w:ind w:left="720" w:hanging="360"/>
      </w:pPr>
      <w:rPr>
        <w:i w:val="0"/>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nsid w:val="5176726A"/>
    <w:multiLevelType w:val="hybridMultilevel"/>
    <w:tmpl w:val="80140844"/>
    <w:lvl w:ilvl="0" w:tplc="4DD6949A">
      <w:start w:val="1"/>
      <w:numFmt w:val="bullet"/>
      <w:pStyle w:val="BulletedList"/>
      <w:lvlText w:val=""/>
      <w:lvlJc w:val="left"/>
      <w:pPr>
        <w:tabs>
          <w:tab w:val="num" w:pos="340"/>
        </w:tabs>
        <w:ind w:left="1361" w:hanging="340"/>
      </w:pPr>
      <w:rPr>
        <w:rFonts w:ascii="Symbol" w:hAnsi="Symbol" w:hint="default"/>
      </w:rPr>
    </w:lvl>
    <w:lvl w:ilvl="1" w:tplc="0254B86C">
      <w:start w:val="1"/>
      <w:numFmt w:val="bullet"/>
      <w:lvlText w:val="o"/>
      <w:lvlJc w:val="left"/>
      <w:pPr>
        <w:tabs>
          <w:tab w:val="num" w:pos="340"/>
        </w:tabs>
        <w:ind w:left="1701" w:hanging="340"/>
      </w:pPr>
      <w:rPr>
        <w:rFonts w:ascii="Courier New" w:hAnsi="Courier New" w:hint="default"/>
      </w:rPr>
    </w:lvl>
    <w:lvl w:ilvl="2" w:tplc="3FCCEC2E">
      <w:start w:val="1"/>
      <w:numFmt w:val="bullet"/>
      <w:lvlText w:val="‒"/>
      <w:lvlJc w:val="left"/>
      <w:pPr>
        <w:tabs>
          <w:tab w:val="num" w:pos="340"/>
        </w:tabs>
        <w:ind w:left="2041" w:hanging="340"/>
      </w:pPr>
      <w:rPr>
        <w:rFonts w:ascii="Calibri" w:hAnsi="Calibri" w:hint="default"/>
      </w:rPr>
    </w:lvl>
    <w:lvl w:ilvl="3" w:tplc="1B2CDE76">
      <w:start w:val="1"/>
      <w:numFmt w:val="bullet"/>
      <w:lvlText w:val="‒"/>
      <w:lvlJc w:val="left"/>
      <w:pPr>
        <w:tabs>
          <w:tab w:val="num" w:pos="340"/>
        </w:tabs>
        <w:ind w:left="2381" w:hanging="340"/>
      </w:pPr>
      <w:rPr>
        <w:rFonts w:ascii="Calibri" w:hAnsi="Calibri" w:hint="default"/>
      </w:rPr>
    </w:lvl>
    <w:lvl w:ilvl="4" w:tplc="EB20ACEC">
      <w:start w:val="1"/>
      <w:numFmt w:val="bullet"/>
      <w:lvlText w:val="‒"/>
      <w:lvlJc w:val="left"/>
      <w:pPr>
        <w:tabs>
          <w:tab w:val="num" w:pos="340"/>
        </w:tabs>
        <w:ind w:left="2722" w:hanging="341"/>
      </w:pPr>
      <w:rPr>
        <w:rFonts w:ascii="Calibri" w:hAnsi="Calibri"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9">
    <w:nsid w:val="527F0B21"/>
    <w:multiLevelType w:val="multilevel"/>
    <w:tmpl w:val="8760EDEC"/>
    <w:lvl w:ilvl="0">
      <w:start w:val="1"/>
      <w:numFmt w:val="decimal"/>
      <w:suff w:val="space"/>
      <w:lvlText w:val="%1. "/>
      <w:lvlJc w:val="left"/>
      <w:pPr>
        <w:ind w:left="2835" w:firstLine="0"/>
      </w:pPr>
      <w:rPr>
        <w:rFonts w:hint="default"/>
      </w:rPr>
    </w:lvl>
    <w:lvl w:ilvl="1">
      <w:start w:val="1"/>
      <w:numFmt w:val="decimal"/>
      <w:suff w:val="space"/>
      <w:lvlText w:val="%1.%2."/>
      <w:lvlJc w:val="left"/>
      <w:pPr>
        <w:ind w:left="568" w:firstLine="0"/>
      </w:pPr>
      <w:rPr>
        <w:b w:val="0"/>
        <w:bCs w:val="0"/>
        <w:i w:val="0"/>
        <w:iCs w:val="0"/>
        <w:caps w:val="0"/>
        <w:smallCaps w:val="0"/>
        <w:strike w:val="0"/>
        <w:dstrike w:val="0"/>
        <w:noProof w:val="0"/>
        <w:vanish w:val="0"/>
        <w:color w:val="4F81BD" w:themeColor="accent1"/>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suff w:val="space"/>
      <w:lvlText w:val="%1.%2.%3."/>
      <w:lvlJc w:val="left"/>
      <w:pPr>
        <w:ind w:left="680" w:firstLine="0"/>
      </w:pPr>
      <w:rPr>
        <w:rFonts w:hint="default"/>
      </w:rPr>
    </w:lvl>
    <w:lvl w:ilvl="3">
      <w:start w:val="1"/>
      <w:numFmt w:val="none"/>
      <w:suff w:val="nothing"/>
      <w:lvlText w:val=""/>
      <w:lvlJc w:val="left"/>
      <w:pPr>
        <w:ind w:left="680" w:firstLine="0"/>
      </w:pPr>
      <w:rPr>
        <w:rFonts w:hint="default"/>
      </w:rPr>
    </w:lvl>
    <w:lvl w:ilvl="4">
      <w:start w:val="1"/>
      <w:numFmt w:val="none"/>
      <w:suff w:val="nothing"/>
      <w:lvlText w:val=""/>
      <w:lvlJc w:val="left"/>
      <w:pPr>
        <w:ind w:left="851" w:firstLine="0"/>
      </w:pPr>
      <w:rPr>
        <w:rFonts w:hint="default"/>
      </w:rPr>
    </w:lvl>
    <w:lvl w:ilvl="5">
      <w:start w:val="1"/>
      <w:numFmt w:val="upperRoman"/>
      <w:lvlRestart w:val="0"/>
      <w:suff w:val="space"/>
      <w:lvlText w:val="Part %6."/>
      <w:lvlJc w:val="left"/>
      <w:pPr>
        <w:ind w:left="0" w:firstLine="0"/>
      </w:pPr>
      <w:rPr>
        <w:rFonts w:hint="default"/>
      </w:rPr>
    </w:lvl>
    <w:lvl w:ilvl="6">
      <w:start w:val="1"/>
      <w:numFmt w:val="upperLetter"/>
      <w:lvlRestart w:val="0"/>
      <w:suff w:val="space"/>
      <w:lvlText w:val="Annex %7."/>
      <w:lvlJc w:val="left"/>
      <w:pPr>
        <w:ind w:left="0" w:firstLine="0"/>
      </w:pPr>
      <w:rPr>
        <w:rFonts w:hint="default"/>
      </w:rPr>
    </w:lvl>
    <w:lvl w:ilvl="7">
      <w:start w:val="1"/>
      <w:numFmt w:val="upperLetter"/>
      <w:lvlRestart w:val="6"/>
      <w:suff w:val="space"/>
      <w:lvlText w:val="Annex %6.%8."/>
      <w:lvlJc w:val="left"/>
      <w:pPr>
        <w:ind w:left="0" w:firstLine="0"/>
      </w:pPr>
      <w:rPr>
        <w:rFonts w:hint="default"/>
      </w:rPr>
    </w:lvl>
    <w:lvl w:ilvl="8">
      <w:start w:val="1"/>
      <w:numFmt w:val="upperLetter"/>
      <w:lvlRestart w:val="1"/>
      <w:suff w:val="space"/>
      <w:lvlText w:val="Annex %1.%9."/>
      <w:lvlJc w:val="left"/>
      <w:pPr>
        <w:ind w:left="0" w:firstLine="0"/>
      </w:pPr>
      <w:rPr>
        <w:rFonts w:hint="default"/>
      </w:rPr>
    </w:lvl>
  </w:abstractNum>
  <w:abstractNum w:abstractNumId="30">
    <w:nsid w:val="54D10AB0"/>
    <w:multiLevelType w:val="singleLevel"/>
    <w:tmpl w:val="5B50620E"/>
    <w:lvl w:ilvl="0">
      <w:start w:val="1"/>
      <w:numFmt w:val="bullet"/>
      <w:pStyle w:val="ListDash4"/>
      <w:lvlText w:val="–"/>
      <w:lvlJc w:val="left"/>
      <w:pPr>
        <w:tabs>
          <w:tab w:val="num" w:pos="1485"/>
        </w:tabs>
        <w:ind w:left="1485" w:hanging="283"/>
      </w:pPr>
      <w:rPr>
        <w:rFonts w:ascii="Times New Roman" w:hAnsi="Times New Roman"/>
      </w:rPr>
    </w:lvl>
  </w:abstractNum>
  <w:abstractNum w:abstractNumId="31">
    <w:nsid w:val="5E0D6286"/>
    <w:multiLevelType w:val="singleLevel"/>
    <w:tmpl w:val="B0567122"/>
    <w:lvl w:ilvl="0">
      <w:start w:val="1"/>
      <w:numFmt w:val="bullet"/>
      <w:pStyle w:val="ListDash2"/>
      <w:lvlText w:val="–"/>
      <w:lvlJc w:val="left"/>
      <w:pPr>
        <w:tabs>
          <w:tab w:val="num" w:pos="1485"/>
        </w:tabs>
        <w:ind w:left="1485" w:hanging="283"/>
      </w:pPr>
      <w:rPr>
        <w:rFonts w:ascii="Times New Roman" w:hAnsi="Times New Roman"/>
      </w:rPr>
    </w:lvl>
  </w:abstractNum>
  <w:abstractNum w:abstractNumId="32">
    <w:nsid w:val="6057433F"/>
    <w:multiLevelType w:val="singleLevel"/>
    <w:tmpl w:val="3D5ECD48"/>
    <w:lvl w:ilvl="0">
      <w:start w:val="1"/>
      <w:numFmt w:val="bullet"/>
      <w:pStyle w:val="ListDash1"/>
      <w:lvlText w:val="–"/>
      <w:lvlJc w:val="left"/>
      <w:pPr>
        <w:tabs>
          <w:tab w:val="num" w:pos="765"/>
        </w:tabs>
        <w:ind w:left="765" w:hanging="283"/>
      </w:pPr>
      <w:rPr>
        <w:rFonts w:ascii="Times New Roman" w:hAnsi="Times New Roman"/>
      </w:rPr>
    </w:lvl>
  </w:abstractNum>
  <w:abstractNum w:abstractNumId="33">
    <w:nsid w:val="6072354D"/>
    <w:multiLevelType w:val="hybridMultilevel"/>
    <w:tmpl w:val="38348C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4">
    <w:nsid w:val="620F2440"/>
    <w:multiLevelType w:val="singleLevel"/>
    <w:tmpl w:val="6860A420"/>
    <w:lvl w:ilvl="0">
      <w:start w:val="1"/>
      <w:numFmt w:val="bullet"/>
      <w:pStyle w:val="ListBullet3"/>
      <w:lvlText w:val=""/>
      <w:lvlJc w:val="left"/>
      <w:pPr>
        <w:tabs>
          <w:tab w:val="num" w:pos="1485"/>
        </w:tabs>
        <w:ind w:left="1485" w:hanging="283"/>
      </w:pPr>
      <w:rPr>
        <w:rFonts w:ascii="Symbol" w:hAnsi="Symbol"/>
      </w:rPr>
    </w:lvl>
  </w:abstractNum>
  <w:abstractNum w:abstractNumId="35">
    <w:nsid w:val="63B72083"/>
    <w:multiLevelType w:val="hybridMultilevel"/>
    <w:tmpl w:val="F9FA76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6">
    <w:nsid w:val="6A1042F2"/>
    <w:multiLevelType w:val="multilevel"/>
    <w:tmpl w:val="08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37">
    <w:nsid w:val="6DF118C0"/>
    <w:multiLevelType w:val="singleLevel"/>
    <w:tmpl w:val="B90C8B88"/>
    <w:lvl w:ilvl="0">
      <w:start w:val="1"/>
      <w:numFmt w:val="bullet"/>
      <w:pStyle w:val="ListBullet4"/>
      <w:lvlText w:val=""/>
      <w:lvlJc w:val="left"/>
      <w:pPr>
        <w:tabs>
          <w:tab w:val="num" w:pos="1485"/>
        </w:tabs>
        <w:ind w:left="1485" w:hanging="283"/>
      </w:pPr>
      <w:rPr>
        <w:rFonts w:ascii="Symbol" w:hAnsi="Symbol"/>
      </w:rPr>
    </w:lvl>
  </w:abstractNum>
  <w:abstractNum w:abstractNumId="38">
    <w:nsid w:val="6F3D4977"/>
    <w:multiLevelType w:val="hybridMultilevel"/>
    <w:tmpl w:val="E360866A"/>
    <w:lvl w:ilvl="0" w:tplc="1AC8DA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nsid w:val="722304D7"/>
    <w:multiLevelType w:val="multilevel"/>
    <w:tmpl w:val="9DE2758E"/>
    <w:lvl w:ilvl="0">
      <w:start w:val="1"/>
      <w:numFmt w:val="decimal"/>
      <w:pStyle w:val="ListNumber4"/>
      <w:lvlText w:val="(%1)"/>
      <w:lvlJc w:val="left"/>
      <w:pPr>
        <w:tabs>
          <w:tab w:val="num" w:pos="1911"/>
        </w:tabs>
        <w:ind w:left="1911" w:hanging="709"/>
      </w:pPr>
    </w:lvl>
    <w:lvl w:ilvl="1">
      <w:start w:val="1"/>
      <w:numFmt w:val="lowerLetter"/>
      <w:pStyle w:val="ListNumber4Level2"/>
      <w:lvlText w:val="(%2)"/>
      <w:lvlJc w:val="left"/>
      <w:pPr>
        <w:tabs>
          <w:tab w:val="num" w:pos="2619"/>
        </w:tabs>
        <w:ind w:left="2619" w:hanging="708"/>
      </w:pPr>
    </w:lvl>
    <w:lvl w:ilvl="2">
      <w:start w:val="1"/>
      <w:numFmt w:val="bullet"/>
      <w:pStyle w:val="ListNumber4Level3"/>
      <w:lvlText w:val="–"/>
      <w:lvlJc w:val="left"/>
      <w:pPr>
        <w:tabs>
          <w:tab w:val="num" w:pos="3328"/>
        </w:tabs>
        <w:ind w:left="3328" w:hanging="709"/>
      </w:pPr>
      <w:rPr>
        <w:rFonts w:ascii="Times New Roman" w:hAnsi="Times New Roman"/>
      </w:rPr>
    </w:lvl>
    <w:lvl w:ilvl="3">
      <w:start w:val="1"/>
      <w:numFmt w:val="bullet"/>
      <w:pStyle w:val="ListNumber4Level4"/>
      <w:lvlText w:val=""/>
      <w:lvlJc w:val="left"/>
      <w:pPr>
        <w:tabs>
          <w:tab w:val="num" w:pos="4037"/>
        </w:tabs>
        <w:ind w:left="4037" w:hanging="709"/>
      </w:pPr>
      <w:rPr>
        <w:rFonts w:ascii="Symbol" w:hAnsi="Symbol"/>
      </w:r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40">
    <w:nsid w:val="7C6B63E6"/>
    <w:multiLevelType w:val="singleLevel"/>
    <w:tmpl w:val="0292EEF0"/>
    <w:name w:val="LegalNumParListTemplate"/>
    <w:lvl w:ilvl="0">
      <w:start w:val="1"/>
      <w:numFmt w:val="decimal"/>
      <w:lvlText w:val="%1."/>
      <w:lvlJc w:val="left"/>
      <w:pPr>
        <w:tabs>
          <w:tab w:val="num" w:pos="476"/>
        </w:tabs>
        <w:ind w:left="476" w:hanging="476"/>
      </w:pPr>
    </w:lvl>
  </w:abstractNum>
  <w:abstractNum w:abstractNumId="41">
    <w:nsid w:val="7D503AEA"/>
    <w:multiLevelType w:val="hybridMultilevel"/>
    <w:tmpl w:val="F9EC9A82"/>
    <w:lvl w:ilvl="0" w:tplc="94B0BAF0">
      <w:start w:val="4"/>
      <w:numFmt w:val="bullet"/>
      <w:lvlText w:val="-"/>
      <w:lvlJc w:val="left"/>
      <w:pPr>
        <w:ind w:left="720" w:hanging="360"/>
      </w:pPr>
      <w:rPr>
        <w:rFonts w:ascii="Verdana" w:eastAsiaTheme="minorEastAsia" w:hAnsi="Verdana" w:cstheme="minorHAns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7DB61271"/>
    <w:multiLevelType w:val="hybridMultilevel"/>
    <w:tmpl w:val="E360866A"/>
    <w:lvl w:ilvl="0" w:tplc="1AC8DABE">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1"/>
  </w:num>
  <w:num w:numId="2">
    <w:abstractNumId w:val="0"/>
  </w:num>
  <w:num w:numId="3">
    <w:abstractNumId w:val="22"/>
  </w:num>
  <w:num w:numId="4">
    <w:abstractNumId w:val="13"/>
  </w:num>
  <w:num w:numId="5">
    <w:abstractNumId w:val="19"/>
  </w:num>
  <w:num w:numId="6">
    <w:abstractNumId w:val="34"/>
  </w:num>
  <w:num w:numId="7">
    <w:abstractNumId w:val="37"/>
  </w:num>
  <w:num w:numId="8">
    <w:abstractNumId w:val="17"/>
  </w:num>
  <w:num w:numId="9">
    <w:abstractNumId w:val="32"/>
  </w:num>
  <w:num w:numId="10">
    <w:abstractNumId w:val="31"/>
  </w:num>
  <w:num w:numId="11">
    <w:abstractNumId w:val="25"/>
  </w:num>
  <w:num w:numId="12">
    <w:abstractNumId w:val="30"/>
  </w:num>
  <w:num w:numId="13">
    <w:abstractNumId w:val="10"/>
  </w:num>
  <w:num w:numId="14">
    <w:abstractNumId w:val="18"/>
  </w:num>
  <w:num w:numId="15">
    <w:abstractNumId w:val="7"/>
  </w:num>
  <w:num w:numId="16">
    <w:abstractNumId w:val="14"/>
  </w:num>
  <w:num w:numId="17">
    <w:abstractNumId w:val="39"/>
  </w:num>
  <w:num w:numId="18">
    <w:abstractNumId w:val="15"/>
  </w:num>
  <w:num w:numId="19">
    <w:abstractNumId w:val="6"/>
  </w:num>
  <w:num w:numId="20">
    <w:abstractNumId w:val="23"/>
  </w:num>
  <w:num w:numId="21">
    <w:abstractNumId w:val="16"/>
  </w:num>
  <w:num w:numId="22">
    <w:abstractNumId w:val="20"/>
  </w:num>
  <w:num w:numId="23">
    <w:abstractNumId w:val="27"/>
  </w:num>
  <w:num w:numId="24">
    <w:abstractNumId w:val="26"/>
  </w:num>
  <w:num w:numId="25">
    <w:abstractNumId w:val="24"/>
  </w:num>
  <w:num w:numId="26">
    <w:abstractNumId w:val="8"/>
  </w:num>
  <w:num w:numId="27">
    <w:abstractNumId w:val="36"/>
  </w:num>
  <w:num w:numId="28">
    <w:abstractNumId w:val="21"/>
  </w:num>
  <w:num w:numId="29">
    <w:abstractNumId w:val="28"/>
  </w:num>
  <w:num w:numId="30">
    <w:abstractNumId w:val="42"/>
  </w:num>
  <w:num w:numId="31">
    <w:abstractNumId w:val="38"/>
  </w:num>
  <w:num w:numId="32">
    <w:abstractNumId w:val="11"/>
  </w:num>
  <w:num w:numId="33">
    <w:abstractNumId w:val="33"/>
  </w:num>
  <w:num w:numId="34">
    <w:abstractNumId w:val="2"/>
  </w:num>
  <w:num w:numId="35">
    <w:abstractNumId w:val="3"/>
  </w:num>
  <w:num w:numId="36">
    <w:abstractNumId w:val="9"/>
  </w:num>
  <w:num w:numId="37">
    <w:abstractNumId w:val="29"/>
  </w:num>
  <w:num w:numId="38">
    <w:abstractNumId w:val="36"/>
  </w:num>
  <w:num w:numId="39">
    <w:abstractNumId w:val="12"/>
  </w:num>
  <w:num w:numId="40">
    <w:abstractNumId w:val="41"/>
  </w:num>
  <w:num w:numId="41">
    <w:abstractNumId w:val="36"/>
  </w:num>
  <w:num w:numId="42">
    <w:abstractNumId w:val="35"/>
  </w:num>
  <w:num w:numId="43">
    <w:abstractNumId w:val="4"/>
  </w:num>
  <w:num w:numId="44">
    <w:abstractNumId w:val="5"/>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1"/>
  <w:removeDateAndTime/>
  <w:displayBackgroundShape/>
  <w:hideSpellingErrors/>
  <w:hideGrammaticalErrors/>
  <w:activeWritingStyle w:appName="MSWord" w:lang="fr-FR" w:vendorID="64" w:dllVersion="131078" w:nlCheck="1" w:checkStyle="0"/>
  <w:activeWritingStyle w:appName="MSWord" w:lang="en-GB" w:vendorID="64" w:dllVersion="131078" w:nlCheck="1" w:checkStyle="1"/>
  <w:activeWritingStyle w:appName="MSWord" w:lang="en-US" w:vendorID="64" w:dllVersion="131078" w:nlCheck="1" w:checkStyle="1"/>
  <w:activeWritingStyle w:appName="MSWord" w:lang="fr-BE" w:vendorID="64" w:dllVersion="131078" w:nlCheck="1" w:checkStyle="0"/>
  <w:activeWritingStyle w:appName="MSWord" w:lang="es-ES" w:vendorID="64" w:dllVersion="131078" w:nlCheck="1" w:checkStyle="0"/>
  <w:revisionView w:markup="0"/>
  <w:defaultTabStop w:val="720"/>
  <w:hyphenationZone w:val="425"/>
  <w:characterSpacingControl w:val="doNotCompress"/>
  <w:hdrShapeDefaults>
    <o:shapedefaults v:ext="edit" spidmax="9216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DocStatus" w:val="Green"/>
    <w:docVar w:name="LW_CORRIGENDUM" w:val="&lt;UNUSED&gt;"/>
    <w:docVar w:name="LW_COVERPAGE_EXISTS" w:val="True"/>
    <w:docVar w:name="LW_COVERPAGE_GUID" w:val="82BF86E5-E109-4577-9D9C-402DE4C1D554"/>
    <w:docVar w:name="LW_COVERPAGE_TYPE" w:val="1"/>
    <w:docVar w:name="LW_CROSSREFERENCE" w:val="{SWD(2020) 145 final}"/>
    <w:docVar w:name="LW_DocType" w:val="NORMAL"/>
    <w:docVar w:name="LW_EMISSION" w:val="10.9.2020"/>
    <w:docVar w:name="LW_EMISSION_ISODATE" w:val="2020-09-10"/>
    <w:docVar w:name="LW_EMISSION_LOCATION" w:val="BRX"/>
    <w:docVar w:name="LW_EMISSION_PREFIX" w:val="Briselē, "/>
    <w:docVar w:name="LW_EMISSION_SUFFIX" w:val="."/>
    <w:docVar w:name="LW_ID_DOCTYPE_NONLW" w:val="CP-008"/>
    <w:docVar w:name="LW_LANGUE" w:val="LV"/>
    <w:docVar w:name="LW_LEVEL_OF_SENSITIVITY" w:val="Standard treatment"/>
    <w:docVar w:name="LW_NOM.INST" w:val="EIROPAS KOMISIJA"/>
    <w:docVar w:name="LW_NOM.INST_JOINTDOC" w:val="&lt;EMPTY&gt;"/>
    <w:docVar w:name="LW_PART_NBR" w:val="1"/>
    <w:docVar w:name="LW_PART_NBR_TOTAL" w:val="1"/>
    <w:docVar w:name="LW_REF.INST.NEW" w:val="COM"/>
    <w:docVar w:name="LW_REF.INST.NEW_ADOPTED" w:val="final"/>
    <w:docVar w:name="LW_REF.INST.NEW_TEXT" w:val="(2020) 492"/>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Desmitais zi\u326?ojums par to, k\u257? \u299?stenota Padomes Direkt\u299?va 91/271/EEK par komun\u257?lo notek\u363?de\u326?u att\u299?r\u299?\u353?anu, un par t\u257?s \u299?steno\u353?anas programm\u257?m (k\u257? noteikts 17. pant\u257?)"/>
    <w:docVar w:name="LW_TYPE.DOC.CP" w:val="KOMISIJAS ZI\u325?OJUMS EIROPAS PARLAMENTAM, PADOMEI, EIROPAS EKONOMIKAS UN SOCI\u256?LO LIETU KOMITEJAI UN RE\u290?IONU KOMITEJAI"/>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9216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7"/>
      </w:numPr>
      <w:spacing w:before="240" w:after="60" w:line="276" w:lineRule="auto"/>
      <w:jc w:val="left"/>
      <w:outlineLvl w:val="0"/>
    </w:pPr>
    <w:rPr>
      <w:b/>
      <w:bCs/>
      <w:smallCaps/>
      <w:kern w:val="32"/>
      <w:szCs w:val="24"/>
    </w:rPr>
  </w:style>
  <w:style w:type="paragraph" w:styleId="Heading2">
    <w:name w:val="heading 2"/>
    <w:basedOn w:val="Normal"/>
    <w:next w:val="Text2"/>
    <w:link w:val="Heading2Char"/>
    <w:uiPriority w:val="9"/>
    <w:qFormat/>
    <w:pPr>
      <w:keepNext/>
      <w:numPr>
        <w:ilvl w:val="1"/>
        <w:numId w:val="27"/>
      </w:numPr>
      <w:outlineLvl w:val="1"/>
    </w:pPr>
    <w:rPr>
      <w:b/>
    </w:rPr>
  </w:style>
  <w:style w:type="paragraph" w:styleId="Heading3">
    <w:name w:val="heading 3"/>
    <w:basedOn w:val="Normal"/>
    <w:next w:val="Text3"/>
    <w:link w:val="Heading3Char"/>
    <w:qFormat/>
    <w:pPr>
      <w:keepNext/>
      <w:numPr>
        <w:ilvl w:val="2"/>
        <w:numId w:val="27"/>
      </w:numPr>
      <w:outlineLvl w:val="2"/>
    </w:pPr>
    <w:rPr>
      <w:i/>
    </w:rPr>
  </w:style>
  <w:style w:type="paragraph" w:styleId="Heading4">
    <w:name w:val="heading 4"/>
    <w:basedOn w:val="Normal"/>
    <w:next w:val="Text4"/>
    <w:link w:val="Heading4Char"/>
    <w:qFormat/>
    <w:pPr>
      <w:keepNext/>
      <w:numPr>
        <w:ilvl w:val="3"/>
        <w:numId w:val="27"/>
      </w:numPr>
      <w:outlineLvl w:val="3"/>
    </w:pPr>
  </w:style>
  <w:style w:type="paragraph" w:styleId="Heading5">
    <w:name w:val="heading 5"/>
    <w:basedOn w:val="Normal"/>
    <w:next w:val="Normal"/>
    <w:link w:val="Heading5Char"/>
    <w:qFormat/>
    <w:pPr>
      <w:numPr>
        <w:ilvl w:val="4"/>
        <w:numId w:val="27"/>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27"/>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27"/>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27"/>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7"/>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kern w:val="32"/>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Bilder"/>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qFormat/>
    <w:pPr>
      <w:ind w:left="357" w:hanging="357"/>
    </w:pPr>
    <w:rPr>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NormalWeb">
    <w:name w:val="Normal (Web)"/>
    <w:basedOn w:val="Normal"/>
    <w:uiPriority w:val="99"/>
    <w:semiHidden/>
    <w:unhideWhenUsed/>
    <w:rPr>
      <w:szCs w:val="24"/>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ascii="Times New Roman" w:eastAsia="Times New Roman" w:hAnsi="Times New Roman" w:cs="Times New Roman"/>
      <w:b/>
      <w:sz w:val="32"/>
      <w:szCs w:val="20"/>
    </w:rPr>
  </w:style>
  <w:style w:type="paragraph" w:customStyle="1" w:styleId="Text">
    <w:name w:val="Text"/>
    <w:link w:val="TextChar"/>
    <w:qFormat/>
    <w:pPr>
      <w:spacing w:before="120" w:after="120" w:line="252" w:lineRule="auto"/>
      <w:jc w:val="both"/>
    </w:pPr>
    <w:rPr>
      <w:rFonts w:ascii="EC Square Sans Pro" w:eastAsia="EC Square Sans Pro Light" w:hAnsi="EC Square Sans Pro" w:cs="EC Square Sans Pro Light"/>
      <w:position w:val="1"/>
    </w:rPr>
  </w:style>
  <w:style w:type="character" w:customStyle="1" w:styleId="TextChar">
    <w:name w:val="Text Char"/>
    <w:basedOn w:val="DefaultParagraphFont"/>
    <w:link w:val="Text"/>
    <w:rPr>
      <w:rFonts w:ascii="EC Square Sans Pro" w:eastAsia="EC Square Sans Pro Light" w:hAnsi="EC Square Sans Pro" w:cs="EC Square Sans Pro Light"/>
      <w:position w:val="1"/>
    </w:rPr>
  </w:style>
  <w:style w:type="paragraph" w:customStyle="1" w:styleId="Bulletpoints">
    <w:name w:val="Bullet points"/>
    <w:basedOn w:val="ListParagraph"/>
    <w:link w:val="BulletpointsChar"/>
    <w:qFormat/>
    <w:pPr>
      <w:widowControl w:val="0"/>
      <w:numPr>
        <w:numId w:val="24"/>
      </w:numPr>
      <w:tabs>
        <w:tab w:val="left" w:pos="3119"/>
        <w:tab w:val="left" w:pos="3686"/>
      </w:tabs>
      <w:spacing w:before="60" w:after="60" w:line="280" w:lineRule="exact"/>
      <w:contextualSpacing w:val="0"/>
    </w:pPr>
    <w:rPr>
      <w:rFonts w:ascii="EC Square Sans Pro" w:eastAsia="EC Square Sans Pro Light" w:hAnsi="EC Square Sans Pro" w:cs="EC Square Sans Pro Light"/>
      <w:position w:val="1"/>
      <w:sz w:val="22"/>
      <w:szCs w:val="22"/>
    </w:rPr>
  </w:style>
  <w:style w:type="character" w:customStyle="1" w:styleId="BulletpointsChar">
    <w:name w:val="Bullet points Char"/>
    <w:basedOn w:val="DefaultParagraphFont"/>
    <w:link w:val="Bulletpoints"/>
    <w:rPr>
      <w:rFonts w:ascii="EC Square Sans Pro" w:eastAsia="EC Square Sans Pro Light" w:hAnsi="EC Square Sans Pro" w:cs="EC Square Sans Pro Light"/>
      <w:position w:val="1"/>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TextChar"/>
    <w:link w:val="Caption"/>
    <w:uiPriority w:val="35"/>
    <w:rPr>
      <w:rFonts w:ascii="Times New Roman" w:eastAsia="Times New Roman" w:hAnsi="Times New Roman" w:cs="Times New Roman"/>
      <w:b/>
      <w:position w:val="1"/>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locked/>
    <w:pPr>
      <w:spacing w:after="160" w:line="240" w:lineRule="exact"/>
    </w:pPr>
    <w:rPr>
      <w:rFonts w:asciiTheme="minorHAnsi" w:eastAsiaTheme="minorHAnsi" w:hAnsiTheme="minorHAnsi" w:cstheme="minorBidi"/>
      <w:sz w:val="22"/>
      <w:szCs w:val="22"/>
      <w:vertAlign w:val="superscript"/>
    </w:rPr>
  </w:style>
  <w:style w:type="character" w:customStyle="1" w:styleId="CommentTextChar1">
    <w:name w:val="Comment Text Char1"/>
    <w:basedOn w:val="DefaultParagraphFont"/>
    <w:uiPriority w:val="99"/>
    <w:rPr>
      <w:lang w:val="lv-LV" w:eastAsia="en-US"/>
    </w:rPr>
  </w:style>
  <w:style w:type="character" w:customStyle="1" w:styleId="FootnoteTextChar1">
    <w:name w:val="Footnote Text Char1"/>
    <w:uiPriority w:val="99"/>
    <w:rPr>
      <w:lang w:val="lv-LV" w:eastAsia="en-US"/>
    </w:rPr>
  </w:style>
  <w:style w:type="paragraph" w:customStyle="1" w:styleId="BulletedList">
    <w:name w:val="Bulleted List"/>
    <w:basedOn w:val="ListParagraph"/>
    <w:uiPriority w:val="6"/>
    <w:qFormat/>
    <w:pPr>
      <w:numPr>
        <w:numId w:val="29"/>
      </w:numPr>
      <w:spacing w:after="120"/>
      <w:ind w:right="680"/>
      <w:contextualSpacing w:val="0"/>
    </w:pPr>
    <w:rPr>
      <w:rFonts w:eastAsia="SimSun"/>
      <w:sz w:val="22"/>
    </w:rPr>
  </w:style>
  <w:style w:type="paragraph" w:customStyle="1" w:styleId="Para0">
    <w:name w:val="Para"/>
    <w:basedOn w:val="Normal"/>
    <w:link w:val="ParaChar"/>
    <w:uiPriority w:val="3"/>
    <w:qFormat/>
    <w:pPr>
      <w:spacing w:before="120" w:after="120"/>
      <w:ind w:left="680" w:right="680"/>
    </w:pPr>
    <w:rPr>
      <w:rFonts w:eastAsia="SimSun"/>
      <w:sz w:val="22"/>
    </w:rPr>
  </w:style>
  <w:style w:type="character" w:customStyle="1" w:styleId="ParaChar">
    <w:name w:val="Para Char"/>
    <w:basedOn w:val="DefaultParagraphFont"/>
    <w:link w:val="Para0"/>
    <w:uiPriority w:val="3"/>
    <w:rPr>
      <w:rFonts w:ascii="Times New Roman" w:eastAsia="SimSun" w:hAnsi="Times New Roman" w:cs="Times New Roman"/>
      <w:szCs w:val="20"/>
    </w:rPr>
  </w:style>
  <w:style w:type="paragraph" w:customStyle="1" w:styleId="Para">
    <w:name w:val="Para #"/>
    <w:basedOn w:val="Normal"/>
    <w:link w:val="ParaChar0"/>
    <w:uiPriority w:val="4"/>
    <w:qFormat/>
    <w:pPr>
      <w:numPr>
        <w:numId w:val="32"/>
      </w:numPr>
      <w:spacing w:before="120" w:after="120"/>
      <w:ind w:right="680"/>
    </w:pPr>
    <w:rPr>
      <w:rFonts w:eastAsiaTheme="minorHAnsi" w:cstheme="minorBidi"/>
      <w:sz w:val="22"/>
      <w:szCs w:val="22"/>
    </w:rPr>
  </w:style>
  <w:style w:type="character" w:customStyle="1" w:styleId="ParaChar0">
    <w:name w:val="Para # Char"/>
    <w:basedOn w:val="DefaultParagraphFont"/>
    <w:link w:val="Para"/>
    <w:uiPriority w:val="4"/>
    <w:rPr>
      <w:rFonts w:ascii="Times New Roman" w:hAnsi="Times New Roman"/>
    </w:rPr>
  </w:style>
  <w:style w:type="paragraph" w:customStyle="1" w:styleId="CaptionSubtitle">
    <w:name w:val="Caption Subtitle"/>
    <w:basedOn w:val="Normal"/>
    <w:next w:val="Para0"/>
    <w:qFormat/>
    <w:pPr>
      <w:keepNext/>
      <w:spacing w:after="120"/>
      <w:ind w:left="680" w:right="680"/>
      <w:jc w:val="center"/>
    </w:pPr>
    <w:rPr>
      <w:rFonts w:eastAsiaTheme="minorHAnsi" w:cstheme="minorBidi"/>
      <w:sz w:val="18"/>
      <w:szCs w:val="22"/>
    </w:rPr>
  </w:style>
  <w:style w:type="paragraph" w:customStyle="1" w:styleId="Sourcenotes">
    <w:name w:val="Source &amp; notes"/>
    <w:basedOn w:val="Normal"/>
    <w:qFormat/>
    <w:pPr>
      <w:keepLines/>
      <w:spacing w:before="120"/>
      <w:ind w:left="680" w:right="680"/>
      <w:contextualSpacing/>
    </w:pPr>
    <w:rPr>
      <w:rFonts w:eastAsiaTheme="minorHAnsi" w:cstheme="minorBidi"/>
      <w:sz w:val="18"/>
      <w:szCs w:val="22"/>
    </w:rPr>
  </w:style>
  <w:style w:type="paragraph" w:customStyle="1" w:styleId="Figure">
    <w:name w:val="Figure"/>
    <w:basedOn w:val="Normal"/>
    <w:pPr>
      <w:spacing w:after="0"/>
      <w:jc w:val="center"/>
    </w:pPr>
    <w:rPr>
      <w:rFonts w:eastAsiaTheme="minorHAnsi" w:cstheme="minorBidi"/>
      <w:sz w:val="22"/>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paragraph" w:customStyle="1" w:styleId="HeaderSensitivityRight">
    <w:name w:val="Header Sensitivity Right"/>
    <w:basedOn w:val="Normal"/>
    <w:pPr>
      <w:spacing w:after="120"/>
      <w:jc w:val="right"/>
    </w:pPr>
    <w:rPr>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lv-LV"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uiPriority="0"/>
    <w:lsdException w:name="index 2" w:uiPriority="0"/>
    <w:lsdException w:name="index 3" w:uiPriority="0"/>
    <w:lsdException w:name="index 4" w:uiPriority="0"/>
    <w:lsdException w:name="index 5" w:uiPriority="0"/>
    <w:lsdException w:name="index 6" w:uiPriority="0"/>
    <w:lsdException w:name="index 7" w:uiPriority="0"/>
    <w:lsdException w:name="index 8" w:uiPriority="0"/>
    <w:lsdException w:name="index 9" w:uiPriority="0"/>
    <w:lsdException w:name="toc 1" w:uiPriority="39" w:qFormat="1"/>
    <w:lsdException w:name="toc 2" w:uiPriority="39" w:qFormat="1"/>
    <w:lsdException w:name="toc 3" w:uiPriority="39" w:qFormat="1"/>
    <w:lsdException w:name="toc 4" w:uiPriority="0"/>
    <w:lsdException w:name="toc 5" w:uiPriority="0"/>
    <w:lsdException w:name="toc 6" w:uiPriority="0"/>
    <w:lsdException w:name="toc 7" w:uiPriority="0"/>
    <w:lsdException w:name="toc 8" w:uiPriority="0"/>
    <w:lsdException w:name="toc 9" w:uiPriority="0"/>
    <w:lsdException w:name="Normal Indent" w:uiPriority="0"/>
    <w:lsdException w:name="footnote text" w:qFormat="1"/>
    <w:lsdException w:name="index heading" w:uiPriority="0"/>
    <w:lsdException w:name="caption" w:uiPriority="35" w:qFormat="1"/>
    <w:lsdException w:name="table of figures" w:uiPriority="0"/>
    <w:lsdException w:name="envelope address" w:uiPriority="0"/>
    <w:lsdException w:name="envelope return" w:uiPriority="0"/>
    <w:lsdException w:name="footnote reference" w:qFormat="1"/>
    <w:lsdException w:name="endnote text" w:uiPriority="0"/>
    <w:lsdException w:name="table of authorities" w:uiPriority="0"/>
    <w:lsdException w:name="macro" w:uiPriority="0"/>
    <w:lsdException w:name="toa heading" w:uiPriority="0"/>
    <w:lsdException w:name="List" w:uiPriority="0"/>
    <w:lsdException w:name="List Bullet" w:uiPriority="0"/>
    <w:lsdException w:name="List Number" w:uiPriority="0"/>
    <w:lsdException w:name="List 2" w:uiPriority="0"/>
    <w:lsdException w:name="List 3" w:uiPriority="0"/>
    <w:lsdException w:name="List 4" w:uiPriority="0"/>
    <w:lsdException w:name="List 5" w:uiPriority="0"/>
    <w:lsdException w:name="List Bullet 2" w:uiPriority="0"/>
    <w:lsdException w:name="List Bullet 3" w:uiPriority="0"/>
    <w:lsdException w:name="List Bullet 4" w:uiPriority="0"/>
    <w:lsdException w:name="List Bullet 5" w:uiPriority="0"/>
    <w:lsdException w:name="List Number 2" w:uiPriority="0"/>
    <w:lsdException w:name="List Number 3" w:uiPriority="0"/>
    <w:lsdException w:name="List Number 4" w:uiPriority="0"/>
    <w:lsdException w:name="List Number 5" w:uiPriority="0"/>
    <w:lsdException w:name="Title" w:semiHidden="0" w:uiPriority="0" w:unhideWhenUsed="0" w:qFormat="1"/>
    <w:lsdException w:name="Closing" w:uiPriority="0"/>
    <w:lsdException w:name="Signature" w:uiPriority="0"/>
    <w:lsdException w:name="Default Paragraph Font" w:uiPriority="1"/>
    <w:lsdException w:name="Body Text" w:uiPriority="0"/>
    <w:lsdException w:name="Body Text Indent" w:uiPriority="0"/>
    <w:lsdException w:name="List Continue" w:uiPriority="0"/>
    <w:lsdException w:name="List Continue 2" w:uiPriority="0"/>
    <w:lsdException w:name="List Continue 3" w:uiPriority="0"/>
    <w:lsdException w:name="List Continue 4" w:uiPriority="0"/>
    <w:lsdException w:name="List Continue 5" w:uiPriority="0"/>
    <w:lsdException w:name="Message Header" w:uiPriority="0"/>
    <w:lsdException w:name="Subtitle" w:semiHidden="0" w:uiPriority="0" w:unhideWhenUsed="0" w:qFormat="1"/>
    <w:lsdException w:name="Salutation" w:uiPriority="0"/>
    <w:lsdException w:name="Date" w:uiPriority="0"/>
    <w:lsdException w:name="Body Text First Indent" w:uiPriority="0"/>
    <w:lsdException w:name="Body Text First Indent 2" w:uiPriority="0"/>
    <w:lsdException w:name="Note Heading" w:uiPriority="0"/>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40" w:line="240" w:lineRule="auto"/>
      <w:jc w:val="both"/>
    </w:pPr>
    <w:rPr>
      <w:rFonts w:ascii="Times New Roman" w:eastAsia="Times New Roman" w:hAnsi="Times New Roman" w:cs="Times New Roman"/>
      <w:sz w:val="24"/>
      <w:szCs w:val="20"/>
    </w:rPr>
  </w:style>
  <w:style w:type="paragraph" w:styleId="Heading1">
    <w:name w:val="heading 1"/>
    <w:basedOn w:val="Normal"/>
    <w:next w:val="Text1"/>
    <w:link w:val="Heading1Char"/>
    <w:uiPriority w:val="9"/>
    <w:qFormat/>
    <w:pPr>
      <w:keepNext/>
      <w:numPr>
        <w:numId w:val="27"/>
      </w:numPr>
      <w:spacing w:before="240" w:after="60" w:line="276" w:lineRule="auto"/>
      <w:jc w:val="left"/>
      <w:outlineLvl w:val="0"/>
    </w:pPr>
    <w:rPr>
      <w:b/>
      <w:bCs/>
      <w:smallCaps/>
      <w:kern w:val="32"/>
      <w:szCs w:val="24"/>
    </w:rPr>
  </w:style>
  <w:style w:type="paragraph" w:styleId="Heading2">
    <w:name w:val="heading 2"/>
    <w:basedOn w:val="Normal"/>
    <w:next w:val="Text2"/>
    <w:link w:val="Heading2Char"/>
    <w:uiPriority w:val="9"/>
    <w:qFormat/>
    <w:pPr>
      <w:keepNext/>
      <w:numPr>
        <w:ilvl w:val="1"/>
        <w:numId w:val="27"/>
      </w:numPr>
      <w:outlineLvl w:val="1"/>
    </w:pPr>
    <w:rPr>
      <w:b/>
    </w:rPr>
  </w:style>
  <w:style w:type="paragraph" w:styleId="Heading3">
    <w:name w:val="heading 3"/>
    <w:basedOn w:val="Normal"/>
    <w:next w:val="Text3"/>
    <w:link w:val="Heading3Char"/>
    <w:qFormat/>
    <w:pPr>
      <w:keepNext/>
      <w:numPr>
        <w:ilvl w:val="2"/>
        <w:numId w:val="27"/>
      </w:numPr>
      <w:outlineLvl w:val="2"/>
    </w:pPr>
    <w:rPr>
      <w:i/>
    </w:rPr>
  </w:style>
  <w:style w:type="paragraph" w:styleId="Heading4">
    <w:name w:val="heading 4"/>
    <w:basedOn w:val="Normal"/>
    <w:next w:val="Text4"/>
    <w:link w:val="Heading4Char"/>
    <w:qFormat/>
    <w:pPr>
      <w:keepNext/>
      <w:numPr>
        <w:ilvl w:val="3"/>
        <w:numId w:val="27"/>
      </w:numPr>
      <w:outlineLvl w:val="3"/>
    </w:pPr>
  </w:style>
  <w:style w:type="paragraph" w:styleId="Heading5">
    <w:name w:val="heading 5"/>
    <w:basedOn w:val="Normal"/>
    <w:next w:val="Normal"/>
    <w:link w:val="Heading5Char"/>
    <w:qFormat/>
    <w:pPr>
      <w:numPr>
        <w:ilvl w:val="4"/>
        <w:numId w:val="27"/>
      </w:numPr>
      <w:spacing w:before="240" w:after="60"/>
      <w:outlineLvl w:val="4"/>
    </w:pPr>
    <w:rPr>
      <w:rFonts w:ascii="Arial" w:hAnsi="Arial"/>
      <w:sz w:val="22"/>
    </w:rPr>
  </w:style>
  <w:style w:type="paragraph" w:styleId="Heading6">
    <w:name w:val="heading 6"/>
    <w:basedOn w:val="Normal"/>
    <w:next w:val="Normal"/>
    <w:link w:val="Heading6Char"/>
    <w:qFormat/>
    <w:pPr>
      <w:numPr>
        <w:ilvl w:val="5"/>
        <w:numId w:val="27"/>
      </w:numPr>
      <w:spacing w:before="240" w:after="60"/>
      <w:outlineLvl w:val="5"/>
    </w:pPr>
    <w:rPr>
      <w:rFonts w:ascii="Arial" w:hAnsi="Arial"/>
      <w:i/>
      <w:sz w:val="22"/>
    </w:rPr>
  </w:style>
  <w:style w:type="paragraph" w:styleId="Heading7">
    <w:name w:val="heading 7"/>
    <w:basedOn w:val="Normal"/>
    <w:next w:val="Normal"/>
    <w:link w:val="Heading7Char"/>
    <w:qFormat/>
    <w:pPr>
      <w:numPr>
        <w:ilvl w:val="6"/>
        <w:numId w:val="27"/>
      </w:numPr>
      <w:spacing w:before="240" w:after="60"/>
      <w:outlineLvl w:val="6"/>
    </w:pPr>
    <w:rPr>
      <w:rFonts w:ascii="Arial" w:hAnsi="Arial"/>
      <w:sz w:val="20"/>
    </w:rPr>
  </w:style>
  <w:style w:type="paragraph" w:styleId="Heading8">
    <w:name w:val="heading 8"/>
    <w:basedOn w:val="Normal"/>
    <w:next w:val="Normal"/>
    <w:link w:val="Heading8Char"/>
    <w:qFormat/>
    <w:pPr>
      <w:numPr>
        <w:ilvl w:val="7"/>
        <w:numId w:val="27"/>
      </w:numPr>
      <w:spacing w:before="240" w:after="60"/>
      <w:outlineLvl w:val="7"/>
    </w:pPr>
    <w:rPr>
      <w:rFonts w:ascii="Arial" w:hAnsi="Arial"/>
      <w:i/>
      <w:sz w:val="20"/>
    </w:rPr>
  </w:style>
  <w:style w:type="paragraph" w:styleId="Heading9">
    <w:name w:val="heading 9"/>
    <w:basedOn w:val="Normal"/>
    <w:next w:val="Normal"/>
    <w:link w:val="Heading9Char"/>
    <w:qFormat/>
    <w:pPr>
      <w:numPr>
        <w:ilvl w:val="8"/>
        <w:numId w:val="27"/>
      </w:numPr>
      <w:spacing w:before="240" w:after="60"/>
      <w:outlineLvl w:val="8"/>
    </w:pPr>
    <w:rPr>
      <w:rFonts w:ascii="Arial" w:hAnsi="Arial"/>
      <w:i/>
      <w:sz w:val="1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Times New Roman" w:eastAsia="Times New Roman" w:hAnsi="Times New Roman" w:cs="Times New Roman"/>
      <w:b/>
      <w:bCs/>
      <w:smallCaps/>
      <w:kern w:val="32"/>
      <w:sz w:val="24"/>
      <w:szCs w:val="24"/>
    </w:rPr>
  </w:style>
  <w:style w:type="character" w:customStyle="1" w:styleId="Heading2Char">
    <w:name w:val="Heading 2 Char"/>
    <w:basedOn w:val="DefaultParagraphFont"/>
    <w:link w:val="Heading2"/>
    <w:uiPriority w:val="9"/>
    <w:rPr>
      <w:rFonts w:ascii="Times New Roman" w:eastAsia="Times New Roman" w:hAnsi="Times New Roman" w:cs="Times New Roman"/>
      <w:b/>
      <w:sz w:val="24"/>
      <w:szCs w:val="20"/>
    </w:rPr>
  </w:style>
  <w:style w:type="character" w:customStyle="1" w:styleId="Heading3Char">
    <w:name w:val="Heading 3 Char"/>
    <w:basedOn w:val="DefaultParagraphFont"/>
    <w:link w:val="Heading3"/>
    <w:rPr>
      <w:rFonts w:ascii="Times New Roman" w:eastAsia="Times New Roman" w:hAnsi="Times New Roman" w:cs="Times New Roman"/>
      <w:i/>
      <w:sz w:val="24"/>
      <w:szCs w:val="20"/>
    </w:rPr>
  </w:style>
  <w:style w:type="character" w:customStyle="1" w:styleId="Heading4Char">
    <w:name w:val="Heading 4 Char"/>
    <w:basedOn w:val="DefaultParagraphFont"/>
    <w:link w:val="Heading4"/>
    <w:rPr>
      <w:rFonts w:ascii="Times New Roman" w:eastAsia="Times New Roman" w:hAnsi="Times New Roman" w:cs="Times New Roman"/>
      <w:sz w:val="24"/>
      <w:szCs w:val="20"/>
    </w:rPr>
  </w:style>
  <w:style w:type="character" w:customStyle="1" w:styleId="Heading5Char">
    <w:name w:val="Heading 5 Char"/>
    <w:basedOn w:val="DefaultParagraphFont"/>
    <w:link w:val="Heading5"/>
    <w:rPr>
      <w:rFonts w:ascii="Arial" w:eastAsia="Times New Roman" w:hAnsi="Arial" w:cs="Times New Roman"/>
      <w:szCs w:val="20"/>
    </w:rPr>
  </w:style>
  <w:style w:type="character" w:customStyle="1" w:styleId="Heading6Char">
    <w:name w:val="Heading 6 Char"/>
    <w:basedOn w:val="DefaultParagraphFont"/>
    <w:link w:val="Heading6"/>
    <w:rPr>
      <w:rFonts w:ascii="Arial" w:eastAsia="Times New Roman" w:hAnsi="Arial" w:cs="Times New Roman"/>
      <w:i/>
      <w:szCs w:val="20"/>
    </w:rPr>
  </w:style>
  <w:style w:type="character" w:customStyle="1" w:styleId="Heading7Char">
    <w:name w:val="Heading 7 Char"/>
    <w:basedOn w:val="DefaultParagraphFont"/>
    <w:link w:val="Heading7"/>
    <w:rPr>
      <w:rFonts w:ascii="Arial" w:eastAsia="Times New Roman" w:hAnsi="Arial" w:cs="Times New Roman"/>
      <w:sz w:val="20"/>
      <w:szCs w:val="20"/>
    </w:rPr>
  </w:style>
  <w:style w:type="character" w:customStyle="1" w:styleId="Heading8Char">
    <w:name w:val="Heading 8 Char"/>
    <w:basedOn w:val="DefaultParagraphFont"/>
    <w:link w:val="Heading8"/>
    <w:rPr>
      <w:rFonts w:ascii="Arial" w:eastAsia="Times New Roman" w:hAnsi="Arial" w:cs="Times New Roman"/>
      <w:i/>
      <w:sz w:val="20"/>
      <w:szCs w:val="20"/>
    </w:rPr>
  </w:style>
  <w:style w:type="character" w:customStyle="1" w:styleId="Heading9Char">
    <w:name w:val="Heading 9 Char"/>
    <w:basedOn w:val="DefaultParagraphFont"/>
    <w:link w:val="Heading9"/>
    <w:rPr>
      <w:rFonts w:ascii="Arial" w:eastAsia="Times New Roman" w:hAnsi="Arial" w:cs="Times New Roman"/>
      <w:i/>
      <w:sz w:val="18"/>
      <w:szCs w:val="20"/>
    </w:rPr>
  </w:style>
  <w:style w:type="paragraph" w:customStyle="1" w:styleId="Text1">
    <w:name w:val="Text 1"/>
    <w:basedOn w:val="Normal"/>
    <w:pPr>
      <w:ind w:left="482"/>
    </w:pPr>
  </w:style>
  <w:style w:type="paragraph" w:customStyle="1" w:styleId="Text2">
    <w:name w:val="Text 2"/>
    <w:basedOn w:val="Normal"/>
    <w:pPr>
      <w:tabs>
        <w:tab w:val="left" w:pos="2302"/>
      </w:tabs>
      <w:ind w:left="1202"/>
    </w:pPr>
  </w:style>
  <w:style w:type="paragraph" w:customStyle="1" w:styleId="Text3">
    <w:name w:val="Text 3"/>
    <w:basedOn w:val="Normal"/>
    <w:pPr>
      <w:tabs>
        <w:tab w:val="left" w:pos="2302"/>
      </w:tabs>
      <w:ind w:left="1202"/>
    </w:pPr>
  </w:style>
  <w:style w:type="paragraph" w:customStyle="1" w:styleId="Text4">
    <w:name w:val="Text 4"/>
    <w:basedOn w:val="Normal"/>
    <w:pPr>
      <w:tabs>
        <w:tab w:val="left" w:pos="2302"/>
      </w:tabs>
      <w:ind w:left="1202"/>
    </w:pPr>
  </w:style>
  <w:style w:type="paragraph" w:customStyle="1" w:styleId="Address">
    <w:name w:val="Address"/>
    <w:basedOn w:val="Normal"/>
    <w:pPr>
      <w:spacing w:after="0"/>
      <w:jc w:val="left"/>
    </w:pPr>
  </w:style>
  <w:style w:type="paragraph" w:customStyle="1" w:styleId="AddressTL">
    <w:name w:val="AddressTL"/>
    <w:basedOn w:val="Normal"/>
    <w:next w:val="Normal"/>
    <w:pPr>
      <w:spacing w:after="720"/>
      <w:jc w:val="left"/>
    </w:pPr>
  </w:style>
  <w:style w:type="paragraph" w:customStyle="1" w:styleId="AddressTR">
    <w:name w:val="AddressTR"/>
    <w:basedOn w:val="Normal"/>
    <w:next w:val="Normal"/>
    <w:pPr>
      <w:spacing w:after="720"/>
      <w:ind w:left="5103"/>
      <w:jc w:val="left"/>
    </w:pPr>
  </w:style>
  <w:style w:type="paragraph" w:styleId="BlockText">
    <w:name w:val="Block Text"/>
    <w:basedOn w:val="Normal"/>
    <w:pPr>
      <w:spacing w:after="120"/>
      <w:ind w:left="1440" w:right="1440"/>
    </w:pPr>
  </w:style>
  <w:style w:type="paragraph" w:styleId="BodyText">
    <w:name w:val="Body Text"/>
    <w:basedOn w:val="Normal"/>
    <w:link w:val="BodyTextChar"/>
    <w:pPr>
      <w:spacing w:after="120"/>
    </w:pPr>
  </w:style>
  <w:style w:type="character" w:customStyle="1" w:styleId="BodyTextChar">
    <w:name w:val="Body Text Char"/>
    <w:basedOn w:val="DefaultParagraphFont"/>
    <w:link w:val="BodyText"/>
    <w:rPr>
      <w:rFonts w:ascii="Times New Roman" w:eastAsia="Times New Roman" w:hAnsi="Times New Roman" w:cs="Times New Roman"/>
      <w:sz w:val="24"/>
      <w:szCs w:val="20"/>
    </w:rPr>
  </w:style>
  <w:style w:type="paragraph" w:styleId="BodyText2">
    <w:name w:val="Body Text 2"/>
    <w:basedOn w:val="Normal"/>
    <w:link w:val="BodyText2Char"/>
    <w:pPr>
      <w:spacing w:after="120" w:line="480" w:lineRule="auto"/>
    </w:pPr>
  </w:style>
  <w:style w:type="character" w:customStyle="1" w:styleId="BodyText2Char">
    <w:name w:val="Body Text 2 Char"/>
    <w:basedOn w:val="DefaultParagraphFont"/>
    <w:link w:val="BodyText2"/>
    <w:rPr>
      <w:rFonts w:ascii="Times New Roman" w:eastAsia="Times New Roman" w:hAnsi="Times New Roman" w:cs="Times New Roman"/>
      <w:sz w:val="24"/>
      <w:szCs w:val="20"/>
    </w:rPr>
  </w:style>
  <w:style w:type="paragraph" w:styleId="BodyText3">
    <w:name w:val="Body Text 3"/>
    <w:basedOn w:val="Normal"/>
    <w:link w:val="BodyText3Char"/>
    <w:pPr>
      <w:spacing w:after="120"/>
    </w:pPr>
    <w:rPr>
      <w:sz w:val="16"/>
    </w:rPr>
  </w:style>
  <w:style w:type="character" w:customStyle="1" w:styleId="BodyText3Char">
    <w:name w:val="Body Text 3 Char"/>
    <w:basedOn w:val="DefaultParagraphFont"/>
    <w:link w:val="BodyText3"/>
    <w:rPr>
      <w:rFonts w:ascii="Times New Roman" w:eastAsia="Times New Roman" w:hAnsi="Times New Roman" w:cs="Times New Roman"/>
      <w:sz w:val="16"/>
      <w:szCs w:val="20"/>
    </w:rPr>
  </w:style>
  <w:style w:type="paragraph" w:styleId="BodyTextFirstIndent">
    <w:name w:val="Body Text First Indent"/>
    <w:basedOn w:val="BodyText"/>
    <w:link w:val="BodyTextFirstIndentChar"/>
    <w:pPr>
      <w:ind w:firstLine="210"/>
    </w:pPr>
  </w:style>
  <w:style w:type="character" w:customStyle="1" w:styleId="BodyTextFirstIndentChar">
    <w:name w:val="Body Text First Indent Char"/>
    <w:basedOn w:val="BodyTextChar"/>
    <w:link w:val="BodyTextFirstIndent"/>
    <w:rPr>
      <w:rFonts w:ascii="Times New Roman" w:eastAsia="Times New Roman" w:hAnsi="Times New Roman" w:cs="Times New Roman"/>
      <w:sz w:val="24"/>
      <w:szCs w:val="20"/>
    </w:rPr>
  </w:style>
  <w:style w:type="paragraph" w:styleId="BodyTextIndent">
    <w:name w:val="Body Text Indent"/>
    <w:basedOn w:val="Normal"/>
    <w:link w:val="BodyTextIndentChar"/>
    <w:pPr>
      <w:spacing w:after="120"/>
      <w:ind w:left="283"/>
    </w:pPr>
  </w:style>
  <w:style w:type="character" w:customStyle="1" w:styleId="BodyTextIndentChar">
    <w:name w:val="Body Text Indent Char"/>
    <w:basedOn w:val="DefaultParagraphFont"/>
    <w:link w:val="BodyTextIndent"/>
    <w:rPr>
      <w:rFonts w:ascii="Times New Roman" w:eastAsia="Times New Roman" w:hAnsi="Times New Roman" w:cs="Times New Roman"/>
      <w:sz w:val="24"/>
      <w:szCs w:val="20"/>
    </w:rPr>
  </w:style>
  <w:style w:type="paragraph" w:styleId="BodyTextFirstIndent2">
    <w:name w:val="Body Text First Indent 2"/>
    <w:basedOn w:val="BodyTextIndent"/>
    <w:link w:val="BodyTextFirstIndent2Char"/>
    <w:pPr>
      <w:ind w:firstLine="210"/>
    </w:pPr>
  </w:style>
  <w:style w:type="character" w:customStyle="1" w:styleId="BodyTextFirstIndent2Char">
    <w:name w:val="Body Text First Indent 2 Char"/>
    <w:basedOn w:val="BodyTextIndentChar"/>
    <w:link w:val="BodyTextFirstIndent2"/>
    <w:rPr>
      <w:rFonts w:ascii="Times New Roman" w:eastAsia="Times New Roman" w:hAnsi="Times New Roman" w:cs="Times New Roman"/>
      <w:sz w:val="24"/>
      <w:szCs w:val="20"/>
    </w:rPr>
  </w:style>
  <w:style w:type="paragraph" w:styleId="BodyTextIndent2">
    <w:name w:val="Body Text Indent 2"/>
    <w:basedOn w:val="Normal"/>
    <w:link w:val="BodyTextIndent2Char"/>
    <w:pPr>
      <w:spacing w:after="120" w:line="480" w:lineRule="auto"/>
      <w:ind w:left="283"/>
    </w:pPr>
  </w:style>
  <w:style w:type="character" w:customStyle="1" w:styleId="BodyTextIndent2Char">
    <w:name w:val="Body Text Indent 2 Char"/>
    <w:basedOn w:val="DefaultParagraphFont"/>
    <w:link w:val="BodyTextIndent2"/>
    <w:rPr>
      <w:rFonts w:ascii="Times New Roman" w:eastAsia="Times New Roman" w:hAnsi="Times New Roman" w:cs="Times New Roman"/>
      <w:sz w:val="24"/>
      <w:szCs w:val="20"/>
    </w:rPr>
  </w:style>
  <w:style w:type="paragraph" w:styleId="BodyTextIndent3">
    <w:name w:val="Body Text Indent 3"/>
    <w:basedOn w:val="Normal"/>
    <w:link w:val="BodyTextIndent3Char"/>
    <w:pPr>
      <w:spacing w:after="120"/>
      <w:ind w:left="283"/>
    </w:pPr>
    <w:rPr>
      <w:sz w:val="16"/>
    </w:rPr>
  </w:style>
  <w:style w:type="character" w:customStyle="1" w:styleId="BodyTextIndent3Char">
    <w:name w:val="Body Text Indent 3 Char"/>
    <w:basedOn w:val="DefaultParagraphFont"/>
    <w:link w:val="BodyTextIndent3"/>
    <w:rPr>
      <w:rFonts w:ascii="Times New Roman" w:eastAsia="Times New Roman" w:hAnsi="Times New Roman" w:cs="Times New Roman"/>
      <w:sz w:val="16"/>
      <w:szCs w:val="20"/>
    </w:rPr>
  </w:style>
  <w:style w:type="paragraph" w:styleId="Caption">
    <w:name w:val="caption"/>
    <w:aliases w:val="Caption-tables,Tasks,Beschriftung Char2,Beschriftung Char1 Char1,Beschriftung Char Char Char1,Beschriftung Char1 Char Char,Beschriftung Char Char Char Char,Beschriftung Char Char1 Char,Beschriftung Char Char2,Beschriftung Char1 Cha...,Eco,Bilder"/>
    <w:basedOn w:val="Normal"/>
    <w:next w:val="Normal"/>
    <w:link w:val="CaptionChar"/>
    <w:uiPriority w:val="35"/>
    <w:qFormat/>
    <w:pPr>
      <w:spacing w:before="120" w:after="120"/>
    </w:pPr>
    <w:rPr>
      <w:b/>
    </w:rPr>
  </w:style>
  <w:style w:type="paragraph" w:customStyle="1" w:styleId="ChapterTitle">
    <w:name w:val="ChapterTitle"/>
    <w:basedOn w:val="Normal"/>
    <w:next w:val="SectionTitle"/>
    <w:pPr>
      <w:keepNext/>
      <w:spacing w:after="480"/>
      <w:jc w:val="center"/>
    </w:pPr>
    <w:rPr>
      <w:b/>
      <w:sz w:val="32"/>
    </w:rPr>
  </w:style>
  <w:style w:type="paragraph" w:customStyle="1" w:styleId="SectionTitle">
    <w:name w:val="SectionTitle"/>
    <w:basedOn w:val="Normal"/>
    <w:next w:val="Heading1"/>
    <w:pPr>
      <w:keepNext/>
      <w:spacing w:after="480"/>
      <w:jc w:val="center"/>
    </w:pPr>
    <w:rPr>
      <w:b/>
      <w:smallCaps/>
      <w:sz w:val="28"/>
    </w:rPr>
  </w:style>
  <w:style w:type="paragraph" w:styleId="Closing">
    <w:name w:val="Closing"/>
    <w:basedOn w:val="Normal"/>
    <w:link w:val="ClosingChar"/>
    <w:pPr>
      <w:ind w:left="4252"/>
    </w:pPr>
  </w:style>
  <w:style w:type="character" w:customStyle="1" w:styleId="ClosingChar">
    <w:name w:val="Closing Char"/>
    <w:basedOn w:val="DefaultParagraphFont"/>
    <w:link w:val="Closing"/>
    <w:rPr>
      <w:rFonts w:ascii="Times New Roman" w:eastAsia="Times New Roman" w:hAnsi="Times New Roman" w:cs="Times New Roman"/>
      <w:sz w:val="24"/>
      <w:szCs w:val="20"/>
    </w:rPr>
  </w:style>
  <w:style w:type="paragraph" w:styleId="CommentText">
    <w:name w:val="annotation text"/>
    <w:basedOn w:val="Normal"/>
    <w:link w:val="CommentTextChar"/>
    <w:uiPriority w:val="99"/>
    <w:rPr>
      <w:sz w:val="20"/>
    </w:rPr>
  </w:style>
  <w:style w:type="character" w:customStyle="1" w:styleId="CommentTextChar">
    <w:name w:val="Comment Text Char"/>
    <w:basedOn w:val="DefaultParagraphFont"/>
    <w:link w:val="CommentText"/>
    <w:uiPriority w:val="99"/>
    <w:semiHidden/>
    <w:rPr>
      <w:rFonts w:ascii="Times New Roman" w:eastAsia="Times New Roman" w:hAnsi="Times New Roman" w:cs="Times New Roman"/>
      <w:sz w:val="20"/>
      <w:szCs w:val="20"/>
    </w:rPr>
  </w:style>
  <w:style w:type="paragraph" w:styleId="Date">
    <w:name w:val="Date"/>
    <w:basedOn w:val="Normal"/>
    <w:next w:val="References"/>
    <w:link w:val="DateChar"/>
    <w:pPr>
      <w:spacing w:after="0"/>
      <w:ind w:left="5103" w:right="-567"/>
      <w:jc w:val="left"/>
    </w:pPr>
  </w:style>
  <w:style w:type="character" w:customStyle="1" w:styleId="DateChar">
    <w:name w:val="Date Char"/>
    <w:basedOn w:val="DefaultParagraphFont"/>
    <w:link w:val="Date"/>
    <w:rPr>
      <w:rFonts w:ascii="Times New Roman" w:eastAsia="Times New Roman" w:hAnsi="Times New Roman" w:cs="Times New Roman"/>
      <w:sz w:val="24"/>
      <w:szCs w:val="20"/>
    </w:rPr>
  </w:style>
  <w:style w:type="paragraph" w:customStyle="1" w:styleId="References">
    <w:name w:val="References"/>
    <w:basedOn w:val="Normal"/>
    <w:next w:val="AddressTR"/>
    <w:pPr>
      <w:ind w:left="5103"/>
      <w:jc w:val="left"/>
    </w:pPr>
    <w:rPr>
      <w:sz w:val="20"/>
    </w:rPr>
  </w:style>
  <w:style w:type="paragraph" w:styleId="DocumentMap">
    <w:name w:val="Document Map"/>
    <w:basedOn w:val="Normal"/>
    <w:link w:val="DocumentMapChar"/>
    <w:semiHidden/>
    <w:pPr>
      <w:shd w:val="clear" w:color="auto" w:fill="000080"/>
    </w:pPr>
    <w:rPr>
      <w:rFonts w:ascii="Tahoma" w:hAnsi="Tahoma"/>
    </w:rPr>
  </w:style>
  <w:style w:type="character" w:customStyle="1" w:styleId="DocumentMapChar">
    <w:name w:val="Document Map Char"/>
    <w:basedOn w:val="DefaultParagraphFont"/>
    <w:link w:val="DocumentMap"/>
    <w:semiHidden/>
    <w:rPr>
      <w:rFonts w:ascii="Tahoma" w:eastAsia="Times New Roman" w:hAnsi="Tahoma" w:cs="Times New Roman"/>
      <w:sz w:val="24"/>
      <w:szCs w:val="20"/>
      <w:shd w:val="clear" w:color="auto" w:fill="000080"/>
    </w:rPr>
  </w:style>
  <w:style w:type="paragraph" w:customStyle="1" w:styleId="DoubSign">
    <w:name w:val="DoubSign"/>
    <w:basedOn w:val="Normal"/>
    <w:next w:val="Enclosures"/>
    <w:pPr>
      <w:tabs>
        <w:tab w:val="left" w:pos="5103"/>
      </w:tabs>
      <w:spacing w:before="1200" w:after="0"/>
      <w:jc w:val="left"/>
    </w:pPr>
  </w:style>
  <w:style w:type="paragraph" w:customStyle="1" w:styleId="Enclosures">
    <w:name w:val="Enclosures"/>
    <w:basedOn w:val="Normal"/>
    <w:pPr>
      <w:keepNext/>
      <w:keepLines/>
      <w:tabs>
        <w:tab w:val="left" w:pos="5642"/>
      </w:tabs>
      <w:spacing w:before="480" w:after="0"/>
      <w:ind w:left="1191" w:hanging="1191"/>
      <w:jc w:val="left"/>
    </w:pPr>
  </w:style>
  <w:style w:type="paragraph" w:styleId="EndnoteText">
    <w:name w:val="endnote text"/>
    <w:basedOn w:val="Normal"/>
    <w:link w:val="EndnoteTextChar"/>
    <w:semiHidden/>
    <w:rPr>
      <w:sz w:val="20"/>
    </w:rPr>
  </w:style>
  <w:style w:type="character" w:customStyle="1" w:styleId="EndnoteTextChar">
    <w:name w:val="Endnote Text Char"/>
    <w:basedOn w:val="DefaultParagraphFont"/>
    <w:link w:val="EndnoteText"/>
    <w:semiHidden/>
    <w:rPr>
      <w:rFonts w:ascii="Times New Roman" w:eastAsia="Times New Roman" w:hAnsi="Times New Roman" w:cs="Times New Roman"/>
      <w:sz w:val="20"/>
      <w:szCs w:val="20"/>
    </w:rPr>
  </w:style>
  <w:style w:type="paragraph" w:styleId="EnvelopeAddress">
    <w:name w:val="envelope address"/>
    <w:basedOn w:val="Normal"/>
    <w:pPr>
      <w:framePr w:w="7920" w:h="1980" w:hRule="exact" w:hSpace="180" w:wrap="auto" w:hAnchor="page" w:xAlign="center" w:yAlign="bottom"/>
      <w:spacing w:after="0"/>
    </w:pPr>
  </w:style>
  <w:style w:type="paragraph" w:styleId="EnvelopeReturn">
    <w:name w:val="envelope return"/>
    <w:basedOn w:val="Normal"/>
    <w:pPr>
      <w:spacing w:after="0"/>
    </w:pPr>
    <w:rPr>
      <w:sz w:val="20"/>
    </w:rPr>
  </w:style>
  <w:style w:type="paragraph" w:styleId="Footer">
    <w:name w:val="footer"/>
    <w:basedOn w:val="Normal"/>
    <w:link w:val="FooterChar"/>
    <w:uiPriority w:val="99"/>
    <w:pPr>
      <w:spacing w:after="0"/>
      <w:ind w:right="-567"/>
      <w:jc w:val="left"/>
    </w:pPr>
    <w:rPr>
      <w:rFonts w:ascii="Arial" w:hAnsi="Arial"/>
      <w:sz w:val="16"/>
    </w:rPr>
  </w:style>
  <w:style w:type="character" w:customStyle="1" w:styleId="FooterChar">
    <w:name w:val="Footer Char"/>
    <w:basedOn w:val="DefaultParagraphFont"/>
    <w:link w:val="Footer"/>
    <w:uiPriority w:val="99"/>
    <w:rPr>
      <w:rFonts w:ascii="Arial" w:eastAsia="Times New Roman" w:hAnsi="Arial" w:cs="Times New Roman"/>
      <w:sz w:val="16"/>
      <w:szCs w:val="20"/>
    </w:rPr>
  </w:style>
  <w:style w:type="paragraph" w:styleId="FootnoteText">
    <w:name w:val="footnote text"/>
    <w:aliases w:val="Footnote Text Char Char,Footnote Text Char Char Char Char,Footnote Text1 Char,Footnote Text1,Footnote Text Char Char Char,Footnote Text1 Char Char Char,Footnote Text1 Char Char Char Char Char Char Char Char,Char Char Char,Footnote Text Ch"/>
    <w:basedOn w:val="Normal"/>
    <w:link w:val="FootnoteTextChar"/>
    <w:uiPriority w:val="99"/>
    <w:qFormat/>
    <w:pPr>
      <w:ind w:left="357" w:hanging="357"/>
    </w:pPr>
    <w:rPr>
      <w:sz w:val="20"/>
    </w:rPr>
  </w:style>
  <w:style w:type="character" w:customStyle="1" w:styleId="FootnoteTextChar">
    <w:name w:val="Footnote Text Char"/>
    <w:aliases w:val="Footnote Text Char Char Char1,Footnote Text Char Char Char Char Char,Footnote Text1 Char Char,Footnote Text1 Char1,Footnote Text Char Char Char Char1,Footnote Text1 Char Char Char Char,Char Char Char Char,Footnote Text Ch Char"/>
    <w:basedOn w:val="DefaultParagraphFont"/>
    <w:link w:val="FootnoteText"/>
    <w:uiPriority w:val="99"/>
    <w:qFormat/>
    <w:rPr>
      <w:rFonts w:ascii="Times New Roman" w:eastAsia="Times New Roman" w:hAnsi="Times New Roman" w:cs="Times New Roman"/>
      <w:sz w:val="20"/>
      <w:szCs w:val="20"/>
    </w:rPr>
  </w:style>
  <w:style w:type="paragraph" w:styleId="Header">
    <w:name w:val="header"/>
    <w:basedOn w:val="Normal"/>
    <w:link w:val="HeaderChar"/>
    <w:uiPriority w:val="99"/>
    <w:pPr>
      <w:tabs>
        <w:tab w:val="center" w:pos="4153"/>
        <w:tab w:val="right" w:pos="8306"/>
      </w:tabs>
    </w:pPr>
  </w:style>
  <w:style w:type="character" w:customStyle="1" w:styleId="HeaderChar">
    <w:name w:val="Header Char"/>
    <w:basedOn w:val="DefaultParagraphFont"/>
    <w:link w:val="Header"/>
    <w:uiPriority w:val="99"/>
    <w:rPr>
      <w:rFonts w:ascii="Times New Roman" w:eastAsia="Times New Roman" w:hAnsi="Times New Roman" w:cs="Times New Roman"/>
      <w:sz w:val="24"/>
      <w:szCs w:val="20"/>
    </w:rPr>
  </w:style>
  <w:style w:type="paragraph" w:styleId="Index1">
    <w:name w:val="index 1"/>
    <w:basedOn w:val="Normal"/>
    <w:next w:val="Normal"/>
    <w:autoRedefine/>
    <w:semiHidden/>
    <w:pPr>
      <w:ind w:left="240" w:hanging="240"/>
    </w:pPr>
  </w:style>
  <w:style w:type="paragraph" w:styleId="Index2">
    <w:name w:val="index 2"/>
    <w:basedOn w:val="Normal"/>
    <w:next w:val="Normal"/>
    <w:autoRedefine/>
    <w:semiHidden/>
    <w:pPr>
      <w:ind w:left="480" w:hanging="240"/>
    </w:pPr>
  </w:style>
  <w:style w:type="paragraph" w:styleId="Index3">
    <w:name w:val="index 3"/>
    <w:basedOn w:val="Normal"/>
    <w:next w:val="Normal"/>
    <w:autoRedefine/>
    <w:semiHidden/>
    <w:pPr>
      <w:ind w:left="720" w:hanging="240"/>
    </w:pPr>
  </w:style>
  <w:style w:type="paragraph" w:styleId="Index4">
    <w:name w:val="index 4"/>
    <w:basedOn w:val="Normal"/>
    <w:next w:val="Normal"/>
    <w:autoRedefine/>
    <w:semiHidden/>
    <w:pPr>
      <w:ind w:left="960" w:hanging="240"/>
    </w:pPr>
  </w:style>
  <w:style w:type="paragraph" w:styleId="Index5">
    <w:name w:val="index 5"/>
    <w:basedOn w:val="Normal"/>
    <w:next w:val="Normal"/>
    <w:autoRedefine/>
    <w:semiHidden/>
    <w:pPr>
      <w:ind w:left="1200" w:hanging="240"/>
    </w:pPr>
  </w:style>
  <w:style w:type="paragraph" w:styleId="Index6">
    <w:name w:val="index 6"/>
    <w:basedOn w:val="Normal"/>
    <w:next w:val="Normal"/>
    <w:autoRedefine/>
    <w:semiHidden/>
    <w:pPr>
      <w:ind w:left="1440" w:hanging="240"/>
    </w:pPr>
  </w:style>
  <w:style w:type="paragraph" w:styleId="Index7">
    <w:name w:val="index 7"/>
    <w:basedOn w:val="Normal"/>
    <w:next w:val="Normal"/>
    <w:autoRedefine/>
    <w:semiHidden/>
    <w:pPr>
      <w:ind w:left="1680" w:hanging="240"/>
    </w:pPr>
  </w:style>
  <w:style w:type="paragraph" w:styleId="Index8">
    <w:name w:val="index 8"/>
    <w:basedOn w:val="Normal"/>
    <w:next w:val="Normal"/>
    <w:autoRedefine/>
    <w:semiHidden/>
    <w:pPr>
      <w:ind w:left="1920" w:hanging="240"/>
    </w:pPr>
  </w:style>
  <w:style w:type="paragraph" w:styleId="Index9">
    <w:name w:val="index 9"/>
    <w:basedOn w:val="Normal"/>
    <w:next w:val="Normal"/>
    <w:autoRedefine/>
    <w:semiHidden/>
    <w:pPr>
      <w:ind w:left="2160" w:hanging="240"/>
    </w:pPr>
  </w:style>
  <w:style w:type="paragraph" w:styleId="IndexHeading">
    <w:name w:val="index heading"/>
    <w:basedOn w:val="Normal"/>
    <w:next w:val="Index1"/>
    <w:semiHidden/>
    <w:rPr>
      <w:rFonts w:ascii="Arial" w:hAnsi="Arial"/>
      <w:b/>
    </w:rPr>
  </w:style>
  <w:style w:type="paragraph" w:styleId="List">
    <w:name w:val="List"/>
    <w:basedOn w:val="Normal"/>
    <w:pPr>
      <w:ind w:left="283" w:hanging="283"/>
    </w:pPr>
  </w:style>
  <w:style w:type="paragraph" w:styleId="List2">
    <w:name w:val="List 2"/>
    <w:basedOn w:val="Normal"/>
    <w:pPr>
      <w:ind w:left="566" w:hanging="283"/>
    </w:pPr>
  </w:style>
  <w:style w:type="paragraph" w:styleId="List3">
    <w:name w:val="List 3"/>
    <w:basedOn w:val="Normal"/>
    <w:pPr>
      <w:ind w:left="849" w:hanging="283"/>
    </w:pPr>
  </w:style>
  <w:style w:type="paragraph" w:styleId="List4">
    <w:name w:val="List 4"/>
    <w:basedOn w:val="Normal"/>
    <w:pPr>
      <w:ind w:left="1132" w:hanging="283"/>
    </w:pPr>
  </w:style>
  <w:style w:type="paragraph" w:styleId="List5">
    <w:name w:val="List 5"/>
    <w:basedOn w:val="Normal"/>
    <w:pPr>
      <w:ind w:left="1415" w:hanging="283"/>
    </w:pPr>
  </w:style>
  <w:style w:type="paragraph" w:styleId="ListBullet">
    <w:name w:val="List Bullet"/>
    <w:basedOn w:val="Normal"/>
    <w:pPr>
      <w:numPr>
        <w:numId w:val="3"/>
      </w:numPr>
    </w:pPr>
  </w:style>
  <w:style w:type="paragraph" w:styleId="ListBullet2">
    <w:name w:val="List Bullet 2"/>
    <w:basedOn w:val="Text2"/>
    <w:pPr>
      <w:numPr>
        <w:numId w:val="5"/>
      </w:numPr>
      <w:tabs>
        <w:tab w:val="clear" w:pos="2302"/>
      </w:tabs>
    </w:pPr>
  </w:style>
  <w:style w:type="paragraph" w:styleId="ListBullet3">
    <w:name w:val="List Bullet 3"/>
    <w:basedOn w:val="Text3"/>
    <w:pPr>
      <w:numPr>
        <w:numId w:val="6"/>
      </w:numPr>
      <w:tabs>
        <w:tab w:val="clear" w:pos="2302"/>
      </w:tabs>
    </w:pPr>
  </w:style>
  <w:style w:type="paragraph" w:styleId="ListBullet4">
    <w:name w:val="List Bullet 4"/>
    <w:basedOn w:val="Text4"/>
    <w:pPr>
      <w:numPr>
        <w:numId w:val="7"/>
      </w:numPr>
      <w:tabs>
        <w:tab w:val="clear" w:pos="2302"/>
      </w:tabs>
    </w:pPr>
  </w:style>
  <w:style w:type="paragraph" w:styleId="ListBullet5">
    <w:name w:val="List Bullet 5"/>
    <w:basedOn w:val="Normal"/>
    <w:autoRedefine/>
    <w:pPr>
      <w:numPr>
        <w:numId w:val="1"/>
      </w:numPr>
    </w:pPr>
  </w:style>
  <w:style w:type="paragraph" w:styleId="ListContinue">
    <w:name w:val="List Continue"/>
    <w:basedOn w:val="Normal"/>
    <w:pPr>
      <w:spacing w:after="120"/>
      <w:ind w:left="283"/>
    </w:pPr>
  </w:style>
  <w:style w:type="paragraph" w:styleId="ListContinue2">
    <w:name w:val="List Continue 2"/>
    <w:basedOn w:val="Normal"/>
    <w:pPr>
      <w:spacing w:after="120"/>
      <w:ind w:left="566"/>
    </w:pPr>
  </w:style>
  <w:style w:type="paragraph" w:styleId="ListContinue3">
    <w:name w:val="List Continue 3"/>
    <w:basedOn w:val="Normal"/>
    <w:pPr>
      <w:spacing w:after="120"/>
      <w:ind w:left="849"/>
    </w:pPr>
  </w:style>
  <w:style w:type="paragraph" w:styleId="ListContinue4">
    <w:name w:val="List Continue 4"/>
    <w:basedOn w:val="Normal"/>
    <w:pPr>
      <w:spacing w:after="120"/>
      <w:ind w:left="1132"/>
    </w:pPr>
  </w:style>
  <w:style w:type="paragraph" w:styleId="ListContinue5">
    <w:name w:val="List Continue 5"/>
    <w:basedOn w:val="Normal"/>
    <w:pPr>
      <w:spacing w:after="120"/>
      <w:ind w:left="1415"/>
    </w:pPr>
  </w:style>
  <w:style w:type="paragraph" w:styleId="ListNumber">
    <w:name w:val="List Number"/>
    <w:basedOn w:val="Normal"/>
    <w:pPr>
      <w:numPr>
        <w:numId w:val="13"/>
      </w:numPr>
    </w:pPr>
  </w:style>
  <w:style w:type="paragraph" w:styleId="ListNumber2">
    <w:name w:val="List Number 2"/>
    <w:basedOn w:val="Text2"/>
    <w:pPr>
      <w:numPr>
        <w:numId w:val="15"/>
      </w:numPr>
      <w:tabs>
        <w:tab w:val="clear" w:pos="2302"/>
      </w:tabs>
    </w:pPr>
  </w:style>
  <w:style w:type="paragraph" w:styleId="ListNumber3">
    <w:name w:val="List Number 3"/>
    <w:basedOn w:val="Text3"/>
    <w:pPr>
      <w:numPr>
        <w:numId w:val="16"/>
      </w:numPr>
      <w:tabs>
        <w:tab w:val="clear" w:pos="2302"/>
      </w:tabs>
    </w:pPr>
  </w:style>
  <w:style w:type="paragraph" w:styleId="ListNumber4">
    <w:name w:val="List Number 4"/>
    <w:basedOn w:val="Text4"/>
    <w:pPr>
      <w:numPr>
        <w:numId w:val="17"/>
      </w:numPr>
      <w:tabs>
        <w:tab w:val="clear" w:pos="2302"/>
      </w:tabs>
    </w:pPr>
  </w:style>
  <w:style w:type="paragraph" w:styleId="ListNumber5">
    <w:name w:val="List Number 5"/>
    <w:basedOn w:val="Normal"/>
    <w:pPr>
      <w:numPr>
        <w:numId w:val="2"/>
      </w:numPr>
    </w:pPr>
  </w:style>
  <w:style w:type="paragraph" w:styleId="MacroText">
    <w:name w:val="macro"/>
    <w:link w:val="MacroTextChar"/>
    <w:semiHidden/>
    <w:pPr>
      <w:tabs>
        <w:tab w:val="left" w:pos="480"/>
        <w:tab w:val="left" w:pos="960"/>
        <w:tab w:val="left" w:pos="1440"/>
        <w:tab w:val="left" w:pos="1920"/>
        <w:tab w:val="left" w:pos="2400"/>
        <w:tab w:val="left" w:pos="2880"/>
        <w:tab w:val="left" w:pos="3360"/>
        <w:tab w:val="left" w:pos="3840"/>
        <w:tab w:val="left" w:pos="4320"/>
      </w:tabs>
      <w:spacing w:after="240" w:line="240" w:lineRule="auto"/>
      <w:jc w:val="both"/>
    </w:pPr>
    <w:rPr>
      <w:rFonts w:ascii="Courier New" w:eastAsia="Times New Roman" w:hAnsi="Courier New" w:cs="Times New Roman"/>
      <w:sz w:val="20"/>
      <w:szCs w:val="20"/>
    </w:rPr>
  </w:style>
  <w:style w:type="character" w:customStyle="1" w:styleId="MacroTextChar">
    <w:name w:val="Macro Text Char"/>
    <w:basedOn w:val="DefaultParagraphFont"/>
    <w:link w:val="MacroText"/>
    <w:semiHidden/>
    <w:rPr>
      <w:rFonts w:ascii="Courier New" w:eastAsia="Times New Roman" w:hAnsi="Courier New" w:cs="Times New Roman"/>
      <w:sz w:val="20"/>
      <w:szCs w:val="20"/>
    </w:rPr>
  </w:style>
  <w:style w:type="paragraph" w:styleId="MessageHeader">
    <w:name w:val="Message Header"/>
    <w:basedOn w:val="Normal"/>
    <w:link w:val="MessageHeaderChar"/>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rPr>
  </w:style>
  <w:style w:type="character" w:customStyle="1" w:styleId="MessageHeaderChar">
    <w:name w:val="Message Header Char"/>
    <w:basedOn w:val="DefaultParagraphFont"/>
    <w:link w:val="MessageHeader"/>
    <w:rPr>
      <w:rFonts w:ascii="Arial" w:eastAsia="Times New Roman" w:hAnsi="Arial" w:cs="Times New Roman"/>
      <w:sz w:val="24"/>
      <w:szCs w:val="20"/>
      <w:shd w:val="pct20" w:color="auto" w:fill="auto"/>
    </w:rPr>
  </w:style>
  <w:style w:type="paragraph" w:styleId="NormalIndent">
    <w:name w:val="Normal Indent"/>
    <w:basedOn w:val="Normal"/>
    <w:pPr>
      <w:ind w:left="720"/>
    </w:pPr>
  </w:style>
  <w:style w:type="paragraph" w:styleId="NoteHeading">
    <w:name w:val="Note Heading"/>
    <w:basedOn w:val="Normal"/>
    <w:next w:val="Normal"/>
    <w:link w:val="NoteHeadingChar"/>
  </w:style>
  <w:style w:type="character" w:customStyle="1" w:styleId="NoteHeadingChar">
    <w:name w:val="Note Heading Char"/>
    <w:basedOn w:val="DefaultParagraphFont"/>
    <w:link w:val="NoteHeading"/>
    <w:rPr>
      <w:rFonts w:ascii="Times New Roman" w:eastAsia="Times New Roman" w:hAnsi="Times New Roman" w:cs="Times New Roman"/>
      <w:sz w:val="24"/>
      <w:szCs w:val="20"/>
    </w:rPr>
  </w:style>
  <w:style w:type="paragraph" w:customStyle="1" w:styleId="NoteHead">
    <w:name w:val="NoteHead"/>
    <w:basedOn w:val="Normal"/>
    <w:next w:val="Subject"/>
    <w:pPr>
      <w:spacing w:before="720" w:after="720"/>
      <w:jc w:val="center"/>
    </w:pPr>
    <w:rPr>
      <w:b/>
      <w:smallCaps/>
    </w:rPr>
  </w:style>
  <w:style w:type="paragraph" w:customStyle="1" w:styleId="Subject">
    <w:name w:val="Subject"/>
    <w:basedOn w:val="Normal"/>
    <w:next w:val="Normal"/>
    <w:pPr>
      <w:spacing w:after="480"/>
      <w:ind w:left="1531" w:hanging="1531"/>
      <w:jc w:val="left"/>
    </w:pPr>
    <w:rPr>
      <w:b/>
    </w:rPr>
  </w:style>
  <w:style w:type="paragraph" w:customStyle="1" w:styleId="NoteList">
    <w:name w:val="NoteList"/>
    <w:basedOn w:val="Normal"/>
    <w:next w:val="Subject"/>
    <w:pPr>
      <w:tabs>
        <w:tab w:val="left" w:pos="5823"/>
      </w:tabs>
      <w:spacing w:before="720" w:after="720"/>
      <w:ind w:left="5104" w:hanging="3119"/>
      <w:jc w:val="left"/>
    </w:pPr>
    <w:rPr>
      <w:b/>
      <w:smallCaps/>
    </w:rPr>
  </w:style>
  <w:style w:type="paragraph" w:customStyle="1" w:styleId="NumPar1">
    <w:name w:val="NumPar 1"/>
    <w:basedOn w:val="Heading1"/>
    <w:next w:val="Text1"/>
    <w:pPr>
      <w:keepNext w:val="0"/>
      <w:spacing w:before="0"/>
      <w:outlineLvl w:val="9"/>
    </w:pPr>
    <w:rPr>
      <w:b w:val="0"/>
      <w:smallCaps w:val="0"/>
    </w:rPr>
  </w:style>
  <w:style w:type="paragraph" w:customStyle="1" w:styleId="NumPar2">
    <w:name w:val="NumPar 2"/>
    <w:basedOn w:val="Heading2"/>
    <w:next w:val="Text2"/>
    <w:pPr>
      <w:keepNext w:val="0"/>
      <w:outlineLvl w:val="9"/>
    </w:pPr>
    <w:rPr>
      <w:b w:val="0"/>
    </w:rPr>
  </w:style>
  <w:style w:type="paragraph" w:customStyle="1" w:styleId="NumPar3">
    <w:name w:val="NumPar 3"/>
    <w:basedOn w:val="Heading3"/>
    <w:next w:val="Text3"/>
    <w:pPr>
      <w:keepNext w:val="0"/>
      <w:outlineLvl w:val="9"/>
    </w:pPr>
    <w:rPr>
      <w:i w:val="0"/>
    </w:rPr>
  </w:style>
  <w:style w:type="paragraph" w:customStyle="1" w:styleId="NumPar4">
    <w:name w:val="NumPar 4"/>
    <w:basedOn w:val="Heading4"/>
    <w:next w:val="Text4"/>
    <w:pPr>
      <w:keepNext w:val="0"/>
      <w:outlineLvl w:val="9"/>
    </w:pPr>
  </w:style>
  <w:style w:type="paragraph" w:customStyle="1" w:styleId="PartTitle">
    <w:name w:val="PartTitle"/>
    <w:basedOn w:val="Normal"/>
    <w:next w:val="ChapterTitle"/>
    <w:pPr>
      <w:keepNext/>
      <w:pageBreakBefore/>
      <w:spacing w:after="480"/>
      <w:jc w:val="center"/>
    </w:pPr>
    <w:rPr>
      <w:b/>
      <w:sz w:val="36"/>
    </w:rPr>
  </w:style>
  <w:style w:type="paragraph" w:styleId="PlainText">
    <w:name w:val="Plain Text"/>
    <w:basedOn w:val="Normal"/>
    <w:link w:val="PlainTextChar"/>
    <w:rPr>
      <w:rFonts w:ascii="Courier New" w:hAnsi="Courier New"/>
      <w:sz w:val="20"/>
    </w:rPr>
  </w:style>
  <w:style w:type="character" w:customStyle="1" w:styleId="PlainTextChar">
    <w:name w:val="Plain Text Char"/>
    <w:basedOn w:val="DefaultParagraphFont"/>
    <w:link w:val="PlainText"/>
    <w:rPr>
      <w:rFonts w:ascii="Courier New" w:eastAsia="Times New Roman" w:hAnsi="Courier New" w:cs="Times New Roman"/>
      <w:sz w:val="20"/>
      <w:szCs w:val="20"/>
    </w:rPr>
  </w:style>
  <w:style w:type="paragraph" w:styleId="Salutation">
    <w:name w:val="Salutation"/>
    <w:basedOn w:val="Normal"/>
    <w:next w:val="Normal"/>
    <w:link w:val="SalutationChar"/>
  </w:style>
  <w:style w:type="character" w:customStyle="1" w:styleId="SalutationChar">
    <w:name w:val="Salutation Char"/>
    <w:basedOn w:val="DefaultParagraphFont"/>
    <w:link w:val="Salutation"/>
    <w:rPr>
      <w:rFonts w:ascii="Times New Roman" w:eastAsia="Times New Roman" w:hAnsi="Times New Roman" w:cs="Times New Roman"/>
      <w:sz w:val="24"/>
      <w:szCs w:val="20"/>
    </w:rPr>
  </w:style>
  <w:style w:type="paragraph" w:styleId="Signature">
    <w:name w:val="Signature"/>
    <w:basedOn w:val="Normal"/>
    <w:next w:val="Enclosures"/>
    <w:link w:val="SignatureChar"/>
    <w:pPr>
      <w:tabs>
        <w:tab w:val="left" w:pos="5103"/>
      </w:tabs>
      <w:spacing w:before="1200" w:after="0"/>
      <w:ind w:left="5103"/>
      <w:jc w:val="center"/>
    </w:pPr>
  </w:style>
  <w:style w:type="character" w:customStyle="1" w:styleId="SignatureChar">
    <w:name w:val="Signature Char"/>
    <w:basedOn w:val="DefaultParagraphFont"/>
    <w:link w:val="Signature"/>
    <w:rPr>
      <w:rFonts w:ascii="Times New Roman" w:eastAsia="Times New Roman" w:hAnsi="Times New Roman" w:cs="Times New Roman"/>
      <w:sz w:val="24"/>
      <w:szCs w:val="20"/>
    </w:rPr>
  </w:style>
  <w:style w:type="paragraph" w:styleId="Subtitle">
    <w:name w:val="Subtitle"/>
    <w:basedOn w:val="Normal"/>
    <w:link w:val="SubtitleChar"/>
    <w:qFormat/>
    <w:pPr>
      <w:spacing w:after="60"/>
      <w:jc w:val="center"/>
      <w:outlineLvl w:val="1"/>
    </w:pPr>
    <w:rPr>
      <w:rFonts w:ascii="Arial" w:hAnsi="Arial"/>
    </w:rPr>
  </w:style>
  <w:style w:type="character" w:customStyle="1" w:styleId="SubtitleChar">
    <w:name w:val="Subtitle Char"/>
    <w:basedOn w:val="DefaultParagraphFont"/>
    <w:link w:val="Subtitle"/>
    <w:rPr>
      <w:rFonts w:ascii="Arial" w:eastAsia="Times New Roman" w:hAnsi="Arial" w:cs="Times New Roman"/>
      <w:sz w:val="24"/>
      <w:szCs w:val="20"/>
    </w:rPr>
  </w:style>
  <w:style w:type="paragraph" w:customStyle="1" w:styleId="SubTitle1">
    <w:name w:val="SubTitle 1"/>
    <w:basedOn w:val="Normal"/>
    <w:next w:val="SubTitle2"/>
    <w:pPr>
      <w:jc w:val="center"/>
    </w:pPr>
    <w:rPr>
      <w:b/>
      <w:sz w:val="40"/>
    </w:rPr>
  </w:style>
  <w:style w:type="paragraph" w:customStyle="1" w:styleId="SubTitle2">
    <w:name w:val="SubTitle 2"/>
    <w:basedOn w:val="Normal"/>
    <w:pPr>
      <w:jc w:val="center"/>
    </w:pPr>
    <w:rPr>
      <w:b/>
      <w:sz w:val="32"/>
    </w:rPr>
  </w:style>
  <w:style w:type="paragraph" w:styleId="TableofAuthorities">
    <w:name w:val="table of authorities"/>
    <w:basedOn w:val="Normal"/>
    <w:next w:val="Normal"/>
    <w:semiHidden/>
    <w:pPr>
      <w:ind w:left="240" w:hanging="240"/>
    </w:pPr>
  </w:style>
  <w:style w:type="paragraph" w:styleId="TableofFigures">
    <w:name w:val="table of figures"/>
    <w:basedOn w:val="Normal"/>
    <w:next w:val="Normal"/>
    <w:semiHidden/>
    <w:pPr>
      <w:ind w:left="480" w:hanging="480"/>
    </w:pPr>
  </w:style>
  <w:style w:type="paragraph" w:styleId="Title">
    <w:name w:val="Title"/>
    <w:basedOn w:val="Normal"/>
    <w:next w:val="SubTitle1"/>
    <w:link w:val="TitleChar"/>
    <w:qFormat/>
    <w:pPr>
      <w:spacing w:after="480"/>
      <w:jc w:val="center"/>
    </w:pPr>
    <w:rPr>
      <w:b/>
      <w:kern w:val="28"/>
      <w:sz w:val="48"/>
    </w:rPr>
  </w:style>
  <w:style w:type="character" w:customStyle="1" w:styleId="TitleChar">
    <w:name w:val="Title Char"/>
    <w:basedOn w:val="DefaultParagraphFont"/>
    <w:link w:val="Title"/>
    <w:rPr>
      <w:rFonts w:ascii="Times New Roman" w:eastAsia="Times New Roman" w:hAnsi="Times New Roman" w:cs="Times New Roman"/>
      <w:b/>
      <w:kern w:val="28"/>
      <w:sz w:val="48"/>
      <w:szCs w:val="20"/>
    </w:rPr>
  </w:style>
  <w:style w:type="paragraph" w:styleId="TOAHeading">
    <w:name w:val="toa heading"/>
    <w:basedOn w:val="Normal"/>
    <w:next w:val="Normal"/>
    <w:semiHidden/>
    <w:pPr>
      <w:spacing w:before="120"/>
    </w:pPr>
    <w:rPr>
      <w:rFonts w:ascii="Arial" w:hAnsi="Arial"/>
      <w:b/>
    </w:rPr>
  </w:style>
  <w:style w:type="paragraph" w:styleId="TOC1">
    <w:name w:val="toc 1"/>
    <w:basedOn w:val="Normal"/>
    <w:next w:val="Normal"/>
    <w:uiPriority w:val="39"/>
    <w:qFormat/>
    <w:pPr>
      <w:tabs>
        <w:tab w:val="right" w:leader="dot" w:pos="8640"/>
      </w:tabs>
      <w:spacing w:before="120" w:after="120"/>
      <w:ind w:left="482" w:right="720" w:hanging="482"/>
    </w:pPr>
    <w:rPr>
      <w:caps/>
    </w:rPr>
  </w:style>
  <w:style w:type="paragraph" w:styleId="TOC2">
    <w:name w:val="toc 2"/>
    <w:basedOn w:val="Normal"/>
    <w:next w:val="Normal"/>
    <w:uiPriority w:val="39"/>
    <w:qFormat/>
    <w:pPr>
      <w:tabs>
        <w:tab w:val="right" w:leader="dot" w:pos="8640"/>
      </w:tabs>
      <w:spacing w:before="60" w:after="60"/>
      <w:ind w:left="1077" w:right="720" w:hanging="595"/>
    </w:pPr>
  </w:style>
  <w:style w:type="paragraph" w:styleId="TOC3">
    <w:name w:val="toc 3"/>
    <w:basedOn w:val="Normal"/>
    <w:next w:val="Normal"/>
    <w:uiPriority w:val="39"/>
    <w:qFormat/>
    <w:pPr>
      <w:tabs>
        <w:tab w:val="right" w:leader="dot" w:pos="8640"/>
      </w:tabs>
      <w:spacing w:before="60" w:after="60"/>
      <w:ind w:left="1916" w:right="720" w:hanging="839"/>
    </w:pPr>
  </w:style>
  <w:style w:type="paragraph" w:styleId="TOC4">
    <w:name w:val="toc 4"/>
    <w:basedOn w:val="Normal"/>
    <w:next w:val="Normal"/>
    <w:semiHidden/>
    <w:pPr>
      <w:tabs>
        <w:tab w:val="right" w:leader="dot" w:pos="8641"/>
      </w:tabs>
      <w:spacing w:before="60" w:after="60"/>
      <w:ind w:left="2880" w:right="720" w:hanging="964"/>
    </w:pPr>
  </w:style>
  <w:style w:type="paragraph" w:styleId="TOC5">
    <w:name w:val="toc 5"/>
    <w:basedOn w:val="Normal"/>
    <w:next w:val="Normal"/>
    <w:semiHidden/>
    <w:pPr>
      <w:tabs>
        <w:tab w:val="right" w:leader="dot" w:pos="8641"/>
      </w:tabs>
      <w:spacing w:before="240" w:after="120"/>
      <w:ind w:right="720"/>
    </w:pPr>
    <w:rPr>
      <w:caps/>
    </w:rPr>
  </w:style>
  <w:style w:type="paragraph" w:styleId="TOC6">
    <w:name w:val="toc 6"/>
    <w:basedOn w:val="Normal"/>
    <w:next w:val="Normal"/>
    <w:autoRedefine/>
    <w:semiHidden/>
    <w:pPr>
      <w:ind w:left="1200"/>
    </w:pPr>
  </w:style>
  <w:style w:type="paragraph" w:styleId="TOC7">
    <w:name w:val="toc 7"/>
    <w:basedOn w:val="Normal"/>
    <w:next w:val="Normal"/>
    <w:autoRedefine/>
    <w:semiHidden/>
    <w:pPr>
      <w:ind w:left="1440"/>
    </w:pPr>
  </w:style>
  <w:style w:type="paragraph" w:styleId="TOC8">
    <w:name w:val="toc 8"/>
    <w:basedOn w:val="Normal"/>
    <w:next w:val="Normal"/>
    <w:autoRedefine/>
    <w:semiHidden/>
    <w:pPr>
      <w:ind w:left="1680"/>
    </w:pPr>
  </w:style>
  <w:style w:type="paragraph" w:styleId="TOC9">
    <w:name w:val="toc 9"/>
    <w:basedOn w:val="Normal"/>
    <w:next w:val="Normal"/>
    <w:autoRedefine/>
    <w:semiHidden/>
    <w:pPr>
      <w:ind w:left="1920"/>
    </w:pPr>
  </w:style>
  <w:style w:type="paragraph" w:customStyle="1" w:styleId="YReferences">
    <w:name w:val="YReferences"/>
    <w:basedOn w:val="Normal"/>
    <w:next w:val="Normal"/>
    <w:pPr>
      <w:spacing w:after="480"/>
      <w:ind w:left="1531" w:hanging="1531"/>
    </w:pPr>
  </w:style>
  <w:style w:type="paragraph" w:customStyle="1" w:styleId="ListBullet1">
    <w:name w:val="List Bullet 1"/>
    <w:basedOn w:val="Text1"/>
    <w:pPr>
      <w:numPr>
        <w:numId w:val="4"/>
      </w:numPr>
    </w:pPr>
  </w:style>
  <w:style w:type="paragraph" w:customStyle="1" w:styleId="ListDash">
    <w:name w:val="List Dash"/>
    <w:basedOn w:val="Normal"/>
    <w:pPr>
      <w:numPr>
        <w:numId w:val="8"/>
      </w:numPr>
    </w:pPr>
  </w:style>
  <w:style w:type="paragraph" w:customStyle="1" w:styleId="ListDash1">
    <w:name w:val="List Dash 1"/>
    <w:basedOn w:val="Text1"/>
    <w:pPr>
      <w:numPr>
        <w:numId w:val="9"/>
      </w:numPr>
    </w:pPr>
  </w:style>
  <w:style w:type="paragraph" w:customStyle="1" w:styleId="ListDash2">
    <w:name w:val="List Dash 2"/>
    <w:basedOn w:val="Text2"/>
    <w:pPr>
      <w:numPr>
        <w:numId w:val="10"/>
      </w:numPr>
      <w:tabs>
        <w:tab w:val="clear" w:pos="2302"/>
      </w:tabs>
    </w:pPr>
  </w:style>
  <w:style w:type="paragraph" w:customStyle="1" w:styleId="ListDash3">
    <w:name w:val="List Dash 3"/>
    <w:basedOn w:val="Text3"/>
    <w:pPr>
      <w:numPr>
        <w:numId w:val="11"/>
      </w:numPr>
      <w:tabs>
        <w:tab w:val="clear" w:pos="2302"/>
      </w:tabs>
    </w:pPr>
  </w:style>
  <w:style w:type="paragraph" w:customStyle="1" w:styleId="ListDash4">
    <w:name w:val="List Dash 4"/>
    <w:basedOn w:val="Text4"/>
    <w:pPr>
      <w:numPr>
        <w:numId w:val="12"/>
      </w:numPr>
      <w:tabs>
        <w:tab w:val="clear" w:pos="2302"/>
      </w:tabs>
    </w:pPr>
  </w:style>
  <w:style w:type="paragraph" w:customStyle="1" w:styleId="ListNumberLevel2">
    <w:name w:val="List Number (Level 2)"/>
    <w:basedOn w:val="Normal"/>
    <w:pPr>
      <w:numPr>
        <w:ilvl w:val="1"/>
        <w:numId w:val="13"/>
      </w:numPr>
    </w:pPr>
  </w:style>
  <w:style w:type="paragraph" w:customStyle="1" w:styleId="ListNumberLevel3">
    <w:name w:val="List Number (Level 3)"/>
    <w:basedOn w:val="Normal"/>
    <w:pPr>
      <w:numPr>
        <w:ilvl w:val="2"/>
        <w:numId w:val="13"/>
      </w:numPr>
    </w:pPr>
  </w:style>
  <w:style w:type="paragraph" w:customStyle="1" w:styleId="ListNumberLevel4">
    <w:name w:val="List Number (Level 4)"/>
    <w:basedOn w:val="Normal"/>
    <w:pPr>
      <w:numPr>
        <w:ilvl w:val="3"/>
        <w:numId w:val="13"/>
      </w:numPr>
    </w:pPr>
  </w:style>
  <w:style w:type="paragraph" w:customStyle="1" w:styleId="ListNumber1">
    <w:name w:val="List Number 1"/>
    <w:basedOn w:val="Text1"/>
    <w:pPr>
      <w:numPr>
        <w:numId w:val="14"/>
      </w:numPr>
    </w:pPr>
  </w:style>
  <w:style w:type="paragraph" w:customStyle="1" w:styleId="ListNumber1Level2">
    <w:name w:val="List Number 1 (Level 2)"/>
    <w:basedOn w:val="Text1"/>
    <w:pPr>
      <w:numPr>
        <w:ilvl w:val="1"/>
        <w:numId w:val="14"/>
      </w:numPr>
    </w:pPr>
  </w:style>
  <w:style w:type="paragraph" w:customStyle="1" w:styleId="ListNumber1Level3">
    <w:name w:val="List Number 1 (Level 3)"/>
    <w:basedOn w:val="Text1"/>
    <w:pPr>
      <w:numPr>
        <w:ilvl w:val="2"/>
        <w:numId w:val="14"/>
      </w:numPr>
    </w:pPr>
  </w:style>
  <w:style w:type="paragraph" w:customStyle="1" w:styleId="ListNumber1Level4">
    <w:name w:val="List Number 1 (Level 4)"/>
    <w:basedOn w:val="Text1"/>
    <w:pPr>
      <w:numPr>
        <w:ilvl w:val="3"/>
        <w:numId w:val="14"/>
      </w:numPr>
    </w:pPr>
  </w:style>
  <w:style w:type="paragraph" w:customStyle="1" w:styleId="ListNumber2Level2">
    <w:name w:val="List Number 2 (Level 2)"/>
    <w:basedOn w:val="Text2"/>
    <w:pPr>
      <w:numPr>
        <w:ilvl w:val="1"/>
        <w:numId w:val="15"/>
      </w:numPr>
      <w:tabs>
        <w:tab w:val="clear" w:pos="2302"/>
      </w:tabs>
    </w:pPr>
  </w:style>
  <w:style w:type="paragraph" w:customStyle="1" w:styleId="ListNumber2Level3">
    <w:name w:val="List Number 2 (Level 3)"/>
    <w:basedOn w:val="Text2"/>
    <w:pPr>
      <w:numPr>
        <w:ilvl w:val="2"/>
        <w:numId w:val="15"/>
      </w:numPr>
      <w:tabs>
        <w:tab w:val="clear" w:pos="2302"/>
      </w:tabs>
    </w:pPr>
  </w:style>
  <w:style w:type="paragraph" w:customStyle="1" w:styleId="ListNumber2Level4">
    <w:name w:val="List Number 2 (Level 4)"/>
    <w:basedOn w:val="Text2"/>
    <w:pPr>
      <w:numPr>
        <w:ilvl w:val="3"/>
        <w:numId w:val="15"/>
      </w:numPr>
      <w:tabs>
        <w:tab w:val="clear" w:pos="2302"/>
      </w:tabs>
    </w:pPr>
  </w:style>
  <w:style w:type="paragraph" w:customStyle="1" w:styleId="ListNumber3Level2">
    <w:name w:val="List Number 3 (Level 2)"/>
    <w:basedOn w:val="Text3"/>
    <w:pPr>
      <w:numPr>
        <w:ilvl w:val="1"/>
        <w:numId w:val="16"/>
      </w:numPr>
      <w:tabs>
        <w:tab w:val="clear" w:pos="2302"/>
      </w:tabs>
    </w:pPr>
  </w:style>
  <w:style w:type="paragraph" w:customStyle="1" w:styleId="ListNumber3Level3">
    <w:name w:val="List Number 3 (Level 3)"/>
    <w:basedOn w:val="Text3"/>
    <w:pPr>
      <w:numPr>
        <w:ilvl w:val="2"/>
        <w:numId w:val="16"/>
      </w:numPr>
      <w:tabs>
        <w:tab w:val="clear" w:pos="2302"/>
      </w:tabs>
    </w:pPr>
  </w:style>
  <w:style w:type="paragraph" w:customStyle="1" w:styleId="ListNumber3Level4">
    <w:name w:val="List Number 3 (Level 4)"/>
    <w:basedOn w:val="Text3"/>
    <w:pPr>
      <w:numPr>
        <w:ilvl w:val="3"/>
        <w:numId w:val="16"/>
      </w:numPr>
      <w:tabs>
        <w:tab w:val="clear" w:pos="2302"/>
      </w:tabs>
    </w:pPr>
  </w:style>
  <w:style w:type="paragraph" w:customStyle="1" w:styleId="ListNumber4Level2">
    <w:name w:val="List Number 4 (Level 2)"/>
    <w:basedOn w:val="Text4"/>
    <w:pPr>
      <w:numPr>
        <w:ilvl w:val="1"/>
        <w:numId w:val="17"/>
      </w:numPr>
      <w:tabs>
        <w:tab w:val="clear" w:pos="2302"/>
      </w:tabs>
    </w:pPr>
  </w:style>
  <w:style w:type="paragraph" w:customStyle="1" w:styleId="ListNumber4Level3">
    <w:name w:val="List Number 4 (Level 3)"/>
    <w:basedOn w:val="Text4"/>
    <w:pPr>
      <w:numPr>
        <w:ilvl w:val="2"/>
        <w:numId w:val="17"/>
      </w:numPr>
      <w:tabs>
        <w:tab w:val="clear" w:pos="2302"/>
      </w:tabs>
    </w:pPr>
  </w:style>
  <w:style w:type="paragraph" w:customStyle="1" w:styleId="ListNumber4Level4">
    <w:name w:val="List Number 4 (Level 4)"/>
    <w:basedOn w:val="Text4"/>
    <w:pPr>
      <w:numPr>
        <w:ilvl w:val="3"/>
        <w:numId w:val="17"/>
      </w:numPr>
      <w:tabs>
        <w:tab w:val="clear" w:pos="2302"/>
      </w:tabs>
    </w:pPr>
  </w:style>
  <w:style w:type="paragraph" w:styleId="TOCHeading">
    <w:name w:val="TOC Heading"/>
    <w:basedOn w:val="Normal"/>
    <w:next w:val="Normal"/>
    <w:uiPriority w:val="39"/>
    <w:qFormat/>
    <w:pPr>
      <w:keepNext/>
      <w:spacing w:before="240"/>
      <w:jc w:val="center"/>
    </w:pPr>
    <w:rPr>
      <w:b/>
    </w:rPr>
  </w:style>
  <w:style w:type="paragraph" w:customStyle="1" w:styleId="Contact">
    <w:name w:val="Contact"/>
    <w:basedOn w:val="Normal"/>
    <w:next w:val="Normal"/>
    <w:pPr>
      <w:spacing w:after="480"/>
      <w:ind w:left="567" w:hanging="567"/>
      <w:jc w:val="left"/>
    </w:pPr>
  </w:style>
  <w:style w:type="paragraph" w:customStyle="1" w:styleId="Designator">
    <w:name w:val="Designator"/>
    <w:basedOn w:val="Normal"/>
    <w:pPr>
      <w:spacing w:after="0"/>
      <w:jc w:val="center"/>
    </w:pPr>
    <w:rPr>
      <w:b/>
      <w:caps/>
      <w:sz w:val="32"/>
    </w:rPr>
  </w:style>
  <w:style w:type="paragraph" w:customStyle="1" w:styleId="Releasable">
    <w:name w:val="Releasable"/>
    <w:basedOn w:val="Normal"/>
    <w:qFormat/>
    <w:pPr>
      <w:spacing w:after="0"/>
      <w:jc w:val="center"/>
    </w:pPr>
    <w:rPr>
      <w:b/>
      <w:caps/>
      <w:sz w:val="32"/>
    </w:rPr>
  </w:style>
  <w:style w:type="paragraph" w:customStyle="1" w:styleId="RUE">
    <w:name w:val="RUE"/>
    <w:basedOn w:val="Normal"/>
    <w:pPr>
      <w:spacing w:after="0"/>
      <w:jc w:val="center"/>
    </w:pPr>
    <w:rPr>
      <w:b/>
      <w:caps/>
      <w:sz w:val="32"/>
      <w:bdr w:val="single" w:sz="18" w:space="0" w:color="auto"/>
    </w:rPr>
  </w:style>
  <w:style w:type="paragraph" w:customStyle="1" w:styleId="ConfidentialUE">
    <w:name w:val="Confidential UE"/>
    <w:basedOn w:val="Normal"/>
    <w:pPr>
      <w:spacing w:after="0"/>
      <w:jc w:val="center"/>
    </w:pPr>
    <w:rPr>
      <w:b/>
      <w:caps/>
      <w:sz w:val="32"/>
      <w:bdr w:val="single" w:sz="18" w:space="0" w:color="auto"/>
    </w:rPr>
  </w:style>
  <w:style w:type="paragraph" w:customStyle="1" w:styleId="SecretUE">
    <w:name w:val="Secret UE"/>
    <w:basedOn w:val="Normal"/>
    <w:pPr>
      <w:spacing w:after="0"/>
      <w:jc w:val="center"/>
    </w:pPr>
    <w:rPr>
      <w:b/>
      <w:caps/>
      <w:color w:val="FF0000"/>
      <w:sz w:val="32"/>
      <w:bdr w:val="single" w:sz="18" w:space="0" w:color="FF0000"/>
    </w:rPr>
  </w:style>
  <w:style w:type="paragraph" w:customStyle="1" w:styleId="TrsSecretUE">
    <w:name w:val="Très Secret UE"/>
    <w:basedOn w:val="Normal"/>
    <w:pPr>
      <w:spacing w:after="0"/>
      <w:jc w:val="center"/>
    </w:pPr>
    <w:rPr>
      <w:b/>
      <w:caps/>
      <w:color w:val="FF0000"/>
      <w:sz w:val="32"/>
      <w:bdr w:val="single" w:sz="18" w:space="0" w:color="FF0000"/>
    </w:rPr>
  </w:style>
  <w:style w:type="paragraph" w:customStyle="1" w:styleId="LegalNumPar">
    <w:name w:val="LegalNumPar"/>
    <w:basedOn w:val="Normal"/>
    <w:pPr>
      <w:numPr>
        <w:numId w:val="18"/>
      </w:numPr>
      <w:spacing w:line="360" w:lineRule="auto"/>
      <w:jc w:val="left"/>
    </w:pPr>
    <w:rPr>
      <w:rFonts w:eastAsiaTheme="minorHAnsi"/>
      <w:szCs w:val="22"/>
    </w:rPr>
  </w:style>
  <w:style w:type="paragraph" w:customStyle="1" w:styleId="LegalNumPar2">
    <w:name w:val="LegalNumPar2"/>
    <w:basedOn w:val="Normal"/>
    <w:pPr>
      <w:numPr>
        <w:ilvl w:val="1"/>
        <w:numId w:val="18"/>
      </w:numPr>
      <w:spacing w:line="360" w:lineRule="auto"/>
      <w:ind w:left="952" w:hanging="476"/>
      <w:jc w:val="left"/>
    </w:pPr>
    <w:rPr>
      <w:rFonts w:eastAsiaTheme="minorHAnsi"/>
      <w:szCs w:val="22"/>
    </w:rPr>
  </w:style>
  <w:style w:type="paragraph" w:customStyle="1" w:styleId="LegalNumPar3">
    <w:name w:val="LegalNumPar3"/>
    <w:basedOn w:val="Normal"/>
    <w:pPr>
      <w:numPr>
        <w:ilvl w:val="2"/>
        <w:numId w:val="18"/>
      </w:numPr>
      <w:spacing w:line="360" w:lineRule="auto"/>
      <w:jc w:val="left"/>
    </w:pPr>
    <w:rPr>
      <w:rFonts w:eastAsiaTheme="minorHAnsi"/>
      <w:szCs w:val="22"/>
    </w:rPr>
  </w:style>
  <w:style w:type="paragraph" w:customStyle="1" w:styleId="ZCom">
    <w:name w:val="Z_Com"/>
    <w:basedOn w:val="Normal"/>
    <w:next w:val="ZDGName"/>
    <w:uiPriority w:val="99"/>
    <w:pPr>
      <w:widowControl w:val="0"/>
      <w:autoSpaceDE w:val="0"/>
      <w:autoSpaceDN w:val="0"/>
      <w:spacing w:after="0"/>
      <w:ind w:right="85"/>
    </w:pPr>
    <w:rPr>
      <w:rFonts w:ascii="Arial" w:eastAsiaTheme="minorEastAsia" w:hAnsi="Arial" w:cs="Arial"/>
      <w:szCs w:val="24"/>
      <w:lang w:eastAsia="en-GB"/>
    </w:rPr>
  </w:style>
  <w:style w:type="paragraph" w:customStyle="1" w:styleId="ZDGName">
    <w:name w:val="Z_DGName"/>
    <w:basedOn w:val="Normal"/>
    <w:uiPriority w:val="99"/>
    <w:pPr>
      <w:widowControl w:val="0"/>
      <w:autoSpaceDE w:val="0"/>
      <w:autoSpaceDN w:val="0"/>
      <w:spacing w:after="0"/>
      <w:ind w:right="85"/>
      <w:jc w:val="left"/>
    </w:pPr>
    <w:rPr>
      <w:rFonts w:ascii="Arial" w:eastAsiaTheme="minorEastAsia" w:hAnsi="Arial" w:cs="Arial"/>
      <w:sz w:val="16"/>
      <w:szCs w:val="16"/>
      <w:lang w:eastAsia="en-GB"/>
    </w:rPr>
  </w:style>
  <w:style w:type="character" w:customStyle="1" w:styleId="Marker">
    <w:name w:val="Marker"/>
    <w:basedOn w:val="DefaultParagraphFont"/>
    <w:rPr>
      <w:color w:val="0000FF"/>
      <w:shd w:val="clear" w:color="auto" w:fill="auto"/>
    </w:rPr>
  </w:style>
  <w:style w:type="paragraph" w:customStyle="1" w:styleId="Pagedecouverture">
    <w:name w:val="Page de couverture"/>
    <w:basedOn w:val="Normal"/>
    <w:next w:val="Normal"/>
    <w:pPr>
      <w:spacing w:after="0"/>
    </w:pPr>
    <w:rPr>
      <w:rFonts w:eastAsiaTheme="minorHAnsi"/>
      <w:szCs w:val="22"/>
    </w:rPr>
  </w:style>
  <w:style w:type="paragraph" w:customStyle="1" w:styleId="FooterCoverPage">
    <w:name w:val="Footer Cover Page"/>
    <w:basedOn w:val="Normal"/>
    <w:link w:val="FooterCoverPageChar"/>
    <w:pPr>
      <w:tabs>
        <w:tab w:val="center" w:pos="4535"/>
        <w:tab w:val="right" w:pos="9071"/>
        <w:tab w:val="right" w:pos="9921"/>
      </w:tabs>
      <w:spacing w:before="360" w:after="0"/>
      <w:ind w:left="-850" w:right="-850"/>
      <w:jc w:val="left"/>
    </w:pPr>
  </w:style>
  <w:style w:type="character" w:customStyle="1" w:styleId="FooterCoverPageChar">
    <w:name w:val="Footer Cover Page Char"/>
    <w:basedOn w:val="DefaultParagraphFont"/>
    <w:link w:val="FooterCoverPage"/>
    <w:rPr>
      <w:rFonts w:ascii="Times New Roman" w:eastAsia="Times New Roman" w:hAnsi="Times New Roman" w:cs="Times New Roman"/>
      <w:sz w:val="24"/>
      <w:szCs w:val="20"/>
    </w:rPr>
  </w:style>
  <w:style w:type="paragraph" w:customStyle="1" w:styleId="HeaderCoverPage">
    <w:name w:val="Header Cover Page"/>
    <w:basedOn w:val="Normal"/>
    <w:link w:val="HeaderCoverPageChar"/>
    <w:pPr>
      <w:tabs>
        <w:tab w:val="center" w:pos="4535"/>
        <w:tab w:val="right" w:pos="9071"/>
      </w:tabs>
      <w:spacing w:after="120"/>
    </w:pPr>
  </w:style>
  <w:style w:type="character" w:customStyle="1" w:styleId="HeaderCoverPageChar">
    <w:name w:val="Header Cover Page Char"/>
    <w:basedOn w:val="DefaultParagraphFont"/>
    <w:link w:val="HeaderCoverPage"/>
    <w:rPr>
      <w:rFonts w:ascii="Times New Roman" w:eastAsia="Times New Roman" w:hAnsi="Times New Roman" w:cs="Times New Roman"/>
      <w:sz w:val="24"/>
      <w:szCs w:val="20"/>
    </w:rPr>
  </w:style>
  <w:style w:type="paragraph" w:customStyle="1" w:styleId="Typedudocument">
    <w:name w:val="Type du document"/>
    <w:basedOn w:val="Normal"/>
    <w:next w:val="Normal"/>
    <w:link w:val="TypedudocumentChar"/>
    <w:pPr>
      <w:spacing w:before="360" w:after="0"/>
      <w:jc w:val="center"/>
    </w:pPr>
    <w:rPr>
      <w:rFonts w:eastAsiaTheme="minorHAnsi"/>
      <w:b/>
      <w:szCs w:val="22"/>
    </w:rPr>
  </w:style>
  <w:style w:type="paragraph" w:customStyle="1" w:styleId="Titreobjet">
    <w:name w:val="Titre objet"/>
    <w:basedOn w:val="Normal"/>
    <w:next w:val="Normal"/>
    <w:pPr>
      <w:spacing w:before="360" w:after="360"/>
      <w:jc w:val="center"/>
    </w:pPr>
    <w:rPr>
      <w:rFonts w:eastAsiaTheme="minorHAnsi"/>
      <w:b/>
      <w:szCs w:val="22"/>
    </w:rPr>
  </w:style>
  <w:style w:type="character" w:styleId="Hyperlink">
    <w:name w:val="Hyperlink"/>
    <w:basedOn w:val="DefaultParagraphFont"/>
    <w:uiPriority w:val="99"/>
    <w:unhideWhenUsed/>
    <w:rPr>
      <w:color w:val="0000FF" w:themeColor="hyperlink"/>
      <w:u w:val="single"/>
    </w:rPr>
  </w:style>
  <w:style w:type="paragraph" w:styleId="BalloonText">
    <w:name w:val="Balloon Text"/>
    <w:basedOn w:val="Normal"/>
    <w:link w:val="BalloonTextChar"/>
    <w:uiPriority w:val="99"/>
    <w:semiHidden/>
    <w:unhideWhenUse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imes New Roman" w:hAnsi="Tahoma" w:cs="Tahoma"/>
      <w:sz w:val="16"/>
      <w:szCs w:val="16"/>
    </w:rPr>
  </w:style>
  <w:style w:type="paragraph" w:styleId="NormalWeb">
    <w:name w:val="Normal (Web)"/>
    <w:basedOn w:val="Normal"/>
    <w:uiPriority w:val="99"/>
    <w:semiHidden/>
    <w:unhideWhenUsed/>
    <w:rPr>
      <w:szCs w:val="24"/>
    </w:rPr>
  </w:style>
  <w:style w:type="character" w:styleId="FootnoteReference">
    <w:name w:val="footnote reference"/>
    <w:aliases w:val="Footnote,Footnote symbol,Char1 Char Char Char Char,Footnote Reference/,EN Footnote Reference,Times 10 Point,Exposant 3 Point,Footnote reference number,note TESI,stylish,SUPERS,number,no...,Footnote Reference Superscript,E FNZ,BVI fnr"/>
    <w:basedOn w:val="DefaultParagraphFont"/>
    <w:link w:val="FootnotesymbolCarZchn"/>
    <w:uiPriority w:val="99"/>
    <w:unhideWhenUsed/>
    <w:qFormat/>
    <w:rPr>
      <w:vertAlign w:val="superscript"/>
    </w:rPr>
  </w:style>
  <w:style w:type="character" w:styleId="CommentReference">
    <w:name w:val="annotation reference"/>
    <w:basedOn w:val="DefaultParagraphFont"/>
    <w:uiPriority w:val="99"/>
    <w:semiHidden/>
    <w:unhideWhenUsed/>
    <w:rPr>
      <w:sz w:val="16"/>
      <w:szCs w:val="16"/>
    </w:rPr>
  </w:style>
  <w:style w:type="table" w:styleId="TableGrid">
    <w:name w:val="Table Grid"/>
    <w:basedOn w:val="TableNormal"/>
    <w:uiPriority w:val="39"/>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Times New Roman" w:eastAsia="Times New Roman" w:hAnsi="Times New Roman" w:cs="Times New Roman"/>
      <w:b/>
      <w:bCs/>
      <w:sz w:val="20"/>
      <w:szCs w:val="20"/>
    </w:rPr>
  </w:style>
  <w:style w:type="paragraph" w:styleId="ListParagraph">
    <w:name w:val="List Paragraph"/>
    <w:basedOn w:val="Normal"/>
    <w:uiPriority w:val="34"/>
    <w:qFormat/>
    <w:pPr>
      <w:ind w:left="720"/>
      <w:contextualSpacing/>
    </w:pPr>
  </w:style>
  <w:style w:type="paragraph" w:styleId="Revision">
    <w:name w:val="Revision"/>
    <w:hidden/>
    <w:uiPriority w:val="99"/>
    <w:semiHidden/>
    <w:pPr>
      <w:spacing w:after="0" w:line="240" w:lineRule="auto"/>
    </w:pPr>
    <w:rPr>
      <w:rFonts w:ascii="Times New Roman" w:eastAsia="Times New Roman" w:hAnsi="Times New Roman" w:cs="Times New Roman"/>
      <w:sz w:val="24"/>
      <w:szCs w:val="20"/>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TitreobjetPagedecouverture">
    <w:name w:val="Titre objet (Page de couverture)"/>
    <w:basedOn w:val="Titreobjet"/>
    <w:next w:val="Normal"/>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after="0"/>
      <w:ind w:left="113" w:right="113"/>
      <w:jc w:val="center"/>
    </w:pPr>
    <w:rPr>
      <w:b/>
      <w:sz w:val="32"/>
    </w:rPr>
  </w:style>
  <w:style w:type="character" w:customStyle="1" w:styleId="TypedudocumentChar">
    <w:name w:val="Type du document Char"/>
    <w:basedOn w:val="DefaultParagraphFont"/>
    <w:link w:val="Typedudocument"/>
    <w:rPr>
      <w:rFonts w:ascii="Times New Roman" w:hAnsi="Times New Roman" w:cs="Times New Roman"/>
      <w:b/>
      <w:sz w:val="24"/>
    </w:rPr>
  </w:style>
  <w:style w:type="character" w:customStyle="1" w:styleId="FooterSensitivityChar">
    <w:name w:val="Footer Sensitivity Char"/>
    <w:basedOn w:val="TypedudocumentChar"/>
    <w:link w:val="FooterSensitivity"/>
    <w:rPr>
      <w:rFonts w:ascii="Times New Roman" w:eastAsia="Times New Roman" w:hAnsi="Times New Roman" w:cs="Times New Roman"/>
      <w:b/>
      <w:sz w:val="32"/>
      <w:szCs w:val="20"/>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TypedudocumentChar"/>
    <w:link w:val="HeaderSensitivity"/>
    <w:rPr>
      <w:rFonts w:ascii="Times New Roman" w:eastAsia="Times New Roman" w:hAnsi="Times New Roman" w:cs="Times New Roman"/>
      <w:b/>
      <w:sz w:val="32"/>
      <w:szCs w:val="20"/>
    </w:rPr>
  </w:style>
  <w:style w:type="paragraph" w:customStyle="1" w:styleId="Text">
    <w:name w:val="Text"/>
    <w:link w:val="TextChar"/>
    <w:qFormat/>
    <w:pPr>
      <w:spacing w:before="120" w:after="120" w:line="252" w:lineRule="auto"/>
      <w:jc w:val="both"/>
    </w:pPr>
    <w:rPr>
      <w:rFonts w:ascii="EC Square Sans Pro" w:eastAsia="EC Square Sans Pro Light" w:hAnsi="EC Square Sans Pro" w:cs="EC Square Sans Pro Light"/>
      <w:position w:val="1"/>
    </w:rPr>
  </w:style>
  <w:style w:type="character" w:customStyle="1" w:styleId="TextChar">
    <w:name w:val="Text Char"/>
    <w:basedOn w:val="DefaultParagraphFont"/>
    <w:link w:val="Text"/>
    <w:rPr>
      <w:rFonts w:ascii="EC Square Sans Pro" w:eastAsia="EC Square Sans Pro Light" w:hAnsi="EC Square Sans Pro" w:cs="EC Square Sans Pro Light"/>
      <w:position w:val="1"/>
    </w:rPr>
  </w:style>
  <w:style w:type="paragraph" w:customStyle="1" w:styleId="Bulletpoints">
    <w:name w:val="Bullet points"/>
    <w:basedOn w:val="ListParagraph"/>
    <w:link w:val="BulletpointsChar"/>
    <w:qFormat/>
    <w:pPr>
      <w:widowControl w:val="0"/>
      <w:numPr>
        <w:numId w:val="24"/>
      </w:numPr>
      <w:tabs>
        <w:tab w:val="left" w:pos="3119"/>
        <w:tab w:val="left" w:pos="3686"/>
      </w:tabs>
      <w:spacing w:before="60" w:after="60" w:line="280" w:lineRule="exact"/>
      <w:contextualSpacing w:val="0"/>
    </w:pPr>
    <w:rPr>
      <w:rFonts w:ascii="EC Square Sans Pro" w:eastAsia="EC Square Sans Pro Light" w:hAnsi="EC Square Sans Pro" w:cs="EC Square Sans Pro Light"/>
      <w:position w:val="1"/>
      <w:sz w:val="22"/>
      <w:szCs w:val="22"/>
    </w:rPr>
  </w:style>
  <w:style w:type="character" w:customStyle="1" w:styleId="BulletpointsChar">
    <w:name w:val="Bullet points Char"/>
    <w:basedOn w:val="DefaultParagraphFont"/>
    <w:link w:val="Bulletpoints"/>
    <w:rPr>
      <w:rFonts w:ascii="EC Square Sans Pro" w:eastAsia="EC Square Sans Pro Light" w:hAnsi="EC Square Sans Pro" w:cs="EC Square Sans Pro Light"/>
      <w:position w:val="1"/>
    </w:rPr>
  </w:style>
  <w:style w:type="character" w:customStyle="1" w:styleId="CaptionChar">
    <w:name w:val="Caption Char"/>
    <w:aliases w:val="Caption-tables Char,Tasks Char,Beschriftung Char2 Char,Beschriftung Char1 Char1 Char,Beschriftung Char Char Char1 Char,Beschriftung Char1 Char Char Char,Beschriftung Char Char Char Char Char,Beschriftung Char Char1 Char Char,Eco Char"/>
    <w:basedOn w:val="TextChar"/>
    <w:link w:val="Caption"/>
    <w:uiPriority w:val="35"/>
    <w:rPr>
      <w:rFonts w:ascii="Times New Roman" w:eastAsia="Times New Roman" w:hAnsi="Times New Roman" w:cs="Times New Roman"/>
      <w:b/>
      <w:position w:val="1"/>
      <w:sz w:val="24"/>
      <w:szCs w:val="20"/>
    </w:rPr>
  </w:style>
  <w:style w:type="paragraph" w:customStyle="1" w:styleId="FootnotesymbolCarZchn">
    <w:name w:val="Footnote symbol Car Zchn"/>
    <w:aliases w:val="Footnote Car Zchn,Times 10 Point Car Zchn,Exposant 3 Point Car Zchn,Footnote Reference Superscript Car Zchn,Char Char Char Char Char Car Zchn,BVI fnr Car Zchn,SUPERS Car Zchn"/>
    <w:basedOn w:val="Normal"/>
    <w:link w:val="FootnoteReference"/>
    <w:uiPriority w:val="99"/>
    <w:locked/>
    <w:pPr>
      <w:spacing w:after="160" w:line="240" w:lineRule="exact"/>
    </w:pPr>
    <w:rPr>
      <w:rFonts w:asciiTheme="minorHAnsi" w:eastAsiaTheme="minorHAnsi" w:hAnsiTheme="minorHAnsi" w:cstheme="minorBidi"/>
      <w:sz w:val="22"/>
      <w:szCs w:val="22"/>
      <w:vertAlign w:val="superscript"/>
    </w:rPr>
  </w:style>
  <w:style w:type="character" w:customStyle="1" w:styleId="CommentTextChar1">
    <w:name w:val="Comment Text Char1"/>
    <w:basedOn w:val="DefaultParagraphFont"/>
    <w:uiPriority w:val="99"/>
    <w:rPr>
      <w:lang w:val="lv-LV" w:eastAsia="en-US"/>
    </w:rPr>
  </w:style>
  <w:style w:type="character" w:customStyle="1" w:styleId="FootnoteTextChar1">
    <w:name w:val="Footnote Text Char1"/>
    <w:uiPriority w:val="99"/>
    <w:rPr>
      <w:lang w:val="lv-LV" w:eastAsia="en-US"/>
    </w:rPr>
  </w:style>
  <w:style w:type="paragraph" w:customStyle="1" w:styleId="BulletedList">
    <w:name w:val="Bulleted List"/>
    <w:basedOn w:val="ListParagraph"/>
    <w:uiPriority w:val="6"/>
    <w:qFormat/>
    <w:pPr>
      <w:numPr>
        <w:numId w:val="29"/>
      </w:numPr>
      <w:spacing w:after="120"/>
      <w:ind w:right="680"/>
      <w:contextualSpacing w:val="0"/>
    </w:pPr>
    <w:rPr>
      <w:rFonts w:eastAsia="SimSun"/>
      <w:sz w:val="22"/>
    </w:rPr>
  </w:style>
  <w:style w:type="paragraph" w:customStyle="1" w:styleId="Para0">
    <w:name w:val="Para"/>
    <w:basedOn w:val="Normal"/>
    <w:link w:val="ParaChar"/>
    <w:uiPriority w:val="3"/>
    <w:qFormat/>
    <w:pPr>
      <w:spacing w:before="120" w:after="120"/>
      <w:ind w:left="680" w:right="680"/>
    </w:pPr>
    <w:rPr>
      <w:rFonts w:eastAsia="SimSun"/>
      <w:sz w:val="22"/>
    </w:rPr>
  </w:style>
  <w:style w:type="character" w:customStyle="1" w:styleId="ParaChar">
    <w:name w:val="Para Char"/>
    <w:basedOn w:val="DefaultParagraphFont"/>
    <w:link w:val="Para0"/>
    <w:uiPriority w:val="3"/>
    <w:rPr>
      <w:rFonts w:ascii="Times New Roman" w:eastAsia="SimSun" w:hAnsi="Times New Roman" w:cs="Times New Roman"/>
      <w:szCs w:val="20"/>
    </w:rPr>
  </w:style>
  <w:style w:type="paragraph" w:customStyle="1" w:styleId="Para">
    <w:name w:val="Para #"/>
    <w:basedOn w:val="Normal"/>
    <w:link w:val="ParaChar0"/>
    <w:uiPriority w:val="4"/>
    <w:qFormat/>
    <w:pPr>
      <w:numPr>
        <w:numId w:val="32"/>
      </w:numPr>
      <w:spacing w:before="120" w:after="120"/>
      <w:ind w:right="680"/>
    </w:pPr>
    <w:rPr>
      <w:rFonts w:eastAsiaTheme="minorHAnsi" w:cstheme="minorBidi"/>
      <w:sz w:val="22"/>
      <w:szCs w:val="22"/>
    </w:rPr>
  </w:style>
  <w:style w:type="character" w:customStyle="1" w:styleId="ParaChar0">
    <w:name w:val="Para # Char"/>
    <w:basedOn w:val="DefaultParagraphFont"/>
    <w:link w:val="Para"/>
    <w:uiPriority w:val="4"/>
    <w:rPr>
      <w:rFonts w:ascii="Times New Roman" w:hAnsi="Times New Roman"/>
    </w:rPr>
  </w:style>
  <w:style w:type="paragraph" w:customStyle="1" w:styleId="CaptionSubtitle">
    <w:name w:val="Caption Subtitle"/>
    <w:basedOn w:val="Normal"/>
    <w:next w:val="Para0"/>
    <w:qFormat/>
    <w:pPr>
      <w:keepNext/>
      <w:spacing w:after="120"/>
      <w:ind w:left="680" w:right="680"/>
      <w:jc w:val="center"/>
    </w:pPr>
    <w:rPr>
      <w:rFonts w:eastAsiaTheme="minorHAnsi" w:cstheme="minorBidi"/>
      <w:sz w:val="18"/>
      <w:szCs w:val="22"/>
    </w:rPr>
  </w:style>
  <w:style w:type="paragraph" w:customStyle="1" w:styleId="Sourcenotes">
    <w:name w:val="Source &amp; notes"/>
    <w:basedOn w:val="Normal"/>
    <w:qFormat/>
    <w:pPr>
      <w:keepLines/>
      <w:spacing w:before="120"/>
      <w:ind w:left="680" w:right="680"/>
      <w:contextualSpacing/>
    </w:pPr>
    <w:rPr>
      <w:rFonts w:eastAsiaTheme="minorHAnsi" w:cstheme="minorBidi"/>
      <w:sz w:val="18"/>
      <w:szCs w:val="22"/>
    </w:rPr>
  </w:style>
  <w:style w:type="paragraph" w:customStyle="1" w:styleId="Figure">
    <w:name w:val="Figure"/>
    <w:basedOn w:val="Normal"/>
    <w:pPr>
      <w:spacing w:after="0"/>
      <w:jc w:val="center"/>
    </w:pPr>
    <w:rPr>
      <w:rFonts w:eastAsiaTheme="minorHAnsi" w:cstheme="minorBidi"/>
      <w:sz w:val="22"/>
      <w:szCs w:val="22"/>
    </w:rPr>
  </w:style>
  <w:style w:type="paragraph" w:customStyle="1" w:styleId="Disclaimer">
    <w:name w:val="Disclaimer"/>
    <w:basedOn w:val="Normal"/>
    <w:pPr>
      <w:framePr w:w="8220" w:wrap="notBeside" w:hAnchor="margin" w:xAlign="center" w:y="10401"/>
      <w:pBdr>
        <w:top w:val="single" w:sz="6" w:space="4" w:color="auto"/>
        <w:left w:val="single" w:sz="6" w:space="7" w:color="auto"/>
        <w:bottom w:val="single" w:sz="6" w:space="4" w:color="auto"/>
        <w:right w:val="single" w:sz="6" w:space="7" w:color="auto"/>
      </w:pBdr>
      <w:shd w:val="clear" w:color="FFFFFF" w:fill="auto"/>
      <w:spacing w:before="120" w:after="120"/>
    </w:pPr>
    <w:rPr>
      <w:rFonts w:eastAsiaTheme="minorHAnsi"/>
      <w:szCs w:val="22"/>
    </w:rPr>
  </w:style>
  <w:style w:type="paragraph" w:customStyle="1" w:styleId="SecurityMarking">
    <w:name w:val="SecurityMarking"/>
    <w:basedOn w:val="Normal"/>
    <w:pPr>
      <w:spacing w:after="0" w:line="276" w:lineRule="auto"/>
      <w:ind w:left="5103"/>
      <w:jc w:val="left"/>
    </w:pPr>
    <w:rPr>
      <w:rFonts w:eastAsiaTheme="minorHAnsi"/>
      <w:sz w:val="28"/>
      <w:szCs w:val="22"/>
    </w:rPr>
  </w:style>
  <w:style w:type="paragraph" w:customStyle="1" w:styleId="DateMarking">
    <w:name w:val="DateMarking"/>
    <w:basedOn w:val="Normal"/>
    <w:pPr>
      <w:spacing w:after="0" w:line="276" w:lineRule="auto"/>
      <w:ind w:left="5103"/>
      <w:jc w:val="left"/>
    </w:pPr>
    <w:rPr>
      <w:rFonts w:eastAsiaTheme="minorHAnsi"/>
      <w:i/>
      <w:sz w:val="28"/>
      <w:szCs w:val="22"/>
    </w:rPr>
  </w:style>
  <w:style w:type="paragraph" w:customStyle="1" w:styleId="ReleasableTo">
    <w:name w:val="ReleasableTo"/>
    <w:basedOn w:val="Normal"/>
    <w:pPr>
      <w:spacing w:after="0" w:line="276" w:lineRule="auto"/>
      <w:ind w:left="5103"/>
      <w:jc w:val="left"/>
    </w:pPr>
    <w:rPr>
      <w:rFonts w:eastAsiaTheme="minorHAnsi"/>
      <w:i/>
      <w:sz w:val="28"/>
      <w:szCs w:val="22"/>
    </w:rPr>
  </w:style>
  <w:style w:type="paragraph" w:customStyle="1" w:styleId="HeaderSensitivityRight">
    <w:name w:val="Header Sensitivity Right"/>
    <w:basedOn w:val="Normal"/>
    <w:pPr>
      <w:spacing w:after="120"/>
      <w:jc w:val="right"/>
    </w:pPr>
    <w:rPr>
      <w:sz w:val="28"/>
    </w:rPr>
  </w:style>
  <w:style w:type="paragraph" w:customStyle="1" w:styleId="Default">
    <w:name w:val="Default"/>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995501">
      <w:bodyDiv w:val="1"/>
      <w:marLeft w:val="0"/>
      <w:marRight w:val="0"/>
      <w:marTop w:val="0"/>
      <w:marBottom w:val="0"/>
      <w:divBdr>
        <w:top w:val="none" w:sz="0" w:space="0" w:color="auto"/>
        <w:left w:val="none" w:sz="0" w:space="0" w:color="auto"/>
        <w:bottom w:val="none" w:sz="0" w:space="0" w:color="auto"/>
        <w:right w:val="none" w:sz="0" w:space="0" w:color="auto"/>
      </w:divBdr>
    </w:div>
    <w:div w:id="1069615184">
      <w:bodyDiv w:val="1"/>
      <w:marLeft w:val="0"/>
      <w:marRight w:val="0"/>
      <w:marTop w:val="0"/>
      <w:marBottom w:val="0"/>
      <w:divBdr>
        <w:top w:val="none" w:sz="0" w:space="0" w:color="auto"/>
        <w:left w:val="none" w:sz="0" w:space="0" w:color="auto"/>
        <w:bottom w:val="none" w:sz="0" w:space="0" w:color="auto"/>
        <w:right w:val="none" w:sz="0" w:space="0" w:color="auto"/>
      </w:divBdr>
    </w:div>
    <w:div w:id="1103377265">
      <w:bodyDiv w:val="1"/>
      <w:marLeft w:val="0"/>
      <w:marRight w:val="0"/>
      <w:marTop w:val="0"/>
      <w:marBottom w:val="0"/>
      <w:divBdr>
        <w:top w:val="none" w:sz="0" w:space="0" w:color="auto"/>
        <w:left w:val="none" w:sz="0" w:space="0" w:color="auto"/>
        <w:bottom w:val="none" w:sz="0" w:space="0" w:color="auto"/>
        <w:right w:val="none" w:sz="0" w:space="0" w:color="auto"/>
      </w:divBdr>
    </w:div>
    <w:div w:id="1186484496">
      <w:bodyDiv w:val="1"/>
      <w:marLeft w:val="0"/>
      <w:marRight w:val="0"/>
      <w:marTop w:val="0"/>
      <w:marBottom w:val="0"/>
      <w:divBdr>
        <w:top w:val="none" w:sz="0" w:space="0" w:color="auto"/>
        <w:left w:val="none" w:sz="0" w:space="0" w:color="auto"/>
        <w:bottom w:val="none" w:sz="0" w:space="0" w:color="auto"/>
        <w:right w:val="none" w:sz="0" w:space="0" w:color="auto"/>
      </w:divBdr>
    </w:div>
    <w:div w:id="21087691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hyperlink" Target="http://ec.europa.eu/environment/water/water-urbanwaste/index_en.html" TargetMode="External"/><Relationship Id="rId26" Type="http://schemas.openxmlformats.org/officeDocument/2006/relationships/image" Target="media/image8.emf"/><Relationship Id="rId3" Type="http://schemas.openxmlformats.org/officeDocument/2006/relationships/styles" Target="styles.xml"/><Relationship Id="rId21" Type="http://schemas.openxmlformats.org/officeDocument/2006/relationships/image" Target="media/image3.emf"/><Relationship Id="rId34" Type="http://schemas.openxmlformats.org/officeDocument/2006/relationships/footer" Target="footer5.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ec.europa.eu/environment/water/water-urbanwaste/index_en.html" TargetMode="External"/><Relationship Id="rId25" Type="http://schemas.openxmlformats.org/officeDocument/2006/relationships/image" Target="media/image7.emf"/><Relationship Id="rId33" Type="http://schemas.openxmlformats.org/officeDocument/2006/relationships/footer" Target="footer4.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ec.europa.eu/environment/water/water-urbanwaste/index_en.html" TargetMode="External"/><Relationship Id="rId20" Type="http://schemas.openxmlformats.org/officeDocument/2006/relationships/image" Target="media/image2.emf"/><Relationship Id="rId29" Type="http://schemas.openxmlformats.org/officeDocument/2006/relationships/image" Target="media/image11.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6.emf"/><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5.emf"/><Relationship Id="rId28" Type="http://schemas.openxmlformats.org/officeDocument/2006/relationships/image" Target="media/image10.emf"/><Relationship Id="rId36" Type="http://schemas.openxmlformats.org/officeDocument/2006/relationships/footer" Target="footer6.xml"/><Relationship Id="rId10" Type="http://schemas.openxmlformats.org/officeDocument/2006/relationships/header" Target="header1.xml"/><Relationship Id="rId19" Type="http://schemas.openxmlformats.org/officeDocument/2006/relationships/hyperlink" Target="https://ec.europa.eu/environment/water/fitness_check_of_the_eu_water_legislation/index_en.htm" TargetMode="External"/><Relationship Id="rId31" Type="http://schemas.openxmlformats.org/officeDocument/2006/relationships/header" Target="header4.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eader" Target="header3.xml"/><Relationship Id="rId22" Type="http://schemas.openxmlformats.org/officeDocument/2006/relationships/image" Target="media/image4.emf"/><Relationship Id="rId27" Type="http://schemas.openxmlformats.org/officeDocument/2006/relationships/image" Target="media/image9.emf"/><Relationship Id="rId30" Type="http://schemas.openxmlformats.org/officeDocument/2006/relationships/image" Target="media/image12.emf"/><Relationship Id="rId35" Type="http://schemas.openxmlformats.org/officeDocument/2006/relationships/header" Target="header6.xml"/></Relationships>
</file>

<file path=word/_rels/footnotes.xml.rels><?xml version="1.0" encoding="UTF-8" standalone="yes"?>
<Relationships xmlns="http://schemas.openxmlformats.org/package/2006/relationships"><Relationship Id="rId8" Type="http://schemas.openxmlformats.org/officeDocument/2006/relationships/hyperlink" Target="https://cohesiondata.ec.europa.eu/EU-Level/ESIF-Categorisation-Intervention-Fields-with-filte/8m22-gy44" TargetMode="External"/><Relationship Id="rId3" Type="http://schemas.openxmlformats.org/officeDocument/2006/relationships/hyperlink" Target="https://eur-lex.europa.eu/legal-content/LV/TXT/?qid=1581334912523&amp;uri=CELEX:01991L0271-20140101" TargetMode="External"/><Relationship Id="rId7" Type="http://schemas.openxmlformats.org/officeDocument/2006/relationships/hyperlink" Target="https://ec.europa.eu/eurostat/web/sdi/clean-water-and-sanitation" TargetMode="External"/><Relationship Id="rId12" Type="http://schemas.openxmlformats.org/officeDocument/2006/relationships/hyperlink" Target="https://ec.europa.eu/info/live-work-travel-eu/health/coronavirus-response/recovery-plan-europe" TargetMode="External"/><Relationship Id="rId2" Type="http://schemas.openxmlformats.org/officeDocument/2006/relationships/hyperlink" Target="https://ec.europa.eu/environment/water/water-urbanwaste/pdf/UWWTD%20Evaluation%20SWD%20448-701%20web.pdf" TargetMode="External"/><Relationship Id="rId1" Type="http://schemas.openxmlformats.org/officeDocument/2006/relationships/hyperlink" Target="https://eur-lex.europa.eu/legal-content/LV/TXT/?uri=COM:2019:640:FIN" TargetMode="External"/><Relationship Id="rId6" Type="http://schemas.openxmlformats.org/officeDocument/2006/relationships/hyperlink" Target="http://www.un.org/sustainabledevelopment/water-and-sanitation/" TargetMode="External"/><Relationship Id="rId11" Type="http://schemas.openxmlformats.org/officeDocument/2006/relationships/hyperlink" Target="https://ec.europa.eu/environment/water/water-urbanwaste/pdf/UWWTD%20Evaluation%20SWD%20448-701%20web.pdf" TargetMode="External"/><Relationship Id="rId5" Type="http://schemas.openxmlformats.org/officeDocument/2006/relationships/hyperlink" Target="https://ec.europa.eu/jrc/en/science-update/call-notice-feasibility-assessment-eu-wide-wastewater-monitoring-system-sars-cov-2-surveillance" TargetMode="External"/><Relationship Id="rId10" Type="http://schemas.openxmlformats.org/officeDocument/2006/relationships/hyperlink" Target="https://cohesiondata.ec.europa.eu/stories/s/4ij4-23vs" TargetMode="External"/><Relationship Id="rId4" Type="http://schemas.openxmlformats.org/officeDocument/2006/relationships/hyperlink" Target="https://eur-lex.europa.eu/legal-content/LV/TXT/?uri=CELEX:02000L0060-20141120" TargetMode="External"/><Relationship Id="rId9" Type="http://schemas.openxmlformats.org/officeDocument/2006/relationships/hyperlink" Target="https://ec.europa.eu/regional_policy/en/policy/what/key-achievement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 StyleName="" Version="0"/>
</file>

<file path=customXml/itemProps1.xml><?xml version="1.0" encoding="utf-8"?>
<ds:datastoreItem xmlns:ds="http://schemas.openxmlformats.org/officeDocument/2006/customXml" ds:itemID="{3C90FC69-1A5C-460B-B2AB-C621D699F7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17</Pages>
  <Words>3269</Words>
  <Characters>20863</Characters>
  <Application>Microsoft Office Word</Application>
  <DocSecurity>0</DocSecurity>
  <Lines>347</Lines>
  <Paragraphs>143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23989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
  <cp:lastModifiedBy>WES PDFC Administrator</cp:lastModifiedBy>
  <cp:revision>19</cp:revision>
  <dcterms:created xsi:type="dcterms:W3CDTF">2020-07-27T10:58:00Z</dcterms:created>
  <dcterms:modified xsi:type="dcterms:W3CDTF">2020-09-03T06:41:00Z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Level of sensitivity">
    <vt:lpwstr>Standard treatment</vt:lpwstr>
  </property>
  <property fmtid="{D5CDD505-2E9C-101B-9397-08002B2CF9AE}" pid="3" name="Last edited using">
    <vt:lpwstr>LW 7.0.1, Build 20190916</vt:lpwstr>
  </property>
  <property fmtid="{D5CDD505-2E9C-101B-9397-08002B2CF9AE}" pid="4" name="DocStatus">
    <vt:lpwstr>Green</vt:lpwstr>
  </property>
  <property fmtid="{D5CDD505-2E9C-101B-9397-08002B2CF9AE}" pid="5" name="Part">
    <vt:lpwstr>1</vt:lpwstr>
  </property>
  <property fmtid="{D5CDD505-2E9C-101B-9397-08002B2CF9AE}" pid="6" name="Total parts">
    <vt:lpwstr>1</vt:lpwstr>
  </property>
  <property fmtid="{D5CDD505-2E9C-101B-9397-08002B2CF9AE}" pid="7" name="CPTemplateID">
    <vt:lpwstr>CP-008</vt:lpwstr>
  </property>
</Properties>
</file>