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718D732-EFA8-43DA-BF6C-059B0AFB2FB4" style="width:450.8pt;height:338.7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noProof/>
        </w:rPr>
      </w:pPr>
      <w:r>
        <w:rPr>
          <w:noProof/>
        </w:rPr>
        <w:t>•</w:t>
      </w:r>
      <w:r>
        <w:rPr>
          <w:noProof/>
        </w:rPr>
        <w:tab/>
        <w:t>Motivele și obiectivele propunerii</w:t>
      </w:r>
    </w:p>
    <w:p>
      <w:pPr>
        <w:rPr>
          <w:noProof/>
        </w:rPr>
      </w:pPr>
      <w:r>
        <w:rPr>
          <w:noProof/>
        </w:rPr>
        <w:t>La 21 august 2020, comisarul Hogan și reprezentantul SUA pentru comerț Lighthizer și-au exprimat intenția de a adopta un pachet de măsuri de facilitare a comerțului pentru a elimina sau a reduce taxele vamale pentru un număr mic de linii tarifare care reprezintă 168 de milioane EUR (aproximativ 200 de milioane USD) în exporturile UE și SUA</w:t>
      </w:r>
      <w:r>
        <w:rPr>
          <w:rStyle w:val="FootnoteReference"/>
          <w:noProof/>
        </w:rPr>
        <w:footnoteReference w:id="1"/>
      </w:r>
      <w:r>
        <w:rPr>
          <w:noProof/>
        </w:rPr>
        <w:t>.</w:t>
      </w:r>
    </w:p>
    <w:p>
      <w:pPr>
        <w:rPr>
          <w:noProof/>
        </w:rPr>
      </w:pPr>
      <w:r>
        <w:rPr>
          <w:noProof/>
        </w:rPr>
        <w:t>Comisia consideră că această inițiativă reprezintă un prim pas către dezamorsarea tensiunilor comerciale bilaterale și sprijinirea soluționării litigiilor în curs.</w:t>
      </w:r>
    </w:p>
    <w:p>
      <w:pPr>
        <w:rPr>
          <w:noProof/>
        </w:rPr>
      </w:pPr>
      <w:r>
        <w:rPr>
          <w:noProof/>
        </w:rPr>
        <w:t>În esență, Comisia propune eliminarea unei serii de tarife vamale pentru languste și homari, în timp ce SUA vor oferi o scutire de taxe vamale pentru o valoare economică comparabilă pentru produse precum mâncăruri preparate, anumite obiecte de sticlărie din cristal, gleturi, pudre propulsoare, brichete și componente de brichete. SUA au solicitat reducerea tarifelor pentru languste și homari având în vedere scăderea exporturilor lor către Europa și restul lumii.</w:t>
      </w:r>
    </w:p>
    <w:p>
      <w:pPr>
        <w:spacing w:before="100" w:beforeAutospacing="1" w:after="100" w:afterAutospacing="1"/>
        <w:rPr>
          <w:noProof/>
        </w:rPr>
      </w:pPr>
      <w:r>
        <w:rPr>
          <w:noProof/>
        </w:rPr>
        <w:t xml:space="preserve">Reducerile tarifare trebuie aplicate în deplină conformitate cu regulile OMC și trebuie să respecte principiul națiunii celei mai favorizate (MFN). </w:t>
      </w:r>
    </w:p>
    <w:p>
      <w:pPr>
        <w:pStyle w:val="ManualHeading2"/>
        <w:rPr>
          <w:noProof/>
        </w:rPr>
      </w:pPr>
      <w:r>
        <w:rPr>
          <w:noProof/>
        </w:rPr>
        <w:t>•</w:t>
      </w:r>
      <w:r>
        <w:rPr>
          <w:noProof/>
        </w:rPr>
        <w:tab/>
        <w:t xml:space="preserve">Coerența cu dispozițiile existente în domeniul de politică vizat </w:t>
      </w:r>
    </w:p>
    <w:p>
      <w:pPr>
        <w:spacing w:after="240"/>
        <w:rPr>
          <w:noProof/>
        </w:rPr>
      </w:pPr>
      <w:r>
        <w:rPr>
          <w:noProof/>
        </w:rPr>
        <w:t>Obiectivul prezentei propuneri este de a crea oportunități suplimentare pentru operatorii din UE și SUA, prin eliminarea sau reducerea tarifelor. Propunerea ar urma să îmbunătățească totodată relațiile comerciale cu Statele Unite, să dezamorseze tensiunile comerciale și să sprijine soluționarea litigiilor în curs cu SUA. Ea este în deplină concordanță cu Tratatul privind Uniunea Europeană (TUE), care prevede că UE trebuie să încurajeze integrarea tuturor țărilor în economia mondială, inclusiv prin eliminarea treptată a barierelor din calea comerțului internațional</w:t>
      </w:r>
      <w:r>
        <w:rPr>
          <w:rStyle w:val="FootnoteReference"/>
          <w:noProof/>
        </w:rPr>
        <w:footnoteReference w:id="2"/>
      </w:r>
      <w:r>
        <w:rPr>
          <w:noProof/>
        </w:rPr>
        <w:t>.</w:t>
      </w:r>
    </w:p>
    <w:p>
      <w:pPr>
        <w:pStyle w:val="ManualHeading2"/>
        <w:rPr>
          <w:noProof/>
        </w:rPr>
      </w:pPr>
      <w:r>
        <w:rPr>
          <w:noProof/>
        </w:rPr>
        <w:t>•</w:t>
      </w:r>
      <w:r>
        <w:rPr>
          <w:noProof/>
        </w:rPr>
        <w:tab/>
        <w:t>Coerența cu alte politici ale Uniunii</w:t>
      </w:r>
    </w:p>
    <w:p>
      <w:pPr>
        <w:spacing w:before="0" w:after="240"/>
        <w:rPr>
          <w:noProof/>
        </w:rPr>
      </w:pPr>
      <w:r>
        <w:rPr>
          <w:noProof/>
        </w:rPr>
        <w:t>Propunerea este coerentă cu alte politici ale Uniunii.</w:t>
      </w:r>
    </w:p>
    <w:p>
      <w:pPr>
        <w:pStyle w:val="ManualHeading1"/>
        <w:rPr>
          <w:noProof/>
        </w:rPr>
      </w:pPr>
      <w:r>
        <w:rPr>
          <w:noProof/>
        </w:rPr>
        <w:t>2.</w:t>
      </w:r>
      <w:r>
        <w:rPr>
          <w:noProof/>
        </w:rPr>
        <w:tab/>
        <w:t>TEMEI JURIDIC, SUBSIDIARITATE ȘI PROPORȚIONALITATE</w:t>
      </w:r>
    </w:p>
    <w:p>
      <w:pPr>
        <w:pStyle w:val="ManualHeading2"/>
        <w:rPr>
          <w:noProof/>
        </w:rPr>
      </w:pPr>
      <w:r>
        <w:rPr>
          <w:noProof/>
        </w:rPr>
        <w:t>•</w:t>
      </w:r>
      <w:r>
        <w:rPr>
          <w:noProof/>
        </w:rPr>
        <w:tab/>
        <w:t>Temei juridic</w:t>
      </w:r>
    </w:p>
    <w:p>
      <w:pPr>
        <w:spacing w:before="0" w:after="240"/>
        <w:rPr>
          <w:noProof/>
        </w:rPr>
      </w:pPr>
      <w:r>
        <w:rPr>
          <w:noProof/>
        </w:rPr>
        <w:t>Articolul 207 din Tratatul privind funcționarea Uniunii Europene (TFUE).</w:t>
      </w:r>
    </w:p>
    <w:p>
      <w:pPr>
        <w:pStyle w:val="ManualHeading2"/>
        <w:rPr>
          <w:noProof/>
        </w:rPr>
      </w:pPr>
      <w:r>
        <w:rPr>
          <w:noProof/>
        </w:rPr>
        <w:t>•</w:t>
      </w:r>
      <w:r>
        <w:rPr>
          <w:noProof/>
        </w:rPr>
        <w:tab/>
        <w:t xml:space="preserve">Subsidiaritate (pentru competență neexclusivă) </w:t>
      </w:r>
    </w:p>
    <w:p>
      <w:pPr>
        <w:spacing w:after="240"/>
        <w:rPr>
          <w:noProof/>
        </w:rPr>
      </w:pPr>
      <w:r>
        <w:rPr>
          <w:noProof/>
        </w:rPr>
        <w:t>În conformitate cu articolul 5 alineatul (3) din TUE, principiul subsidiarității nu se aplică în domeniile care sunt de competența exclusivă a UE. Uniunea vamală și politica comercială comună figurează printre domeniile care țin de competența exclusivă a Uniunii prevăzute la articolul 3 din TFUE. Această politică include negocierea acordurilor comerciale și adoptarea de măsuri de politică comercială, inclusiv de reduceri tarifare, printre altele în temeiul articolului 207 din TFUE.</w:t>
      </w:r>
    </w:p>
    <w:p>
      <w:pPr>
        <w:pStyle w:val="ManualHeading2"/>
        <w:rPr>
          <w:noProof/>
        </w:rPr>
      </w:pPr>
      <w:r>
        <w:rPr>
          <w:noProof/>
        </w:rPr>
        <w:lastRenderedPageBreak/>
        <w:t>•</w:t>
      </w:r>
      <w:r>
        <w:rPr>
          <w:noProof/>
        </w:rPr>
        <w:tab/>
        <w:t>Proporționalitate</w:t>
      </w:r>
    </w:p>
    <w:p>
      <w:pPr>
        <w:spacing w:before="0" w:after="240"/>
        <w:rPr>
          <w:noProof/>
        </w:rPr>
      </w:pPr>
      <w:r>
        <w:rPr>
          <w:noProof/>
        </w:rPr>
        <w:t xml:space="preserve">Propunerea Comisiei este conformă cu principiul proporționalității și este necesară având în vedere obiectivul de dezamorsare a tensiunilor comerciale cu SUA. </w:t>
      </w:r>
    </w:p>
    <w:p>
      <w:pPr>
        <w:pStyle w:val="ManualHeading2"/>
        <w:rPr>
          <w:noProof/>
        </w:rPr>
      </w:pPr>
      <w:r>
        <w:rPr>
          <w:noProof/>
        </w:rPr>
        <w:t>•</w:t>
      </w:r>
      <w:r>
        <w:rPr>
          <w:noProof/>
        </w:rPr>
        <w:tab/>
        <w:t>Alegerea instrumentului</w:t>
      </w:r>
    </w:p>
    <w:p>
      <w:pPr>
        <w:spacing w:before="0" w:after="240"/>
        <w:rPr>
          <w:noProof/>
        </w:rPr>
      </w:pPr>
      <w:r>
        <w:rPr>
          <w:noProof/>
        </w:rPr>
        <w:t>Regulament al Parlamentului European și al Consiliului</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noProof/>
        </w:rPr>
      </w:pPr>
      <w:r>
        <w:rPr>
          <w:noProof/>
        </w:rPr>
        <w:t>•</w:t>
      </w:r>
      <w:r>
        <w:rPr>
          <w:noProof/>
        </w:rPr>
        <w:tab/>
        <w:t>Evaluări ex post/verificarea adecvării legislației existente</w:t>
      </w:r>
    </w:p>
    <w:p>
      <w:pPr>
        <w:spacing w:before="0" w:after="240"/>
        <w:rPr>
          <w:noProof/>
        </w:rPr>
      </w:pPr>
      <w:r>
        <w:rPr>
          <w:noProof/>
        </w:rPr>
        <w:t>Nu se aplică.</w:t>
      </w:r>
    </w:p>
    <w:p>
      <w:pPr>
        <w:pStyle w:val="ManualHeading2"/>
        <w:rPr>
          <w:noProof/>
        </w:rPr>
      </w:pPr>
      <w:r>
        <w:rPr>
          <w:noProof/>
        </w:rPr>
        <w:t>•</w:t>
      </w:r>
      <w:r>
        <w:rPr>
          <w:noProof/>
        </w:rPr>
        <w:tab/>
        <w:t>Consultări cu părțile interesate</w:t>
      </w:r>
    </w:p>
    <w:p>
      <w:pPr>
        <w:spacing w:before="0" w:after="240"/>
        <w:rPr>
          <w:noProof/>
        </w:rPr>
      </w:pPr>
      <w:r>
        <w:rPr>
          <w:noProof/>
        </w:rPr>
        <w:t>Nu se aplică.</w:t>
      </w:r>
    </w:p>
    <w:p>
      <w:pPr>
        <w:pStyle w:val="ManualHeading2"/>
        <w:rPr>
          <w:noProof/>
        </w:rPr>
      </w:pPr>
      <w:r>
        <w:rPr>
          <w:noProof/>
        </w:rPr>
        <w:t>•</w:t>
      </w:r>
      <w:r>
        <w:rPr>
          <w:noProof/>
        </w:rPr>
        <w:tab/>
        <w:t>Obținerea și utilizarea expertizei</w:t>
      </w:r>
    </w:p>
    <w:p>
      <w:pPr>
        <w:spacing w:before="0" w:after="240"/>
        <w:rPr>
          <w:noProof/>
        </w:rPr>
      </w:pPr>
      <w:r>
        <w:rPr>
          <w:noProof/>
        </w:rPr>
        <w:t>Nu se aplică.</w:t>
      </w:r>
    </w:p>
    <w:p>
      <w:pPr>
        <w:pStyle w:val="ManualHeading2"/>
        <w:rPr>
          <w:noProof/>
        </w:rPr>
      </w:pPr>
      <w:r>
        <w:rPr>
          <w:noProof/>
        </w:rPr>
        <w:t>•</w:t>
      </w:r>
      <w:r>
        <w:rPr>
          <w:noProof/>
        </w:rPr>
        <w:tab/>
        <w:t>Evaluarea impactului</w:t>
      </w:r>
    </w:p>
    <w:p>
      <w:pPr>
        <w:spacing w:before="0" w:after="240"/>
        <w:rPr>
          <w:noProof/>
        </w:rPr>
      </w:pPr>
      <w:r>
        <w:rPr>
          <w:noProof/>
        </w:rPr>
        <w:t>Nu se aplică. Langustele și homarii nu sunt produse sensibile pentru UE, care este un importator net al acestor produse. Anul trecut, UE-27 a importat produse pe bază de langustă și homar în valoare de 42 de milioane de euro din SUA (15 % din totalul importurilor din afara UE), în timp ce dimensiunea pieței este estimată la aproximativ 290 de milioane de euro. Producătorii din UE furnizează mai puțin de 5 % din consumul Uniunii. Eliminarea taxelor la import va sprijini industria de prelucrare a alimentelor și sectorul hotelier. În schimb, SUA s-au angajat să faciliteze accesul pe piață pentru exporturi ale UE27 a căror valoare a atins 143 de milioane de euro (160 de milioane USD) în medie în ultimii trei ani (126 de milioane de euro în 2019), prin reducerea cu 50 % a taxelor.</w:t>
      </w:r>
    </w:p>
    <w:p>
      <w:pPr>
        <w:pStyle w:val="ManualHeading2"/>
        <w:rPr>
          <w:noProof/>
        </w:rPr>
      </w:pPr>
      <w:r>
        <w:rPr>
          <w:noProof/>
        </w:rPr>
        <w:t>•</w:t>
      </w:r>
      <w:r>
        <w:rPr>
          <w:noProof/>
        </w:rPr>
        <w:tab/>
        <w:t>Adecvarea reglementărilor și simplificare</w:t>
      </w:r>
    </w:p>
    <w:p>
      <w:pPr>
        <w:spacing w:before="0" w:after="240"/>
        <w:rPr>
          <w:noProof/>
        </w:rPr>
      </w:pPr>
      <w:r>
        <w:rPr>
          <w:noProof/>
        </w:rPr>
        <w:t>Nu se aplică.</w:t>
      </w:r>
    </w:p>
    <w:p>
      <w:pPr>
        <w:pStyle w:val="ManualHeading2"/>
        <w:rPr>
          <w:noProof/>
        </w:rPr>
      </w:pPr>
      <w:r>
        <w:rPr>
          <w:noProof/>
        </w:rPr>
        <w:t>•</w:t>
      </w:r>
      <w:r>
        <w:rPr>
          <w:noProof/>
        </w:rPr>
        <w:tab/>
        <w:t>Drepturi fundamentale</w:t>
      </w:r>
    </w:p>
    <w:p>
      <w:pPr>
        <w:spacing w:before="0" w:after="240"/>
        <w:rPr>
          <w:noProof/>
        </w:rPr>
      </w:pPr>
      <w:r>
        <w:rPr>
          <w:noProof/>
        </w:rPr>
        <w:t xml:space="preserve">Propunerea este coerentă cu tratatele UE și cu Carta drepturilor fundamentale a Uniunii Europene. </w:t>
      </w:r>
    </w:p>
    <w:p>
      <w:pPr>
        <w:pStyle w:val="ManualHeading1"/>
        <w:rPr>
          <w:noProof/>
        </w:rPr>
      </w:pPr>
      <w:r>
        <w:rPr>
          <w:noProof/>
        </w:rPr>
        <w:t>4.</w:t>
      </w:r>
      <w:r>
        <w:rPr>
          <w:noProof/>
        </w:rPr>
        <w:tab/>
        <w:t>IMPLICAȚII BUGETARE</w:t>
      </w:r>
    </w:p>
    <w:p>
      <w:pPr>
        <w:rPr>
          <w:noProof/>
        </w:rPr>
      </w:pPr>
      <w:r>
        <w:rPr>
          <w:noProof/>
        </w:rPr>
        <w:t>Acordul privind liberalizarea tarifelor industriale va avea un impact negativ limitat asupra bugetului UE sub forma unor taxe vamale nepercepute ca urmare a liberalizării tarifelor pentru produsele incluse în liniile tarifare din anexa la prezentul regulament, de ordinul a aproximativ 5,3 milioane de euro reprezentând taxe percepute din SUA (medie 2017-2019)</w:t>
      </w:r>
      <w:r>
        <w:rPr>
          <w:rStyle w:val="FootnoteReference"/>
          <w:noProof/>
        </w:rPr>
        <w:footnoteReference w:id="3"/>
      </w:r>
      <w:r>
        <w:rPr>
          <w:noProof/>
        </w:rPr>
        <w:t>.</w:t>
      </w:r>
    </w:p>
    <w:p>
      <w:pPr>
        <w:spacing w:before="0" w:after="0"/>
        <w:jc w:val="left"/>
        <w:rPr>
          <w:noProof/>
        </w:rPr>
        <w:sectPr>
          <w:footerReference w:type="default" r:id="rId10"/>
          <w:footerReference w:type="first" r:id="rId11"/>
          <w:pgSz w:w="11907" w:h="16839"/>
          <w:pgMar w:top="1134" w:right="1417" w:bottom="1134" w:left="1417" w:header="709" w:footer="709" w:gutter="0"/>
          <w:cols w:space="720"/>
          <w:docGrid w:linePitch="326"/>
        </w:sectPr>
      </w:pPr>
    </w:p>
    <w:p>
      <w:pPr>
        <w:pStyle w:val="Rfrenceinterinstitutionnelle"/>
        <w:rPr>
          <w:noProof/>
        </w:rPr>
      </w:pPr>
      <w:r>
        <w:rPr>
          <w:noProof/>
        </w:rPr>
        <w:lastRenderedPageBreak/>
        <w:t>2020/0253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eliminarea taxelor vamale pentru anumite produse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207 alineatul (2),</w:t>
      </w:r>
    </w:p>
    <w:p>
      <w:pPr>
        <w:rPr>
          <w:noProof/>
        </w:rPr>
      </w:pPr>
      <w:r>
        <w:rPr>
          <w:noProof/>
        </w:rPr>
        <w:t>având în vedere propunerea Comisiei Europene,</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 xml:space="preserve">Uniunea Europeană și Statele Unite ale Americii (denumite în continuare „Statele Unite”) au cele mai cuprinzătoare și mai profunde relații comerciale și de investiții bilaterale din lume, iar economiile lor sunt foarte integrate. Comerțul bilateral cu bunuri și servicii între acestea valorează peste 1 000 de miliarde de euro pe an, echivalentul a 3 miliarde de euro pe zi. Această relație strânsă în materie de comerț și investiții este benefică pentru consumatori, lucrători, întreprinderi și investitori. </w:t>
      </w:r>
    </w:p>
    <w:p>
      <w:pPr>
        <w:pStyle w:val="ManualConsidrant"/>
        <w:rPr>
          <w:noProof/>
        </w:rPr>
      </w:pPr>
      <w:r>
        <w:t>(2)</w:t>
      </w:r>
      <w:r>
        <w:tab/>
      </w:r>
      <w:r>
        <w:rPr>
          <w:noProof/>
        </w:rPr>
        <w:t xml:space="preserve">Uniunea Europeană s-a angajat să își îmbunătățească relațiile comerciale și de investiții cu Statele Unite. Aceasta include utilizarea de noi modalități de îmbunătățire a relațiilor comerciale bilaterale, de eliminare a barierelor comerciale și de soluționare a litigiilor comerciale în curs. Pentru a se evita orice nouă perturbare a acestor relații comerciale, este necesară eliminarea erga omnes a taxelor vamale aplicate de Uniunea Europeană asupra importurilor pentru un număr limitat de produse pe o perioadă de cinci ani. </w:t>
      </w:r>
    </w:p>
    <w:p>
      <w:pPr>
        <w:pStyle w:val="ManualConsidrant"/>
        <w:rPr>
          <w:noProof/>
        </w:rPr>
      </w:pPr>
      <w:r>
        <w:t>(3)</w:t>
      </w:r>
      <w:r>
        <w:tab/>
      </w:r>
      <w:r>
        <w:rPr>
          <w:noProof/>
        </w:rPr>
        <w:t xml:space="preserve">Eliminarea taxelor vamale trebuie să se aplice de la aceeași dată ca implementarea efectivă a reducerii taxelor vamale asupra anumitor produse anunțate de Statele Unite, și anume începând cu data de 1 august 2020. </w:t>
      </w:r>
    </w:p>
    <w:p>
      <w:pPr>
        <w:pStyle w:val="ManualConsidrant"/>
        <w:rPr>
          <w:noProof/>
        </w:rPr>
      </w:pPr>
      <w:r>
        <w:t>(4)</w:t>
      </w:r>
      <w:r>
        <w:tab/>
      </w:r>
      <w:r>
        <w:rPr>
          <w:noProof/>
        </w:rPr>
        <w:t>Eliminarea taxelor vamale este condiționată de implementarea efectivă a reducerii taxelor vamale asupra anumitor produse anunțate de Statele Unite și de neintroducerea de către Statele Unite de noi măsuri care ar submina obiectivele urmărite de declarația comună din 21 august 2020</w:t>
      </w:r>
      <w:r>
        <w:rPr>
          <w:rStyle w:val="FootnoteReference"/>
          <w:noProof/>
        </w:rPr>
        <w:footnoteReference w:id="4"/>
      </w:r>
      <w:r>
        <w:rPr>
          <w:noProof/>
        </w:rPr>
        <w:t xml:space="preserve">. </w:t>
      </w:r>
    </w:p>
    <w:p>
      <w:pPr>
        <w:pStyle w:val="ManualConsidrant"/>
        <w:rPr>
          <w:noProof/>
        </w:rPr>
      </w:pPr>
      <w:r>
        <w:t>(5)</w:t>
      </w:r>
      <w:r>
        <w:tab/>
      </w:r>
      <w:r>
        <w:rPr>
          <w:noProof/>
        </w:rPr>
        <w:t>Este necesar să se confere Comisiei competențe de executare pentru a suspenda aplicarea prezentului regulament în cazul în care condițiile de mai sus nu sunt respectate.</w:t>
      </w:r>
    </w:p>
    <w:p>
      <w:pPr>
        <w:pStyle w:val="ManualConsidrant"/>
        <w:rPr>
          <w:noProof/>
        </w:rPr>
      </w:pPr>
      <w:r>
        <w:t>(6)</w:t>
      </w:r>
      <w:r>
        <w:tab/>
      </w:r>
      <w:r>
        <w:rPr>
          <w:noProof/>
        </w:rPr>
        <w:t xml:space="preserve">Având în vedere necesitatea urgentă de a se evita orice nouă perturbare a comerțului, este important să se aplice o derogare de la termenul de opt săptămâni menționat la articolul 4 din Protocolul nr. 1 privind rolul parlamentelor naționale în Uniunea Europeană, anexat la Tratatul privind Uniunea Europeană și la Tratatul privind </w:t>
      </w:r>
      <w:r>
        <w:rPr>
          <w:noProof/>
        </w:rPr>
        <w:lastRenderedPageBreak/>
        <w:t>funcționarea Uniunii Europene. Din același motiv, prezentul regulament trebuie să intre în vigoare imediat,</w:t>
      </w:r>
    </w:p>
    <w:p>
      <w:pPr>
        <w:pStyle w:val="Formuledadoption"/>
        <w:rPr>
          <w:noProof/>
        </w:rPr>
      </w:pPr>
      <w:r>
        <w:rPr>
          <w:noProof/>
        </w:rPr>
        <w:t>ADOPTĂ PREZENTUL REGULAMENT:</w:t>
      </w:r>
    </w:p>
    <w:p>
      <w:pPr>
        <w:pStyle w:val="Titrearticle"/>
        <w:rPr>
          <w:noProof/>
        </w:rPr>
      </w:pPr>
      <w:r>
        <w:rPr>
          <w:noProof/>
        </w:rPr>
        <w:t>Articolul 1</w:t>
      </w:r>
    </w:p>
    <w:p>
      <w:pPr>
        <w:jc w:val="center"/>
        <w:rPr>
          <w:noProof/>
        </w:rPr>
      </w:pPr>
      <w:r>
        <w:rPr>
          <w:noProof/>
        </w:rPr>
        <w:t xml:space="preserve">Eliminarea taxelor vamale </w:t>
      </w:r>
    </w:p>
    <w:p>
      <w:pPr>
        <w:rPr>
          <w:noProof/>
        </w:rPr>
      </w:pPr>
      <w:r>
        <w:rPr>
          <w:noProof/>
        </w:rPr>
        <w:t>Taxele vamale de import aplicabile din Tariful Vamal Comun sunt de 0 % (scutire de taxe vamale) pentru liniile tarifare menționate în secțiunea I din anexă.</w:t>
      </w:r>
    </w:p>
    <w:p>
      <w:pPr>
        <w:pStyle w:val="Titrearticle"/>
        <w:rPr>
          <w:noProof/>
        </w:rPr>
      </w:pPr>
      <w:r>
        <w:rPr>
          <w:noProof/>
        </w:rPr>
        <w:t>Articolul 2</w:t>
      </w:r>
    </w:p>
    <w:p>
      <w:pPr>
        <w:jc w:val="center"/>
        <w:rPr>
          <w:noProof/>
        </w:rPr>
      </w:pPr>
      <w:r>
        <w:rPr>
          <w:noProof/>
        </w:rPr>
        <w:t>Condiții pentru eliminarea taxelor vamale</w:t>
      </w:r>
    </w:p>
    <w:p>
      <w:pPr>
        <w:rPr>
          <w:noProof/>
        </w:rPr>
      </w:pPr>
      <w:r>
        <w:rPr>
          <w:noProof/>
        </w:rPr>
        <w:t>Eliminarea taxelor vamale pentru produsele clasificate la liniile tarifare enumerate în secțiunea I din anexa la prezentul regulament este supusă următoarelor condiții:</w:t>
      </w:r>
    </w:p>
    <w:p>
      <w:pPr>
        <w:pStyle w:val="Point0"/>
        <w:rPr>
          <w:noProof/>
        </w:rPr>
      </w:pPr>
      <w:r>
        <w:t>(a)</w:t>
      </w:r>
      <w:r>
        <w:tab/>
      </w:r>
      <w:r>
        <w:rPr>
          <w:noProof/>
        </w:rPr>
        <w:t>reducerea erga omnes de către Statele Unite a taxelor vamale pentru liniile tarifare enumerate în secțiunea II din anexa la prezentul regulament și</w:t>
      </w:r>
    </w:p>
    <w:p>
      <w:pPr>
        <w:pStyle w:val="Point0"/>
        <w:rPr>
          <w:noProof/>
        </w:rPr>
      </w:pPr>
      <w:r>
        <w:t>(b)</w:t>
      </w:r>
      <w:r>
        <w:tab/>
      </w:r>
      <w:r>
        <w:rPr>
          <w:noProof/>
        </w:rPr>
        <w:t>neintroducerea de către Statele Unite de noi măsuri împotriva Uniunii Europene care să submineze obiectivele urmărite de declarația comună din 21 august 2020.</w:t>
      </w:r>
    </w:p>
    <w:p>
      <w:pPr>
        <w:pStyle w:val="Titrearticle"/>
        <w:rPr>
          <w:noProof/>
        </w:rPr>
      </w:pPr>
      <w:r>
        <w:rPr>
          <w:noProof/>
        </w:rPr>
        <w:t>Articolul 3</w:t>
      </w:r>
    </w:p>
    <w:p>
      <w:pPr>
        <w:jc w:val="center"/>
        <w:rPr>
          <w:noProof/>
        </w:rPr>
      </w:pPr>
      <w:r>
        <w:rPr>
          <w:noProof/>
        </w:rPr>
        <w:t>Suspendarea temporară</w:t>
      </w:r>
    </w:p>
    <w:p>
      <w:pPr>
        <w:rPr>
          <w:noProof/>
        </w:rPr>
      </w:pPr>
      <w:r>
        <w:rPr>
          <w:noProof/>
        </w:rPr>
        <w:t>În cazul în care Statele Unite nu respectă condițiile prevăzute la articolul 2 sau dacă există suficiente dovezi ale unei nerespectări viitoare, Comisia poate adopta un act de punere în aplicare pentru a suspenda eliminarea taxelor vamale prevăzută în prezentul regulament până la îndeplinirea condițiilor respective. Actul de punere în aplicare se adoptă în conformitate cu procedura de examinare menționată la articolul 4 alineatul (2).</w:t>
      </w:r>
    </w:p>
    <w:p>
      <w:pPr>
        <w:pStyle w:val="Titrearticle"/>
        <w:rPr>
          <w:noProof/>
        </w:rPr>
      </w:pPr>
      <w:r>
        <w:rPr>
          <w:noProof/>
        </w:rPr>
        <w:t>Articolul 4</w:t>
      </w:r>
    </w:p>
    <w:p>
      <w:pPr>
        <w:jc w:val="center"/>
        <w:rPr>
          <w:noProof/>
        </w:rPr>
      </w:pPr>
      <w:r>
        <w:rPr>
          <w:noProof/>
        </w:rPr>
        <w:t>Procedura comitetului</w:t>
      </w:r>
    </w:p>
    <w:p>
      <w:pPr>
        <w:pStyle w:val="ManualNumPar1"/>
        <w:rPr>
          <w:noProof/>
        </w:rPr>
      </w:pPr>
      <w:r>
        <w:t>1.</w:t>
      </w:r>
      <w:r>
        <w:tab/>
      </w:r>
      <w:r>
        <w:rPr>
          <w:noProof/>
        </w:rPr>
        <w:t>În aplicarea articolului 3 din prezentul regulament, Comisia este asistată de Comitetul Codului vamal instituit prin articolul 285 din Regulamentul (UE) nr. 952/2013.</w:t>
      </w:r>
    </w:p>
    <w:p>
      <w:pPr>
        <w:pStyle w:val="ManualNumPar1"/>
        <w:rPr>
          <w:noProof/>
        </w:rPr>
      </w:pPr>
      <w:r>
        <w:t>2.</w:t>
      </w:r>
      <w:r>
        <w:tab/>
      </w:r>
      <w:r>
        <w:rPr>
          <w:noProof/>
        </w:rPr>
        <w:t>Atunci când se face trimitere la prezentul alineat, se aplică articolul 5 din Regulamentul (UE) nr. 182/2011.</w:t>
      </w:r>
    </w:p>
    <w:p>
      <w:pPr>
        <w:pStyle w:val="Titrearticle"/>
        <w:rPr>
          <w:noProof/>
        </w:rPr>
      </w:pPr>
      <w:r>
        <w:rPr>
          <w:noProof/>
        </w:rPr>
        <w:t>Articolul 5</w:t>
      </w:r>
    </w:p>
    <w:p>
      <w:pPr>
        <w:jc w:val="center"/>
        <w:rPr>
          <w:noProof/>
        </w:rPr>
      </w:pPr>
      <w:r>
        <w:rPr>
          <w:noProof/>
        </w:rPr>
        <w:t xml:space="preserve">Intrarea în vigoare și aplicarea </w:t>
      </w:r>
    </w:p>
    <w:p>
      <w:pPr>
        <w:pStyle w:val="ManualNumPar1"/>
        <w:rPr>
          <w:noProof/>
        </w:rPr>
      </w:pPr>
      <w:r>
        <w:t>1.</w:t>
      </w:r>
      <w:r>
        <w:tab/>
      </w:r>
      <w:r>
        <w:rPr>
          <w:noProof/>
        </w:rPr>
        <w:t xml:space="preserve">Prezentul regulament intră în vigoare în ziua următoare datei publicării în Jurnalul Oficial al Uniunii Europene. </w:t>
      </w:r>
    </w:p>
    <w:p>
      <w:pPr>
        <w:pStyle w:val="ManualNumPar1"/>
        <w:rPr>
          <w:noProof/>
        </w:rPr>
      </w:pPr>
      <w:r>
        <w:t>2.</w:t>
      </w:r>
      <w:r>
        <w:tab/>
      </w:r>
      <w:r>
        <w:rPr>
          <w:noProof/>
        </w:rPr>
        <w:t xml:space="preserve">Prezentul regulament se aplică de la 1 august 2020 până la 31 iulie 2025. </w:t>
      </w:r>
    </w:p>
    <w:p>
      <w:pPr>
        <w:pStyle w:val="ManualNumPar1"/>
        <w:rPr>
          <w:noProof/>
        </w:rPr>
      </w:pPr>
      <w:r>
        <w:t>3.</w:t>
      </w:r>
      <w:r>
        <w:tab/>
      </w:r>
      <w:r>
        <w:rPr>
          <w:noProof/>
        </w:rPr>
        <w:t xml:space="preserve">Comisia publică în Jurnalul Oficial al Uniunii Europene un aviz de suspendare în cazul în care aplicarea prezentului regulament este suspendată în temeiul articolului 3 sau în cazul în care regulamentul încetează să se aplice înainte de 31 iulie 2025. </w:t>
      </w:r>
    </w:p>
    <w:p>
      <w:pPr>
        <w:pStyle w:val="ManualNumPar1"/>
        <w:rPr>
          <w:noProof/>
        </w:rPr>
      </w:pPr>
      <w:r>
        <w:lastRenderedPageBreak/>
        <w:t>4.</w:t>
      </w:r>
      <w:r>
        <w:tab/>
      </w:r>
      <w:r>
        <w:rPr>
          <w:noProof/>
        </w:rPr>
        <w:t>La cererea operatorilor economici, autoritățile vamale ale statelor membre rambursează toate taxele vamale plătite care le depășesc pe cele aplicabile în conformitate cu prezentul regulament pentru importurile efectuate între 1 august 2020 și data intrării în vigoare a prezentului regulament.</w:t>
      </w:r>
    </w:p>
    <w:p>
      <w:pPr>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FIȘĂ FINANCIARĂ LEGISLATIVĂ „VENITURI” – PENTRU PROPUNERI CU IMPACT BUGETAR ASUPRA PĂRȚII DE VENITURI A BUGETULUI</w:t>
      </w:r>
    </w:p>
    <w:p>
      <w:pPr>
        <w:pStyle w:val="ManualHeading1"/>
        <w:rPr>
          <w:noProof/>
        </w:rPr>
      </w:pPr>
      <w:r>
        <w:t>1.</w:t>
      </w:r>
      <w:r>
        <w:tab/>
      </w:r>
      <w:r>
        <w:rPr>
          <w:noProof/>
        </w:rPr>
        <w:t>TITLUL PROPUNERII:</w:t>
      </w:r>
    </w:p>
    <w:p>
      <w:pPr>
        <w:pStyle w:val="Text1"/>
        <w:rPr>
          <w:noProof/>
        </w:rPr>
      </w:pPr>
      <w:r>
        <w:rPr>
          <w:noProof/>
        </w:rPr>
        <w:t>Regulament al Parlamentului European și al Consiliului privind eliminarea taxelor vamale pentru anumite produse</w:t>
      </w:r>
    </w:p>
    <w:p>
      <w:pPr>
        <w:pStyle w:val="ManualHeading1"/>
        <w:rPr>
          <w:noProof/>
        </w:rPr>
      </w:pPr>
      <w:r>
        <w:t>2.</w:t>
      </w:r>
      <w:r>
        <w:tab/>
      </w:r>
      <w:r>
        <w:rPr>
          <w:noProof/>
        </w:rPr>
        <w:t>LINII BUGETARE:</w:t>
      </w:r>
    </w:p>
    <w:p>
      <w:pPr>
        <w:pStyle w:val="Text1"/>
        <w:rPr>
          <w:noProof/>
        </w:rPr>
      </w:pPr>
      <w:r>
        <w:rPr>
          <w:noProof/>
        </w:rPr>
        <w:t xml:space="preserve">Linia de venituri (capitol/articol/post): </w:t>
      </w:r>
    </w:p>
    <w:p>
      <w:pPr>
        <w:pStyle w:val="Text1"/>
        <w:rPr>
          <w:noProof/>
        </w:rPr>
      </w:pPr>
      <w:r>
        <w:rPr>
          <w:noProof/>
        </w:rPr>
        <w:t xml:space="preserve">Linia de venituri: Capitolul 1 2, articolul 1 2 0 </w:t>
      </w:r>
    </w:p>
    <w:p>
      <w:pPr>
        <w:pStyle w:val="Text1"/>
        <w:rPr>
          <w:noProof/>
        </w:rPr>
      </w:pPr>
      <w:r>
        <w:rPr>
          <w:noProof/>
        </w:rPr>
        <w:t xml:space="preserve">Suma înscrisă în buget pentru exercițiul financiar în cauză: 22 156 900 000 EUR </w:t>
      </w:r>
    </w:p>
    <w:p>
      <w:pPr>
        <w:pStyle w:val="Text1"/>
        <w:ind w:left="851"/>
        <w:rPr>
          <w:noProof/>
        </w:rPr>
      </w:pPr>
      <w:r>
        <w:rPr>
          <w:noProof/>
        </w:rPr>
        <w:t xml:space="preserve">(numai în cazul veniturilor alocate): </w:t>
      </w:r>
    </w:p>
    <w:p>
      <w:pPr>
        <w:pStyle w:val="Text1"/>
        <w:ind w:left="851"/>
        <w:rPr>
          <w:noProof/>
        </w:rPr>
      </w:pPr>
      <w:r>
        <w:rPr>
          <w:noProof/>
        </w:rPr>
        <w:t>Veniturile vor fi alocate următoarei linii de cheltuieli (capitol/articol/post): nu se aplică</w:t>
      </w:r>
    </w:p>
    <w:p>
      <w:pPr>
        <w:pStyle w:val="ManualHeading1"/>
        <w:rPr>
          <w:noProof/>
        </w:rPr>
      </w:pPr>
      <w:r>
        <w:t>3.</w:t>
      </w:r>
      <w:r>
        <w:tab/>
      </w:r>
      <w:r>
        <w:rPr>
          <w:noProof/>
        </w:rPr>
        <w:t>IMPLICAȚII FINANCIARE</w:t>
      </w:r>
    </w:p>
    <w:p>
      <w:pPr>
        <w:pStyle w:val="Text1"/>
        <w:rPr>
          <w:noProof/>
        </w:rPr>
      </w:pPr>
      <w:r>
        <w:rPr>
          <w:noProof/>
        </w:rPr>
        <w:sym w:font="Wingdings" w:char="F0A8"/>
      </w:r>
      <w:r>
        <w:rPr>
          <w:noProof/>
        </w:rPr>
        <w:tab/>
        <w:t>Propunerea nu are implicații financiare</w:t>
      </w:r>
    </w:p>
    <w:p>
      <w:pPr>
        <w:pStyle w:val="Text1"/>
        <w:rPr>
          <w:noProof/>
        </w:rPr>
      </w:pPr>
      <w:r>
        <w:rPr>
          <w:noProof/>
        </w:rPr>
        <w:t>X</w:t>
      </w:r>
      <w:r>
        <w:rPr>
          <w:noProof/>
        </w:rPr>
        <w:tab/>
        <w:t>Propunerea nu are implicații financiare asupra cheltuielilor, dar are implicații financiare asupra veniturilor.</w:t>
      </w:r>
    </w:p>
    <w:p>
      <w:pPr>
        <w:pStyle w:val="Text1"/>
        <w:rPr>
          <w:noProof/>
        </w:rPr>
      </w:pPr>
      <w:r>
        <w:rPr>
          <w:noProof/>
        </w:rPr>
        <w:sym w:font="Wingdings" w:char="F0A8"/>
      </w:r>
      <w:r>
        <w:rPr>
          <w:noProof/>
        </w:rPr>
        <w:tab/>
        <w:t>Propunerea are un impact financiar asupra veniturilor alocate</w:t>
      </w:r>
    </w:p>
    <w:p>
      <w:pPr>
        <w:pStyle w:val="Text1"/>
        <w:rPr>
          <w:noProof/>
        </w:rPr>
      </w:pPr>
      <w:r>
        <w:rPr>
          <w:noProof/>
        </w:rPr>
        <w:t xml:space="preserve">Efectul este următorul: </w:t>
      </w:r>
    </w:p>
    <w:p>
      <w:pPr>
        <w:jc w:val="right"/>
        <w:rPr>
          <w:noProof/>
        </w:rPr>
      </w:pPr>
      <w:r>
        <w:rPr>
          <w:noProof/>
        </w:rPr>
        <w:t>(milioane EUR cu o zecimală)</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74"/>
        <w:gridCol w:w="1984"/>
        <w:gridCol w:w="2694"/>
        <w:gridCol w:w="1590"/>
      </w:tblGrid>
      <w:tr>
        <w:trPr>
          <w:cantSplit/>
        </w:trPr>
        <w:tc>
          <w:tcPr>
            <w:tcW w:w="2074" w:type="dxa"/>
          </w:tcPr>
          <w:p>
            <w:pPr>
              <w:rPr>
                <w:noProof/>
              </w:rPr>
            </w:pPr>
            <w:r>
              <w:rPr>
                <w:noProof/>
              </w:rPr>
              <w:t>Linia de venituri</w:t>
            </w:r>
          </w:p>
        </w:tc>
        <w:tc>
          <w:tcPr>
            <w:tcW w:w="1984" w:type="dxa"/>
          </w:tcPr>
          <w:p>
            <w:pPr>
              <w:jc w:val="center"/>
              <w:rPr>
                <w:noProof/>
              </w:rPr>
            </w:pPr>
            <w:r>
              <w:rPr>
                <w:noProof/>
              </w:rPr>
              <w:t>Impactul asupra veniturilor</w:t>
            </w:r>
            <w:r>
              <w:rPr>
                <w:rStyle w:val="FootnoteReference"/>
                <w:noProof/>
              </w:rPr>
              <w:footnoteReference w:id="5"/>
            </w:r>
            <w:r>
              <w:rPr>
                <w:noProof/>
              </w:rPr>
              <w:t xml:space="preserve"> </w:t>
            </w:r>
            <w:r>
              <w:rPr>
                <w:rStyle w:val="FootnoteReference"/>
                <w:noProof/>
              </w:rPr>
              <w:footnoteReference w:id="6"/>
            </w:r>
          </w:p>
        </w:tc>
        <w:tc>
          <w:tcPr>
            <w:tcW w:w="2694" w:type="dxa"/>
          </w:tcPr>
          <w:p>
            <w:pPr>
              <w:jc w:val="center"/>
              <w:rPr>
                <w:noProof/>
              </w:rPr>
            </w:pPr>
            <w:r>
              <w:rPr>
                <w:noProof/>
              </w:rPr>
              <w:t>Perioadă de XX luni începând din zz/ll/aaaa (dacă este cazul)</w:t>
            </w:r>
          </w:p>
        </w:tc>
        <w:tc>
          <w:tcPr>
            <w:tcW w:w="1590" w:type="dxa"/>
          </w:tcPr>
          <w:p>
            <w:pPr>
              <w:jc w:val="center"/>
              <w:rPr>
                <w:noProof/>
              </w:rPr>
            </w:pPr>
            <w:r>
              <w:rPr>
                <w:noProof/>
              </w:rPr>
              <w:t>Anul N</w:t>
            </w:r>
          </w:p>
          <w:p>
            <w:pPr>
              <w:jc w:val="center"/>
              <w:rPr>
                <w:noProof/>
              </w:rPr>
            </w:pPr>
          </w:p>
        </w:tc>
      </w:tr>
      <w:tr>
        <w:trPr>
          <w:cantSplit/>
        </w:trPr>
        <w:tc>
          <w:tcPr>
            <w:tcW w:w="2074" w:type="dxa"/>
            <w:shd w:val="clear" w:color="auto" w:fill="auto"/>
          </w:tcPr>
          <w:p>
            <w:pPr>
              <w:jc w:val="left"/>
              <w:rPr>
                <w:noProof/>
              </w:rPr>
            </w:pPr>
            <w:r>
              <w:rPr>
                <w:noProof/>
              </w:rPr>
              <w:t>Capitolul 12, articolul 120 – Taxe vamale și alte taxe menționate la articolul 2 alineatul (1) litera (a) din Decizia 2014/335/UE, Euratom</w:t>
            </w:r>
          </w:p>
        </w:tc>
        <w:tc>
          <w:tcPr>
            <w:tcW w:w="1984" w:type="dxa"/>
          </w:tcPr>
          <w:p>
            <w:pPr>
              <w:spacing w:before="0" w:after="0"/>
              <w:jc w:val="center"/>
              <w:rPr>
                <w:noProof/>
              </w:rPr>
            </w:pPr>
            <w:r>
              <w:rPr>
                <w:noProof/>
              </w:rPr>
              <w:t xml:space="preserve">-2,2 </w:t>
            </w:r>
          </w:p>
        </w:tc>
        <w:tc>
          <w:tcPr>
            <w:tcW w:w="2694" w:type="dxa"/>
          </w:tcPr>
          <w:p>
            <w:pPr>
              <w:spacing w:before="0" w:after="0"/>
              <w:jc w:val="left"/>
              <w:rPr>
                <w:noProof/>
              </w:rPr>
            </w:pPr>
            <w:r>
              <w:rPr>
                <w:noProof/>
              </w:rPr>
              <w:t>perioadă de 5 luni începând din 1.8.2020</w:t>
            </w:r>
          </w:p>
        </w:tc>
        <w:tc>
          <w:tcPr>
            <w:tcW w:w="1590" w:type="dxa"/>
            <w:shd w:val="clear" w:color="auto" w:fill="auto"/>
          </w:tcPr>
          <w:p>
            <w:pPr>
              <w:spacing w:before="0" w:after="0"/>
              <w:jc w:val="center"/>
              <w:rPr>
                <w:noProof/>
              </w:rPr>
            </w:pPr>
            <w:r>
              <w:rPr>
                <w:noProof/>
              </w:rPr>
              <w:t>2020</w:t>
            </w:r>
          </w:p>
        </w:tc>
      </w:tr>
    </w:tbl>
    <w:p>
      <w:pPr>
        <w:rPr>
          <w:noProof/>
        </w:rPr>
      </w:pP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74"/>
        <w:gridCol w:w="1276"/>
        <w:gridCol w:w="1275"/>
        <w:gridCol w:w="1276"/>
        <w:gridCol w:w="1276"/>
        <w:gridCol w:w="1165"/>
      </w:tblGrid>
      <w:tr>
        <w:trPr>
          <w:cantSplit/>
        </w:trPr>
        <w:tc>
          <w:tcPr>
            <w:tcW w:w="8342" w:type="dxa"/>
            <w:gridSpan w:val="6"/>
          </w:tcPr>
          <w:p>
            <w:pPr>
              <w:jc w:val="center"/>
              <w:rPr>
                <w:noProof/>
              </w:rPr>
            </w:pPr>
            <w:r>
              <w:rPr>
                <w:noProof/>
              </w:rPr>
              <w:t>Situația după acțiune</w:t>
            </w:r>
          </w:p>
        </w:tc>
      </w:tr>
      <w:tr>
        <w:trPr>
          <w:cantSplit/>
        </w:trPr>
        <w:tc>
          <w:tcPr>
            <w:tcW w:w="2074" w:type="dxa"/>
          </w:tcPr>
          <w:p>
            <w:pPr>
              <w:jc w:val="center"/>
              <w:rPr>
                <w:noProof/>
              </w:rPr>
            </w:pPr>
            <w:r>
              <w:rPr>
                <w:noProof/>
              </w:rPr>
              <w:t>Linia de venituri</w:t>
            </w:r>
          </w:p>
        </w:tc>
        <w:tc>
          <w:tcPr>
            <w:tcW w:w="1276" w:type="dxa"/>
          </w:tcPr>
          <w:p>
            <w:pPr>
              <w:jc w:val="center"/>
              <w:rPr>
                <w:noProof/>
              </w:rPr>
            </w:pPr>
            <w:r>
              <w:rPr>
                <w:noProof/>
              </w:rPr>
              <w:t>2021</w:t>
            </w:r>
          </w:p>
        </w:tc>
        <w:tc>
          <w:tcPr>
            <w:tcW w:w="1275" w:type="dxa"/>
          </w:tcPr>
          <w:p>
            <w:pPr>
              <w:jc w:val="center"/>
              <w:rPr>
                <w:noProof/>
              </w:rPr>
            </w:pPr>
            <w:r>
              <w:rPr>
                <w:noProof/>
              </w:rPr>
              <w:t>2022</w:t>
            </w:r>
          </w:p>
        </w:tc>
        <w:tc>
          <w:tcPr>
            <w:tcW w:w="1276" w:type="dxa"/>
          </w:tcPr>
          <w:p>
            <w:pPr>
              <w:jc w:val="center"/>
              <w:rPr>
                <w:noProof/>
              </w:rPr>
            </w:pPr>
            <w:r>
              <w:rPr>
                <w:noProof/>
              </w:rPr>
              <w:t>2023</w:t>
            </w:r>
          </w:p>
        </w:tc>
        <w:tc>
          <w:tcPr>
            <w:tcW w:w="1276" w:type="dxa"/>
          </w:tcPr>
          <w:p>
            <w:pPr>
              <w:jc w:val="center"/>
              <w:rPr>
                <w:noProof/>
              </w:rPr>
            </w:pPr>
            <w:r>
              <w:rPr>
                <w:noProof/>
              </w:rPr>
              <w:t>2024</w:t>
            </w:r>
          </w:p>
        </w:tc>
        <w:tc>
          <w:tcPr>
            <w:tcW w:w="1165" w:type="dxa"/>
          </w:tcPr>
          <w:p>
            <w:pPr>
              <w:jc w:val="center"/>
              <w:rPr>
                <w:noProof/>
              </w:rPr>
            </w:pPr>
            <w:r>
              <w:rPr>
                <w:noProof/>
              </w:rPr>
              <w:t>2025</w:t>
            </w:r>
          </w:p>
        </w:tc>
      </w:tr>
      <w:tr>
        <w:trPr>
          <w:cantSplit/>
        </w:trPr>
        <w:tc>
          <w:tcPr>
            <w:tcW w:w="2074" w:type="dxa"/>
          </w:tcPr>
          <w:p>
            <w:pPr>
              <w:rPr>
                <w:noProof/>
              </w:rPr>
            </w:pPr>
            <w:r>
              <w:rPr>
                <w:noProof/>
              </w:rPr>
              <w:t>Capitolul 12, articolul 120</w:t>
            </w:r>
          </w:p>
        </w:tc>
        <w:tc>
          <w:tcPr>
            <w:tcW w:w="1276" w:type="dxa"/>
          </w:tcPr>
          <w:p>
            <w:pPr>
              <w:spacing w:before="0" w:after="0"/>
              <w:jc w:val="center"/>
              <w:rPr>
                <w:noProof/>
              </w:rPr>
            </w:pPr>
            <w:r>
              <w:rPr>
                <w:noProof/>
              </w:rPr>
              <w:t>-5,3 milioane euro</w:t>
            </w:r>
          </w:p>
        </w:tc>
        <w:tc>
          <w:tcPr>
            <w:tcW w:w="1275" w:type="dxa"/>
          </w:tcPr>
          <w:p>
            <w:pPr>
              <w:spacing w:before="0" w:after="0"/>
              <w:jc w:val="center"/>
              <w:rPr>
                <w:noProof/>
              </w:rPr>
            </w:pPr>
            <w:r>
              <w:rPr>
                <w:noProof/>
              </w:rPr>
              <w:t>-5,3 milioane euro</w:t>
            </w:r>
          </w:p>
        </w:tc>
        <w:tc>
          <w:tcPr>
            <w:tcW w:w="1276" w:type="dxa"/>
          </w:tcPr>
          <w:p>
            <w:pPr>
              <w:spacing w:before="0" w:after="0"/>
              <w:jc w:val="center"/>
              <w:rPr>
                <w:noProof/>
              </w:rPr>
            </w:pPr>
            <w:r>
              <w:rPr>
                <w:noProof/>
              </w:rPr>
              <w:t>-5,3 milioane euro</w:t>
            </w:r>
          </w:p>
        </w:tc>
        <w:tc>
          <w:tcPr>
            <w:tcW w:w="1276" w:type="dxa"/>
          </w:tcPr>
          <w:p>
            <w:pPr>
              <w:spacing w:before="0" w:after="0"/>
              <w:jc w:val="center"/>
              <w:rPr>
                <w:noProof/>
              </w:rPr>
            </w:pPr>
            <w:r>
              <w:rPr>
                <w:noProof/>
              </w:rPr>
              <w:t>-5,3 milioane euro</w:t>
            </w:r>
          </w:p>
        </w:tc>
        <w:tc>
          <w:tcPr>
            <w:tcW w:w="1165" w:type="dxa"/>
          </w:tcPr>
          <w:p>
            <w:pPr>
              <w:spacing w:before="0" w:after="0"/>
              <w:jc w:val="center"/>
              <w:rPr>
                <w:noProof/>
              </w:rPr>
            </w:pPr>
            <w:r>
              <w:rPr>
                <w:noProof/>
              </w:rPr>
              <w:t>-3,1 milioane euro</w:t>
            </w:r>
          </w:p>
        </w:tc>
      </w:tr>
    </w:tbl>
    <w:p>
      <w:pPr>
        <w:rPr>
          <w:noProof/>
        </w:rPr>
      </w:pPr>
    </w:p>
    <w:p>
      <w:pPr>
        <w:pStyle w:val="Text1"/>
        <w:rPr>
          <w:noProof/>
        </w:rPr>
      </w:pPr>
      <w:r>
        <w:rPr>
          <w:noProof/>
        </w:rPr>
        <w:t>(Numai în cazul veniturilor alocate, cu condiția ca linia bugetară să fie deja cunoscută):</w:t>
      </w:r>
    </w:p>
    <w:tbl>
      <w:tblPr>
        <w:tblW w:w="4654"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226"/>
        <w:gridCol w:w="3287"/>
        <w:gridCol w:w="3035"/>
      </w:tblGrid>
      <w:tr>
        <w:trPr>
          <w:cantSplit/>
        </w:trPr>
        <w:tc>
          <w:tcPr>
            <w:tcW w:w="1129" w:type="pct"/>
          </w:tcPr>
          <w:p>
            <w:pPr>
              <w:rPr>
                <w:noProof/>
              </w:rPr>
            </w:pPr>
            <w:r>
              <w:rPr>
                <w:noProof/>
              </w:rPr>
              <w:t>Linia de cheltuieli</w:t>
            </w:r>
            <w:r>
              <w:rPr>
                <w:rStyle w:val="FootnoteReference"/>
                <w:noProof/>
              </w:rPr>
              <w:footnoteReference w:id="7"/>
            </w:r>
          </w:p>
        </w:tc>
        <w:tc>
          <w:tcPr>
            <w:tcW w:w="2009" w:type="pct"/>
          </w:tcPr>
          <w:p>
            <w:pPr>
              <w:jc w:val="center"/>
              <w:rPr>
                <w:noProof/>
              </w:rPr>
            </w:pPr>
            <w:r>
              <w:rPr>
                <w:noProof/>
              </w:rPr>
              <w:t>Anul N</w:t>
            </w:r>
          </w:p>
        </w:tc>
        <w:tc>
          <w:tcPr>
            <w:tcW w:w="1863" w:type="pct"/>
          </w:tcPr>
          <w:p>
            <w:pPr>
              <w:jc w:val="center"/>
              <w:rPr>
                <w:noProof/>
              </w:rPr>
            </w:pPr>
            <w:r>
              <w:rPr>
                <w:noProof/>
              </w:rPr>
              <w:t>Anul N+1</w:t>
            </w:r>
          </w:p>
        </w:tc>
      </w:tr>
      <w:tr>
        <w:trPr>
          <w:cantSplit/>
        </w:trPr>
        <w:tc>
          <w:tcPr>
            <w:tcW w:w="1129" w:type="pct"/>
          </w:tcPr>
          <w:p>
            <w:pPr>
              <w:rPr>
                <w:noProof/>
              </w:rPr>
            </w:pPr>
            <w:r>
              <w:rPr>
                <w:noProof/>
              </w:rPr>
              <w:t>Capitol/Articol/Post...</w:t>
            </w:r>
          </w:p>
        </w:tc>
        <w:tc>
          <w:tcPr>
            <w:tcW w:w="2009" w:type="pct"/>
          </w:tcPr>
          <w:p>
            <w:pPr>
              <w:jc w:val="center"/>
              <w:rPr>
                <w:noProof/>
              </w:rPr>
            </w:pPr>
          </w:p>
        </w:tc>
        <w:tc>
          <w:tcPr>
            <w:tcW w:w="1863" w:type="pct"/>
          </w:tcPr>
          <w:p>
            <w:pPr>
              <w:jc w:val="center"/>
              <w:rPr>
                <w:noProof/>
              </w:rPr>
            </w:pPr>
          </w:p>
        </w:tc>
      </w:tr>
      <w:tr>
        <w:trPr>
          <w:cantSplit/>
        </w:trPr>
        <w:tc>
          <w:tcPr>
            <w:tcW w:w="1129" w:type="pct"/>
          </w:tcPr>
          <w:p>
            <w:pPr>
              <w:rPr>
                <w:noProof/>
              </w:rPr>
            </w:pPr>
            <w:r>
              <w:rPr>
                <w:noProof/>
              </w:rPr>
              <w:t>Capitol/Articol/Post...</w:t>
            </w:r>
          </w:p>
        </w:tc>
        <w:tc>
          <w:tcPr>
            <w:tcW w:w="2009" w:type="pct"/>
          </w:tcPr>
          <w:p>
            <w:pPr>
              <w:jc w:val="center"/>
              <w:rPr>
                <w:noProof/>
              </w:rPr>
            </w:pPr>
          </w:p>
        </w:tc>
        <w:tc>
          <w:tcPr>
            <w:tcW w:w="1863" w:type="pct"/>
          </w:tcPr>
          <w:p>
            <w:pPr>
              <w:jc w:val="center"/>
              <w:rPr>
                <w:noProof/>
              </w:rPr>
            </w:pPr>
          </w:p>
        </w:tc>
      </w:tr>
    </w:tbl>
    <w:p>
      <w:pPr>
        <w:pStyle w:val="Text1"/>
        <w:rPr>
          <w:noProof/>
        </w:rPr>
      </w:pP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90"/>
        <w:gridCol w:w="972"/>
        <w:gridCol w:w="1440"/>
        <w:gridCol w:w="1260"/>
        <w:gridCol w:w="1440"/>
        <w:gridCol w:w="1440"/>
      </w:tblGrid>
      <w:tr>
        <w:trPr>
          <w:cantSplit/>
        </w:trPr>
        <w:tc>
          <w:tcPr>
            <w:tcW w:w="8342" w:type="dxa"/>
            <w:gridSpan w:val="6"/>
          </w:tcPr>
          <w:p>
            <w:pPr>
              <w:jc w:val="center"/>
              <w:rPr>
                <w:noProof/>
              </w:rPr>
            </w:pPr>
            <w:r>
              <w:rPr>
                <w:noProof/>
              </w:rPr>
              <w:t>Situația după acțiune</w:t>
            </w:r>
          </w:p>
        </w:tc>
      </w:tr>
      <w:tr>
        <w:trPr>
          <w:cantSplit/>
        </w:trPr>
        <w:tc>
          <w:tcPr>
            <w:tcW w:w="1790" w:type="dxa"/>
          </w:tcPr>
          <w:p>
            <w:pPr>
              <w:jc w:val="center"/>
              <w:rPr>
                <w:noProof/>
              </w:rPr>
            </w:pPr>
            <w:r>
              <w:rPr>
                <w:noProof/>
              </w:rPr>
              <w:t>Linia de cheltuieli</w:t>
            </w:r>
          </w:p>
        </w:tc>
        <w:tc>
          <w:tcPr>
            <w:tcW w:w="972" w:type="dxa"/>
          </w:tcPr>
          <w:p>
            <w:pPr>
              <w:jc w:val="center"/>
              <w:rPr>
                <w:noProof/>
              </w:rPr>
            </w:pPr>
            <w:r>
              <w:rPr>
                <w:noProof/>
              </w:rPr>
              <w:t>[N+1]</w:t>
            </w:r>
          </w:p>
        </w:tc>
        <w:tc>
          <w:tcPr>
            <w:tcW w:w="1440" w:type="dxa"/>
          </w:tcPr>
          <w:p>
            <w:pPr>
              <w:jc w:val="center"/>
              <w:rPr>
                <w:noProof/>
              </w:rPr>
            </w:pPr>
            <w:r>
              <w:rPr>
                <w:noProof/>
              </w:rPr>
              <w:t>[N+2]</w:t>
            </w:r>
          </w:p>
        </w:tc>
        <w:tc>
          <w:tcPr>
            <w:tcW w:w="1260" w:type="dxa"/>
          </w:tcPr>
          <w:p>
            <w:pPr>
              <w:jc w:val="center"/>
              <w:rPr>
                <w:noProof/>
              </w:rPr>
            </w:pPr>
            <w:r>
              <w:rPr>
                <w:noProof/>
              </w:rPr>
              <w:t>[N+3]</w:t>
            </w:r>
          </w:p>
        </w:tc>
        <w:tc>
          <w:tcPr>
            <w:tcW w:w="1440" w:type="dxa"/>
          </w:tcPr>
          <w:p>
            <w:pPr>
              <w:jc w:val="center"/>
              <w:rPr>
                <w:noProof/>
              </w:rPr>
            </w:pPr>
            <w:r>
              <w:rPr>
                <w:noProof/>
              </w:rPr>
              <w:t>[N+4]</w:t>
            </w:r>
          </w:p>
        </w:tc>
        <w:tc>
          <w:tcPr>
            <w:tcW w:w="1440" w:type="dxa"/>
          </w:tcPr>
          <w:p>
            <w:pPr>
              <w:jc w:val="center"/>
              <w:rPr>
                <w:noProof/>
              </w:rPr>
            </w:pPr>
            <w:r>
              <w:rPr>
                <w:noProof/>
              </w:rPr>
              <w:t>[N+5]</w:t>
            </w:r>
          </w:p>
        </w:tc>
      </w:tr>
      <w:tr>
        <w:trPr>
          <w:cantSplit/>
        </w:trPr>
        <w:tc>
          <w:tcPr>
            <w:tcW w:w="1790" w:type="dxa"/>
          </w:tcPr>
          <w:p>
            <w:pPr>
              <w:rPr>
                <w:noProof/>
              </w:rPr>
            </w:pPr>
            <w:r>
              <w:rPr>
                <w:noProof/>
              </w:rPr>
              <w:t>Capitol/Articol/Post...</w:t>
            </w:r>
          </w:p>
        </w:tc>
        <w:tc>
          <w:tcPr>
            <w:tcW w:w="972" w:type="dxa"/>
          </w:tcPr>
          <w:p>
            <w:pPr>
              <w:jc w:val="center"/>
              <w:rPr>
                <w:noProof/>
              </w:rPr>
            </w:pPr>
          </w:p>
        </w:tc>
        <w:tc>
          <w:tcPr>
            <w:tcW w:w="1440" w:type="dxa"/>
          </w:tcPr>
          <w:p>
            <w:pPr>
              <w:jc w:val="center"/>
              <w:rPr>
                <w:noProof/>
              </w:rPr>
            </w:pPr>
          </w:p>
        </w:tc>
        <w:tc>
          <w:tcPr>
            <w:tcW w:w="1260" w:type="dxa"/>
          </w:tcPr>
          <w:p>
            <w:pPr>
              <w:jc w:val="center"/>
              <w:rPr>
                <w:noProof/>
              </w:rPr>
            </w:pPr>
          </w:p>
        </w:tc>
        <w:tc>
          <w:tcPr>
            <w:tcW w:w="1440" w:type="dxa"/>
          </w:tcPr>
          <w:p>
            <w:pPr>
              <w:jc w:val="center"/>
              <w:rPr>
                <w:noProof/>
              </w:rPr>
            </w:pPr>
          </w:p>
        </w:tc>
        <w:tc>
          <w:tcPr>
            <w:tcW w:w="1440" w:type="dxa"/>
          </w:tcPr>
          <w:p>
            <w:pPr>
              <w:jc w:val="center"/>
              <w:rPr>
                <w:noProof/>
              </w:rPr>
            </w:pPr>
          </w:p>
        </w:tc>
      </w:tr>
      <w:tr>
        <w:trPr>
          <w:cantSplit/>
        </w:trPr>
        <w:tc>
          <w:tcPr>
            <w:tcW w:w="1790" w:type="dxa"/>
          </w:tcPr>
          <w:p>
            <w:pPr>
              <w:rPr>
                <w:noProof/>
              </w:rPr>
            </w:pPr>
            <w:r>
              <w:rPr>
                <w:noProof/>
              </w:rPr>
              <w:t>Capitol/Articol/Post...</w:t>
            </w:r>
          </w:p>
        </w:tc>
        <w:tc>
          <w:tcPr>
            <w:tcW w:w="972" w:type="dxa"/>
          </w:tcPr>
          <w:p>
            <w:pPr>
              <w:jc w:val="center"/>
              <w:rPr>
                <w:noProof/>
              </w:rPr>
            </w:pPr>
          </w:p>
        </w:tc>
        <w:tc>
          <w:tcPr>
            <w:tcW w:w="1440" w:type="dxa"/>
          </w:tcPr>
          <w:p>
            <w:pPr>
              <w:jc w:val="center"/>
              <w:rPr>
                <w:noProof/>
              </w:rPr>
            </w:pPr>
          </w:p>
        </w:tc>
        <w:tc>
          <w:tcPr>
            <w:tcW w:w="1260" w:type="dxa"/>
          </w:tcPr>
          <w:p>
            <w:pPr>
              <w:jc w:val="center"/>
              <w:rPr>
                <w:noProof/>
              </w:rPr>
            </w:pPr>
          </w:p>
        </w:tc>
        <w:tc>
          <w:tcPr>
            <w:tcW w:w="1440" w:type="dxa"/>
          </w:tcPr>
          <w:p>
            <w:pPr>
              <w:jc w:val="center"/>
              <w:rPr>
                <w:noProof/>
              </w:rPr>
            </w:pPr>
          </w:p>
        </w:tc>
        <w:tc>
          <w:tcPr>
            <w:tcW w:w="1440" w:type="dxa"/>
          </w:tcPr>
          <w:p>
            <w:pPr>
              <w:jc w:val="center"/>
              <w:rPr>
                <w:noProof/>
              </w:rPr>
            </w:pPr>
          </w:p>
        </w:tc>
      </w:tr>
    </w:tbl>
    <w:p>
      <w:pPr>
        <w:pStyle w:val="Text1"/>
        <w:rPr>
          <w:noProof/>
        </w:rPr>
      </w:pPr>
    </w:p>
    <w:p>
      <w:pPr>
        <w:pStyle w:val="ManualHeading1"/>
        <w:rPr>
          <w:noProof/>
        </w:rPr>
      </w:pPr>
      <w:r>
        <w:t>4.</w:t>
      </w:r>
      <w:r>
        <w:tab/>
      </w:r>
      <w:r>
        <w:rPr>
          <w:noProof/>
        </w:rPr>
        <w:t>MĂSURI ANTIFRAUDĂ</w:t>
      </w:r>
    </w:p>
    <w:p>
      <w:pPr>
        <w:pStyle w:val="Text1"/>
        <w:rPr>
          <w:noProof/>
        </w:rPr>
      </w:pPr>
      <w:r>
        <w:rPr>
          <w:noProof/>
        </w:rPr>
        <w:t>[…]</w:t>
      </w:r>
    </w:p>
    <w:p>
      <w:pPr>
        <w:pStyle w:val="ManualHeading1"/>
        <w:rPr>
          <w:noProof/>
        </w:rPr>
      </w:pPr>
      <w:r>
        <w:t>5.</w:t>
      </w:r>
      <w:r>
        <w:tab/>
      </w:r>
      <w:r>
        <w:rPr>
          <w:noProof/>
        </w:rPr>
        <w:t>ALTE OBSERVAȚII</w:t>
      </w:r>
    </w:p>
    <w:p>
      <w:pPr>
        <w:pStyle w:val="Text1"/>
        <w:rPr>
          <w:noProof/>
        </w:rPr>
      </w:pPr>
      <w:r>
        <w:rPr>
          <w:noProof/>
        </w:rPr>
        <w:t xml:space="preserve">Calculele au fost făcute pe baza datelor statistice disponibile, estimându-se că taxele vamale nepercepute ca urmare a liberalizării tarifelor pentru produsele incluse în liniile tarifare din anexa la prezentul regulament se ridică la aproximativ 5,3 milioane de euro pe an reprezentând taxe percepute din SUA (media perioadei 2017-2019).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Această cifră este compusă din 42 de milioane de euro corespunzând importurilor UE27 din SUA și 126 de milioane de euro corespunzând importurilor americane din UE (date din 2019).</w:t>
      </w:r>
    </w:p>
  </w:footnote>
  <w:footnote w:id="2">
    <w:p>
      <w:pPr>
        <w:pStyle w:val="FootnoteText"/>
      </w:pPr>
      <w:r>
        <w:rPr>
          <w:rStyle w:val="FootnoteReference"/>
        </w:rPr>
        <w:footnoteRef/>
      </w:r>
      <w:r>
        <w:tab/>
        <w:t>Articolul 21 alineatul (2) litera (e) din TUE.</w:t>
      </w:r>
    </w:p>
  </w:footnote>
  <w:footnote w:id="3">
    <w:p>
      <w:pPr>
        <w:pStyle w:val="FootnoteText"/>
      </w:pPr>
      <w:r>
        <w:rPr>
          <w:rStyle w:val="FootnoteReference"/>
        </w:rPr>
        <w:footnoteRef/>
      </w:r>
      <w:r>
        <w:tab/>
        <w:t>Sursă: Eurostat.</w:t>
      </w:r>
    </w:p>
  </w:footnote>
  <w:footnote w:id="4">
    <w:p>
      <w:pPr>
        <w:pStyle w:val="FootnoteText"/>
      </w:pPr>
      <w:r>
        <w:rPr>
          <w:rStyle w:val="FootnoteReference"/>
        </w:rPr>
        <w:footnoteRef/>
      </w:r>
      <w:r>
        <w:tab/>
      </w:r>
      <w:hyperlink r:id="rId1" w:history="1">
        <w:r>
          <w:rPr>
            <w:rStyle w:val="Hyperlink"/>
          </w:rPr>
          <w:t>https://trade.ec.europa.eu/doclib/press/index.cfm?id=2178</w:t>
        </w:r>
      </w:hyperlink>
    </w:p>
  </w:footnote>
  <w:footnote w:id="5">
    <w:p>
      <w:pPr>
        <w:pStyle w:val="FootnoteText"/>
      </w:pPr>
      <w:r>
        <w:rPr>
          <w:rStyle w:val="FootnoteReference"/>
        </w:rPr>
        <w:footnoteRef/>
      </w:r>
      <w:r>
        <w:tab/>
        <w:t>Sumele pe an trebuie să fie estimate pe baza formulei sau a metodei definite la punctul 5. Pentru primul an, suma anuală se plătește de obicei fără o reducere sau o cotă-parte proporțională.</w:t>
      </w:r>
    </w:p>
  </w:footnote>
  <w:footnote w:id="6">
    <w:p>
      <w:pPr>
        <w:pStyle w:val="FootnoteText"/>
      </w:pPr>
      <w:r>
        <w:rPr>
          <w:rStyle w:val="FootnoteReference"/>
        </w:rPr>
        <w:footnoteRef/>
      </w:r>
      <w:r>
        <w:tab/>
        <w:t>În cazul resurselor proprii tradiționale (taxe vamale, cotizații pentru zahăr), sumele indicate trebuie să fie sume nete, și anume sumele brute după deducerea a 20 % reprezentând costuri de colectare.</w:t>
      </w:r>
    </w:p>
  </w:footnote>
  <w:footnote w:id="7">
    <w:p>
      <w:pPr>
        <w:pStyle w:val="FootnoteText"/>
      </w:pPr>
      <w:r>
        <w:rPr>
          <w:rStyle w:val="FootnoteReference"/>
        </w:rPr>
        <w:footnoteRef/>
      </w:r>
      <w:r>
        <w:tab/>
        <w:t>A se utiliza doar dacă este necesar.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11"/>
  </w:num>
  <w:num w:numId="24">
    <w:abstractNumId w:val="24"/>
  </w:num>
  <w:num w:numId="25">
    <w:abstractNumId w:val="6"/>
  </w:num>
  <w:num w:numId="26">
    <w:abstractNumId w:val="12"/>
  </w:num>
  <w:num w:numId="27">
    <w:abstractNumId w:val="4"/>
  </w:num>
  <w:num w:numId="28">
    <w:abstractNumId w:val="23"/>
  </w:num>
  <w:num w:numId="29">
    <w:abstractNumId w:val="3"/>
  </w:num>
  <w:num w:numId="30">
    <w:abstractNumId w:val="13"/>
  </w:num>
  <w:num w:numId="31">
    <w:abstractNumId w:val="19"/>
  </w:num>
  <w:num w:numId="32">
    <w:abstractNumId w:val="20"/>
  </w:num>
  <w:num w:numId="33">
    <w:abstractNumId w:val="5"/>
  </w:num>
  <w:num w:numId="34">
    <w:abstractNumId w:val="17"/>
  </w:num>
  <w:num w:numId="35">
    <w:abstractNumId w:val="28"/>
  </w:num>
  <w:num w:numId="36">
    <w:abstractNumId w:val="21"/>
  </w:num>
  <w:num w:numId="37">
    <w:abstractNumId w:val="11"/>
  </w:num>
  <w:num w:numId="38">
    <w:abstractNumId w:val="24"/>
  </w:num>
  <w:num w:numId="39">
    <w:abstractNumId w:val="6"/>
  </w:num>
  <w:num w:numId="40">
    <w:abstractNumId w:val="12"/>
  </w:num>
  <w:num w:numId="41">
    <w:abstractNumId w:val="4"/>
  </w:num>
  <w:num w:numId="42">
    <w:abstractNumId w:val="23"/>
  </w:num>
  <w:num w:numId="43">
    <w:abstractNumId w:val="3"/>
  </w:num>
  <w:num w:numId="44">
    <w:abstractNumId w:val="13"/>
  </w:num>
  <w:num w:numId="45">
    <w:abstractNumId w:val="19"/>
  </w:num>
  <w:num w:numId="46">
    <w:abstractNumId w:val="20"/>
  </w:num>
  <w:num w:numId="47">
    <w:abstractNumId w:val="5"/>
  </w:num>
  <w:num w:numId="48">
    <w:abstractNumId w:val="17"/>
  </w:num>
  <w:num w:numId="4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0 14:14: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718D732-EFA8-43DA-BF6C-059B0AFB2FB4"/>
    <w:docVar w:name="LW_COVERPAGE_TYPE" w:val="1"/>
    <w:docVar w:name="LW_CROSSREFERENCE" w:val="&lt;UNUSED&gt;"/>
    <w:docVar w:name="LW_DocType" w:val="COM"/>
    <w:docVar w:name="LW_EMISSION" w:val="8.9.2020"/>
    <w:docVar w:name="LW_EMISSION_ISODATE" w:val="2020-09-0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53"/>
    <w:docVar w:name="LW_REF.II.NEW.CP_YEAR" w:val="2020"/>
    <w:docVar w:name="LW_REF.INST.NEW" w:val="COM"/>
    <w:docVar w:name="LW_REF.INST.NEW_ADOPTED" w:val="final"/>
    <w:docVar w:name="LW_REF.INST.NEW_TEXT" w:val="(2020) 4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eliminarea taxelor vamale pentru anumite produse"/>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ro-RO"/>
    </w:rPr>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AnnexetitreChar">
    <w:name w:val="Annexe titre Char"/>
    <w:basedOn w:val="DefaultParagraphFont"/>
    <w:rPr>
      <w:rFonts w:ascii="Times New Roman" w:hAnsi="Times New Roman" w:cs="Times New Roman"/>
      <w:b/>
      <w:sz w:val="24"/>
      <w:u w:val="single"/>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ro-RO"/>
    </w:rPr>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AnnexetitreChar">
    <w:name w:val="Annexe titre Char"/>
    <w:basedOn w:val="DefaultParagraphFont"/>
    <w:rPr>
      <w:rFonts w:ascii="Times New Roman" w:hAnsi="Times New Roman" w:cs="Times New Roman"/>
      <w:b/>
      <w:sz w:val="24"/>
      <w:u w:val="single"/>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de.ec.europa.eu/doclib/press/index.cfm?id=21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8</Pages>
  <Words>1706</Words>
  <Characters>10055</Characters>
  <Application>Microsoft Office Word</Application>
  <DocSecurity>0</DocSecurity>
  <Lines>271</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2020-09-09T08:58:00Z</dcterms:created>
  <dcterms:modified xsi:type="dcterms:W3CDTF">2020-09-10T12:14:00Z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