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827B1D40-7FC3-4FAD-8B1C-80D607F1C0C2" style="width:450.75pt;height:321pt">
            <v:imagedata r:id="rId12" o:title=""/>
          </v:shape>
        </w:pict>
      </w:r>
    </w:p>
    <w:bookmarkEnd w:id="0"/>
    <w:p>
      <w:pPr>
        <w:spacing w:line="240" w:lineRule="auto"/>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spacing w:after="120" w:line="240" w:lineRule="auto"/>
        <w:jc w:val="right"/>
        <w:rPr>
          <w:rFonts w:ascii="Times New Roman" w:eastAsia="Calibri" w:hAnsi="Times New Roman" w:cs="Times New Roman"/>
          <w:sz w:val="24"/>
          <w:highlight w:val="yellow"/>
        </w:rPr>
      </w:pPr>
      <w:bookmarkStart w:id="1" w:name="_GoBack"/>
      <w:bookmarkEnd w:id="1"/>
    </w:p>
    <w:p>
      <w:pPr>
        <w:spacing w:after="120" w:line="240" w:lineRule="auto"/>
        <w:jc w:val="right"/>
        <w:rPr>
          <w:rFonts w:ascii="Times New Roman" w:eastAsia="Calibri" w:hAnsi="Times New Roman" w:cs="Times New Roman"/>
          <w:sz w:val="24"/>
          <w:highlight w:val="yellow"/>
        </w:rPr>
      </w:pPr>
    </w:p>
    <w:p>
      <w:pPr>
        <w:keepNext/>
        <w:tabs>
          <w:tab w:val="left" w:pos="850"/>
        </w:tabs>
        <w:spacing w:before="120" w:after="120" w:line="240" w:lineRule="auto"/>
        <w:ind w:left="850" w:hanging="850"/>
        <w:jc w:val="both"/>
        <w:outlineLvl w:val="0"/>
        <w:rPr>
          <w:rFonts w:ascii="Times New Roman" w:eastAsia="Times New Roman" w:hAnsi="Times New Roman" w:cs="Times New Roman"/>
          <w:b/>
          <w:smallCaps/>
          <w:sz w:val="24"/>
          <w:szCs w:val="24"/>
        </w:rPr>
      </w:pPr>
      <w:r>
        <w:tab/>
      </w:r>
      <w:r>
        <w:rPr>
          <w:rFonts w:ascii="Times New Roman" w:hAnsi="Times New Roman"/>
          <w:b/>
          <w:smallCaps/>
          <w:sz w:val="24"/>
          <w:szCs w:val="24"/>
        </w:rPr>
        <w:t>1.</w:t>
      </w:r>
      <w:r>
        <w:tab/>
      </w:r>
      <w:r>
        <w:rPr>
          <w:rFonts w:ascii="Times New Roman" w:hAnsi="Times New Roman"/>
          <w:b/>
          <w:smallCaps/>
          <w:sz w:val="24"/>
          <w:szCs w:val="24"/>
        </w:rPr>
        <w:t>Sissejuhatus</w:t>
      </w:r>
    </w:p>
    <w:p>
      <w:pPr>
        <w:spacing w:after="120" w:line="240" w:lineRule="auto"/>
        <w:jc w:val="both"/>
        <w:rPr>
          <w:rFonts w:ascii="Times New Roman" w:eastAsia="Calibri" w:hAnsi="Times New Roman" w:cs="Times New Roman"/>
          <w:sz w:val="24"/>
          <w:szCs w:val="24"/>
        </w:rPr>
      </w:pPr>
      <w:r>
        <w:rPr>
          <w:rFonts w:ascii="Times New Roman" w:hAnsi="Times New Roman"/>
          <w:sz w:val="24"/>
          <w:szCs w:val="24"/>
        </w:rPr>
        <w:t>Tulemuslikud kohtusüsteemid on olulised liidu õiguse rakendamiseks ning õigusriigi põhimõtte ja ELi aluseks olevate põhiväärtuste kaitsmisel. Liidu õiguse kohaldamisel toimivad liikmesriikide kohtud ELi kohtutena. Esmajoones on just liikmesriikide kohtud need, kes tagavad liidu õigusega ette nähtud õiguste ja kohustuste tulemusliku jõustamise (Euroopa Liidu lepingu artikkel 19).</w:t>
      </w:r>
    </w:p>
    <w:p>
      <w:pPr>
        <w:spacing w:after="120" w:line="240" w:lineRule="auto"/>
        <w:jc w:val="both"/>
        <w:rPr>
          <w:rFonts w:ascii="Times New Roman" w:eastAsia="Calibri" w:hAnsi="Times New Roman" w:cs="Times New Roman"/>
          <w:sz w:val="24"/>
          <w:szCs w:val="24"/>
        </w:rPr>
      </w:pPr>
      <w:r>
        <w:rPr>
          <w:rFonts w:ascii="Times New Roman" w:hAnsi="Times New Roman"/>
          <w:sz w:val="24"/>
          <w:szCs w:val="24"/>
        </w:rPr>
        <w:t>Tulemuslikud kohtusüsteemid on olulised ka vastastikuse usalduse, investeerimiskliima ja pikaajalise kasvu jätkusuutlikkuse jaoks. Seepärast kuulub liikmesriikide kohtusüsteemide tõhususe, kvaliteedi ja sõltumatuse parandamine ELi majanduspoliitika koordineerimise iga-aastase tsükli – Euroopa poolaasta – tähtsaimate eesmärkide hulka. 2020. aasta kestliku majanduskasvu strateegias, milles on esitatud ELi majandus- ja tööhõivepoliitika strateegia ning seatud kestlikkus ja sotsiaalne kaasatus ELi majanduspoliitika kujundamisel kesksele kohale, on toonitatud tulemuslike kohtusüsteemide ja liikmesriikide ettevõtluskeskkonna vahelist seost. Hästi toimivad ja täiesti sõltumatud kohtusüsteemid võivad avaldada investeerimisele positiivset mõju ja aidata seega suurendada tootlikkust ja konkurentsivõimet. Need on samuti olulised selleks, et tagada piiriüleselt tõhus lepingute ja haldusotsuste täitmine ning vaidluste lahendamine, mis on tähtis ühtse turu toimimiseks(</w:t>
      </w:r>
      <w:r>
        <w:rPr>
          <w:rStyle w:val="FootnoteReference"/>
          <w:rFonts w:ascii="Times New Roman" w:eastAsia="Calibri" w:hAnsi="Times New Roman" w:cs="Times New Roman"/>
          <w:sz w:val="24"/>
          <w:szCs w:val="24"/>
        </w:rPr>
        <w:footnoteReference w:id="2"/>
      </w:r>
      <w:r>
        <w:rPr>
          <w:rFonts w:ascii="Times New Roman" w:hAnsi="Times New Roman"/>
          <w:sz w:val="24"/>
          <w:szCs w:val="24"/>
        </w:rPr>
        <w:t>).</w:t>
      </w:r>
    </w:p>
    <w:p>
      <w:pPr>
        <w:spacing w:after="120" w:line="240" w:lineRule="auto"/>
        <w:jc w:val="both"/>
        <w:rPr>
          <w:rFonts w:ascii="Times New Roman" w:eastAsia="Calibri" w:hAnsi="Times New Roman" w:cs="Times New Roman"/>
          <w:sz w:val="24"/>
        </w:rPr>
      </w:pPr>
      <w:r>
        <w:rPr>
          <w:rFonts w:ascii="Times New Roman" w:hAnsi="Times New Roman"/>
          <w:sz w:val="24"/>
          <w:szCs w:val="24"/>
        </w:rPr>
        <w:t xml:space="preserve">Eeltoodu taustal esitatakse ELi õigusemõistmise tulemustabelis iga-aastane ülevaade näitajatest, mis on seotud tulemuslike kohtusüsteemide oluliste parameetritega: tõhusus, kvaliteet ja sõltumatus. </w:t>
      </w:r>
      <w:r>
        <w:rPr>
          <w:rFonts w:ascii="Times New Roman" w:hAnsi="Times New Roman"/>
          <w:sz w:val="24"/>
        </w:rPr>
        <w:t>2020. a</w:t>
      </w:r>
      <w:r>
        <w:rPr>
          <w:rFonts w:ascii="Times New Roman" w:hAnsi="Times New Roman"/>
          <w:sz w:val="24"/>
          <w:szCs w:val="24"/>
        </w:rPr>
        <w:t>asta väljaandes arendatakse kõigi kolme parameetri näitajaid edasi</w:t>
      </w:r>
      <w:r>
        <w:rPr>
          <w:rFonts w:ascii="Times New Roman" w:hAnsi="Times New Roman"/>
          <w:sz w:val="24"/>
        </w:rPr>
        <w:t>. Tulemustabelis ei ole kajastatud COVID-19 kriisi tagajärgi, sest andmed hõlmavad aastaid 2012–2019, kuid mitte 2020. aastat.</w:t>
      </w:r>
    </w:p>
    <w:p>
      <w:pPr>
        <w:spacing w:before="240" w:after="120" w:line="240" w:lineRule="auto"/>
        <w:jc w:val="both"/>
        <w:rPr>
          <w:rFonts w:ascii="Times New Roman" w:eastAsia="Calibri" w:hAnsi="Times New Roman" w:cs="Times New Roman"/>
          <w:i/>
          <w:sz w:val="24"/>
          <w:szCs w:val="24"/>
        </w:rPr>
      </w:pPr>
      <w:r>
        <w:rPr>
          <w:rFonts w:ascii="Times New Roman" w:hAnsi="Times New Roman"/>
          <w:i/>
          <w:sz w:val="24"/>
          <w:szCs w:val="24"/>
        </w:rPr>
        <w:sym w:font="Symbol" w:char="F02D"/>
      </w:r>
      <w:r>
        <w:rPr>
          <w:rFonts w:ascii="Times New Roman" w:hAnsi="Times New Roman"/>
          <w:i/>
          <w:sz w:val="24"/>
          <w:szCs w:val="24"/>
        </w:rPr>
        <w:t xml:space="preserve"> Euroopa õigusriigi mehhanism </w:t>
      </w:r>
      <w:r>
        <w:rPr>
          <w:rFonts w:ascii="Times New Roman" w:hAnsi="Times New Roman"/>
          <w:i/>
        </w:rPr>
        <w:t>–</w:t>
      </w:r>
    </w:p>
    <w:p>
      <w:pPr>
        <w:spacing w:after="120" w:line="240" w:lineRule="auto"/>
        <w:jc w:val="both"/>
        <w:rPr>
          <w:rFonts w:ascii="Times New Roman" w:eastAsia="Calibri" w:hAnsi="Times New Roman" w:cs="Times New Roman"/>
          <w:sz w:val="24"/>
        </w:rPr>
      </w:pPr>
      <w:r>
        <w:rPr>
          <w:rFonts w:ascii="Times New Roman" w:hAnsi="Times New Roman"/>
          <w:sz w:val="24"/>
          <w:szCs w:val="24"/>
        </w:rPr>
        <w:t xml:space="preserve">Nagu president von der Leyeni poliitilistes suunistes välja kuulutatud, on komisjon loonud tervikliku Euroopa õigusriigi mehhanismi, et jälgida põhjalikumalt olukorda liikmesriikides. Õigusriigi mehhanism on ennetav vahend, mis süvendab dialoogi ja ühist teadlikkust õigusriigi probleemidest. Selle põhipunktid on esitatud komisjoni 2019. aasta teatises „Õigusriigi edasine tugevdamine liidus. Hetkeseis ja võimalikud edasised sammud“. Uus mehhanism tugineb õigusriigi olukorda käsitlevale aastaaruandele, milles esitatakse nii oluliste positiivsete kui ka negatiivsete sündmuste ülevaade kõikides liikmesriikides. Aruande koostamiseks kasutatakse eri allikaid, sh ELi õigusemõistmise tulemustabelit. </w:t>
      </w:r>
    </w:p>
    <w:p>
      <w:pPr>
        <w:spacing w:after="120" w:line="240" w:lineRule="auto"/>
        <w:jc w:val="both"/>
        <w:rPr>
          <w:rFonts w:ascii="Times New Roman" w:eastAsia="Calibri" w:hAnsi="Times New Roman" w:cs="Times New Roman"/>
          <w:sz w:val="24"/>
          <w:highlight w:val="yellow"/>
        </w:rPr>
      </w:pPr>
      <w:r>
        <w:br w:type="page"/>
      </w:r>
    </w:p>
    <w:p>
      <w:pPr>
        <w:pBdr>
          <w:top w:val="single" w:sz="4" w:space="1" w:color="auto"/>
          <w:left w:val="single" w:sz="4" w:space="4" w:color="auto"/>
          <w:bottom w:val="single" w:sz="4" w:space="1" w:color="auto"/>
          <w:right w:val="single" w:sz="4" w:space="4" w:color="auto"/>
        </w:pBdr>
        <w:spacing w:before="240" w:after="120" w:line="240" w:lineRule="auto"/>
        <w:jc w:val="both"/>
        <w:rPr>
          <w:rFonts w:ascii="Times New Roman" w:eastAsia="Calibri" w:hAnsi="Times New Roman" w:cs="Times New Roman"/>
          <w:b/>
          <w:i/>
        </w:rPr>
      </w:pPr>
      <w:r>
        <w:rPr>
          <w:rFonts w:ascii="Times New Roman" w:hAnsi="Times New Roman"/>
          <w:b/>
          <w:i/>
        </w:rPr>
        <w:t>Mis on ELi õigusemõistmise tulemustabel?</w:t>
      </w:r>
    </w:p>
    <w:p>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rPr>
      </w:pPr>
      <w:r>
        <w:rPr>
          <w:rFonts w:ascii="Times New Roman" w:hAnsi="Times New Roman"/>
        </w:rPr>
        <w:t>ELi õigusemõistmise tulemustabel on võrdlev teabevahend, mis koostatakse igal aastal. Selle eesmärk on aidata ELil ja liikmesriikidel parandada liikmesriikides kohtusüsteemi tulemuslikkust, esitades kõikide liikmesriikide kohtusüsteemide tõhususe, kvaliteedi ja sõltumatuse hindamiseks vajalikke objektiivseid, usaldusväärseid ja võrreldavaid andmeid. Selles ei esitata üldist ühtset paremusjärjestust, vaid antakse ülevaade kõikide kohtusüsteemide toimimisest, tuginedes näitajatele, mis pakuvad ühist huvi kõikidele liikmesriikidele.</w:t>
      </w:r>
    </w:p>
    <w:p>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rPr>
      </w:pPr>
      <w:r>
        <w:rPr>
          <w:rFonts w:ascii="Times New Roman" w:hAnsi="Times New Roman"/>
        </w:rPr>
        <w:t xml:space="preserve">Tulemustabelis ei propageerita ühtegi konkreetset kohtusüsteemi, vaid käsitletakse kõiki liikmesriike võrdsetel alustel. </w:t>
      </w:r>
    </w:p>
    <w:p>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rPr>
      </w:pPr>
      <w:r>
        <w:rPr>
          <w:rFonts w:ascii="Times New Roman" w:hAnsi="Times New Roman"/>
        </w:rPr>
        <w:t xml:space="preserve">Liikmesriigi kohtusüsteemi mudelist või selle aluseks olevast õigustraditsioonist olenemata on tulemusliku kohtusüsteemi olulised parameetrid tõhusus, kvaliteet ja sõltumatus. Nende kolme parameetriga seotud näitajaid tuleks vaadelda koos, sest kõik kolm elementi on sageli omavahel seotud (algatus ühe elemendi parandamiseks võib mõjutada ka teisi elemente). </w:t>
      </w:r>
    </w:p>
    <w:p>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rPr>
      </w:pPr>
      <w:r>
        <w:rPr>
          <w:rFonts w:ascii="Times New Roman" w:hAnsi="Times New Roman"/>
        </w:rPr>
        <w:t>Tulemustabelis keskendutakse ennekõike tsiviil- ja kaubandusvaidlustele ning haldusasjadele, et aidata liikmesriikidel luua investeerimise, ettevõtluse ja kodanike jaoks soodsam keskkond. Tulemustabel on võrdlusvahend, mida arendatakse dialoogis liikmesriikide ja Euroopa Parlamendiga(</w:t>
      </w:r>
      <w:r>
        <w:rPr>
          <w:rFonts w:ascii="Times New Roman" w:eastAsia="Calibri" w:hAnsi="Times New Roman" w:cs="Times New Roman"/>
          <w:vertAlign w:val="superscript"/>
        </w:rPr>
        <w:footnoteReference w:id="3"/>
      </w:r>
      <w:r>
        <w:rPr>
          <w:rFonts w:ascii="Times New Roman" w:hAnsi="Times New Roman"/>
        </w:rPr>
        <w:t>). Selle eesmärk on teha kindlaks tulemusliku kohtusüsteemi olulised parameetrid ning esitada vastavad iga-aastased andmed.</w:t>
      </w:r>
    </w:p>
    <w:p>
      <w:pPr>
        <w:keepNext/>
        <w:pBdr>
          <w:top w:val="single" w:sz="4" w:space="1" w:color="auto"/>
          <w:left w:val="single" w:sz="4" w:space="4" w:color="auto"/>
          <w:bottom w:val="single" w:sz="4" w:space="1" w:color="auto"/>
          <w:right w:val="single" w:sz="4" w:space="4" w:color="auto"/>
        </w:pBdr>
        <w:spacing w:before="240" w:after="120" w:line="240" w:lineRule="auto"/>
        <w:jc w:val="both"/>
        <w:rPr>
          <w:rFonts w:ascii="Times New Roman" w:eastAsia="Calibri" w:hAnsi="Times New Roman" w:cs="Times New Roman"/>
          <w:b/>
          <w:i/>
        </w:rPr>
      </w:pPr>
      <w:r>
        <w:rPr>
          <w:rFonts w:ascii="Times New Roman" w:hAnsi="Times New Roman"/>
          <w:b/>
          <w:i/>
        </w:rPr>
        <w:t>Millist metoodikat on ELi õigusemõistmise tulemustabelis kasutatud?</w:t>
      </w:r>
    </w:p>
    <w:p>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highlight w:val="yellow"/>
        </w:rPr>
      </w:pPr>
      <w:r>
        <w:rPr>
          <w:rFonts w:ascii="Times New Roman" w:hAnsi="Times New Roman"/>
        </w:rPr>
        <w:t>Tulemustabeli koostamiseks on kasutatud mitmesuguseid teabeallikaid. Suure osa kvantitatiivsetest andmetest on esitanud Euroopa Nõukogu kohtute efektiivsust hindav komisjon (CEPEJ), kellega komisjon on sõlminud kokkuleppe iga-aastase uuringu tegemiseks. Asjaomased andmed hõlmavad 2012.–2018. aastat ja liikmesriigid on need esitanud kooskõlas CEPEJ metoodikaga(</w:t>
      </w:r>
      <w:r>
        <w:rPr>
          <w:rStyle w:val="FootnoteReference"/>
          <w:rFonts w:ascii="Times New Roman" w:eastAsia="Calibri" w:hAnsi="Times New Roman" w:cs="Times New Roman"/>
        </w:rPr>
        <w:footnoteReference w:id="4"/>
      </w:r>
      <w:r>
        <w:rPr>
          <w:rFonts w:ascii="Times New Roman" w:hAnsi="Times New Roman"/>
        </w:rPr>
        <w:t>). Konteksti tutvustamiseks on uuringus esitatud ka üksikasjalikud märkused ja riigipõhised teabelehed. Neid tuleks vaadata koos joonistega(</w:t>
      </w:r>
      <w:r>
        <w:rPr>
          <w:rFonts w:ascii="Times New Roman" w:eastAsia="Calibri" w:hAnsi="Times New Roman" w:cs="Times New Roman"/>
          <w:vertAlign w:val="superscript"/>
        </w:rPr>
        <w:footnoteReference w:id="5"/>
      </w:r>
      <w:r>
        <w:rPr>
          <w:rFonts w:ascii="Times New Roman" w:hAnsi="Times New Roman"/>
        </w:rPr>
        <w:t>).</w:t>
      </w:r>
    </w:p>
    <w:p>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rPr>
      </w:pPr>
      <w:r>
        <w:rPr>
          <w:rFonts w:ascii="Times New Roman" w:hAnsi="Times New Roman"/>
        </w:rPr>
        <w:t>CEPEJ kogutud andmetest menetluste kestuse kohta on näha otsusele jõudmiseks kuluv aeg, mis on kohtumenetluste arvestuslik kestus (tugineb pooleliolevate ja lahendatud kohtuasjade suhtele). Andmetest, mis kajastavad kohtute tõhusust liidu õiguse kohaldamisel konkreetsetes valdkondades, tuleb välja menetluste keskmine kestus arvestatuna kohtuasjade tegeliku kestuse alusel. Tasub märkida, et kohtumenetluste kestus võib liikmesriigi eri piirkondades märkimisväärselt erineda, eriti linnades, kus äritegevus võib tähendada kohtute jaoks suuremat töökoormust.</w:t>
      </w:r>
    </w:p>
    <w:p>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rPr>
      </w:pPr>
      <w:r>
        <w:rPr>
          <w:rFonts w:ascii="Times New Roman" w:hAnsi="Times New Roman"/>
        </w:rPr>
        <w:t>Muud andmeallikad ajavahemiku 2010–2019(</w:t>
      </w:r>
      <w:r>
        <w:rPr>
          <w:rStyle w:val="FootnoteReference"/>
          <w:rFonts w:ascii="Times New Roman" w:eastAsia="Calibri" w:hAnsi="Times New Roman" w:cs="Times New Roman"/>
        </w:rPr>
        <w:footnoteReference w:id="6"/>
      </w:r>
      <w:r>
        <w:rPr>
          <w:rFonts w:ascii="Times New Roman" w:hAnsi="Times New Roman"/>
        </w:rPr>
        <w:t>) kohta on: liikmesriikide kohtusüsteemide kontaktisikute rühm,(</w:t>
      </w:r>
      <w:r>
        <w:rPr>
          <w:rFonts w:ascii="Times New Roman" w:eastAsia="Calibri" w:hAnsi="Times New Roman" w:cs="Times New Roman"/>
          <w:vertAlign w:val="superscript"/>
        </w:rPr>
        <w:footnoteReference w:id="7"/>
      </w:r>
      <w:r>
        <w:rPr>
          <w:rFonts w:ascii="Times New Roman" w:hAnsi="Times New Roman"/>
        </w:rPr>
        <w:t>) Euroopa kohtute haldamise nõukodade võrgustik,(</w:t>
      </w:r>
      <w:r>
        <w:rPr>
          <w:rFonts w:ascii="Times New Roman" w:eastAsia="Calibri" w:hAnsi="Times New Roman" w:cs="Times New Roman"/>
          <w:vertAlign w:val="superscript"/>
        </w:rPr>
        <w:footnoteReference w:id="8"/>
      </w:r>
      <w:r>
        <w:rPr>
          <w:rFonts w:ascii="Times New Roman" w:hAnsi="Times New Roman"/>
        </w:rPr>
        <w:t>) Euroopa Liidu ülemkohtute esimeeste võrgustik,(</w:t>
      </w:r>
      <w:r>
        <w:rPr>
          <w:rFonts w:ascii="Times New Roman" w:eastAsia="Calibri" w:hAnsi="Times New Roman" w:cs="Times New Roman"/>
          <w:vertAlign w:val="superscript"/>
        </w:rPr>
        <w:footnoteReference w:id="9"/>
      </w:r>
      <w:r>
        <w:rPr>
          <w:rFonts w:ascii="Times New Roman" w:hAnsi="Times New Roman"/>
        </w:rPr>
        <w:t>) Euroopa Liidu Riiginõukogude ja Kõrgemate Halduskohtute Ühendus,(</w:t>
      </w:r>
      <w:r>
        <w:rPr>
          <w:rFonts w:ascii="Times New Roman" w:eastAsia="Calibri" w:hAnsi="Times New Roman" w:cs="Times New Roman"/>
          <w:vertAlign w:val="superscript"/>
        </w:rPr>
        <w:footnoteReference w:id="10"/>
      </w:r>
      <w:r>
        <w:rPr>
          <w:rFonts w:ascii="Times New Roman" w:hAnsi="Times New Roman"/>
        </w:rPr>
        <w:t>) Euroopa konkurentsivõrgustik,(</w:t>
      </w:r>
      <w:r>
        <w:rPr>
          <w:rFonts w:ascii="Times New Roman" w:eastAsia="Calibri" w:hAnsi="Times New Roman" w:cs="Times New Roman"/>
          <w:vertAlign w:val="superscript"/>
        </w:rPr>
        <w:footnoteReference w:id="11"/>
      </w:r>
      <w:r>
        <w:rPr>
          <w:rFonts w:ascii="Times New Roman" w:hAnsi="Times New Roman"/>
        </w:rPr>
        <w:t>) sidekomitee,(</w:t>
      </w:r>
      <w:r>
        <w:rPr>
          <w:rFonts w:ascii="Times New Roman" w:eastAsia="Calibri" w:hAnsi="Times New Roman" w:cs="Times New Roman"/>
          <w:vertAlign w:val="superscript"/>
        </w:rPr>
        <w:footnoteReference w:id="12"/>
      </w:r>
      <w:r>
        <w:rPr>
          <w:rFonts w:ascii="Times New Roman" w:hAnsi="Times New Roman"/>
        </w:rPr>
        <w:t>) intellektuaalomandiga seotud õigusrikkumiste Euroopa vaatluskeskus,(</w:t>
      </w:r>
      <w:r>
        <w:rPr>
          <w:rFonts w:ascii="Times New Roman" w:eastAsia="Calibri" w:hAnsi="Times New Roman" w:cs="Times New Roman"/>
          <w:vertAlign w:val="superscript"/>
        </w:rPr>
        <w:footnoteReference w:id="13"/>
      </w:r>
      <w:r>
        <w:rPr>
          <w:rFonts w:ascii="Times New Roman" w:hAnsi="Times New Roman"/>
        </w:rPr>
        <w:t>) tarbijakaitsealase koostöö võrgustik,(</w:t>
      </w:r>
      <w:r>
        <w:rPr>
          <w:rFonts w:ascii="Times New Roman" w:eastAsia="Calibri" w:hAnsi="Times New Roman" w:cs="Times New Roman"/>
          <w:sz w:val="24"/>
          <w:szCs w:val="24"/>
          <w:vertAlign w:val="superscript"/>
        </w:rPr>
        <w:footnoteReference w:id="14"/>
      </w:r>
      <w:r>
        <w:rPr>
          <w:rFonts w:ascii="Times New Roman" w:hAnsi="Times New Roman"/>
        </w:rPr>
        <w:t>) rahapesu ja terrorismi rahastamist käsitlev eksperdirühm,(</w:t>
      </w:r>
      <w:r>
        <w:rPr>
          <w:rFonts w:ascii="Times New Roman" w:eastAsia="Calibri" w:hAnsi="Times New Roman" w:cs="Times New Roman"/>
          <w:vertAlign w:val="superscript"/>
        </w:rPr>
        <w:footnoteReference w:id="15"/>
      </w:r>
      <w:r>
        <w:rPr>
          <w:rFonts w:ascii="Times New Roman" w:hAnsi="Times New Roman"/>
        </w:rPr>
        <w:t>) Eurostat,(</w:t>
      </w:r>
      <w:r>
        <w:rPr>
          <w:rFonts w:ascii="Times New Roman" w:eastAsia="Calibri" w:hAnsi="Times New Roman" w:cs="Times New Roman"/>
          <w:vertAlign w:val="superscript"/>
        </w:rPr>
        <w:footnoteReference w:id="16"/>
      </w:r>
      <w:r>
        <w:rPr>
          <w:rFonts w:ascii="Times New Roman" w:hAnsi="Times New Roman"/>
        </w:rPr>
        <w:t>) Euroopa õigusalase koolituse võrgustik(</w:t>
      </w:r>
      <w:r>
        <w:rPr>
          <w:rFonts w:ascii="Times New Roman" w:eastAsia="Calibri" w:hAnsi="Times New Roman" w:cs="Times New Roman"/>
          <w:vertAlign w:val="superscript"/>
        </w:rPr>
        <w:footnoteReference w:id="17"/>
      </w:r>
      <w:r>
        <w:rPr>
          <w:rFonts w:ascii="Times New Roman" w:hAnsi="Times New Roman"/>
        </w:rPr>
        <w:t>) ning Maailma Majandusfoorum(</w:t>
      </w:r>
      <w:r>
        <w:rPr>
          <w:rFonts w:ascii="Times New Roman" w:eastAsia="Calibri" w:hAnsi="Times New Roman" w:cs="Times New Roman"/>
          <w:vertAlign w:val="superscript"/>
        </w:rPr>
        <w:footnoteReference w:id="18"/>
      </w:r>
      <w:r>
        <w:rPr>
          <w:rFonts w:ascii="Times New Roman" w:hAnsi="Times New Roman"/>
        </w:rPr>
        <w:t>).</w:t>
      </w:r>
    </w:p>
    <w:p>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rPr>
      </w:pPr>
      <w:r>
        <w:rPr>
          <w:rFonts w:ascii="Times New Roman" w:hAnsi="Times New Roman"/>
        </w:rPr>
        <w:t>Aastate jooksul on tulemustabeli metoodikat tihedas koostöös liikmesriikide kohtusüsteemide kontaktisikute rühmaga edasi arendatud ja viimistletud. Selleks kasutati eelkõige küsimustikku (ajakohastatakse igal aastal) ja koguti andmeid kohtusüsteemide toimimise teatavate aspektide kohta.</w:t>
      </w:r>
    </w:p>
    <w:p>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i/>
        </w:rPr>
      </w:pPr>
      <w:r>
        <w:rPr>
          <w:rFonts w:ascii="Times New Roman" w:hAnsi="Times New Roman"/>
        </w:rPr>
        <w:t>Andmete, eriti kohtusüsteemide tõhususe näitajate kättesaadavus üha paraneb, kuna paljud liikmesriigid on investeerinud oma suutlikkusse hankida kohtusüsteemi kohta paremaid statistilisi andmeid. Jätkuvad probleemid andmete kogumisel või esitamisel on tingitud ebapiisavast statistilisest suutlikkusest või asjaolust, et andmete kogumisel liikmesriigis kasutatavad kategooriad ei vasta täpselt tulemustabelis kasutatavatele kategooriatele. Vaid mõnel üksikul juhul on andmelünk põhjustatud sellest, et liikmesriikide ametiasutused ei jaga andmeid. Komisjon ärgitab liikmesriike ka edaspidi andmelünka veelgi vähendama.</w:t>
      </w:r>
    </w:p>
    <w:p>
      <w:pPr>
        <w:pBdr>
          <w:top w:val="single" w:sz="4" w:space="1" w:color="auto"/>
          <w:left w:val="single" w:sz="4" w:space="4" w:color="auto"/>
          <w:bottom w:val="single" w:sz="4" w:space="1" w:color="auto"/>
          <w:right w:val="single" w:sz="4" w:space="4" w:color="auto"/>
        </w:pBdr>
        <w:spacing w:before="240" w:after="120" w:line="240" w:lineRule="auto"/>
        <w:jc w:val="both"/>
        <w:rPr>
          <w:rFonts w:ascii="Times New Roman" w:eastAsia="Calibri" w:hAnsi="Times New Roman" w:cs="Times New Roman"/>
          <w:b/>
        </w:rPr>
      </w:pPr>
      <w:r>
        <w:rPr>
          <w:rFonts w:ascii="Times New Roman" w:hAnsi="Times New Roman"/>
          <w:b/>
          <w:i/>
        </w:rPr>
        <w:t>Kuidas toetab ELi õigusemõistmise tulemustabel Euroopa poolaastat?</w:t>
      </w:r>
    </w:p>
    <w:p>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rPr>
      </w:pPr>
      <w:r>
        <w:rPr>
          <w:rFonts w:ascii="Times New Roman" w:hAnsi="Times New Roman"/>
        </w:rPr>
        <w:t>Tulemustabelis on esitatud näitajad liikmesriikide kohtusüsteemide tõhususe, kvaliteedi ja sõltumatuse hindamiseks ning sellega püütakse aidata liikmesriikidel parandada oma kohtusüsteemi tulemuslikkust. Kohtusüsteeme käsitleva teabe võrdlemise teel aitab tulemustabel välja selgitada vajakajäämisi ja parimaid tavasid ning jälgida probleeme ja edusamme. Euroopa poolaasta raames korraldatakse liikmesriikide asjaomaste ametiasutuste ja sidusrühmadega peetava kahepoolse dialoogi kaudu riigipõhine hindamine. Hindamist kajastatakse Euroopa poolaasta jooksul koostatavates iga-aastastes riigipõhistes aruannetes ning selles ühendatakse tulemustabelist saadav teave kvalitatiivse riigipõhise analüüsiga, mis kajastab asjaomase liikmesriigi õigussüsteemi eripärasid ja üldisemat tausta. Kui välja selgitatud vajakajäämised on makromajanduslikult olulised, võib komisjon teha Euroopa poolaasta raames tehtud analüüsi tulemusel nõukogule ettepaneku võtta vastu riigipõhised soovitused konkreetse liikmesriigi kohtusüsteemi tõhustamiseks(</w:t>
      </w:r>
      <w:r>
        <w:rPr>
          <w:rStyle w:val="FootnoteReference"/>
          <w:rFonts w:ascii="Times New Roman" w:eastAsia="Calibri" w:hAnsi="Times New Roman" w:cs="Times New Roman"/>
        </w:rPr>
        <w:footnoteReference w:id="19"/>
      </w:r>
      <w:r>
        <w:rPr>
          <w:rFonts w:ascii="Times New Roman" w:hAnsi="Times New Roman"/>
        </w:rPr>
        <w:t>).</w:t>
      </w:r>
    </w:p>
    <w:p>
      <w:pPr>
        <w:pBdr>
          <w:top w:val="single" w:sz="4" w:space="1" w:color="auto"/>
          <w:left w:val="single" w:sz="4" w:space="4" w:color="auto"/>
          <w:bottom w:val="single" w:sz="4" w:space="1" w:color="auto"/>
          <w:right w:val="single" w:sz="4" w:space="4" w:color="auto"/>
        </w:pBdr>
        <w:spacing w:before="240" w:after="120" w:line="240" w:lineRule="auto"/>
        <w:jc w:val="both"/>
        <w:rPr>
          <w:rFonts w:ascii="Times New Roman" w:eastAsia="Calibri" w:hAnsi="Times New Roman" w:cs="Times New Roman"/>
          <w:b/>
          <w:i/>
        </w:rPr>
      </w:pPr>
      <w:r>
        <w:rPr>
          <w:rFonts w:ascii="Times New Roman" w:hAnsi="Times New Roman"/>
          <w:b/>
          <w:i/>
        </w:rPr>
        <w:t>Miks on tulemuslikud kohtusüsteemid investeerimist soodustava ettevõtluskeskkonna jaoks olulised?</w:t>
      </w:r>
    </w:p>
    <w:p>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rPr>
      </w:pPr>
      <w:r>
        <w:rPr>
          <w:rFonts w:ascii="Times New Roman" w:hAnsi="Times New Roman"/>
        </w:rPr>
        <w:t>Ollakse seisukohal, et õigusriigi põhimõtet kaitsval tulemuslikul kohtusüsteemil on majandusele soodne mõju. Kui kohtusüsteemid tagavad õiguskaitse, annavad võlausaldajad suurema tõenäosusega laenu, väheneb ettevõtjate soov käituda omakasupüüdlikult, alanevad tehingukulud ja innovaatilised ettevõtjad investeerivad tõenäoliselt rohkem. Riikide hästi toimivate kohtusüsteemide positiivset mõju majandusele toetavad arvukad uuringud ja teaduskirjandus, muu hulgas Rahvusvahelise Valuutafondi,(</w:t>
      </w:r>
      <w:r>
        <w:rPr>
          <w:rFonts w:ascii="Times New Roman" w:eastAsia="Calibri" w:hAnsi="Times New Roman" w:cs="Times New Roman"/>
          <w:vertAlign w:val="superscript"/>
        </w:rPr>
        <w:footnoteReference w:id="20"/>
      </w:r>
      <w:r>
        <w:rPr>
          <w:rFonts w:ascii="Times New Roman" w:hAnsi="Times New Roman"/>
        </w:rPr>
        <w:t>) Euroopa Keskpanga,(</w:t>
      </w:r>
      <w:r>
        <w:rPr>
          <w:rFonts w:ascii="Times New Roman" w:eastAsia="Calibri" w:hAnsi="Times New Roman" w:cs="Times New Roman"/>
          <w:vertAlign w:val="superscript"/>
        </w:rPr>
        <w:footnoteReference w:id="21"/>
      </w:r>
      <w:r>
        <w:rPr>
          <w:rFonts w:ascii="Times New Roman" w:hAnsi="Times New Roman"/>
        </w:rPr>
        <w:t>) OECD,(</w:t>
      </w:r>
      <w:r>
        <w:rPr>
          <w:rFonts w:ascii="Times New Roman" w:eastAsia="Calibri" w:hAnsi="Times New Roman" w:cs="Times New Roman"/>
          <w:vertAlign w:val="superscript"/>
        </w:rPr>
        <w:footnoteReference w:id="22"/>
      </w:r>
      <w:r>
        <w:rPr>
          <w:rFonts w:ascii="Times New Roman" w:hAnsi="Times New Roman"/>
        </w:rPr>
        <w:t>) Maailma Majandusfoorumi(</w:t>
      </w:r>
      <w:r>
        <w:rPr>
          <w:rFonts w:ascii="Times New Roman" w:eastAsia="Calibri" w:hAnsi="Times New Roman" w:cs="Times New Roman"/>
          <w:vertAlign w:val="superscript"/>
        </w:rPr>
        <w:footnoteReference w:id="23"/>
      </w:r>
      <w:r>
        <w:rPr>
          <w:rFonts w:ascii="Times New Roman" w:hAnsi="Times New Roman"/>
        </w:rPr>
        <w:t>) ja Maailmapanga(</w:t>
      </w:r>
      <w:r>
        <w:rPr>
          <w:rFonts w:ascii="Times New Roman" w:eastAsia="Calibri" w:hAnsi="Times New Roman" w:cs="Times New Roman"/>
          <w:vertAlign w:val="superscript"/>
        </w:rPr>
        <w:footnoteReference w:id="24"/>
      </w:r>
      <w:r>
        <w:rPr>
          <w:rFonts w:ascii="Times New Roman" w:hAnsi="Times New Roman"/>
        </w:rPr>
        <w:t>) uuringud ja väljaanded.</w:t>
      </w:r>
    </w:p>
    <w:p>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rPr>
      </w:pPr>
      <w:r>
        <w:rPr>
          <w:rFonts w:ascii="Times New Roman" w:hAnsi="Times New Roman"/>
        </w:rPr>
        <w:t>Uuringus leiti, et kohtumenetluse kestuse vähendamine 1 % võrra (mida mõõdetakse pooleliolevates kohtuasjades otsusele jõudmiseks kuluva ajana(</w:t>
      </w:r>
      <w:r>
        <w:rPr>
          <w:rFonts w:ascii="Times New Roman" w:eastAsia="Calibri" w:hAnsi="Times New Roman" w:cs="Times New Roman"/>
          <w:vertAlign w:val="superscript"/>
        </w:rPr>
        <w:footnoteReference w:id="25"/>
      </w:r>
      <w:r>
        <w:rPr>
          <w:rFonts w:ascii="Times New Roman" w:hAnsi="Times New Roman"/>
        </w:rPr>
        <w:t>)) võib kiirendada ettevõtjate kasvu(</w:t>
      </w:r>
      <w:r>
        <w:rPr>
          <w:rFonts w:ascii="Times New Roman" w:eastAsia="Calibri" w:hAnsi="Times New Roman" w:cs="Times New Roman"/>
          <w:vertAlign w:val="superscript"/>
        </w:rPr>
        <w:footnoteReference w:id="26"/>
      </w:r>
      <w:r>
        <w:rPr>
          <w:rFonts w:ascii="Times New Roman" w:hAnsi="Times New Roman"/>
        </w:rPr>
        <w:t>). Lisaks leiti, et kohtusüsteemi sõltumatuna tajuvate ettevõtjate osakaalu suurenemisel 1 % võrra on seos käibe suurenemise ja tootlikkuse kasvuga(</w:t>
      </w:r>
      <w:r>
        <w:rPr>
          <w:rFonts w:ascii="Times New Roman" w:eastAsia="Calibri" w:hAnsi="Times New Roman" w:cs="Times New Roman"/>
          <w:vertAlign w:val="superscript"/>
        </w:rPr>
        <w:footnoteReference w:id="27"/>
      </w:r>
      <w:r>
        <w:rPr>
          <w:rFonts w:ascii="Times New Roman" w:hAnsi="Times New Roman"/>
        </w:rPr>
        <w:t>). Teises uuringus ilmnes positiivne seos kohtusüsteemi tajutava sõltumatuse ja välismaiste otseinvesteeringute vahel Kesk- ja Ida-Euroopas(</w:t>
      </w:r>
      <w:r>
        <w:rPr>
          <w:rFonts w:ascii="Times New Roman" w:eastAsia="Calibri" w:hAnsi="Times New Roman" w:cs="Times New Roman"/>
          <w:vertAlign w:val="superscript"/>
        </w:rPr>
        <w:footnoteReference w:id="28"/>
      </w:r>
      <w:r>
        <w:rPr>
          <w:rFonts w:ascii="Times New Roman" w:hAnsi="Times New Roman"/>
        </w:rPr>
        <w:t>). </w:t>
      </w:r>
    </w:p>
    <w:p>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rPr>
      </w:pPr>
      <w:r>
        <w:rPr>
          <w:rFonts w:ascii="Times New Roman" w:hAnsi="Times New Roman"/>
        </w:rPr>
        <w:t>Lisaks sellele on mitmes uuringus tõstetud esile liikmesriikide kohtusüsteemide tulemuslikkuse olulisust ettevõtjate jaoks. Näiteks ühes uuringus vastas 93 % suurettevõtjatest, et nad hindavad süstemaatiliselt ja pidevalt õigusriigi olukorda (sealhulgas kohtute sõltumatust) riikides, kuhu nad investeerivad(</w:t>
      </w:r>
      <w:r>
        <w:rPr>
          <w:rFonts w:ascii="Times New Roman" w:eastAsia="Calibri" w:hAnsi="Times New Roman" w:cs="Times New Roman"/>
          <w:vertAlign w:val="superscript"/>
        </w:rPr>
        <w:footnoteReference w:id="29"/>
      </w:r>
      <w:r>
        <w:rPr>
          <w:rFonts w:ascii="Times New Roman" w:hAnsi="Times New Roman"/>
        </w:rPr>
        <w:t>). Teises uuringus vastas enam kui pool väikestest ja keskmise suurusega ettevõtjatest, et peamised põhjused, miks nad loobusid intellektuaalomandiõiguste rikkumisega seotud menetluse algatamisest kohtus, olid vastavalt kohtumenetluse kulud ja liiga pikk kestus(</w:t>
      </w:r>
      <w:r>
        <w:rPr>
          <w:rFonts w:ascii="Times New Roman" w:eastAsia="Calibri" w:hAnsi="Times New Roman" w:cs="Times New Roman"/>
          <w:vertAlign w:val="superscript"/>
        </w:rPr>
        <w:footnoteReference w:id="30"/>
      </w:r>
      <w:r>
        <w:rPr>
          <w:rFonts w:ascii="Times New Roman" w:hAnsi="Times New Roman"/>
        </w:rPr>
        <w:t>). Ka komisjoni teatis „Ühtse turu tõkete tuvastamine ja kõrvaldamine“(</w:t>
      </w:r>
      <w:r>
        <w:rPr>
          <w:rStyle w:val="FootnoteReference"/>
          <w:rFonts w:ascii="Times New Roman" w:eastAsia="Calibri" w:hAnsi="Times New Roman" w:cs="Times New Roman"/>
        </w:rPr>
        <w:footnoteReference w:id="31"/>
      </w:r>
      <w:r>
        <w:rPr>
          <w:rFonts w:ascii="Times New Roman" w:hAnsi="Times New Roman"/>
        </w:rPr>
        <w:t>) ning ühtse turu nõuete täitmise tagamise tegevuskava(</w:t>
      </w:r>
      <w:r>
        <w:rPr>
          <w:rStyle w:val="FootnoteReference"/>
          <w:rFonts w:ascii="Times New Roman" w:eastAsia="Calibri" w:hAnsi="Times New Roman" w:cs="Times New Roman"/>
        </w:rPr>
        <w:footnoteReference w:id="32"/>
      </w:r>
      <w:r>
        <w:rPr>
          <w:rFonts w:ascii="Times New Roman" w:hAnsi="Times New Roman"/>
        </w:rPr>
        <w:t xml:space="preserve">) annavad ülevaate tulemuslike kohtusüsteemide tähtsusest ühtse turu toimimiseks, eelkõige ettevõtjate jaoks. </w:t>
      </w:r>
    </w:p>
    <w:p>
      <w:pPr>
        <w:pBdr>
          <w:top w:val="single" w:sz="4" w:space="1" w:color="auto"/>
          <w:left w:val="single" w:sz="4" w:space="4" w:color="auto"/>
          <w:bottom w:val="single" w:sz="4" w:space="1" w:color="auto"/>
          <w:right w:val="single" w:sz="4" w:space="4" w:color="auto"/>
        </w:pBdr>
        <w:spacing w:before="240" w:after="120" w:line="240" w:lineRule="auto"/>
        <w:jc w:val="both"/>
        <w:rPr>
          <w:rFonts w:ascii="Times New Roman" w:eastAsia="Calibri" w:hAnsi="Times New Roman" w:cs="Times New Roman"/>
          <w:b/>
          <w:i/>
        </w:rPr>
      </w:pPr>
      <w:r>
        <w:rPr>
          <w:rFonts w:ascii="Times New Roman" w:hAnsi="Times New Roman"/>
          <w:b/>
          <w:i/>
        </w:rPr>
        <w:t>Kuidas abistab komisjon heade kohtureformide rakendamisel tehnilise toetusega?</w:t>
      </w:r>
    </w:p>
    <w:p>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rPr>
      </w:pPr>
      <w:r>
        <w:rPr>
          <w:rFonts w:ascii="Times New Roman" w:hAnsi="Times New Roman"/>
        </w:rPr>
        <w:t>Liikmesriigid saavad kasutada komisjoni tehnilist toetust, mida pakutakse struktuurireformide toe peadirektoraadi kaudu struktuurireformi tugiprogrammi(</w:t>
      </w:r>
      <w:r>
        <w:rPr>
          <w:rFonts w:ascii="Times New Roman" w:eastAsia="Calibri" w:hAnsi="Times New Roman" w:cs="Times New Roman"/>
          <w:vertAlign w:val="superscript"/>
        </w:rPr>
        <w:footnoteReference w:id="33"/>
      </w:r>
      <w:r>
        <w:rPr>
          <w:rFonts w:ascii="Times New Roman" w:hAnsi="Times New Roman"/>
        </w:rPr>
        <w:t>) raames. Viimase kogueelarve on 2017.–2020. aastal 222,8 miljonit eurot. Alates 2017. aastast on 16 liikmesriiki(</w:t>
      </w:r>
      <w:r>
        <w:rPr>
          <w:rFonts w:ascii="Times New Roman" w:eastAsia="Calibri" w:hAnsi="Times New Roman" w:cs="Times New Roman"/>
          <w:vertAlign w:val="superscript"/>
        </w:rPr>
        <w:footnoteReference w:id="34"/>
      </w:r>
      <w:r>
        <w:rPr>
          <w:rFonts w:ascii="Times New Roman" w:hAnsi="Times New Roman"/>
        </w:rPr>
        <w:t>) juba saanud või taotlenud tehnilist toetust paljudes valdkondades. Näiteks kuulub siia tehniline toetus kohtusüsteemi tulemuslikkuse parandamiseks, kohtute võrgustiku reformimiseks, kohtute korraldusele, e-õiguskeskkonna ja küberõigusemõistmise programmide väljatöötamiseks ja elluviimiseks, kohtuasjade haldussüsteemidele, kohtunike valimiseks, edutamiseks ja koolitamiseks ning tarbijavaidluste kohtuväliseks lahendamiseks. Mais 2020 esitas komisjon ka taastekava ettepanekud(</w:t>
      </w:r>
      <w:r>
        <w:rPr>
          <w:rFonts w:ascii="Times New Roman" w:eastAsia="Calibri" w:hAnsi="Times New Roman" w:cs="Times New Roman"/>
          <w:vertAlign w:val="superscript"/>
        </w:rPr>
        <w:footnoteReference w:id="35"/>
      </w:r>
      <w:r>
        <w:rPr>
          <w:rFonts w:ascii="Times New Roman" w:hAnsi="Times New Roman"/>
        </w:rPr>
        <w:t xml:space="preserve">). Taastekava osana pakuti praeguse struktuurireformi tugiprogrammi jätkuna välja </w:t>
      </w:r>
      <w:r>
        <w:rPr>
          <w:rFonts w:ascii="Times New Roman" w:hAnsi="Times New Roman"/>
          <w:b/>
        </w:rPr>
        <w:t>tehnilise toetuse vahend</w:t>
      </w:r>
      <w:r>
        <w:rPr>
          <w:rFonts w:ascii="Times New Roman" w:hAnsi="Times New Roman"/>
        </w:rPr>
        <w:t>(</w:t>
      </w:r>
      <w:r>
        <w:rPr>
          <w:rFonts w:ascii="Times New Roman" w:eastAsia="Calibri" w:hAnsi="Times New Roman" w:cs="Times New Roman"/>
          <w:vertAlign w:val="superscript"/>
        </w:rPr>
        <w:footnoteReference w:id="36"/>
      </w:r>
      <w:r>
        <w:rPr>
          <w:rFonts w:ascii="Times New Roman" w:hAnsi="Times New Roman"/>
        </w:rPr>
        <w:t xml:space="preserve">). See vahend tugineb struktuurireformi programmi edule ning võimaldab komisjonil aidata tugevdada ELi liikmesriikide institutsioonilist ja haldussuutlikkust. Tehnilise toetuse vahendist saavad liikmesriigid jätkata tehnilise toetuse taotlemist muu hulgas kohtusüsteemi valdkonnas. </w:t>
      </w:r>
    </w:p>
    <w:p>
      <w:pPr>
        <w:spacing w:after="0" w:line="240" w:lineRule="auto"/>
        <w:jc w:val="both"/>
        <w:rPr>
          <w:rFonts w:ascii="Times New Roman" w:eastAsia="Times New Roman" w:hAnsi="Times New Roman" w:cs="Times New Roman"/>
          <w:b/>
          <w:smallCaps/>
          <w:sz w:val="24"/>
          <w:szCs w:val="24"/>
          <w:highlight w:val="yellow"/>
        </w:rPr>
      </w:pPr>
      <w:bookmarkStart w:id="2" w:name="_Toc443484746"/>
      <w:bookmarkStart w:id="3" w:name="_Toc443509487"/>
      <w:bookmarkStart w:id="4" w:name="_Toc446014816"/>
      <w:r>
        <w:br w:type="page"/>
      </w:r>
    </w:p>
    <w:p>
      <w:pPr>
        <w:keepNext/>
        <w:tabs>
          <w:tab w:val="left" w:pos="850"/>
        </w:tabs>
        <w:spacing w:before="360" w:after="120" w:line="240" w:lineRule="auto"/>
        <w:ind w:left="850" w:hanging="850"/>
        <w:jc w:val="both"/>
        <w:outlineLvl w:val="0"/>
        <w:rPr>
          <w:rFonts w:ascii="Times New Roman" w:eastAsia="Times New Roman" w:hAnsi="Times New Roman" w:cs="Times New Roman"/>
          <w:b/>
          <w:smallCaps/>
          <w:sz w:val="24"/>
          <w:szCs w:val="24"/>
        </w:rPr>
      </w:pPr>
      <w:r>
        <w:rPr>
          <w:rFonts w:ascii="Times New Roman" w:hAnsi="Times New Roman"/>
          <w:b/>
          <w:smallCaps/>
          <w:sz w:val="24"/>
          <w:szCs w:val="24"/>
        </w:rPr>
        <w:t>2.</w:t>
      </w:r>
      <w:r>
        <w:tab/>
      </w:r>
      <w:r>
        <w:rPr>
          <w:rFonts w:ascii="Times New Roman" w:hAnsi="Times New Roman"/>
          <w:b/>
          <w:smallCaps/>
          <w:sz w:val="24"/>
          <w:szCs w:val="24"/>
        </w:rPr>
        <w:t xml:space="preserve">Taust: </w:t>
      </w:r>
      <w:bookmarkEnd w:id="2"/>
      <w:bookmarkEnd w:id="3"/>
      <w:bookmarkEnd w:id="4"/>
      <w:r>
        <w:rPr>
          <w:rFonts w:ascii="Times New Roman" w:hAnsi="Times New Roman"/>
          <w:b/>
          <w:smallCaps/>
          <w:sz w:val="24"/>
          <w:szCs w:val="24"/>
        </w:rPr>
        <w:t>kohtureformide areng 2019. aastal</w:t>
      </w:r>
    </w:p>
    <w:p>
      <w:pPr>
        <w:spacing w:before="240" w:after="120" w:line="240" w:lineRule="auto"/>
        <w:jc w:val="both"/>
        <w:rPr>
          <w:rFonts w:ascii="Times New Roman" w:eastAsia="Calibri" w:hAnsi="Times New Roman" w:cs="Times New Roman"/>
          <w:sz w:val="24"/>
        </w:rPr>
      </w:pPr>
      <w:r>
        <w:rPr>
          <w:rFonts w:ascii="Times New Roman" w:hAnsi="Times New Roman"/>
          <w:sz w:val="24"/>
        </w:rPr>
        <w:t>Aastal 2019 jätkas suur hulk liikmesriike tööd selle nimel, et parandada oma kohtusüsteemi tulemuslikkust. Joonisel 1 antakse ajakohastatud ülevaade reforme ellu viivate liikmesriikide kohtusüsteemide eri valdkondades vastuvõetud ja kavandatavatest meetmetest.</w:t>
      </w:r>
    </w:p>
    <w:p>
      <w:pPr>
        <w:keepNext/>
        <w:spacing w:before="240" w:after="120" w:line="240" w:lineRule="auto"/>
        <w:jc w:val="both"/>
        <w:rPr>
          <w:rFonts w:ascii="Times New Roman" w:eastAsia="Calibri" w:hAnsi="Times New Roman" w:cs="Times New Roman"/>
          <w:i/>
          <w:spacing w:val="-6"/>
          <w:sz w:val="24"/>
        </w:rPr>
      </w:pPr>
      <w:r>
        <w:rPr>
          <w:rFonts w:ascii="Times New Roman" w:hAnsi="Times New Roman"/>
          <w:b/>
          <w:bCs/>
          <w:sz w:val="24"/>
          <w:szCs w:val="24"/>
        </w:rPr>
        <w:t>Joonis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1</w:t>
      </w:r>
      <w:r>
        <w:fldChar w:fldCharType="end"/>
      </w:r>
      <w:r>
        <w:t>.</w:t>
      </w:r>
      <w:r>
        <w:rPr>
          <w:rFonts w:ascii="Times New Roman" w:hAnsi="Times New Roman"/>
          <w:b/>
          <w:bCs/>
          <w:sz w:val="24"/>
          <w:szCs w:val="24"/>
        </w:rPr>
        <w:t xml:space="preserve"> Kohtusüsteemidega seotud seadusandlikud ja reguleerivad meetmed 2019. aastal</w:t>
      </w:r>
      <w:r>
        <w:rPr>
          <w:rFonts w:ascii="Times New Roman" w:hAnsi="Times New Roman"/>
          <w:sz w:val="24"/>
          <w:szCs w:val="24"/>
        </w:rPr>
        <w:t xml:space="preserve"> </w:t>
      </w:r>
      <w:r>
        <w:rPr>
          <w:rFonts w:ascii="Times New Roman" w:hAnsi="Times New Roman"/>
          <w:i/>
          <w:iCs/>
          <w:sz w:val="24"/>
          <w:szCs w:val="24"/>
        </w:rPr>
        <w:t>(vastuvõetud meetmed / läbiräägitavad algatused liikmesriigi kohta) (allikas: Euroopa Komisjon</w:t>
      </w:r>
      <w:r>
        <w:rPr>
          <w:rFonts w:ascii="Times New Roman" w:hAnsi="Times New Roman"/>
          <w:sz w:val="24"/>
          <w:szCs w:val="24"/>
        </w:rPr>
        <w:t>(</w:t>
      </w:r>
      <w:r>
        <w:rPr>
          <w:rFonts w:ascii="Times New Roman" w:eastAsia="Calibri" w:hAnsi="Times New Roman" w:cs="Times New Roman"/>
          <w:sz w:val="24"/>
          <w:szCs w:val="24"/>
          <w:vertAlign w:val="superscript"/>
        </w:rPr>
        <w:footnoteReference w:id="37"/>
      </w:r>
      <w:r>
        <w:rPr>
          <w:rFonts w:ascii="Times New Roman" w:hAnsi="Times New Roman"/>
          <w:sz w:val="24"/>
          <w:szCs w:val="24"/>
        </w:rPr>
        <w:t>))</w:t>
      </w:r>
      <w:r>
        <w:rPr>
          <w:rFonts w:ascii="Times New Roman" w:hAnsi="Times New Roman"/>
          <w:i/>
          <w:iCs/>
          <w:sz w:val="24"/>
          <w:szCs w:val="24"/>
        </w:rPr>
        <w:t xml:space="preserve"> </w:t>
      </w:r>
    </w:p>
    <w:p>
      <w:pPr>
        <w:keepNext/>
        <w:spacing w:after="0" w:line="240" w:lineRule="auto"/>
        <w:jc w:val="both"/>
        <w:rPr>
          <w:rFonts w:ascii="Times New Roman Bold" w:eastAsia="Calibri" w:hAnsi="Times New Roman Bold" w:cs="Times New Roman"/>
          <w:spacing w:val="-6"/>
          <w:sz w:val="24"/>
        </w:rPr>
      </w:pPr>
      <w:r>
        <w:rPr>
          <w:lang w:val="en-GB" w:eastAsia="en-GB"/>
        </w:rPr>
        <w:drawing>
          <wp:inline distT="0" distB="0" distL="0" distR="0">
            <wp:extent cx="5977255" cy="2398199"/>
            <wp:effectExtent l="0" t="0" r="4445" b="2540"/>
            <wp:docPr id="97349" name="Picture 97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77255" cy="2398199"/>
                    </a:xfrm>
                    <a:prstGeom prst="rect">
                      <a:avLst/>
                    </a:prstGeom>
                    <a:noFill/>
                    <a:ln>
                      <a:noFill/>
                    </a:ln>
                  </pic:spPr>
                </pic:pic>
              </a:graphicData>
            </a:graphic>
          </wp:inline>
        </w:drawing>
      </w:r>
    </w:p>
    <w:p>
      <w:pPr>
        <w:keepNext/>
        <w:shd w:val="clear" w:color="auto" w:fill="FFFFFF" w:themeFill="background1"/>
        <w:spacing w:after="0" w:line="240" w:lineRule="auto"/>
        <w:jc w:val="both"/>
        <w:rPr>
          <w:rFonts w:ascii="Times New Roman" w:eastAsia="Calibri" w:hAnsi="Times New Roman" w:cs="Times New Roman"/>
          <w:sz w:val="24"/>
          <w:szCs w:val="24"/>
        </w:rPr>
      </w:pPr>
      <w:r>
        <w:rPr>
          <w:rFonts w:ascii="Times New Roman" w:hAnsi="Times New Roman"/>
          <w:sz w:val="24"/>
          <w:szCs w:val="24"/>
        </w:rPr>
        <w:t>Aastal 2019 oli mitmes liikmesriigis endiselt erilise tähelepanu all menetlusõigus, käimas või kavas oli ulatuslik seadusandlik tegevus. Samuti elavnes tegevus kohtunike staatust ning õigusala töötajaid ja prokuröre käsitlevate eeskirjade reformide vallas. ELi õigusemõistmise tulemustabeli viimase väljaandega võrreldes hoogustus veelgi meetmete vastuvõtmine sellistes valdkondades, nagu kohtute ja kohtute haldamise nõukoja haldamine, sest liikmesriigid hakkasid võtma varem väljakuulutatud meetmeid . Teistes valdkondades, nagu info- ja kommunikatsioonitehnoloogia arendamine kohtusüsteemis või kohtuvõrgustiku ümberkujundamine, tegevus aeglustus. Mõni liikmesriik kasutab juba aktiivselt või vähemalt kavatseb oma kohtusüsteemis kasutama hakata tehisintellekti. Ülevaates kinnitatakse veel kord tähelepanekut, et kohtureformid on aeglased – mõnikord kulub kohtureformi väljakuulutamisest kuni seadusandlike ja reguleerivate meetmete vastuvõtmise ning nende tegeliku rakendamiseni kohapeal aastaid.</w:t>
      </w:r>
      <w:bookmarkStart w:id="5" w:name="_Toc409512288"/>
      <w:bookmarkStart w:id="6" w:name="_Toc409530215"/>
      <w:bookmarkStart w:id="7" w:name="_Toc438545665"/>
      <w:bookmarkStart w:id="8" w:name="_Toc438548315"/>
      <w:bookmarkStart w:id="9" w:name="_Toc438548501"/>
      <w:bookmarkStart w:id="10" w:name="_Toc440017691"/>
      <w:bookmarkStart w:id="11" w:name="_Toc440018075"/>
      <w:bookmarkStart w:id="12" w:name="_Toc440033373"/>
      <w:bookmarkStart w:id="13" w:name="_Toc440035224"/>
      <w:bookmarkStart w:id="14" w:name="_Toc440036519"/>
      <w:bookmarkStart w:id="15" w:name="_Toc440042461"/>
      <w:bookmarkStart w:id="16" w:name="_Toc440291115"/>
      <w:bookmarkStart w:id="17" w:name="_Toc440294678"/>
      <w:bookmarkStart w:id="18" w:name="_Toc440295180"/>
      <w:bookmarkStart w:id="19" w:name="_Toc440296585"/>
      <w:bookmarkStart w:id="20" w:name="_Toc440625069"/>
      <w:bookmarkStart w:id="21" w:name="_Toc440626399"/>
      <w:bookmarkStart w:id="22" w:name="_Toc440628853"/>
      <w:bookmarkStart w:id="23" w:name="_Toc441571125"/>
      <w:bookmarkStart w:id="24" w:name="_Toc441581627"/>
      <w:bookmarkStart w:id="25" w:name="_Toc441585894"/>
      <w:bookmarkStart w:id="26" w:name="_Toc441595829"/>
      <w:bookmarkStart w:id="27" w:name="_Toc441596006"/>
      <w:bookmarkStart w:id="28" w:name="_Toc441748131"/>
      <w:bookmarkStart w:id="29" w:name="_Toc441755416"/>
      <w:bookmarkStart w:id="30" w:name="_Toc441756453"/>
      <w:bookmarkStart w:id="31" w:name="_Toc441757497"/>
      <w:bookmarkStart w:id="32" w:name="_Toc441766626"/>
      <w:bookmarkStart w:id="33" w:name="_Toc441766965"/>
      <w:bookmarkStart w:id="34" w:name="_Toc442187966"/>
      <w:bookmarkStart w:id="35" w:name="_Toc442262058"/>
      <w:bookmarkStart w:id="36" w:name="_Toc442362465"/>
      <w:bookmarkStart w:id="37" w:name="_Toc442374801"/>
      <w:bookmarkStart w:id="38" w:name="_Toc442425941"/>
      <w:bookmarkStart w:id="39" w:name="_Toc442453067"/>
      <w:bookmarkStart w:id="40" w:name="_Toc443484747"/>
      <w:bookmarkStart w:id="41" w:name="_Toc443509488"/>
      <w:bookmarkStart w:id="42" w:name="_Toc446014817"/>
      <w:r>
        <w:rPr>
          <w:rFonts w:ascii="Times New Roman" w:eastAsia="Calibri" w:hAnsi="Times New Roman" w:cs="Times New Roman"/>
          <w:sz w:val="24"/>
          <w:szCs w:val="24"/>
        </w:rPr>
        <w:t xml:space="preserve"> </w:t>
      </w:r>
    </w:p>
    <w:p>
      <w:pPr>
        <w:keepNext/>
        <w:shd w:val="clear" w:color="auto" w:fill="FFFFFF" w:themeFill="background1"/>
        <w:spacing w:after="0" w:line="240" w:lineRule="auto"/>
        <w:jc w:val="both"/>
        <w:rPr>
          <w:rFonts w:ascii="Arial" w:eastAsia="Arial" w:hAnsi="Arial" w:cs="Arial"/>
          <w:sz w:val="24"/>
          <w:szCs w:val="24"/>
        </w:rPr>
      </w:pPr>
      <w:r>
        <w:br w:type="page"/>
      </w:r>
    </w:p>
    <w:p>
      <w:pPr>
        <w:keepNext/>
        <w:tabs>
          <w:tab w:val="left" w:pos="850"/>
        </w:tabs>
        <w:spacing w:after="120" w:line="240" w:lineRule="auto"/>
        <w:jc w:val="both"/>
        <w:rPr>
          <w:rFonts w:ascii="Times New Roman" w:eastAsia="Times New Roman" w:hAnsi="Times New Roman" w:cs="Times New Roman"/>
          <w:b/>
          <w:smallCaps/>
          <w:sz w:val="24"/>
          <w:szCs w:val="24"/>
        </w:rPr>
      </w:pPr>
      <w:r>
        <w:rPr>
          <w:rFonts w:ascii="Times New Roman" w:hAnsi="Times New Roman"/>
          <w:b/>
          <w:smallCaps/>
          <w:sz w:val="24"/>
          <w:szCs w:val="24"/>
        </w:rPr>
        <w:t>3.</w:t>
      </w:r>
      <w:r>
        <w:tab/>
      </w:r>
      <w:r>
        <w:rPr>
          <w:rFonts w:ascii="Times New Roman" w:hAnsi="Times New Roman"/>
          <w:b/>
          <w:smallCaps/>
          <w:sz w:val="24"/>
          <w:szCs w:val="24"/>
        </w:rPr>
        <w:t>2020. aasta ELi õigusemõistmise tulemustabeli kõige olulisemad tulemused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spacing w:after="120" w:line="240" w:lineRule="auto"/>
        <w:jc w:val="both"/>
        <w:rPr>
          <w:rFonts w:ascii="Times New Roman" w:eastAsia="Calibri" w:hAnsi="Times New Roman" w:cs="Times New Roman"/>
          <w:sz w:val="24"/>
        </w:rPr>
      </w:pPr>
      <w:r>
        <w:rPr>
          <w:rFonts w:ascii="Times New Roman" w:hAnsi="Times New Roman"/>
          <w:sz w:val="24"/>
        </w:rPr>
        <w:t>Tulemusliku kohtusüsteemi põhiparameetrid on tõhusus, kvaliteet ja sõltumatus ning tulemustabelis on esitatud näitajad kõigi kolme kohta.</w:t>
      </w:r>
    </w:p>
    <w:p>
      <w:pPr>
        <w:keepNext/>
        <w:spacing w:before="240" w:after="120" w:line="240" w:lineRule="auto"/>
        <w:jc w:val="both"/>
        <w:outlineLvl w:val="1"/>
        <w:rPr>
          <w:rFonts w:ascii="Times New Roman" w:eastAsia="Times New Roman" w:hAnsi="Times New Roman" w:cs="Times New Roman"/>
          <w:b/>
          <w:sz w:val="24"/>
          <w:szCs w:val="28"/>
        </w:rPr>
      </w:pPr>
      <w:bookmarkStart w:id="43" w:name="_Toc409512289"/>
      <w:bookmarkStart w:id="44" w:name="_Toc409530217"/>
      <w:bookmarkStart w:id="45" w:name="_Toc438545667"/>
      <w:bookmarkStart w:id="46" w:name="_Toc438548317"/>
      <w:bookmarkStart w:id="47" w:name="_Toc438548503"/>
      <w:bookmarkStart w:id="48" w:name="_Toc440017693"/>
      <w:bookmarkStart w:id="49" w:name="_Toc440018077"/>
      <w:bookmarkStart w:id="50" w:name="_Toc440033375"/>
      <w:bookmarkStart w:id="51" w:name="_Toc440035226"/>
      <w:bookmarkStart w:id="52" w:name="_Toc440036521"/>
      <w:bookmarkStart w:id="53" w:name="_Toc440042463"/>
      <w:bookmarkStart w:id="54" w:name="_Toc440291116"/>
      <w:bookmarkStart w:id="55" w:name="_Toc440294679"/>
      <w:bookmarkStart w:id="56" w:name="_Toc440295181"/>
      <w:bookmarkStart w:id="57" w:name="_Toc440296586"/>
      <w:bookmarkStart w:id="58" w:name="_Toc440625070"/>
      <w:bookmarkStart w:id="59" w:name="_Toc440626400"/>
      <w:bookmarkStart w:id="60" w:name="_Toc440628854"/>
      <w:bookmarkStart w:id="61" w:name="_Toc441571126"/>
      <w:bookmarkStart w:id="62" w:name="_Toc441581628"/>
      <w:bookmarkStart w:id="63" w:name="_Toc441585895"/>
      <w:bookmarkStart w:id="64" w:name="_Toc441595830"/>
      <w:bookmarkStart w:id="65" w:name="_Toc441596007"/>
      <w:bookmarkStart w:id="66" w:name="_Toc441748132"/>
      <w:bookmarkStart w:id="67" w:name="_Toc441755417"/>
      <w:bookmarkStart w:id="68" w:name="_Toc441756454"/>
      <w:bookmarkStart w:id="69" w:name="_Toc441757498"/>
      <w:bookmarkStart w:id="70" w:name="_Toc441766627"/>
      <w:bookmarkStart w:id="71" w:name="_Toc441766966"/>
      <w:bookmarkStart w:id="72" w:name="_Toc442187967"/>
      <w:bookmarkStart w:id="73" w:name="_Toc442262059"/>
      <w:bookmarkStart w:id="74" w:name="_Toc442362466"/>
      <w:bookmarkStart w:id="75" w:name="_Toc442374802"/>
      <w:bookmarkStart w:id="76" w:name="_Toc442425942"/>
      <w:bookmarkStart w:id="77" w:name="_Toc442453068"/>
      <w:bookmarkStart w:id="78" w:name="_Toc443484748"/>
      <w:bookmarkStart w:id="79" w:name="_Toc443509489"/>
      <w:bookmarkStart w:id="80" w:name="_Toc446014818"/>
      <w:r>
        <w:rPr>
          <w:rFonts w:ascii="Times New Roman" w:hAnsi="Times New Roman"/>
          <w:b/>
          <w:sz w:val="24"/>
          <w:szCs w:val="28"/>
        </w:rPr>
        <w:t>3.1. Kohtusüsteemide tõhusus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spacing w:after="120" w:line="240" w:lineRule="auto"/>
        <w:jc w:val="both"/>
        <w:rPr>
          <w:rFonts w:ascii="Times New Roman" w:eastAsia="Times New Roman" w:hAnsi="Times New Roman" w:cs="Times New Roman"/>
          <w:sz w:val="24"/>
          <w:szCs w:val="24"/>
        </w:rPr>
      </w:pPr>
      <w:bookmarkStart w:id="81" w:name="_Toc409530218"/>
      <w:bookmarkStart w:id="82" w:name="_Toc438545668"/>
      <w:bookmarkStart w:id="83" w:name="_Toc438548318"/>
      <w:bookmarkStart w:id="84" w:name="_Toc438548504"/>
      <w:bookmarkStart w:id="85" w:name="_Toc440017694"/>
      <w:bookmarkStart w:id="86" w:name="_Toc440018078"/>
      <w:bookmarkStart w:id="87" w:name="_Toc440033376"/>
      <w:bookmarkStart w:id="88" w:name="_Toc440035227"/>
      <w:bookmarkStart w:id="89" w:name="_Toc440036522"/>
      <w:bookmarkStart w:id="90" w:name="_Toc440042464"/>
      <w:r>
        <w:rPr>
          <w:rFonts w:ascii="Times New Roman" w:hAnsi="Times New Roman"/>
          <w:sz w:val="24"/>
          <w:szCs w:val="24"/>
        </w:rPr>
        <w:t>Tulemustabel sisaldab näitajaid, mis kajastavad menetluste tõhusust tsiviil-, kaubandus- ja haldusasjades üldiselt ning konkreetsetes valdkondades, kus haldusasutused ja kohtud kohaldavad liidu õigust(</w:t>
      </w:r>
      <w:r>
        <w:rPr>
          <w:rFonts w:ascii="Times New Roman" w:eastAsia="Times New Roman" w:hAnsi="Times New Roman" w:cs="Times New Roman"/>
          <w:sz w:val="24"/>
          <w:szCs w:val="24"/>
          <w:vertAlign w:val="superscript"/>
        </w:rPr>
        <w:footnoteReference w:id="38"/>
      </w:r>
      <w:r>
        <w:rPr>
          <w:rFonts w:ascii="Times New Roman" w:hAnsi="Times New Roman"/>
          <w:sz w:val="24"/>
          <w:szCs w:val="24"/>
        </w:rPr>
        <w:t>).</w:t>
      </w:r>
    </w:p>
    <w:p>
      <w:pPr>
        <w:keepNext/>
        <w:spacing w:before="240" w:after="120" w:line="240" w:lineRule="auto"/>
        <w:jc w:val="both"/>
        <w:outlineLvl w:val="2"/>
        <w:rPr>
          <w:rFonts w:ascii="Times New Roman" w:eastAsia="Calibri" w:hAnsi="Times New Roman" w:cs="Times New Roman"/>
          <w:b/>
          <w:sz w:val="24"/>
          <w:szCs w:val="24"/>
        </w:rPr>
      </w:pPr>
      <w:r>
        <w:rPr>
          <w:rFonts w:ascii="Times New Roman" w:hAnsi="Times New Roman"/>
          <w:b/>
          <w:sz w:val="24"/>
          <w:szCs w:val="24"/>
        </w:rPr>
        <w:t>3.1.1. Muutused töökoormuses</w:t>
      </w:r>
    </w:p>
    <w:p>
      <w:pPr>
        <w:spacing w:after="120" w:line="240" w:lineRule="auto"/>
        <w:jc w:val="both"/>
        <w:rPr>
          <w:rFonts w:ascii="Times New Roman" w:eastAsia="Calibri" w:hAnsi="Times New Roman" w:cs="Times New Roman"/>
          <w:sz w:val="24"/>
        </w:rPr>
      </w:pPr>
      <w:r>
        <w:rPr>
          <w:rFonts w:ascii="Times New Roman" w:hAnsi="Times New Roman"/>
          <w:sz w:val="24"/>
        </w:rPr>
        <w:t>Liikmesriikide kohtusüsteemide töökoormus vähenes enamikus liikmesriikides ja jääb üldjoontes allapoole 2012. aasta taset, isegi kui see on liikmesriigiti endiselt väga erinev (joonis 2). See näitab, kui oluline on olla jätkuvalt tähelepanelik kohtusüsteemi tulemuslikkuse tagamisel.</w:t>
      </w:r>
    </w:p>
    <w:p>
      <w:pPr>
        <w:keepNext/>
        <w:spacing w:before="240" w:after="0" w:line="240" w:lineRule="auto"/>
        <w:jc w:val="both"/>
        <w:rPr>
          <w:rFonts w:ascii="Times New Roman" w:eastAsia="Calibri" w:hAnsi="Times New Roman" w:cs="Times New Roman"/>
          <w:i/>
          <w:iCs/>
          <w:sz w:val="24"/>
          <w:szCs w:val="24"/>
        </w:rPr>
      </w:pPr>
      <w:r>
        <w:rPr>
          <w:rFonts w:ascii="Times New Roman" w:hAnsi="Times New Roman"/>
          <w:b/>
          <w:bCs/>
          <w:sz w:val="24"/>
          <w:szCs w:val="24"/>
        </w:rPr>
        <w:t>Joonis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2</w:t>
      </w:r>
      <w:r>
        <w:fldChar w:fldCharType="end"/>
      </w:r>
      <w:r>
        <w:rPr>
          <w:rFonts w:ascii="Times New Roman" w:hAnsi="Times New Roman"/>
          <w:b/>
          <w:bCs/>
          <w:sz w:val="24"/>
          <w:szCs w:val="24"/>
        </w:rPr>
        <w:t xml:space="preserve">. Sissetulevate </w:t>
      </w:r>
      <w:r>
        <w:rPr>
          <w:rFonts w:ascii="Times New Roman" w:hAnsi="Times New Roman"/>
          <w:b/>
          <w:bCs/>
          <w:sz w:val="24"/>
          <w:szCs w:val="24"/>
          <w:u w:val="single"/>
        </w:rPr>
        <w:t>tsiviil-, kaubandus-, haldus- ja muude asjade arv, 2012–2018(*)</w:t>
      </w:r>
      <w:r>
        <w:rPr>
          <w:rFonts w:ascii="Times New Roman" w:hAnsi="Times New Roman"/>
          <w:b/>
          <w:bCs/>
          <w:sz w:val="24"/>
          <w:szCs w:val="24"/>
        </w:rPr>
        <w:t xml:space="preserve"> </w:t>
      </w:r>
      <w:r>
        <w:rPr>
          <w:rFonts w:ascii="Times New Roman" w:hAnsi="Times New Roman"/>
          <w:i/>
          <w:iCs/>
          <w:sz w:val="24"/>
          <w:szCs w:val="24"/>
        </w:rPr>
        <w:t>(esimene aste / 100 elaniku kohta) (allikas: CEPEJ uuring(</w:t>
      </w:r>
      <w:r>
        <w:rPr>
          <w:rFonts w:ascii="Times New Roman" w:eastAsia="Calibri" w:hAnsi="Times New Roman" w:cs="Times New Roman"/>
          <w:vertAlign w:val="superscript"/>
        </w:rPr>
        <w:footnoteReference w:id="39"/>
      </w:r>
      <w:r>
        <w:rPr>
          <w:rFonts w:ascii="Times New Roman" w:hAnsi="Times New Roman"/>
          <w:i/>
          <w:iCs/>
          <w:sz w:val="24"/>
          <w:szCs w:val="24"/>
        </w:rPr>
        <w:t>))</w:t>
      </w:r>
    </w:p>
    <w:p>
      <w:pPr>
        <w:spacing w:after="0" w:line="240" w:lineRule="auto"/>
        <w:jc w:val="both"/>
        <w:rPr>
          <w:rFonts w:ascii="Times New Roman" w:eastAsia="Calibri" w:hAnsi="Times New Roman" w:cs="Times New Roman"/>
          <w:i/>
          <w:sz w:val="20"/>
        </w:rPr>
      </w:pPr>
      <w:r>
        <w:rPr>
          <w:lang w:val="en-GB" w:eastAsia="en-GB"/>
        </w:rPr>
        <w:drawing>
          <wp:inline distT="0" distB="0" distL="0" distR="0">
            <wp:extent cx="5977255" cy="2421238"/>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7255" cy="2421238"/>
                    </a:xfrm>
                    <a:prstGeom prst="rect">
                      <a:avLst/>
                    </a:prstGeom>
                    <a:noFill/>
                    <a:ln>
                      <a:noFill/>
                    </a:ln>
                  </pic:spPr>
                </pic:pic>
              </a:graphicData>
            </a:graphic>
          </wp:inline>
        </w:drawing>
      </w:r>
    </w:p>
    <w:p>
      <w:pPr>
        <w:spacing w:after="0" w:line="240" w:lineRule="auto"/>
        <w:jc w:val="both"/>
        <w:rPr>
          <w:rFonts w:ascii="Times New Roman" w:eastAsia="Calibri" w:hAnsi="Times New Roman" w:cs="Times New Roman"/>
          <w:i/>
          <w:sz w:val="20"/>
          <w:highlight w:val="yellow"/>
        </w:rPr>
      </w:pPr>
      <w:r>
        <w:rPr>
          <w:rFonts w:ascii="Times New Roman" w:hAnsi="Times New Roman"/>
          <w:i/>
          <w:sz w:val="20"/>
        </w:rPr>
        <w:t xml:space="preserve">(*) CEPEJ metoodika kohaselt hõlmab see kategooria kõiki vaidlustega seotud ja vaidlustega mitteseotud tsiviil- ja kaubandusasju, vaidlustega mitteseotud maakatastri ja äriregistri asju, muude registrite asju, muid vaidlustega mitteseotud kohtuasju, haldusasju ja muid kohtuasju peale kriminaalasjade. Metoodikat muutsid </w:t>
      </w:r>
      <w:r>
        <w:rPr>
          <w:rFonts w:ascii="Times New Roman" w:hAnsi="Times New Roman"/>
          <w:b/>
          <w:i/>
          <w:sz w:val="20"/>
        </w:rPr>
        <w:t>Läti</w:t>
      </w:r>
      <w:r>
        <w:rPr>
          <w:rFonts w:ascii="Times New Roman" w:hAnsi="Times New Roman"/>
          <w:i/>
          <w:sz w:val="20"/>
        </w:rPr>
        <w:t xml:space="preserve"> (kohaldati tagasiulatuvalt 2016. ja ka 2017. aastale), </w:t>
      </w:r>
      <w:r>
        <w:rPr>
          <w:rFonts w:ascii="Times New Roman" w:hAnsi="Times New Roman"/>
          <w:b/>
          <w:i/>
          <w:sz w:val="20"/>
        </w:rPr>
        <w:t>Slovakkia</w:t>
      </w:r>
      <w:r>
        <w:rPr>
          <w:rFonts w:ascii="Times New Roman" w:hAnsi="Times New Roman"/>
          <w:i/>
          <w:sz w:val="20"/>
        </w:rPr>
        <w:t xml:space="preserve"> ja </w:t>
      </w:r>
      <w:r>
        <w:rPr>
          <w:rFonts w:ascii="Times New Roman" w:hAnsi="Times New Roman"/>
          <w:b/>
          <w:i/>
          <w:sz w:val="20"/>
        </w:rPr>
        <w:t xml:space="preserve">Rootsi </w:t>
      </w:r>
      <w:r>
        <w:rPr>
          <w:rFonts w:ascii="Times New Roman" w:hAnsi="Times New Roman"/>
          <w:i/>
          <w:sz w:val="20"/>
        </w:rPr>
        <w:t xml:space="preserve">(2016. ja 2017. aasta andmeid on kohandatud, et lisada CEPEJ metoodikaga kooskõlas rändeasjad haldusasjadena). </w:t>
      </w:r>
    </w:p>
    <w:p>
      <w:pPr>
        <w:spacing w:after="0" w:line="240" w:lineRule="auto"/>
        <w:jc w:val="both"/>
        <w:rPr>
          <w:rFonts w:ascii="Times New Roman" w:eastAsia="Calibri" w:hAnsi="Times New Roman" w:cs="Times New Roman"/>
          <w:i/>
          <w:sz w:val="20"/>
        </w:rPr>
      </w:pPr>
    </w:p>
    <w:p>
      <w:pPr>
        <w:keepNext/>
        <w:spacing w:before="240" w:after="0" w:line="240" w:lineRule="auto"/>
        <w:jc w:val="both"/>
        <w:rPr>
          <w:rFonts w:ascii="Times New Roman" w:eastAsia="Calibri" w:hAnsi="Times New Roman" w:cs="Times New Roman"/>
          <w:i/>
          <w:sz w:val="24"/>
          <w:szCs w:val="24"/>
        </w:rPr>
      </w:pPr>
      <w:r>
        <w:rPr>
          <w:rFonts w:ascii="Times New Roman" w:hAnsi="Times New Roman"/>
          <w:b/>
          <w:bCs/>
          <w:sz w:val="24"/>
          <w:szCs w:val="24"/>
        </w:rPr>
        <w:t>Joonis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3</w:t>
      </w:r>
      <w:r>
        <w:fldChar w:fldCharType="end"/>
      </w:r>
      <w:r>
        <w:t>.</w:t>
      </w:r>
      <w:r>
        <w:rPr>
          <w:rFonts w:ascii="Times New Roman" w:hAnsi="Times New Roman"/>
          <w:b/>
          <w:bCs/>
          <w:sz w:val="24"/>
          <w:szCs w:val="24"/>
        </w:rPr>
        <w:t xml:space="preserve"> Sissetulevate </w:t>
      </w:r>
      <w:r>
        <w:rPr>
          <w:rFonts w:ascii="Times New Roman" w:hAnsi="Times New Roman"/>
          <w:b/>
          <w:bCs/>
          <w:sz w:val="24"/>
          <w:szCs w:val="24"/>
          <w:u w:val="single"/>
        </w:rPr>
        <w:t>tsiviil- ja kaubandusvaidluste arv, 2012–2018(*)</w:t>
      </w:r>
      <w:r>
        <w:rPr>
          <w:rFonts w:ascii="Times New Roman" w:hAnsi="Times New Roman"/>
          <w:b/>
          <w:bCs/>
          <w:sz w:val="24"/>
          <w:szCs w:val="24"/>
        </w:rPr>
        <w:t xml:space="preserve"> </w:t>
      </w:r>
      <w:r>
        <w:rPr>
          <w:rFonts w:ascii="Times New Roman" w:hAnsi="Times New Roman"/>
          <w:i/>
          <w:iCs/>
          <w:sz w:val="24"/>
          <w:szCs w:val="24"/>
        </w:rPr>
        <w:t>(esimene aste / 100 elaniku kohta) (allikas: CEPEJ uuring)</w:t>
      </w:r>
    </w:p>
    <w:p>
      <w:pPr>
        <w:spacing w:after="0" w:line="240" w:lineRule="auto"/>
        <w:jc w:val="both"/>
        <w:rPr>
          <w:rFonts w:ascii="Times New Roman" w:eastAsia="Calibri" w:hAnsi="Times New Roman" w:cs="Times New Roman"/>
          <w:i/>
          <w:sz w:val="20"/>
        </w:rPr>
      </w:pPr>
      <w:r>
        <w:rPr>
          <w:lang w:val="en-GB" w:eastAsia="en-GB"/>
        </w:rPr>
        <w:drawing>
          <wp:inline distT="0" distB="0" distL="0" distR="0">
            <wp:extent cx="5977255" cy="2465196"/>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7255" cy="2465196"/>
                    </a:xfrm>
                    <a:prstGeom prst="rect">
                      <a:avLst/>
                    </a:prstGeom>
                    <a:noFill/>
                    <a:ln>
                      <a:noFill/>
                    </a:ln>
                  </pic:spPr>
                </pic:pic>
              </a:graphicData>
            </a:graphic>
          </wp:inline>
        </w:drawing>
      </w:r>
    </w:p>
    <w:p>
      <w:pPr>
        <w:spacing w:after="0" w:line="240" w:lineRule="auto"/>
        <w:jc w:val="both"/>
        <w:rPr>
          <w:rFonts w:ascii="Times New Roman" w:eastAsia="Calibri" w:hAnsi="Times New Roman" w:cs="Times New Roman"/>
          <w:i/>
          <w:sz w:val="20"/>
        </w:rPr>
      </w:pPr>
      <w:r>
        <w:rPr>
          <w:rFonts w:ascii="Times New Roman" w:hAnsi="Times New Roman"/>
          <w:i/>
          <w:sz w:val="20"/>
        </w:rPr>
        <w:t xml:space="preserve">(*) CEPEJ metoodika kohaselt hõlmavad tsiviil- ja kaubandusvaidlused pooltevahelisi vaidlusi, nt lepingust tulenevaid vaidlusi. Vaidlustega mitteseotud tsiviil- ja kaubandusasjad hõlmavad vaidlustamata menetlusi, näiteks vaidlustamata maksekäske. </w:t>
      </w:r>
      <w:r>
        <w:rPr>
          <w:rFonts w:ascii="Times New Roman" w:hAnsi="Times New Roman"/>
          <w:b/>
          <w:bCs/>
          <w:i/>
          <w:sz w:val="20"/>
        </w:rPr>
        <w:t>Kreeka</w:t>
      </w:r>
      <w:r>
        <w:rPr>
          <w:rFonts w:ascii="Times New Roman" w:hAnsi="Times New Roman"/>
          <w:i/>
          <w:sz w:val="20"/>
        </w:rPr>
        <w:t xml:space="preserve"> ja </w:t>
      </w:r>
      <w:r>
        <w:rPr>
          <w:rFonts w:ascii="Times New Roman" w:hAnsi="Times New Roman"/>
          <w:b/>
          <w:bCs/>
          <w:i/>
          <w:sz w:val="20"/>
        </w:rPr>
        <w:t>Slovakkia</w:t>
      </w:r>
      <w:r>
        <w:rPr>
          <w:rFonts w:ascii="Times New Roman" w:hAnsi="Times New Roman"/>
          <w:i/>
          <w:sz w:val="20"/>
        </w:rPr>
        <w:t xml:space="preserve"> muutsid metoodikat. </w:t>
      </w:r>
      <w:r>
        <w:rPr>
          <w:rFonts w:ascii="Times New Roman" w:hAnsi="Times New Roman"/>
          <w:b/>
          <w:bCs/>
          <w:i/>
          <w:sz w:val="20"/>
        </w:rPr>
        <w:t>Madalmaade</w:t>
      </w:r>
      <w:r>
        <w:rPr>
          <w:rFonts w:ascii="Times New Roman" w:hAnsi="Times New Roman"/>
          <w:i/>
          <w:sz w:val="20"/>
        </w:rPr>
        <w:t xml:space="preserve"> andmetes sisalduvad vaidlustega mitteseotud asjad.</w:t>
      </w:r>
    </w:p>
    <w:p>
      <w:pPr>
        <w:keepNext/>
        <w:spacing w:before="240" w:after="0" w:line="240" w:lineRule="auto"/>
        <w:jc w:val="both"/>
        <w:rPr>
          <w:rFonts w:ascii="Times New Roman" w:eastAsia="Calibri" w:hAnsi="Times New Roman" w:cs="Times New Roman"/>
          <w:i/>
          <w:sz w:val="24"/>
          <w:szCs w:val="24"/>
        </w:rPr>
      </w:pPr>
      <w:r>
        <w:rPr>
          <w:rFonts w:ascii="Times New Roman" w:hAnsi="Times New Roman"/>
          <w:b/>
          <w:bCs/>
          <w:sz w:val="24"/>
          <w:szCs w:val="24"/>
        </w:rPr>
        <w:t>Joonis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4</w:t>
      </w:r>
      <w:r>
        <w:fldChar w:fldCharType="end"/>
      </w:r>
      <w:r>
        <w:t>.</w:t>
      </w:r>
      <w:r>
        <w:rPr>
          <w:rFonts w:ascii="Times New Roman" w:hAnsi="Times New Roman"/>
          <w:b/>
          <w:bCs/>
          <w:sz w:val="24"/>
          <w:szCs w:val="24"/>
        </w:rPr>
        <w:t xml:space="preserve"> Sissetulevate </w:t>
      </w:r>
      <w:r>
        <w:rPr>
          <w:rFonts w:ascii="Times New Roman" w:hAnsi="Times New Roman"/>
          <w:b/>
          <w:bCs/>
          <w:sz w:val="24"/>
          <w:szCs w:val="24"/>
          <w:u w:val="single"/>
        </w:rPr>
        <w:t>haldusasjade arv, 2012–2018(*)</w:t>
      </w:r>
      <w:r>
        <w:rPr>
          <w:rFonts w:ascii="Times New Roman" w:hAnsi="Times New Roman"/>
          <w:b/>
          <w:bCs/>
          <w:sz w:val="24"/>
          <w:szCs w:val="24"/>
        </w:rPr>
        <w:t xml:space="preserve"> </w:t>
      </w:r>
      <w:r>
        <w:rPr>
          <w:rFonts w:ascii="Times New Roman" w:hAnsi="Times New Roman"/>
          <w:i/>
          <w:iCs/>
          <w:sz w:val="24"/>
          <w:szCs w:val="24"/>
        </w:rPr>
        <w:t xml:space="preserve">(esimene aste / 100 elaniku kohta) (allikas: CEPEJ uuring) </w:t>
      </w:r>
    </w:p>
    <w:p>
      <w:pPr>
        <w:keepNext/>
        <w:spacing w:after="0" w:line="240" w:lineRule="auto"/>
        <w:jc w:val="both"/>
        <w:rPr>
          <w:rFonts w:ascii="Times New Roman" w:eastAsia="Calibri" w:hAnsi="Times New Roman" w:cs="Times New Roman"/>
          <w:i/>
          <w:iCs/>
          <w:sz w:val="20"/>
          <w:szCs w:val="20"/>
        </w:rPr>
      </w:pPr>
      <w:r>
        <w:rPr>
          <w:lang w:val="en-GB" w:eastAsia="en-GB"/>
        </w:rPr>
        <w:drawing>
          <wp:inline distT="0" distB="0" distL="0" distR="0">
            <wp:extent cx="5977255" cy="2437435"/>
            <wp:effectExtent l="0" t="0" r="444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7255" cy="2437435"/>
                    </a:xfrm>
                    <a:prstGeom prst="rect">
                      <a:avLst/>
                    </a:prstGeom>
                    <a:noFill/>
                    <a:ln>
                      <a:noFill/>
                    </a:ln>
                  </pic:spPr>
                </pic:pic>
              </a:graphicData>
            </a:graphic>
          </wp:inline>
        </w:drawing>
      </w:r>
      <w:r>
        <w:rPr>
          <w:rFonts w:ascii="Times New Roman" w:hAnsi="Times New Roman"/>
          <w:i/>
          <w:iCs/>
          <w:sz w:val="20"/>
          <w:szCs w:val="20"/>
        </w:rPr>
        <w:t xml:space="preserve">(*) CEPEJ metoodika kohaselt hõlmavad haldusasjad vaidlusi isikute ning kohalike, piirkondlike või riiklike ametiasutuste vahel. </w:t>
      </w:r>
      <w:r>
        <w:rPr>
          <w:rFonts w:ascii="Times New Roman" w:hAnsi="Times New Roman"/>
          <w:b/>
          <w:bCs/>
          <w:i/>
          <w:iCs/>
          <w:sz w:val="20"/>
          <w:szCs w:val="20"/>
        </w:rPr>
        <w:t>Taani</w:t>
      </w:r>
      <w:r>
        <w:rPr>
          <w:rFonts w:ascii="Times New Roman" w:hAnsi="Times New Roman"/>
          <w:i/>
          <w:iCs/>
          <w:sz w:val="20"/>
          <w:szCs w:val="20"/>
        </w:rPr>
        <w:t xml:space="preserve"> ja </w:t>
      </w:r>
      <w:r>
        <w:rPr>
          <w:rFonts w:ascii="Times New Roman" w:hAnsi="Times New Roman"/>
          <w:b/>
          <w:bCs/>
          <w:i/>
          <w:iCs/>
          <w:sz w:val="20"/>
          <w:szCs w:val="20"/>
        </w:rPr>
        <w:t>Iirimaa</w:t>
      </w:r>
      <w:r>
        <w:rPr>
          <w:rFonts w:ascii="Times New Roman" w:hAnsi="Times New Roman"/>
          <w:i/>
          <w:iCs/>
          <w:sz w:val="20"/>
          <w:szCs w:val="20"/>
        </w:rPr>
        <w:t xml:space="preserve"> andmetes haldusasju ei eristata.</w:t>
      </w:r>
      <w:bookmarkStart w:id="91" w:name="_Toc440291117"/>
      <w:bookmarkStart w:id="92" w:name="_Toc440294680"/>
      <w:bookmarkStart w:id="93" w:name="_Toc440295182"/>
      <w:bookmarkStart w:id="94" w:name="_Toc440296587"/>
      <w:bookmarkStart w:id="95" w:name="_Toc440625071"/>
      <w:bookmarkStart w:id="96" w:name="_Toc440626401"/>
      <w:bookmarkStart w:id="97" w:name="_Toc440628855"/>
      <w:bookmarkStart w:id="98" w:name="_Toc441571127"/>
      <w:bookmarkStart w:id="99" w:name="_Toc441581629"/>
      <w:bookmarkStart w:id="100" w:name="_Toc441585896"/>
      <w:bookmarkStart w:id="101" w:name="_Toc441595831"/>
      <w:bookmarkStart w:id="102" w:name="_Toc441596008"/>
      <w:bookmarkStart w:id="103" w:name="_Toc441748133"/>
      <w:bookmarkStart w:id="104" w:name="_Toc441755418"/>
      <w:bookmarkStart w:id="105" w:name="_Toc441756455"/>
      <w:bookmarkStart w:id="106" w:name="_Toc441757499"/>
      <w:bookmarkStart w:id="107" w:name="_Toc441766628"/>
      <w:bookmarkStart w:id="108" w:name="_Toc441766967"/>
      <w:bookmarkStart w:id="109" w:name="_Toc442187968"/>
      <w:bookmarkStart w:id="110" w:name="_Toc442262060"/>
      <w:bookmarkStart w:id="111" w:name="_Toc442362467"/>
      <w:bookmarkStart w:id="112" w:name="_Toc442374803"/>
      <w:bookmarkStart w:id="113" w:name="_Toc442425943"/>
      <w:bookmarkStart w:id="114" w:name="_Toc442453069"/>
      <w:bookmarkStart w:id="115" w:name="_Toc443484749"/>
      <w:bookmarkStart w:id="116" w:name="_Toc443509490"/>
      <w:bookmarkStart w:id="117" w:name="_Toc446014819"/>
      <w:bookmarkEnd w:id="81"/>
      <w:bookmarkEnd w:id="82"/>
      <w:bookmarkEnd w:id="83"/>
      <w:bookmarkEnd w:id="84"/>
      <w:bookmarkEnd w:id="85"/>
      <w:bookmarkEnd w:id="86"/>
      <w:bookmarkEnd w:id="87"/>
      <w:bookmarkEnd w:id="88"/>
      <w:bookmarkEnd w:id="89"/>
      <w:bookmarkEnd w:id="90"/>
      <w:r>
        <w:rPr>
          <w:rFonts w:ascii="Times New Roman" w:hAnsi="Times New Roman"/>
          <w:i/>
          <w:iCs/>
          <w:sz w:val="20"/>
          <w:szCs w:val="20"/>
        </w:rPr>
        <w:t xml:space="preserve"> </w:t>
      </w:r>
      <w:r>
        <w:rPr>
          <w:rFonts w:ascii="Times New Roman" w:hAnsi="Times New Roman"/>
          <w:b/>
          <w:i/>
          <w:iCs/>
          <w:sz w:val="20"/>
          <w:szCs w:val="20"/>
        </w:rPr>
        <w:t>Rumeenias</w:t>
      </w:r>
      <w:r>
        <w:rPr>
          <w:rFonts w:ascii="Times New Roman" w:hAnsi="Times New Roman"/>
          <w:i/>
          <w:iCs/>
          <w:sz w:val="20"/>
          <w:szCs w:val="20"/>
        </w:rPr>
        <w:t xml:space="preserve"> on mõni haldusmenetlus muudetud 2018. aastal kohtuväliseks. </w:t>
      </w:r>
      <w:r>
        <w:rPr>
          <w:rFonts w:ascii="Times New Roman" w:hAnsi="Times New Roman"/>
          <w:b/>
          <w:bCs/>
          <w:i/>
          <w:iCs/>
          <w:sz w:val="20"/>
          <w:szCs w:val="20"/>
        </w:rPr>
        <w:t>Kreeka</w:t>
      </w:r>
      <w:r>
        <w:rPr>
          <w:rFonts w:ascii="Times New Roman" w:hAnsi="Times New Roman"/>
          <w:i/>
          <w:iCs/>
          <w:sz w:val="20"/>
          <w:szCs w:val="20"/>
        </w:rPr>
        <w:t xml:space="preserve">, </w:t>
      </w:r>
      <w:r>
        <w:rPr>
          <w:rFonts w:ascii="Times New Roman" w:hAnsi="Times New Roman"/>
          <w:b/>
          <w:bCs/>
          <w:i/>
          <w:iCs/>
          <w:sz w:val="20"/>
          <w:szCs w:val="20"/>
        </w:rPr>
        <w:t>Slovakkia</w:t>
      </w:r>
      <w:r>
        <w:rPr>
          <w:rFonts w:ascii="Times New Roman" w:hAnsi="Times New Roman"/>
          <w:i/>
          <w:iCs/>
          <w:sz w:val="20"/>
          <w:szCs w:val="20"/>
        </w:rPr>
        <w:t xml:space="preserve"> </w:t>
      </w:r>
      <w:r>
        <w:rPr>
          <w:rFonts w:ascii="Times New Roman" w:hAnsi="Times New Roman"/>
          <w:b/>
          <w:bCs/>
          <w:i/>
          <w:iCs/>
          <w:sz w:val="20"/>
          <w:szCs w:val="20"/>
        </w:rPr>
        <w:t>ja Rootsi</w:t>
      </w:r>
      <w:r>
        <w:rPr>
          <w:rFonts w:ascii="Times New Roman" w:hAnsi="Times New Roman"/>
          <w:i/>
          <w:iCs/>
          <w:sz w:val="20"/>
          <w:szCs w:val="20"/>
        </w:rPr>
        <w:t xml:space="preserve"> muutsid metoodikat. Rootsi puhul on rändeasjad lisatud haldusasjade hulka (kohaldatakse tagasiulatuvalt 2016. ja ka 2017. aastale).</w:t>
      </w:r>
    </w:p>
    <w:p>
      <w:pPr>
        <w:keepNext/>
        <w:spacing w:after="0" w:line="240" w:lineRule="auto"/>
        <w:jc w:val="both"/>
        <w:rPr>
          <w:rFonts w:ascii="Times New Roman" w:eastAsia="Calibri" w:hAnsi="Times New Roman" w:cs="Times New Roman"/>
          <w:i/>
          <w:sz w:val="20"/>
          <w:szCs w:val="20"/>
        </w:rPr>
      </w:pPr>
      <w:r>
        <w:rPr>
          <w:rFonts w:ascii="Times New Roman" w:hAnsi="Times New Roman"/>
          <w:i/>
          <w:iCs/>
          <w:sz w:val="20"/>
          <w:szCs w:val="20"/>
        </w:rPr>
        <w:t xml:space="preserve"> </w:t>
      </w:r>
      <w:r>
        <w:rPr>
          <w:rFonts w:ascii="Times New Roman" w:hAnsi="Times New Roman"/>
          <w:i/>
          <w:iCs/>
        </w:rPr>
        <w:br w:type="page"/>
      </w:r>
    </w:p>
    <w:p>
      <w:pPr>
        <w:keepNext/>
        <w:spacing w:before="240" w:after="120" w:line="240" w:lineRule="auto"/>
        <w:jc w:val="both"/>
        <w:outlineLvl w:val="2"/>
        <w:rPr>
          <w:rFonts w:ascii="Times New Roman" w:eastAsia="Calibri" w:hAnsi="Times New Roman" w:cs="Times New Roman"/>
          <w:b/>
          <w:sz w:val="24"/>
          <w:szCs w:val="24"/>
        </w:rPr>
      </w:pPr>
      <w:r>
        <w:rPr>
          <w:rFonts w:ascii="Times New Roman" w:hAnsi="Times New Roman"/>
          <w:b/>
          <w:sz w:val="24"/>
          <w:szCs w:val="24"/>
        </w:rPr>
        <w:t xml:space="preserve">3.1.2. </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Fonts w:ascii="Times New Roman" w:hAnsi="Times New Roman"/>
          <w:b/>
          <w:sz w:val="24"/>
          <w:szCs w:val="24"/>
        </w:rPr>
        <w:t>Kohtusüsteemi tõhususe üldandmed</w:t>
      </w:r>
    </w:p>
    <w:p>
      <w:pPr>
        <w:spacing w:after="120" w:line="240" w:lineRule="auto"/>
        <w:jc w:val="both"/>
        <w:rPr>
          <w:rFonts w:ascii="Times New Roman" w:eastAsia="Calibri" w:hAnsi="Times New Roman" w:cs="Times New Roman"/>
          <w:i/>
          <w:iCs/>
          <w:sz w:val="24"/>
          <w:szCs w:val="24"/>
        </w:rPr>
      </w:pPr>
      <w:r>
        <w:rPr>
          <w:rFonts w:ascii="Times New Roman" w:hAnsi="Times New Roman"/>
          <w:sz w:val="24"/>
          <w:szCs w:val="24"/>
        </w:rPr>
        <w:t>Menetluste tõhususe näitajad tsiviil-, kaubandus- ja haldusasjade valdkondades on järgmised: menetluste eeldatav kestus (kohtuasjas otsusele jõudmiseks kuluv aeg), algatatud ja lõpuleviidud kohtumenetluste määr ning pooleliolevate kohtuasjade arv.</w:t>
      </w:r>
    </w:p>
    <w:p>
      <w:pPr>
        <w:keepNext/>
        <w:tabs>
          <w:tab w:val="left" w:pos="850"/>
        </w:tabs>
        <w:spacing w:before="240" w:after="120" w:line="240" w:lineRule="auto"/>
        <w:ind w:left="720" w:hanging="720"/>
        <w:jc w:val="both"/>
        <w:outlineLvl w:val="2"/>
        <w:rPr>
          <w:rFonts w:ascii="Times New Roman" w:eastAsia="Times New Roman" w:hAnsi="Times New Roman" w:cs="Times New Roman"/>
          <w:i/>
          <w:iCs/>
          <w:sz w:val="24"/>
          <w:szCs w:val="24"/>
        </w:rPr>
      </w:pPr>
      <w:r>
        <w:rPr>
          <w:rFonts w:ascii="Times New Roman" w:hAnsi="Times New Roman"/>
          <w:i/>
          <w:sz w:val="24"/>
          <w:szCs w:val="24"/>
        </w:rPr>
        <w:sym w:font="Symbol" w:char="F02D"/>
      </w:r>
      <w:r>
        <w:rPr>
          <w:rFonts w:ascii="Times New Roman" w:hAnsi="Times New Roman"/>
          <w:i/>
          <w:iCs/>
          <w:sz w:val="24"/>
          <w:szCs w:val="24"/>
        </w:rPr>
        <w:t xml:space="preserve"> Menetluste eeldatav kestus </w:t>
      </w:r>
      <w:r>
        <w:rPr>
          <w:rFonts w:ascii="Times New Roman" w:hAnsi="Times New Roman"/>
          <w:sz w:val="24"/>
          <w:szCs w:val="24"/>
        </w:rPr>
        <w:t>–</w:t>
      </w:r>
    </w:p>
    <w:p>
      <w:pPr>
        <w:spacing w:after="120" w:line="240" w:lineRule="auto"/>
        <w:jc w:val="both"/>
        <w:rPr>
          <w:rFonts w:ascii="Times New Roman" w:eastAsia="Times New Roman" w:hAnsi="Times New Roman" w:cs="Times New Roman"/>
          <w:sz w:val="24"/>
          <w:szCs w:val="24"/>
        </w:rPr>
      </w:pPr>
      <w:r>
        <w:rPr>
          <w:rFonts w:ascii="Times New Roman" w:hAnsi="Times New Roman"/>
          <w:sz w:val="24"/>
          <w:szCs w:val="24"/>
        </w:rPr>
        <w:t>Menetluse kestus on eeldatav aeg (päevades), mis on vajalik asja lahendamiseks kohtus, st aeg, mis kulub esimese astme kohtul otsuse tegemiseks. Pooleliolevates kohtuasjades otsusele jõudmiseks kuluva aja näitaja kujutab endast aasta lõpu seisuga lahendamata kohtuasjade ja lahendatud kohtuasjade jagatist, mis on korrutatud 365ga (päevade arv)(</w:t>
      </w:r>
      <w:r>
        <w:rPr>
          <w:rFonts w:ascii="Times New Roman" w:eastAsia="Times New Roman" w:hAnsi="Times New Roman" w:cs="Times New Roman"/>
          <w:sz w:val="24"/>
          <w:szCs w:val="24"/>
          <w:vertAlign w:val="superscript"/>
        </w:rPr>
        <w:footnoteReference w:id="40"/>
      </w:r>
      <w:r>
        <w:rPr>
          <w:rFonts w:ascii="Times New Roman" w:hAnsi="Times New Roman"/>
          <w:sz w:val="24"/>
          <w:szCs w:val="24"/>
        </w:rPr>
        <w:t>). Tegemist on arvutatud näitajaga, mis viitab eeldatavale miinimumajale, mida kohus vajab asja lahendamiseks praegusi töötingimusi säilitades. Mida suurem väärtus, seda suurema tõenäosusega kulub kohtul otsuse tegemiseks rohkem aega. Joonistel on enamasti käsitletud menetlusi esimeses astmes ning võimaluse korral on võrreldud 2012., 2016., 2017. ja 2018. aasta andmeid(</w:t>
      </w:r>
      <w:r>
        <w:rPr>
          <w:rFonts w:ascii="Times New Roman" w:eastAsia="Times New Roman" w:hAnsi="Times New Roman" w:cs="Times New Roman"/>
          <w:sz w:val="24"/>
          <w:szCs w:val="24"/>
          <w:vertAlign w:val="superscript"/>
        </w:rPr>
        <w:footnoteReference w:id="41"/>
      </w:r>
      <w:r>
        <w:rPr>
          <w:rFonts w:ascii="Times New Roman" w:hAnsi="Times New Roman"/>
          <w:sz w:val="24"/>
          <w:szCs w:val="24"/>
        </w:rPr>
        <w:t>). Kahel joonisel on näidatud aeg, mis kulus 2018. aastal pooleliolnud tsiviil- ja kaubandusvaidlustes ning haldusasjades otsusele jõudmiseks kõikides kohtuastmetes ning ühel joonisel on näidatud rahapesuga seotud kohtuasjade keskmine menetlemise aeg esimese ja teise astme kohtutes.</w:t>
      </w:r>
    </w:p>
    <w:p>
      <w:pPr>
        <w:keepNext/>
        <w:spacing w:before="240" w:after="0" w:line="240" w:lineRule="auto"/>
        <w:jc w:val="both"/>
        <w:rPr>
          <w:rFonts w:ascii="Times New Roman" w:eastAsia="Times New Roman" w:hAnsi="Times New Roman" w:cs="Times New Roman"/>
          <w:i/>
          <w:sz w:val="24"/>
          <w:szCs w:val="24"/>
        </w:rPr>
      </w:pPr>
      <w:bookmarkStart w:id="118" w:name="_Ref440892401"/>
      <w:r>
        <w:rPr>
          <w:rFonts w:ascii="Times New Roman" w:hAnsi="Times New Roman"/>
          <w:b/>
          <w:bCs/>
          <w:sz w:val="24"/>
          <w:szCs w:val="24"/>
        </w:rPr>
        <w:t>Joonis </w:t>
      </w:r>
      <w:r>
        <w:fldChar w:fldCharType="begin"/>
      </w:r>
      <w:r>
        <w:rPr>
          <w:rFonts w:ascii="Times New Roman" w:eastAsia="Times New Roman" w:hAnsi="Times New Roman" w:cs="Times New Roman"/>
          <w:b/>
          <w:sz w:val="24"/>
          <w:szCs w:val="24"/>
        </w:rPr>
        <w:instrText xml:space="preserve"> SEQ Figure \* ARABIC </w:instrText>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bCs/>
          <w:sz w:val="24"/>
          <w:szCs w:val="24"/>
        </w:rPr>
        <w:t>5</w:t>
      </w:r>
      <w:r>
        <w:fldChar w:fldCharType="end"/>
      </w:r>
      <w:bookmarkEnd w:id="118"/>
      <w:r>
        <w:rPr>
          <w:rFonts w:ascii="Times New Roman" w:hAnsi="Times New Roman"/>
          <w:b/>
          <w:bCs/>
          <w:sz w:val="24"/>
          <w:szCs w:val="24"/>
        </w:rPr>
        <w:t xml:space="preserve">. </w:t>
      </w:r>
      <w:r>
        <w:rPr>
          <w:rFonts w:ascii="Times New Roman" w:hAnsi="Times New Roman"/>
          <w:b/>
          <w:bCs/>
          <w:sz w:val="24"/>
          <w:szCs w:val="24"/>
          <w:u w:val="single"/>
        </w:rPr>
        <w:t>Tsiviil-, kaubandus-, haldus- ja muude asjade</w:t>
      </w:r>
      <w:r>
        <w:rPr>
          <w:rFonts w:ascii="Times New Roman" w:hAnsi="Times New Roman"/>
          <w:b/>
          <w:bCs/>
          <w:sz w:val="24"/>
          <w:szCs w:val="24"/>
        </w:rPr>
        <w:t xml:space="preserve"> lahendamiseks kuluv eeldatav aeg, </w:t>
      </w:r>
      <w:r>
        <w:rPr>
          <w:rFonts w:ascii="Times New Roman" w:hAnsi="Times New Roman"/>
          <w:b/>
          <w:bCs/>
          <w:sz w:val="24"/>
          <w:szCs w:val="24"/>
          <w:u w:val="single"/>
        </w:rPr>
        <w:t>2012–2018(*)</w:t>
      </w:r>
      <w:r>
        <w:rPr>
          <w:rFonts w:ascii="Times New Roman" w:hAnsi="Times New Roman"/>
          <w:i/>
          <w:iCs/>
          <w:sz w:val="24"/>
          <w:szCs w:val="24"/>
        </w:rPr>
        <w:t xml:space="preserve"> (esimene aste / päevades) (allikas: CEPEJ uuring)</w:t>
      </w:r>
    </w:p>
    <w:p>
      <w:pPr>
        <w:spacing w:after="0" w:line="240" w:lineRule="auto"/>
        <w:jc w:val="both"/>
        <w:rPr>
          <w:rFonts w:ascii="Times New Roman" w:eastAsia="Calibri" w:hAnsi="Times New Roman" w:cs="Times New Roman"/>
          <w:b/>
          <w:sz w:val="24"/>
        </w:rPr>
      </w:pPr>
      <w:r>
        <w:rPr>
          <w:lang w:val="en-GB" w:eastAsia="en-GB"/>
        </w:rPr>
        <w:drawing>
          <wp:inline distT="0" distB="0" distL="0" distR="0">
            <wp:extent cx="5977255" cy="2524730"/>
            <wp:effectExtent l="0" t="0" r="444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7255" cy="2524730"/>
                    </a:xfrm>
                    <a:prstGeom prst="rect">
                      <a:avLst/>
                    </a:prstGeom>
                    <a:noFill/>
                    <a:ln>
                      <a:noFill/>
                    </a:ln>
                  </pic:spPr>
                </pic:pic>
              </a:graphicData>
            </a:graphic>
          </wp:inline>
        </w:drawing>
      </w:r>
      <w:r>
        <w:rPr>
          <w:rFonts w:ascii="Times New Roman" w:hAnsi="Times New Roman"/>
          <w:i/>
          <w:sz w:val="20"/>
        </w:rPr>
        <w:t xml:space="preserve">(*) CEPEJ metoodika kohaselt hõlmab see kategooria kõiki vaidlustega seotud ja vaidlustega mitteseotud tsiviil- ja kaubandusasju, vaidlustega mitteseotud maakatastri ja äriregistri asju, muude registrite asju, muid vaidlustega mitteseotud kohtuasju, haldusasju ja muid kohtuasju peale kriminaalasjade. </w:t>
      </w:r>
      <w:r>
        <w:rPr>
          <w:rFonts w:ascii="Times New Roman" w:hAnsi="Times New Roman"/>
          <w:b/>
          <w:bCs/>
          <w:i/>
          <w:sz w:val="20"/>
        </w:rPr>
        <w:t>Slovakkia</w:t>
      </w:r>
      <w:r>
        <w:rPr>
          <w:rFonts w:ascii="Times New Roman" w:hAnsi="Times New Roman"/>
          <w:i/>
          <w:sz w:val="20"/>
        </w:rPr>
        <w:t xml:space="preserve"> muutis metoodikat. </w:t>
      </w:r>
      <w:r>
        <w:rPr>
          <w:rFonts w:ascii="Times New Roman" w:hAnsi="Times New Roman"/>
          <w:b/>
          <w:bCs/>
          <w:i/>
          <w:sz w:val="20"/>
        </w:rPr>
        <w:t>Tšehhi</w:t>
      </w:r>
      <w:r>
        <w:rPr>
          <w:rFonts w:ascii="Times New Roman" w:hAnsi="Times New Roman"/>
          <w:i/>
          <w:sz w:val="20"/>
        </w:rPr>
        <w:t xml:space="preserve"> puhul ja</w:t>
      </w:r>
      <w:bookmarkStart w:id="119" w:name="_Ref442281958"/>
      <w:r>
        <w:rPr>
          <w:rFonts w:ascii="Times New Roman" w:hAnsi="Times New Roman"/>
          <w:i/>
          <w:sz w:val="20"/>
        </w:rPr>
        <w:t xml:space="preserve"> kuni 2016. aastani </w:t>
      </w:r>
      <w:r>
        <w:rPr>
          <w:rFonts w:ascii="Times New Roman" w:hAnsi="Times New Roman"/>
          <w:b/>
          <w:bCs/>
          <w:i/>
          <w:sz w:val="20"/>
        </w:rPr>
        <w:t>Slovakkia</w:t>
      </w:r>
      <w:r>
        <w:rPr>
          <w:rFonts w:ascii="Times New Roman" w:hAnsi="Times New Roman"/>
          <w:i/>
          <w:sz w:val="20"/>
        </w:rPr>
        <w:t xml:space="preserve"> puhul hõlmab pooleliolevate kohtuasjade arv kõiki kohtuastmeid. </w:t>
      </w:r>
      <w:r>
        <w:rPr>
          <w:rFonts w:ascii="Times New Roman" w:hAnsi="Times New Roman"/>
          <w:b/>
          <w:bCs/>
          <w:i/>
          <w:sz w:val="20"/>
        </w:rPr>
        <w:t>Läti</w:t>
      </w:r>
      <w:r>
        <w:rPr>
          <w:rFonts w:ascii="Times New Roman" w:hAnsi="Times New Roman"/>
          <w:i/>
          <w:sz w:val="20"/>
        </w:rPr>
        <w:t>: järsk langus on tingitud kohtusüsteemi reformist ning vigade kontrollist ja andmete puhastamisest kohtute teabesüsteemis.</w:t>
      </w:r>
    </w:p>
    <w:p>
      <w:pPr>
        <w:keepNext/>
        <w:spacing w:before="240" w:after="0" w:line="240" w:lineRule="auto"/>
        <w:jc w:val="both"/>
        <w:rPr>
          <w:rFonts w:ascii="Times New Roman" w:eastAsia="Calibri" w:hAnsi="Times New Roman" w:cs="Times New Roman"/>
          <w:i/>
          <w:sz w:val="24"/>
          <w:szCs w:val="24"/>
        </w:rPr>
      </w:pPr>
      <w:r>
        <w:rPr>
          <w:rFonts w:ascii="Times New Roman" w:hAnsi="Times New Roman"/>
          <w:b/>
          <w:bCs/>
          <w:sz w:val="24"/>
          <w:szCs w:val="24"/>
        </w:rPr>
        <w:t>Joonis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6</w:t>
      </w:r>
      <w:r>
        <w:fldChar w:fldCharType="end"/>
      </w:r>
      <w:bookmarkEnd w:id="119"/>
      <w:r>
        <w:t>.</w:t>
      </w:r>
      <w:r>
        <w:rPr>
          <w:rFonts w:ascii="Times New Roman" w:hAnsi="Times New Roman"/>
          <w:b/>
          <w:bCs/>
          <w:sz w:val="24"/>
          <w:szCs w:val="24"/>
        </w:rPr>
        <w:t xml:space="preserve"> </w:t>
      </w:r>
      <w:r>
        <w:rPr>
          <w:rFonts w:ascii="Times New Roman" w:hAnsi="Times New Roman"/>
          <w:b/>
          <w:bCs/>
          <w:sz w:val="24"/>
          <w:szCs w:val="24"/>
          <w:u w:val="single"/>
        </w:rPr>
        <w:t>Tsiviil- ja kaubandusvaidluste</w:t>
      </w:r>
      <w:r>
        <w:rPr>
          <w:rFonts w:ascii="Times New Roman" w:hAnsi="Times New Roman"/>
          <w:b/>
          <w:bCs/>
          <w:sz w:val="24"/>
          <w:szCs w:val="24"/>
        </w:rPr>
        <w:t xml:space="preserve"> lahendamiseks kuluv eeldatav aeg, </w:t>
      </w:r>
      <w:r>
        <w:rPr>
          <w:rFonts w:ascii="Times New Roman" w:hAnsi="Times New Roman"/>
          <w:b/>
          <w:bCs/>
          <w:sz w:val="24"/>
          <w:szCs w:val="24"/>
          <w:u w:val="single"/>
        </w:rPr>
        <w:t>2012–2018(*)</w:t>
      </w:r>
      <w:r>
        <w:rPr>
          <w:rFonts w:ascii="Times New Roman" w:hAnsi="Times New Roman"/>
          <w:b/>
          <w:bCs/>
          <w:sz w:val="24"/>
          <w:szCs w:val="24"/>
        </w:rPr>
        <w:t xml:space="preserve"> </w:t>
      </w:r>
      <w:r>
        <w:rPr>
          <w:rFonts w:ascii="Times New Roman" w:hAnsi="Times New Roman"/>
          <w:i/>
          <w:iCs/>
          <w:sz w:val="24"/>
          <w:szCs w:val="24"/>
        </w:rPr>
        <w:t>(esimene aste / päevades) (allikas: CEPEJ uuring)</w:t>
      </w:r>
    </w:p>
    <w:p>
      <w:pPr>
        <w:spacing w:after="0" w:line="240" w:lineRule="auto"/>
        <w:jc w:val="both"/>
        <w:rPr>
          <w:rFonts w:ascii="Times New Roman" w:eastAsia="Calibri" w:hAnsi="Times New Roman" w:cs="Times New Roman"/>
          <w:i/>
          <w:sz w:val="20"/>
        </w:rPr>
      </w:pPr>
      <w:r>
        <w:rPr>
          <w:lang w:val="en-GB" w:eastAsia="en-GB"/>
        </w:rPr>
        <w:drawing>
          <wp:inline distT="0" distB="0" distL="0" distR="0">
            <wp:extent cx="5977255" cy="2477823"/>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7255" cy="2477823"/>
                    </a:xfrm>
                    <a:prstGeom prst="rect">
                      <a:avLst/>
                    </a:prstGeom>
                    <a:noFill/>
                    <a:ln>
                      <a:noFill/>
                    </a:ln>
                  </pic:spPr>
                </pic:pic>
              </a:graphicData>
            </a:graphic>
          </wp:inline>
        </w:drawing>
      </w:r>
    </w:p>
    <w:p>
      <w:pPr>
        <w:spacing w:after="0" w:line="240" w:lineRule="auto"/>
        <w:jc w:val="both"/>
        <w:rPr>
          <w:rFonts w:ascii="Times New Roman" w:eastAsia="Calibri" w:hAnsi="Times New Roman" w:cs="Times New Roman"/>
          <w:i/>
          <w:sz w:val="20"/>
        </w:rPr>
      </w:pPr>
      <w:r>
        <w:rPr>
          <w:rFonts w:ascii="Times New Roman" w:hAnsi="Times New Roman"/>
          <w:i/>
          <w:sz w:val="20"/>
        </w:rPr>
        <w:t xml:space="preserve">(*) CEPEJ metoodika kohaselt hõlmavad tsiviil- ja kaubandusvaidlused pooltevahelisi vaidlusi, nt lepingust tulenevaid vaidlusi. Vaidlustega mitteseotud tsiviil- ja kaubandusasjad hõlmavad vaidlustamata menetlusi, näiteks vaidlustamata maksekäske. </w:t>
      </w:r>
      <w:r>
        <w:rPr>
          <w:rFonts w:ascii="Times New Roman" w:hAnsi="Times New Roman"/>
          <w:b/>
          <w:bCs/>
          <w:i/>
          <w:sz w:val="20"/>
        </w:rPr>
        <w:t>Kreeka</w:t>
      </w:r>
      <w:r>
        <w:rPr>
          <w:rFonts w:ascii="Times New Roman" w:hAnsi="Times New Roman"/>
          <w:i/>
          <w:sz w:val="20"/>
        </w:rPr>
        <w:t xml:space="preserve"> ja </w:t>
      </w:r>
      <w:r>
        <w:rPr>
          <w:rFonts w:ascii="Times New Roman" w:hAnsi="Times New Roman"/>
          <w:b/>
          <w:bCs/>
          <w:i/>
          <w:sz w:val="20"/>
        </w:rPr>
        <w:t>Slovakkia</w:t>
      </w:r>
      <w:r>
        <w:rPr>
          <w:rFonts w:ascii="Times New Roman" w:hAnsi="Times New Roman"/>
          <w:i/>
          <w:sz w:val="20"/>
        </w:rPr>
        <w:t xml:space="preserve"> muutsid metoodikat. </w:t>
      </w:r>
      <w:r>
        <w:rPr>
          <w:rFonts w:ascii="Times New Roman" w:hAnsi="Times New Roman"/>
          <w:b/>
          <w:bCs/>
          <w:i/>
          <w:sz w:val="20"/>
        </w:rPr>
        <w:t>Tšehhi</w:t>
      </w:r>
      <w:r>
        <w:rPr>
          <w:rFonts w:ascii="Times New Roman" w:hAnsi="Times New Roman"/>
          <w:i/>
          <w:sz w:val="20"/>
        </w:rPr>
        <w:t xml:space="preserve"> puhul ja kuni 2016. aastani </w:t>
      </w:r>
      <w:r>
        <w:rPr>
          <w:rFonts w:ascii="Times New Roman" w:hAnsi="Times New Roman"/>
          <w:b/>
          <w:bCs/>
          <w:i/>
          <w:sz w:val="20"/>
        </w:rPr>
        <w:t>Slovakkia</w:t>
      </w:r>
      <w:r>
        <w:rPr>
          <w:rFonts w:ascii="Times New Roman" w:hAnsi="Times New Roman"/>
          <w:i/>
          <w:sz w:val="20"/>
        </w:rPr>
        <w:t xml:space="preserve"> puhul hõlmab pooleliolevate kohtuasjade arv kõiki kohtuastmeid. </w:t>
      </w:r>
      <w:bookmarkStart w:id="120" w:name="_Ref440892386"/>
      <w:bookmarkStart w:id="121" w:name="_Ref440892375"/>
      <w:r>
        <w:rPr>
          <w:rFonts w:ascii="Times New Roman" w:hAnsi="Times New Roman"/>
          <w:b/>
          <w:bCs/>
          <w:i/>
          <w:sz w:val="20"/>
        </w:rPr>
        <w:t>Madalmaade</w:t>
      </w:r>
      <w:r>
        <w:rPr>
          <w:rFonts w:ascii="Times New Roman" w:hAnsi="Times New Roman"/>
          <w:i/>
          <w:sz w:val="20"/>
        </w:rPr>
        <w:t xml:space="preserve"> andmetes sisalduvad vaidlustega mitteseotud asjad.</w:t>
      </w:r>
    </w:p>
    <w:p>
      <w:pPr>
        <w:spacing w:before="240" w:after="0" w:line="240" w:lineRule="auto"/>
        <w:jc w:val="both"/>
        <w:rPr>
          <w:rFonts w:ascii="Times New Roman" w:eastAsia="Calibri" w:hAnsi="Times New Roman" w:cs="Times New Roman"/>
          <w:i/>
          <w:sz w:val="24"/>
          <w:szCs w:val="24"/>
        </w:rPr>
      </w:pPr>
      <w:r>
        <w:rPr>
          <w:rFonts w:ascii="Times New Roman" w:hAnsi="Times New Roman"/>
          <w:b/>
          <w:bCs/>
          <w:sz w:val="24"/>
          <w:szCs w:val="24"/>
        </w:rPr>
        <w:t>Joonis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7</w:t>
      </w:r>
      <w:r>
        <w:fldChar w:fldCharType="end"/>
      </w:r>
      <w:r>
        <w:t>.</w:t>
      </w:r>
      <w:r>
        <w:rPr>
          <w:rFonts w:ascii="Times New Roman" w:hAnsi="Times New Roman"/>
          <w:b/>
          <w:bCs/>
          <w:sz w:val="24"/>
          <w:szCs w:val="24"/>
        </w:rPr>
        <w:t xml:space="preserve"> </w:t>
      </w:r>
      <w:r>
        <w:rPr>
          <w:rFonts w:ascii="Times New Roman" w:hAnsi="Times New Roman"/>
          <w:b/>
          <w:bCs/>
          <w:sz w:val="24"/>
          <w:szCs w:val="24"/>
          <w:u w:val="single"/>
        </w:rPr>
        <w:t>Tsiviil- ja kaubandusvaidluste</w:t>
      </w:r>
      <w:r>
        <w:rPr>
          <w:rFonts w:ascii="Times New Roman" w:hAnsi="Times New Roman"/>
        </w:rPr>
        <w:t xml:space="preserve"> </w:t>
      </w:r>
      <w:r>
        <w:rPr>
          <w:rFonts w:ascii="Times New Roman" w:hAnsi="Times New Roman"/>
          <w:b/>
          <w:bCs/>
        </w:rPr>
        <w:t>lahendamiseks kuluv eeldatav aeg</w:t>
      </w:r>
      <w:r>
        <w:rPr>
          <w:rFonts w:ascii="Times New Roman" w:hAnsi="Times New Roman"/>
        </w:rPr>
        <w:t>(*)</w:t>
      </w:r>
      <w:r>
        <w:rPr>
          <w:sz w:val="24"/>
          <w:szCs w:val="24"/>
        </w:rPr>
        <w:t xml:space="preserve"> </w:t>
      </w:r>
      <w:r>
        <w:rPr>
          <w:rFonts w:ascii="Times New Roman" w:hAnsi="Times New Roman"/>
          <w:b/>
          <w:bCs/>
          <w:sz w:val="24"/>
          <w:szCs w:val="24"/>
          <w:u w:val="single"/>
        </w:rPr>
        <w:t>kõikides</w:t>
      </w:r>
      <w:r>
        <w:rPr>
          <w:rFonts w:ascii="Times New Roman" w:hAnsi="Times New Roman"/>
          <w:b/>
          <w:bCs/>
          <w:sz w:val="24"/>
          <w:szCs w:val="24"/>
        </w:rPr>
        <w:t xml:space="preserve"> kohtuastmetes 2018. aastal </w:t>
      </w:r>
      <w:r>
        <w:rPr>
          <w:rFonts w:ascii="Times New Roman" w:hAnsi="Times New Roman"/>
          <w:i/>
          <w:iCs/>
          <w:sz w:val="24"/>
          <w:szCs w:val="24"/>
        </w:rPr>
        <w:t>(esimene, teine ja kolmas aste / päevades) (allikas: CEPEJ uuring)</w:t>
      </w:r>
    </w:p>
    <w:p>
      <w:pPr>
        <w:spacing w:after="0" w:line="240" w:lineRule="auto"/>
        <w:jc w:val="both"/>
        <w:rPr>
          <w:rFonts w:ascii="Times New Roman" w:eastAsia="Calibri" w:hAnsi="Times New Roman" w:cs="Times New Roman"/>
          <w:i/>
          <w:sz w:val="20"/>
          <w:szCs w:val="20"/>
        </w:rPr>
      </w:pPr>
      <w:r>
        <w:rPr>
          <w:lang w:val="en-GB" w:eastAsia="en-GB"/>
        </w:rPr>
        <w:drawing>
          <wp:inline distT="0" distB="0" distL="0" distR="0">
            <wp:extent cx="5977255" cy="2447511"/>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7255" cy="2447511"/>
                    </a:xfrm>
                    <a:prstGeom prst="rect">
                      <a:avLst/>
                    </a:prstGeom>
                    <a:noFill/>
                    <a:ln>
                      <a:noFill/>
                    </a:ln>
                  </pic:spPr>
                </pic:pic>
              </a:graphicData>
            </a:graphic>
          </wp:inline>
        </w:drawing>
      </w:r>
      <w:r>
        <w:rPr>
          <w:rFonts w:ascii="Times New Roman" w:hAnsi="Times New Roman"/>
          <w:i/>
          <w:sz w:val="20"/>
          <w:szCs w:val="20"/>
        </w:rPr>
        <w:t xml:space="preserve">(*) Järjekorra määrab kindlaks kõige pikemate menetlustega kohtuaste igas liikmesriigis. </w:t>
      </w:r>
      <w:r>
        <w:rPr>
          <w:rFonts w:ascii="Times New Roman" w:hAnsi="Times New Roman"/>
          <w:b/>
          <w:bCs/>
          <w:i/>
          <w:sz w:val="20"/>
        </w:rPr>
        <w:t>Belgia</w:t>
      </w:r>
      <w:r>
        <w:rPr>
          <w:rFonts w:ascii="Times New Roman" w:hAnsi="Times New Roman"/>
          <w:i/>
          <w:sz w:val="20"/>
        </w:rPr>
        <w:t xml:space="preserve">, </w:t>
      </w:r>
      <w:r>
        <w:rPr>
          <w:rFonts w:ascii="Times New Roman" w:hAnsi="Times New Roman"/>
          <w:b/>
          <w:bCs/>
          <w:i/>
          <w:sz w:val="20"/>
        </w:rPr>
        <w:t>Bulgaaria</w:t>
      </w:r>
      <w:r>
        <w:rPr>
          <w:rFonts w:ascii="Times New Roman" w:hAnsi="Times New Roman"/>
          <w:i/>
          <w:sz w:val="20"/>
        </w:rPr>
        <w:t xml:space="preserve"> ja </w:t>
      </w:r>
      <w:r>
        <w:rPr>
          <w:rFonts w:ascii="Times New Roman" w:hAnsi="Times New Roman"/>
          <w:b/>
          <w:bCs/>
          <w:i/>
          <w:sz w:val="20"/>
        </w:rPr>
        <w:t>Iirimaa</w:t>
      </w:r>
      <w:r>
        <w:rPr>
          <w:rFonts w:ascii="Times New Roman" w:hAnsi="Times New Roman"/>
          <w:i/>
          <w:sz w:val="20"/>
        </w:rPr>
        <w:t xml:space="preserve"> esimese ja teise astme kohtute, </w:t>
      </w:r>
      <w:r>
        <w:rPr>
          <w:rFonts w:ascii="Times New Roman" w:hAnsi="Times New Roman"/>
          <w:b/>
          <w:bCs/>
          <w:i/>
          <w:sz w:val="20"/>
        </w:rPr>
        <w:t>Madalmaade</w:t>
      </w:r>
      <w:r>
        <w:rPr>
          <w:rFonts w:ascii="Times New Roman" w:hAnsi="Times New Roman"/>
          <w:i/>
          <w:sz w:val="20"/>
        </w:rPr>
        <w:t xml:space="preserve"> teise astme kohtute ning </w:t>
      </w:r>
      <w:r>
        <w:rPr>
          <w:rFonts w:ascii="Times New Roman" w:hAnsi="Times New Roman"/>
          <w:b/>
          <w:bCs/>
          <w:i/>
          <w:sz w:val="20"/>
        </w:rPr>
        <w:t>Madalmaade</w:t>
      </w:r>
      <w:r>
        <w:rPr>
          <w:rFonts w:ascii="Times New Roman" w:hAnsi="Times New Roman"/>
          <w:i/>
          <w:sz w:val="20"/>
        </w:rPr>
        <w:t xml:space="preserve"> ja </w:t>
      </w:r>
      <w:r>
        <w:rPr>
          <w:rFonts w:ascii="Times New Roman" w:hAnsi="Times New Roman"/>
          <w:b/>
          <w:bCs/>
          <w:i/>
          <w:sz w:val="20"/>
        </w:rPr>
        <w:t>Austria</w:t>
      </w:r>
      <w:r>
        <w:rPr>
          <w:rFonts w:ascii="Times New Roman" w:hAnsi="Times New Roman"/>
          <w:i/>
          <w:sz w:val="20"/>
        </w:rPr>
        <w:t xml:space="preserve"> teise ja kolmanda astme kohtute või </w:t>
      </w:r>
      <w:r>
        <w:rPr>
          <w:rFonts w:ascii="Times New Roman" w:hAnsi="Times New Roman"/>
          <w:b/>
          <w:bCs/>
          <w:i/>
          <w:sz w:val="20"/>
        </w:rPr>
        <w:t>Saksamaa</w:t>
      </w:r>
      <w:r>
        <w:rPr>
          <w:rFonts w:ascii="Times New Roman" w:hAnsi="Times New Roman"/>
          <w:i/>
          <w:sz w:val="20"/>
        </w:rPr>
        <w:t xml:space="preserve"> ja </w:t>
      </w:r>
      <w:r>
        <w:rPr>
          <w:rFonts w:ascii="Times New Roman" w:hAnsi="Times New Roman"/>
          <w:b/>
          <w:bCs/>
          <w:i/>
          <w:sz w:val="20"/>
        </w:rPr>
        <w:t>Horvaatia</w:t>
      </w:r>
      <w:r>
        <w:rPr>
          <w:rFonts w:ascii="Times New Roman" w:hAnsi="Times New Roman"/>
          <w:i/>
          <w:sz w:val="20"/>
        </w:rPr>
        <w:t xml:space="preserve"> kolmanda astme kohtute kohta ei ole andmed kättesaadavad. </w:t>
      </w:r>
      <w:r>
        <w:rPr>
          <w:rFonts w:ascii="Times New Roman" w:hAnsi="Times New Roman"/>
          <w:b/>
          <w:bCs/>
          <w:i/>
          <w:sz w:val="20"/>
        </w:rPr>
        <w:t>Maltal</w:t>
      </w:r>
      <w:r>
        <w:rPr>
          <w:rFonts w:ascii="Times New Roman" w:hAnsi="Times New Roman"/>
          <w:i/>
          <w:sz w:val="20"/>
        </w:rPr>
        <w:t xml:space="preserve"> ei ole kolmanda astme kohut. Juurdepääs kolmanda astme kohtule võib olla mõnes liikmesriigis piiratud.</w:t>
      </w:r>
      <w:r>
        <w:rPr>
          <w:rFonts w:ascii="Times New Roman" w:hAnsi="Times New Roman"/>
          <w:i/>
          <w:sz w:val="20"/>
          <w:szCs w:val="20"/>
        </w:rPr>
        <w:t xml:space="preserve"> </w:t>
      </w:r>
    </w:p>
    <w:p>
      <w:pPr>
        <w:spacing w:after="0" w:line="240" w:lineRule="auto"/>
        <w:jc w:val="both"/>
        <w:rPr>
          <w:rFonts w:ascii="Times New Roman" w:eastAsia="Calibri" w:hAnsi="Times New Roman" w:cs="Times New Roman"/>
          <w:i/>
          <w:sz w:val="20"/>
          <w:szCs w:val="20"/>
        </w:rPr>
      </w:pPr>
    </w:p>
    <w:p>
      <w:pPr>
        <w:keepNext/>
        <w:spacing w:before="240" w:after="0" w:line="240" w:lineRule="auto"/>
        <w:jc w:val="both"/>
        <w:rPr>
          <w:rFonts w:ascii="Times New Roman" w:eastAsia="Calibri" w:hAnsi="Times New Roman" w:cs="Times New Roman"/>
          <w:i/>
          <w:sz w:val="24"/>
          <w:szCs w:val="24"/>
        </w:rPr>
      </w:pPr>
      <w:r>
        <w:rPr>
          <w:rFonts w:ascii="Times New Roman" w:hAnsi="Times New Roman"/>
          <w:b/>
          <w:bCs/>
          <w:sz w:val="24"/>
          <w:szCs w:val="24"/>
        </w:rPr>
        <w:t>Joonis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8</w:t>
      </w:r>
      <w:r>
        <w:fldChar w:fldCharType="end"/>
      </w:r>
      <w:bookmarkEnd w:id="120"/>
      <w:bookmarkEnd w:id="121"/>
      <w:r>
        <w:rPr>
          <w:rFonts w:ascii="Times New Roman" w:hAnsi="Times New Roman"/>
          <w:b/>
          <w:bCs/>
          <w:sz w:val="24"/>
          <w:szCs w:val="24"/>
        </w:rPr>
        <w:t xml:space="preserve">. </w:t>
      </w:r>
      <w:r>
        <w:rPr>
          <w:rFonts w:ascii="Times New Roman" w:hAnsi="Times New Roman"/>
          <w:b/>
          <w:bCs/>
          <w:sz w:val="24"/>
          <w:szCs w:val="24"/>
          <w:u w:val="single"/>
        </w:rPr>
        <w:t>Haldusasjade</w:t>
      </w:r>
      <w:r>
        <w:rPr>
          <w:rFonts w:ascii="Times New Roman" w:hAnsi="Times New Roman"/>
          <w:b/>
          <w:bCs/>
          <w:sz w:val="24"/>
          <w:szCs w:val="24"/>
        </w:rPr>
        <w:t xml:space="preserve"> lahendamiseks kuluv eeldatav aeg, </w:t>
      </w:r>
      <w:r>
        <w:rPr>
          <w:rFonts w:ascii="Times New Roman" w:hAnsi="Times New Roman"/>
          <w:b/>
          <w:bCs/>
          <w:sz w:val="24"/>
          <w:szCs w:val="24"/>
          <w:u w:val="single"/>
        </w:rPr>
        <w:t>2012–2018</w:t>
      </w:r>
      <w:r>
        <w:rPr>
          <w:rFonts w:ascii="Times New Roman" w:hAnsi="Times New Roman"/>
        </w:rPr>
        <w:t>(*)</w:t>
      </w:r>
      <w:r>
        <w:rPr>
          <w:rFonts w:ascii="Times New Roman" w:hAnsi="Times New Roman"/>
          <w:i/>
          <w:iCs/>
          <w:sz w:val="24"/>
          <w:szCs w:val="24"/>
        </w:rPr>
        <w:t xml:space="preserve"> (esimene aste / päevades) (allikas: CEPEJ uuring)</w:t>
      </w:r>
    </w:p>
    <w:p>
      <w:pPr>
        <w:spacing w:after="0" w:line="240" w:lineRule="auto"/>
        <w:jc w:val="both"/>
        <w:rPr>
          <w:rFonts w:ascii="Times New Roman" w:eastAsia="Calibri" w:hAnsi="Times New Roman" w:cs="Times New Roman"/>
          <w:i/>
          <w:sz w:val="20"/>
        </w:rPr>
      </w:pPr>
      <w:r>
        <w:rPr>
          <w:lang w:val="en-GB" w:eastAsia="en-GB"/>
        </w:rPr>
        <w:drawing>
          <wp:inline distT="0" distB="0" distL="0" distR="0">
            <wp:extent cx="5977255" cy="2460562"/>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7255" cy="2460562"/>
                    </a:xfrm>
                    <a:prstGeom prst="rect">
                      <a:avLst/>
                    </a:prstGeom>
                    <a:noFill/>
                    <a:ln>
                      <a:noFill/>
                    </a:ln>
                  </pic:spPr>
                </pic:pic>
              </a:graphicData>
            </a:graphic>
          </wp:inline>
        </w:drawing>
      </w:r>
    </w:p>
    <w:p>
      <w:pPr>
        <w:spacing w:after="0" w:line="240" w:lineRule="auto"/>
        <w:jc w:val="both"/>
        <w:rPr>
          <w:rFonts w:ascii="Times New Roman" w:eastAsia="Calibri" w:hAnsi="Times New Roman" w:cs="Times New Roman"/>
          <w:i/>
          <w:sz w:val="20"/>
        </w:rPr>
      </w:pPr>
      <w:r>
        <w:rPr>
          <w:rFonts w:ascii="Times New Roman" w:hAnsi="Times New Roman"/>
          <w:i/>
          <w:sz w:val="20"/>
        </w:rPr>
        <w:t xml:space="preserve">(*) CEPEJ metoodika kohaselt hõlmavad haldusasjad vaidlusi isikute ning kohalike, piirkondlike või riiklike ametiasutuste vahel. </w:t>
      </w:r>
      <w:r>
        <w:rPr>
          <w:rFonts w:ascii="Times New Roman" w:hAnsi="Times New Roman"/>
          <w:b/>
          <w:bCs/>
          <w:i/>
          <w:sz w:val="20"/>
        </w:rPr>
        <w:t>Kreeka</w:t>
      </w:r>
      <w:r>
        <w:rPr>
          <w:rFonts w:ascii="Times New Roman" w:hAnsi="Times New Roman"/>
          <w:i/>
          <w:sz w:val="20"/>
        </w:rPr>
        <w:t xml:space="preserve"> ja </w:t>
      </w:r>
      <w:r>
        <w:rPr>
          <w:rFonts w:ascii="Times New Roman" w:hAnsi="Times New Roman"/>
          <w:b/>
          <w:bCs/>
          <w:i/>
          <w:sz w:val="20"/>
        </w:rPr>
        <w:t>Slovakkia</w:t>
      </w:r>
      <w:r>
        <w:rPr>
          <w:rFonts w:ascii="Times New Roman" w:hAnsi="Times New Roman"/>
          <w:i/>
          <w:sz w:val="20"/>
        </w:rPr>
        <w:t xml:space="preserve"> muutsid metoodikat. </w:t>
      </w:r>
      <w:r>
        <w:rPr>
          <w:rFonts w:ascii="Times New Roman" w:hAnsi="Times New Roman"/>
          <w:b/>
          <w:bCs/>
          <w:i/>
          <w:sz w:val="20"/>
        </w:rPr>
        <w:t>Tšehhi</w:t>
      </w:r>
      <w:r>
        <w:rPr>
          <w:rFonts w:ascii="Times New Roman" w:hAnsi="Times New Roman"/>
          <w:i/>
          <w:sz w:val="20"/>
        </w:rPr>
        <w:t xml:space="preserve"> puhul ja kuni 2016. aastani </w:t>
      </w:r>
      <w:r>
        <w:rPr>
          <w:rFonts w:ascii="Times New Roman" w:hAnsi="Times New Roman"/>
          <w:b/>
          <w:bCs/>
          <w:i/>
          <w:sz w:val="20"/>
        </w:rPr>
        <w:t>Slovakkia</w:t>
      </w:r>
      <w:r>
        <w:rPr>
          <w:rFonts w:ascii="Times New Roman" w:hAnsi="Times New Roman"/>
          <w:i/>
          <w:sz w:val="20"/>
        </w:rPr>
        <w:t xml:space="preserve"> puhul hõlmab pooleliolevate kohtuasjade arv kõiki kohtuastmeid. </w:t>
      </w:r>
      <w:r>
        <w:rPr>
          <w:rFonts w:ascii="Times New Roman" w:hAnsi="Times New Roman"/>
          <w:b/>
          <w:bCs/>
          <w:i/>
          <w:sz w:val="20"/>
        </w:rPr>
        <w:t>Taani</w:t>
      </w:r>
      <w:r>
        <w:rPr>
          <w:rFonts w:ascii="Times New Roman" w:hAnsi="Times New Roman"/>
          <w:i/>
          <w:sz w:val="20"/>
        </w:rPr>
        <w:t xml:space="preserve"> ja </w:t>
      </w:r>
      <w:r>
        <w:rPr>
          <w:rFonts w:ascii="Times New Roman" w:hAnsi="Times New Roman"/>
          <w:b/>
          <w:bCs/>
          <w:i/>
          <w:sz w:val="20"/>
        </w:rPr>
        <w:t>Iirimaa</w:t>
      </w:r>
      <w:r>
        <w:rPr>
          <w:rFonts w:ascii="Times New Roman" w:hAnsi="Times New Roman"/>
          <w:i/>
          <w:sz w:val="20"/>
        </w:rPr>
        <w:t xml:space="preserve"> andmetes haldusasju ei eristata. </w:t>
      </w:r>
      <w:r>
        <w:rPr>
          <w:rFonts w:ascii="Times New Roman" w:hAnsi="Times New Roman"/>
          <w:b/>
          <w:bCs/>
          <w:i/>
          <w:sz w:val="20"/>
        </w:rPr>
        <w:t>Küpros</w:t>
      </w:r>
      <w:r>
        <w:rPr>
          <w:rFonts w:ascii="Times New Roman" w:hAnsi="Times New Roman"/>
          <w:i/>
          <w:sz w:val="20"/>
        </w:rPr>
        <w:t>: 2018. aastal on lahendatud kohtuasjade arv kasvanud, sest kohtuasjades tehti otsuseid koos, 2 724 liidetud kohtuasja võeti tagasi ning kaks aastat tagasi asutati halduskohus.</w:t>
      </w:r>
    </w:p>
    <w:p>
      <w:pPr>
        <w:spacing w:before="240" w:after="0" w:line="240" w:lineRule="auto"/>
        <w:jc w:val="both"/>
        <w:rPr>
          <w:rFonts w:ascii="Times New Roman" w:eastAsia="Calibri" w:hAnsi="Times New Roman" w:cs="Times New Roman"/>
          <w:i/>
          <w:sz w:val="24"/>
          <w:szCs w:val="24"/>
        </w:rPr>
      </w:pPr>
      <w:r>
        <w:rPr>
          <w:rFonts w:ascii="Times New Roman" w:hAnsi="Times New Roman"/>
          <w:b/>
          <w:bCs/>
          <w:sz w:val="24"/>
          <w:szCs w:val="24"/>
        </w:rPr>
        <w:t>Joonis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9</w:t>
      </w:r>
      <w:r>
        <w:fldChar w:fldCharType="end"/>
      </w:r>
      <w:r>
        <w:t>.</w:t>
      </w:r>
      <w:r>
        <w:rPr>
          <w:rFonts w:ascii="Times New Roman" w:hAnsi="Times New Roman"/>
          <w:b/>
          <w:bCs/>
          <w:sz w:val="24"/>
          <w:szCs w:val="24"/>
        </w:rPr>
        <w:t xml:space="preserve"> </w:t>
      </w:r>
      <w:r>
        <w:rPr>
          <w:rFonts w:ascii="Times New Roman" w:hAnsi="Times New Roman"/>
          <w:b/>
          <w:bCs/>
          <w:sz w:val="24"/>
          <w:szCs w:val="24"/>
          <w:u w:val="single"/>
        </w:rPr>
        <w:t>Haldusasjade</w:t>
      </w:r>
      <w:r>
        <w:rPr>
          <w:rFonts w:ascii="Times New Roman" w:hAnsi="Times New Roman"/>
          <w:b/>
          <w:bCs/>
        </w:rPr>
        <w:t xml:space="preserve"> lahendamiseks kuluv eeldatav aeg</w:t>
      </w:r>
      <w:r>
        <w:rPr>
          <w:rFonts w:ascii="Times New Roman" w:hAnsi="Times New Roman"/>
        </w:rPr>
        <w:t>(*)</w:t>
      </w:r>
      <w:r>
        <w:rPr>
          <w:b/>
          <w:bCs/>
          <w:sz w:val="24"/>
          <w:szCs w:val="24"/>
        </w:rPr>
        <w:t xml:space="preserve"> </w:t>
      </w:r>
      <w:r>
        <w:rPr>
          <w:rFonts w:ascii="Times New Roman" w:hAnsi="Times New Roman"/>
          <w:b/>
          <w:bCs/>
          <w:sz w:val="24"/>
          <w:szCs w:val="24"/>
          <w:u w:val="single"/>
        </w:rPr>
        <w:t>kõikides</w:t>
      </w:r>
      <w:r>
        <w:rPr>
          <w:rFonts w:ascii="Times New Roman" w:hAnsi="Times New Roman"/>
          <w:b/>
          <w:bCs/>
          <w:sz w:val="24"/>
          <w:szCs w:val="24"/>
        </w:rPr>
        <w:t xml:space="preserve"> kohtuastmetes 2018. aastal </w:t>
      </w:r>
      <w:r>
        <w:rPr>
          <w:rFonts w:ascii="Times New Roman" w:hAnsi="Times New Roman"/>
          <w:i/>
          <w:iCs/>
          <w:sz w:val="24"/>
          <w:szCs w:val="24"/>
        </w:rPr>
        <w:t>(esimene aste ning asjakohastel puhkudel teine ja kolmas aste / päevades) (allikas: CEPEJ uuring)</w:t>
      </w:r>
      <w:bookmarkStart w:id="122" w:name="_Toc409530219"/>
      <w:bookmarkStart w:id="123" w:name="_Toc438545669"/>
      <w:bookmarkStart w:id="124" w:name="_Toc438548319"/>
      <w:bookmarkStart w:id="125" w:name="_Toc438548505"/>
      <w:bookmarkStart w:id="126" w:name="_Toc440017695"/>
      <w:bookmarkStart w:id="127" w:name="_Toc440018079"/>
      <w:bookmarkStart w:id="128" w:name="_Toc440033377"/>
      <w:bookmarkStart w:id="129" w:name="_Toc440035228"/>
      <w:bookmarkStart w:id="130" w:name="_Toc440036523"/>
      <w:bookmarkStart w:id="131" w:name="_Toc440042465"/>
      <w:bookmarkStart w:id="132" w:name="_Toc440291118"/>
      <w:bookmarkStart w:id="133" w:name="_Toc440294681"/>
      <w:bookmarkStart w:id="134" w:name="_Toc440295183"/>
      <w:bookmarkStart w:id="135" w:name="_Toc440296588"/>
      <w:bookmarkStart w:id="136" w:name="_Toc440625072"/>
      <w:bookmarkStart w:id="137" w:name="_Toc440626402"/>
      <w:bookmarkStart w:id="138" w:name="_Toc440628856"/>
      <w:bookmarkStart w:id="139" w:name="_Toc441571128"/>
      <w:bookmarkStart w:id="140" w:name="_Toc441581630"/>
      <w:bookmarkStart w:id="141" w:name="_Toc441585897"/>
      <w:bookmarkStart w:id="142" w:name="_Toc441595832"/>
      <w:bookmarkStart w:id="143" w:name="_Toc441596009"/>
      <w:bookmarkStart w:id="144" w:name="_Toc441748134"/>
      <w:bookmarkStart w:id="145" w:name="_Toc441755419"/>
      <w:bookmarkStart w:id="146" w:name="_Toc441756456"/>
      <w:bookmarkStart w:id="147" w:name="_Toc441757500"/>
      <w:bookmarkStart w:id="148" w:name="_Toc441766629"/>
      <w:bookmarkStart w:id="149" w:name="_Toc441766968"/>
      <w:bookmarkStart w:id="150" w:name="_Toc442187969"/>
      <w:bookmarkStart w:id="151" w:name="_Toc442262061"/>
      <w:bookmarkStart w:id="152" w:name="_Toc442362468"/>
      <w:bookmarkStart w:id="153" w:name="_Toc442374804"/>
      <w:bookmarkStart w:id="154" w:name="_Toc442425944"/>
      <w:bookmarkStart w:id="155" w:name="_Toc442453070"/>
      <w:bookmarkStart w:id="156" w:name="_Toc443484528"/>
      <w:bookmarkStart w:id="157" w:name="_Toc443484750"/>
      <w:bookmarkStart w:id="158" w:name="_Toc443509491"/>
      <w:bookmarkStart w:id="159" w:name="_Toc446014820"/>
    </w:p>
    <w:p>
      <w:pPr>
        <w:spacing w:after="0" w:line="240" w:lineRule="auto"/>
        <w:jc w:val="both"/>
        <w:rPr>
          <w:rFonts w:ascii="Times New Roman" w:eastAsia="Calibri" w:hAnsi="Times New Roman" w:cs="Times New Roman"/>
          <w:i/>
          <w:sz w:val="20"/>
        </w:rPr>
      </w:pPr>
      <w:r>
        <w:rPr>
          <w:lang w:val="en-GB" w:eastAsia="en-GB"/>
        </w:rPr>
        <w:drawing>
          <wp:inline distT="0" distB="0" distL="0" distR="0">
            <wp:extent cx="5977255" cy="2495687"/>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7255" cy="2495687"/>
                    </a:xfrm>
                    <a:prstGeom prst="rect">
                      <a:avLst/>
                    </a:prstGeom>
                    <a:noFill/>
                    <a:ln>
                      <a:noFill/>
                    </a:ln>
                  </pic:spPr>
                </pic:pic>
              </a:graphicData>
            </a:graphic>
          </wp:inline>
        </w:drawing>
      </w:r>
      <w:r>
        <w:rPr>
          <w:rFonts w:ascii="Times New Roman" w:hAnsi="Times New Roman"/>
          <w:i/>
          <w:sz w:val="20"/>
          <w:szCs w:val="20"/>
        </w:rPr>
        <w:t>(*)</w:t>
      </w:r>
      <w:r>
        <w:rPr>
          <w:rFonts w:ascii="Times New Roman" w:hAnsi="Times New Roman"/>
          <w:i/>
          <w:iCs/>
          <w:sz w:val="20"/>
          <w:szCs w:val="20"/>
        </w:rPr>
        <w:t xml:space="preserve"> Järjekorra määrab kindlaks kõige pikemate menetlustega kohtuaste igas liikmesriigis.</w:t>
      </w:r>
      <w:r>
        <w:rPr>
          <w:rFonts w:ascii="Times New Roman" w:hAnsi="Times New Roman"/>
          <w:i/>
          <w:sz w:val="20"/>
          <w:szCs w:val="20"/>
        </w:rPr>
        <w:t xml:space="preserve"> Andmed puuduvad: </w:t>
      </w:r>
      <w:r>
        <w:rPr>
          <w:rFonts w:ascii="Times New Roman" w:hAnsi="Times New Roman"/>
          <w:i/>
          <w:iCs/>
          <w:sz w:val="20"/>
        </w:rPr>
        <w:t xml:space="preserve">esimese astme kohtu kohta </w:t>
      </w:r>
      <w:r>
        <w:rPr>
          <w:rFonts w:ascii="Times New Roman" w:hAnsi="Times New Roman"/>
          <w:b/>
          <w:bCs/>
          <w:i/>
          <w:iCs/>
          <w:sz w:val="20"/>
        </w:rPr>
        <w:t>Luksemburgis</w:t>
      </w:r>
      <w:r>
        <w:rPr>
          <w:rFonts w:ascii="Times New Roman" w:hAnsi="Times New Roman"/>
          <w:i/>
          <w:iCs/>
          <w:sz w:val="20"/>
        </w:rPr>
        <w:t xml:space="preserve">, teise astme kohtute kohta </w:t>
      </w:r>
      <w:r>
        <w:rPr>
          <w:rFonts w:ascii="Times New Roman" w:hAnsi="Times New Roman"/>
          <w:b/>
          <w:bCs/>
          <w:i/>
          <w:iCs/>
          <w:sz w:val="20"/>
        </w:rPr>
        <w:t>Maltal</w:t>
      </w:r>
      <w:r>
        <w:rPr>
          <w:rFonts w:ascii="Times New Roman" w:hAnsi="Times New Roman"/>
          <w:i/>
          <w:iCs/>
          <w:sz w:val="20"/>
        </w:rPr>
        <w:t xml:space="preserve"> ja </w:t>
      </w:r>
      <w:r>
        <w:rPr>
          <w:rFonts w:ascii="Times New Roman" w:hAnsi="Times New Roman"/>
          <w:b/>
          <w:bCs/>
          <w:i/>
          <w:iCs/>
          <w:sz w:val="20"/>
        </w:rPr>
        <w:t>Rumeenias</w:t>
      </w:r>
      <w:r>
        <w:rPr>
          <w:rFonts w:ascii="Times New Roman" w:hAnsi="Times New Roman"/>
          <w:i/>
          <w:iCs/>
          <w:sz w:val="20"/>
        </w:rPr>
        <w:t xml:space="preserve"> ning kolmanda astme kohtu kohta </w:t>
      </w:r>
      <w:r>
        <w:rPr>
          <w:rFonts w:ascii="Times New Roman" w:hAnsi="Times New Roman"/>
          <w:b/>
          <w:bCs/>
          <w:i/>
          <w:iCs/>
          <w:sz w:val="20"/>
        </w:rPr>
        <w:t>Madalmaades</w:t>
      </w:r>
      <w:r>
        <w:rPr>
          <w:rFonts w:ascii="Times New Roman" w:hAnsi="Times New Roman"/>
          <w:i/>
          <w:iCs/>
          <w:sz w:val="20"/>
        </w:rPr>
        <w:t xml:space="preserve">. </w:t>
      </w:r>
      <w:r>
        <w:rPr>
          <w:rFonts w:ascii="Times New Roman" w:hAnsi="Times New Roman"/>
          <w:b/>
          <w:bCs/>
          <w:i/>
          <w:iCs/>
          <w:sz w:val="20"/>
        </w:rPr>
        <w:t>Tšehhis</w:t>
      </w:r>
      <w:r>
        <w:rPr>
          <w:rFonts w:ascii="Times New Roman" w:hAnsi="Times New Roman"/>
          <w:i/>
          <w:iCs/>
          <w:sz w:val="20"/>
        </w:rPr>
        <w:t xml:space="preserve">, </w:t>
      </w:r>
      <w:r>
        <w:rPr>
          <w:rFonts w:ascii="Times New Roman" w:hAnsi="Times New Roman"/>
          <w:b/>
          <w:bCs/>
          <w:i/>
          <w:iCs/>
          <w:sz w:val="20"/>
        </w:rPr>
        <w:t>Itaalias</w:t>
      </w:r>
      <w:r>
        <w:rPr>
          <w:rFonts w:ascii="Times New Roman" w:hAnsi="Times New Roman"/>
          <w:i/>
          <w:iCs/>
          <w:sz w:val="20"/>
        </w:rPr>
        <w:t xml:space="preserve">, </w:t>
      </w:r>
      <w:r>
        <w:rPr>
          <w:rFonts w:ascii="Times New Roman" w:hAnsi="Times New Roman"/>
          <w:b/>
          <w:bCs/>
          <w:i/>
          <w:iCs/>
          <w:sz w:val="20"/>
        </w:rPr>
        <w:t>Küprosel</w:t>
      </w:r>
      <w:r>
        <w:rPr>
          <w:rFonts w:ascii="Times New Roman" w:hAnsi="Times New Roman"/>
          <w:i/>
          <w:iCs/>
          <w:sz w:val="20"/>
        </w:rPr>
        <w:t xml:space="preserve">, </w:t>
      </w:r>
      <w:r>
        <w:rPr>
          <w:rFonts w:ascii="Times New Roman" w:hAnsi="Times New Roman"/>
          <w:b/>
          <w:bCs/>
          <w:i/>
          <w:iCs/>
          <w:sz w:val="20"/>
        </w:rPr>
        <w:t>Austrias</w:t>
      </w:r>
      <w:r>
        <w:rPr>
          <w:rFonts w:ascii="Times New Roman" w:hAnsi="Times New Roman"/>
          <w:i/>
          <w:iCs/>
          <w:sz w:val="20"/>
        </w:rPr>
        <w:t xml:space="preserve">, </w:t>
      </w:r>
      <w:r>
        <w:rPr>
          <w:rFonts w:ascii="Times New Roman" w:hAnsi="Times New Roman"/>
          <w:b/>
          <w:bCs/>
          <w:i/>
          <w:iCs/>
          <w:sz w:val="20"/>
        </w:rPr>
        <w:t>Sloveenias</w:t>
      </w:r>
      <w:r>
        <w:rPr>
          <w:rFonts w:ascii="Times New Roman" w:hAnsi="Times New Roman"/>
          <w:i/>
          <w:iCs/>
          <w:sz w:val="20"/>
        </w:rPr>
        <w:t xml:space="preserve"> ja </w:t>
      </w:r>
      <w:r>
        <w:rPr>
          <w:rFonts w:ascii="Times New Roman" w:hAnsi="Times New Roman"/>
          <w:b/>
          <w:bCs/>
          <w:i/>
          <w:iCs/>
          <w:sz w:val="20"/>
        </w:rPr>
        <w:t>Soomes</w:t>
      </w:r>
      <w:r>
        <w:rPr>
          <w:rFonts w:ascii="Times New Roman" w:hAnsi="Times New Roman"/>
          <w:i/>
          <w:iCs/>
          <w:sz w:val="20"/>
        </w:rPr>
        <w:t xml:space="preserve"> on ainus apellatsiooniaste ülemkohus või mõni muu kõrgeim kohus. </w:t>
      </w:r>
      <w:r>
        <w:rPr>
          <w:rFonts w:ascii="Times New Roman" w:hAnsi="Times New Roman"/>
          <w:b/>
          <w:bCs/>
          <w:i/>
          <w:iCs/>
          <w:sz w:val="20"/>
        </w:rPr>
        <w:t>Horvaatias</w:t>
      </w:r>
      <w:r>
        <w:rPr>
          <w:rFonts w:ascii="Times New Roman" w:hAnsi="Times New Roman"/>
          <w:i/>
          <w:iCs/>
          <w:sz w:val="20"/>
        </w:rPr>
        <w:t xml:space="preserve">, </w:t>
      </w:r>
      <w:r>
        <w:rPr>
          <w:rFonts w:ascii="Times New Roman" w:hAnsi="Times New Roman"/>
          <w:b/>
          <w:bCs/>
          <w:i/>
          <w:iCs/>
          <w:sz w:val="20"/>
        </w:rPr>
        <w:t>Leedus</w:t>
      </w:r>
      <w:r>
        <w:rPr>
          <w:rFonts w:ascii="Times New Roman" w:hAnsi="Times New Roman"/>
          <w:i/>
          <w:iCs/>
          <w:sz w:val="20"/>
        </w:rPr>
        <w:t xml:space="preserve">, </w:t>
      </w:r>
      <w:r>
        <w:rPr>
          <w:rFonts w:ascii="Times New Roman" w:hAnsi="Times New Roman"/>
          <w:b/>
          <w:i/>
          <w:iCs/>
          <w:sz w:val="20"/>
        </w:rPr>
        <w:t>Luksemburgis</w:t>
      </w:r>
      <w:r>
        <w:rPr>
          <w:rFonts w:ascii="Times New Roman" w:hAnsi="Times New Roman"/>
          <w:i/>
          <w:iCs/>
          <w:sz w:val="20"/>
        </w:rPr>
        <w:t xml:space="preserve"> ja </w:t>
      </w:r>
      <w:r>
        <w:rPr>
          <w:rFonts w:ascii="Times New Roman" w:hAnsi="Times New Roman"/>
          <w:b/>
          <w:bCs/>
          <w:i/>
          <w:iCs/>
          <w:sz w:val="20"/>
        </w:rPr>
        <w:t>Maltal</w:t>
      </w:r>
      <w:r>
        <w:rPr>
          <w:rFonts w:ascii="Times New Roman" w:hAnsi="Times New Roman"/>
          <w:i/>
          <w:iCs/>
          <w:sz w:val="20"/>
        </w:rPr>
        <w:t xml:space="preserve"> seda liiki kohtuasjade jaoks kolmanda astme kohut ei ole. </w:t>
      </w:r>
      <w:r>
        <w:rPr>
          <w:rFonts w:ascii="Times New Roman" w:hAnsi="Times New Roman"/>
          <w:b/>
          <w:bCs/>
          <w:i/>
          <w:iCs/>
          <w:sz w:val="20"/>
        </w:rPr>
        <w:t>Belgias</w:t>
      </w:r>
      <w:r>
        <w:rPr>
          <w:rFonts w:ascii="Times New Roman" w:hAnsi="Times New Roman"/>
          <w:i/>
          <w:iCs/>
          <w:sz w:val="20"/>
        </w:rPr>
        <w:t xml:space="preserve"> on teatud kohtuasjade puhul esimeseks ja ainsaks kohtuastmeks kõrgeim halduskohus.</w:t>
      </w:r>
      <w:r>
        <w:rPr>
          <w:rFonts w:ascii="Times New Roman" w:hAnsi="Times New Roman"/>
          <w:i/>
          <w:sz w:val="20"/>
          <w:szCs w:val="20"/>
        </w:rPr>
        <w:t xml:space="preserve"> Juurdepääs kolmanda astme kohtule võib olla mõnes liikmesriigis piiratud. </w:t>
      </w:r>
      <w:r>
        <w:rPr>
          <w:rFonts w:ascii="Times New Roman" w:hAnsi="Times New Roman"/>
          <w:b/>
          <w:bCs/>
          <w:i/>
          <w:sz w:val="20"/>
          <w:szCs w:val="20"/>
        </w:rPr>
        <w:t>Taani</w:t>
      </w:r>
      <w:r>
        <w:rPr>
          <w:rFonts w:ascii="Times New Roman" w:hAnsi="Times New Roman"/>
          <w:i/>
          <w:sz w:val="20"/>
          <w:szCs w:val="20"/>
        </w:rPr>
        <w:t xml:space="preserve"> ja </w:t>
      </w:r>
      <w:r>
        <w:rPr>
          <w:rFonts w:ascii="Times New Roman" w:hAnsi="Times New Roman"/>
          <w:b/>
          <w:bCs/>
          <w:i/>
          <w:sz w:val="20"/>
          <w:szCs w:val="20"/>
        </w:rPr>
        <w:t>Iirimaa</w:t>
      </w:r>
      <w:r>
        <w:rPr>
          <w:rFonts w:ascii="Times New Roman" w:hAnsi="Times New Roman"/>
          <w:i/>
          <w:sz w:val="20"/>
          <w:szCs w:val="20"/>
        </w:rPr>
        <w:t xml:space="preserve"> andmetes haldusasju ei eristata.</w:t>
      </w:r>
    </w:p>
    <w:p>
      <w:pPr>
        <w:keepNext/>
        <w:tabs>
          <w:tab w:val="left" w:pos="850"/>
        </w:tabs>
        <w:spacing w:before="240" w:after="120" w:line="240" w:lineRule="auto"/>
        <w:ind w:left="850" w:hanging="850"/>
        <w:jc w:val="both"/>
        <w:outlineLvl w:val="2"/>
        <w:rPr>
          <w:rFonts w:ascii="Times New Roman" w:eastAsia="Times New Roman" w:hAnsi="Times New Roman" w:cs="Times New Roman"/>
          <w:i/>
          <w:sz w:val="24"/>
          <w:szCs w:val="24"/>
        </w:rPr>
      </w:pPr>
      <w:r>
        <w:rPr>
          <w:rFonts w:ascii="Times New Roman" w:hAnsi="Times New Roman"/>
          <w:i/>
          <w:sz w:val="24"/>
          <w:szCs w:val="24"/>
        </w:rPr>
        <w:sym w:font="Symbol" w:char="F02D"/>
      </w:r>
      <w:r>
        <w:rPr>
          <w:rFonts w:ascii="Times New Roman" w:hAnsi="Times New Roman"/>
          <w:i/>
          <w:sz w:val="24"/>
          <w:szCs w:val="24"/>
        </w:rPr>
        <w:t xml:space="preserve"> Algatatud ja lõpuleviidud kohtumenetluste määr</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Fonts w:ascii="Times New Roman" w:hAnsi="Times New Roman"/>
          <w:i/>
          <w:sz w:val="24"/>
          <w:szCs w:val="24"/>
        </w:rPr>
        <w:t xml:space="preserve"> </w:t>
      </w:r>
      <w:r>
        <w:rPr>
          <w:rFonts w:ascii="Times New Roman" w:hAnsi="Times New Roman"/>
          <w:sz w:val="24"/>
          <w:szCs w:val="24"/>
        </w:rPr>
        <w:t>–</w:t>
      </w:r>
    </w:p>
    <w:p>
      <w:pPr>
        <w:spacing w:after="120" w:line="240" w:lineRule="auto"/>
        <w:jc w:val="both"/>
        <w:rPr>
          <w:rFonts w:ascii="Times New Roman" w:eastAsia="Times New Roman" w:hAnsi="Times New Roman" w:cs="Times New Roman"/>
          <w:b/>
          <w:sz w:val="24"/>
          <w:szCs w:val="24"/>
        </w:rPr>
      </w:pPr>
      <w:r>
        <w:rPr>
          <w:rFonts w:ascii="Times New Roman" w:hAnsi="Times New Roman"/>
          <w:sz w:val="24"/>
          <w:szCs w:val="24"/>
        </w:rPr>
        <w:t>Algatatud ja lõpuleviidud kohtumenetluste määr on sissetulnud kohtuasjade arvu ja lahendatud kohtuasjade arvu suhe. Sellega mõõdetakse seda, kas kohus suudab sissetuleva töökoormusega hakkama saada. Kui algatatud ja lõpuleviidud kohtumenetluste määr on ligikaudu 100 % või kõrgem, on kohtusüsteem suuteline lahendama vähemalt sama palju kohtuasju, kui neid sisse tuleb. Kui algatatud ja lõpuleviidud kohtumenetluste määr on madalam kui 100 %, on kohtud suutelised lahendama vähemal määral kohtuasju, kui neid sisse tuleb.</w:t>
      </w:r>
    </w:p>
    <w:p>
      <w:pPr>
        <w:keepNext/>
        <w:spacing w:before="240" w:after="0" w:line="240" w:lineRule="auto"/>
        <w:jc w:val="both"/>
        <w:rPr>
          <w:rFonts w:ascii="Times New Roman" w:eastAsia="Calibri" w:hAnsi="Times New Roman" w:cs="Times New Roman"/>
          <w:i/>
          <w:sz w:val="24"/>
          <w:szCs w:val="24"/>
        </w:rPr>
      </w:pPr>
      <w:bookmarkStart w:id="160" w:name="_Ref442281972"/>
      <w:r>
        <w:rPr>
          <w:rFonts w:ascii="Times New Roman" w:hAnsi="Times New Roman"/>
          <w:b/>
          <w:bCs/>
          <w:sz w:val="24"/>
          <w:szCs w:val="24"/>
        </w:rPr>
        <w:t xml:space="preserve">Joonis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10</w:t>
      </w:r>
      <w:r>
        <w:fldChar w:fldCharType="end"/>
      </w:r>
      <w:bookmarkEnd w:id="160"/>
      <w:r>
        <w:t>.</w:t>
      </w:r>
      <w:r>
        <w:rPr>
          <w:rFonts w:ascii="Times New Roman" w:hAnsi="Times New Roman"/>
          <w:b/>
          <w:bCs/>
          <w:sz w:val="24"/>
          <w:szCs w:val="24"/>
        </w:rPr>
        <w:t xml:space="preserve"> </w:t>
      </w:r>
      <w:r>
        <w:rPr>
          <w:rFonts w:ascii="Times New Roman" w:hAnsi="Times New Roman"/>
          <w:b/>
          <w:bCs/>
          <w:sz w:val="24"/>
          <w:szCs w:val="24"/>
          <w:u w:val="single"/>
        </w:rPr>
        <w:t>Tsiviil-, kaubandus-, haldus- ja muude asjade</w:t>
      </w:r>
      <w:r>
        <w:rPr>
          <w:rFonts w:ascii="Times New Roman" w:hAnsi="Times New Roman"/>
          <w:sz w:val="24"/>
          <w:szCs w:val="24"/>
        </w:rPr>
        <w:t xml:space="preserve"> </w:t>
      </w:r>
      <w:r>
        <w:rPr>
          <w:rFonts w:ascii="Times New Roman" w:hAnsi="Times New Roman"/>
          <w:b/>
          <w:bCs/>
          <w:sz w:val="24"/>
          <w:szCs w:val="24"/>
        </w:rPr>
        <w:t xml:space="preserve">lahendamise määr, </w:t>
      </w:r>
      <w:r>
        <w:rPr>
          <w:rFonts w:ascii="Times New Roman" w:hAnsi="Times New Roman"/>
          <w:b/>
          <w:bCs/>
          <w:sz w:val="24"/>
          <w:szCs w:val="24"/>
          <w:u w:val="single"/>
        </w:rPr>
        <w:t>2012–2018</w:t>
      </w:r>
      <w:r>
        <w:rPr>
          <w:rFonts w:ascii="Times New Roman" w:hAnsi="Times New Roman"/>
          <w:sz w:val="24"/>
          <w:szCs w:val="24"/>
        </w:rPr>
        <w:t xml:space="preserve">(*) </w:t>
      </w:r>
      <w:r>
        <w:rPr>
          <w:rFonts w:ascii="Times New Roman" w:hAnsi="Times New Roman"/>
          <w:i/>
          <w:iCs/>
          <w:sz w:val="24"/>
          <w:szCs w:val="24"/>
        </w:rPr>
        <w:t>(esimene aste / protsentides – kõrgem kui 100 % väärtus tähendab, et lahendatakse rohkem kohtuasju, kui neid sisse tuleb, samal ajal kui madalam kui 100 % väärtus tähendab, et lahendatakse vähem kohtuasju, kui neid sisse tuleb) (allikas: CEPEJ uuring)</w:t>
      </w:r>
    </w:p>
    <w:p>
      <w:pPr>
        <w:spacing w:after="0" w:line="240" w:lineRule="auto"/>
        <w:jc w:val="both"/>
        <w:rPr>
          <w:rFonts w:ascii="Times New Roman" w:eastAsia="Calibri" w:hAnsi="Times New Roman" w:cs="Times New Roman"/>
          <w:i/>
          <w:sz w:val="20"/>
        </w:rPr>
      </w:pPr>
      <w:r>
        <w:rPr>
          <w:lang w:val="en-GB" w:eastAsia="en-GB"/>
        </w:rPr>
        <w:drawing>
          <wp:inline distT="0" distB="0" distL="0" distR="0">
            <wp:extent cx="5977255" cy="2458251"/>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7255" cy="2458251"/>
                    </a:xfrm>
                    <a:prstGeom prst="rect">
                      <a:avLst/>
                    </a:prstGeom>
                    <a:noFill/>
                    <a:ln>
                      <a:noFill/>
                    </a:ln>
                  </pic:spPr>
                </pic:pic>
              </a:graphicData>
            </a:graphic>
          </wp:inline>
        </w:drawing>
      </w:r>
      <w:r>
        <w:rPr>
          <w:rFonts w:ascii="Times New Roman" w:hAnsi="Times New Roman"/>
          <w:i/>
          <w:sz w:val="20"/>
        </w:rPr>
        <w:t xml:space="preserve">(*) </w:t>
      </w:r>
      <w:r>
        <w:rPr>
          <w:rFonts w:ascii="Times New Roman" w:hAnsi="Times New Roman"/>
          <w:b/>
          <w:bCs/>
          <w:i/>
          <w:sz w:val="20"/>
        </w:rPr>
        <w:t>Slovakkia</w:t>
      </w:r>
      <w:r>
        <w:rPr>
          <w:rFonts w:ascii="Times New Roman" w:hAnsi="Times New Roman"/>
          <w:i/>
          <w:sz w:val="20"/>
        </w:rPr>
        <w:t xml:space="preserve"> muutis metoodikat. </w:t>
      </w:r>
      <w:r>
        <w:rPr>
          <w:rFonts w:ascii="Times New Roman" w:hAnsi="Times New Roman"/>
          <w:b/>
          <w:bCs/>
          <w:i/>
          <w:sz w:val="20"/>
        </w:rPr>
        <w:t>Iirimaa</w:t>
      </w:r>
      <w:r>
        <w:rPr>
          <w:rFonts w:ascii="Times New Roman" w:hAnsi="Times New Roman"/>
          <w:i/>
          <w:sz w:val="20"/>
        </w:rPr>
        <w:t xml:space="preserve"> puhul eeldatakse, et metoodika tõttu ei kajastu aruandluses kõik lahendatud kohtuasjad. </w:t>
      </w:r>
      <w:r>
        <w:rPr>
          <w:rFonts w:ascii="Times New Roman" w:hAnsi="Times New Roman"/>
          <w:b/>
          <w:bCs/>
          <w:i/>
          <w:sz w:val="20"/>
        </w:rPr>
        <w:t>Itaalias</w:t>
      </w:r>
      <w:r>
        <w:rPr>
          <w:rFonts w:ascii="Times New Roman" w:hAnsi="Times New Roman"/>
          <w:i/>
          <w:sz w:val="20"/>
        </w:rPr>
        <w:t xml:space="preserve"> võeti 2013. aastal kasutusele tsiviilasjade erinev liigitus.</w:t>
      </w:r>
    </w:p>
    <w:p>
      <w:pPr>
        <w:keepNext/>
        <w:spacing w:before="240" w:after="0" w:line="240" w:lineRule="auto"/>
        <w:jc w:val="both"/>
        <w:rPr>
          <w:rFonts w:ascii="Times New Roman" w:eastAsia="Calibri" w:hAnsi="Times New Roman" w:cs="Times New Roman"/>
          <w:i/>
          <w:sz w:val="24"/>
          <w:szCs w:val="24"/>
        </w:rPr>
      </w:pPr>
      <w:bookmarkStart w:id="161" w:name="_Ref442281977"/>
      <w:r>
        <w:rPr>
          <w:rFonts w:ascii="Times New Roman" w:hAnsi="Times New Roman"/>
          <w:b/>
          <w:bCs/>
          <w:sz w:val="24"/>
          <w:szCs w:val="24"/>
        </w:rPr>
        <w:t>Joonis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11</w:t>
      </w:r>
      <w:r>
        <w:fldChar w:fldCharType="end"/>
      </w:r>
      <w:bookmarkEnd w:id="161"/>
      <w:r>
        <w:rPr>
          <w:rFonts w:ascii="Times New Roman" w:hAnsi="Times New Roman"/>
          <w:b/>
          <w:bCs/>
          <w:sz w:val="24"/>
          <w:szCs w:val="24"/>
        </w:rPr>
        <w:t xml:space="preserve">. </w:t>
      </w:r>
      <w:r>
        <w:rPr>
          <w:rFonts w:ascii="Times New Roman" w:hAnsi="Times New Roman"/>
          <w:b/>
          <w:bCs/>
          <w:sz w:val="24"/>
          <w:szCs w:val="24"/>
          <w:u w:val="single"/>
        </w:rPr>
        <w:t>Tsiviil- ja kaubandusvaidluste</w:t>
      </w:r>
      <w:r>
        <w:rPr>
          <w:rFonts w:ascii="Times New Roman" w:hAnsi="Times New Roman"/>
          <w:b/>
          <w:bCs/>
          <w:sz w:val="24"/>
          <w:szCs w:val="24"/>
        </w:rPr>
        <w:t xml:space="preserve"> lahendamise määr, </w:t>
      </w:r>
      <w:r>
        <w:rPr>
          <w:rFonts w:ascii="Times New Roman" w:hAnsi="Times New Roman"/>
          <w:b/>
          <w:bCs/>
          <w:sz w:val="24"/>
          <w:szCs w:val="24"/>
          <w:u w:val="single"/>
        </w:rPr>
        <w:t>2012–2018</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i/>
          <w:iCs/>
          <w:sz w:val="24"/>
          <w:szCs w:val="24"/>
        </w:rPr>
        <w:t>(esimene aste / protsentides) (allikas: CEPEJ uuring)</w:t>
      </w:r>
    </w:p>
    <w:p>
      <w:pPr>
        <w:spacing w:after="0" w:line="240" w:lineRule="auto"/>
        <w:jc w:val="both"/>
        <w:rPr>
          <w:rFonts w:ascii="Times New Roman" w:eastAsia="Calibri" w:hAnsi="Times New Roman" w:cs="Times New Roman"/>
          <w:i/>
          <w:sz w:val="20"/>
        </w:rPr>
      </w:pPr>
      <w:r>
        <w:rPr>
          <w:lang w:val="en-GB" w:eastAsia="en-GB"/>
        </w:rPr>
        <w:drawing>
          <wp:inline distT="0" distB="0" distL="0" distR="0">
            <wp:extent cx="5977255" cy="2477823"/>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7255" cy="2477823"/>
                    </a:xfrm>
                    <a:prstGeom prst="rect">
                      <a:avLst/>
                    </a:prstGeom>
                    <a:noFill/>
                    <a:ln>
                      <a:noFill/>
                    </a:ln>
                  </pic:spPr>
                </pic:pic>
              </a:graphicData>
            </a:graphic>
          </wp:inline>
        </w:drawing>
      </w:r>
      <w:r>
        <w:rPr>
          <w:rFonts w:ascii="Times New Roman" w:hAnsi="Times New Roman"/>
          <w:i/>
          <w:sz w:val="20"/>
        </w:rPr>
        <w:t xml:space="preserve">(*) </w:t>
      </w:r>
      <w:r>
        <w:rPr>
          <w:rFonts w:ascii="Times New Roman" w:hAnsi="Times New Roman"/>
          <w:b/>
          <w:i/>
          <w:sz w:val="20"/>
        </w:rPr>
        <w:t>Kreeka</w:t>
      </w:r>
      <w:r>
        <w:rPr>
          <w:rFonts w:ascii="Times New Roman" w:hAnsi="Times New Roman"/>
          <w:i/>
          <w:sz w:val="20"/>
        </w:rPr>
        <w:t xml:space="preserve"> ja </w:t>
      </w:r>
      <w:r>
        <w:rPr>
          <w:rFonts w:ascii="Times New Roman" w:hAnsi="Times New Roman"/>
          <w:b/>
          <w:bCs/>
          <w:i/>
          <w:sz w:val="20"/>
        </w:rPr>
        <w:t>Slovakkia</w:t>
      </w:r>
      <w:r>
        <w:rPr>
          <w:rFonts w:ascii="Times New Roman" w:hAnsi="Times New Roman"/>
          <w:i/>
          <w:sz w:val="20"/>
        </w:rPr>
        <w:t xml:space="preserve"> muutsid metoodikat. </w:t>
      </w:r>
      <w:r>
        <w:rPr>
          <w:rFonts w:ascii="Times New Roman" w:hAnsi="Times New Roman"/>
          <w:b/>
          <w:bCs/>
          <w:i/>
          <w:sz w:val="20"/>
        </w:rPr>
        <w:t>Iirimaa</w:t>
      </w:r>
      <w:r>
        <w:rPr>
          <w:rFonts w:ascii="Times New Roman" w:hAnsi="Times New Roman"/>
          <w:i/>
          <w:sz w:val="20"/>
        </w:rPr>
        <w:t xml:space="preserve"> puhul eeldatakse, et metoodika tõttu ei kajastu aruandluses kõik lahendatud kohtuasjad. </w:t>
      </w:r>
      <w:r>
        <w:rPr>
          <w:rFonts w:ascii="Times New Roman" w:hAnsi="Times New Roman"/>
          <w:b/>
          <w:bCs/>
          <w:i/>
          <w:sz w:val="20"/>
        </w:rPr>
        <w:t>Itaalias</w:t>
      </w:r>
      <w:r>
        <w:rPr>
          <w:rFonts w:ascii="Times New Roman" w:hAnsi="Times New Roman"/>
          <w:i/>
          <w:sz w:val="20"/>
        </w:rPr>
        <w:t xml:space="preserve"> võeti 2013. aastal kasutusele tsiviilasjade erinev liigitus. </w:t>
      </w:r>
      <w:r>
        <w:rPr>
          <w:rFonts w:ascii="Times New Roman" w:hAnsi="Times New Roman"/>
          <w:b/>
          <w:bCs/>
          <w:i/>
          <w:sz w:val="20"/>
        </w:rPr>
        <w:t>Madalmaade</w:t>
      </w:r>
      <w:r>
        <w:rPr>
          <w:rFonts w:ascii="Times New Roman" w:hAnsi="Times New Roman"/>
          <w:i/>
          <w:sz w:val="20"/>
        </w:rPr>
        <w:t xml:space="preserve"> andmetes sisalduvad ka vaidlustega mitteseotud asjad.</w:t>
      </w:r>
    </w:p>
    <w:p>
      <w:pPr>
        <w:keepNext/>
        <w:spacing w:before="240" w:after="0" w:line="240" w:lineRule="auto"/>
        <w:jc w:val="both"/>
        <w:rPr>
          <w:rFonts w:ascii="Times New Roman" w:eastAsia="Calibri" w:hAnsi="Times New Roman" w:cs="Times New Roman"/>
          <w:i/>
          <w:sz w:val="24"/>
          <w:szCs w:val="24"/>
        </w:rPr>
      </w:pPr>
      <w:bookmarkStart w:id="162" w:name="_Ref442281982"/>
      <w:r>
        <w:rPr>
          <w:rFonts w:ascii="Times New Roman" w:hAnsi="Times New Roman"/>
          <w:b/>
          <w:bCs/>
          <w:sz w:val="24"/>
          <w:szCs w:val="24"/>
        </w:rPr>
        <w:t>Joonis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12</w:t>
      </w:r>
      <w:r>
        <w:fldChar w:fldCharType="end"/>
      </w:r>
      <w:bookmarkEnd w:id="162"/>
      <w:r>
        <w:rPr>
          <w:rFonts w:ascii="Times New Roman" w:hAnsi="Times New Roman"/>
          <w:b/>
          <w:bCs/>
          <w:sz w:val="24"/>
          <w:szCs w:val="24"/>
        </w:rPr>
        <w:t xml:space="preserve">. </w:t>
      </w:r>
      <w:r>
        <w:rPr>
          <w:rFonts w:ascii="Times New Roman" w:hAnsi="Times New Roman"/>
          <w:b/>
          <w:bCs/>
          <w:sz w:val="24"/>
          <w:szCs w:val="24"/>
          <w:u w:val="single"/>
        </w:rPr>
        <w:t>Haldusasjade</w:t>
      </w:r>
      <w:r>
        <w:rPr>
          <w:rFonts w:ascii="Times New Roman" w:hAnsi="Times New Roman"/>
          <w:b/>
          <w:bCs/>
          <w:sz w:val="24"/>
          <w:szCs w:val="24"/>
        </w:rPr>
        <w:t xml:space="preserve"> lahendamise määr, </w:t>
      </w:r>
      <w:r>
        <w:rPr>
          <w:rFonts w:ascii="Times New Roman" w:hAnsi="Times New Roman"/>
          <w:b/>
          <w:bCs/>
          <w:u w:val="single"/>
        </w:rPr>
        <w:t>2012–2018(*)</w:t>
      </w:r>
      <w:r>
        <w:rPr>
          <w:rFonts w:ascii="Times New Roman" w:hAnsi="Times New Roman"/>
          <w:b/>
          <w:bCs/>
          <w:sz w:val="24"/>
          <w:szCs w:val="24"/>
        </w:rPr>
        <w:t xml:space="preserve"> </w:t>
      </w:r>
      <w:r>
        <w:rPr>
          <w:rFonts w:ascii="Times New Roman" w:hAnsi="Times New Roman"/>
          <w:i/>
          <w:iCs/>
          <w:sz w:val="24"/>
          <w:szCs w:val="24"/>
        </w:rPr>
        <w:t>(esimene aste / protsentides) (allikas: CEPEJ uuring)</w:t>
      </w:r>
    </w:p>
    <w:p>
      <w:pPr>
        <w:keepNext/>
        <w:spacing w:after="0" w:line="240" w:lineRule="auto"/>
        <w:jc w:val="both"/>
        <w:rPr>
          <w:rFonts w:ascii="Times New Roman" w:eastAsia="Calibri" w:hAnsi="Times New Roman" w:cs="Times New Roman"/>
          <w:i/>
          <w:sz w:val="20"/>
        </w:rPr>
      </w:pPr>
      <w:r>
        <w:rPr>
          <w:lang w:val="en-GB" w:eastAsia="en-GB"/>
        </w:rPr>
        <w:drawing>
          <wp:inline distT="0" distB="0" distL="0" distR="0">
            <wp:extent cx="5977255" cy="2476051"/>
            <wp:effectExtent l="0" t="0" r="444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7255" cy="2476051"/>
                    </a:xfrm>
                    <a:prstGeom prst="rect">
                      <a:avLst/>
                    </a:prstGeom>
                    <a:noFill/>
                    <a:ln>
                      <a:noFill/>
                    </a:ln>
                  </pic:spPr>
                </pic:pic>
              </a:graphicData>
            </a:graphic>
          </wp:inline>
        </w:drawing>
      </w:r>
      <w:r>
        <w:rPr>
          <w:rFonts w:ascii="Times New Roman" w:hAnsi="Times New Roman"/>
          <w:i/>
          <w:sz w:val="20"/>
        </w:rPr>
        <w:t>(*</w:t>
      </w:r>
      <w:r>
        <w:rPr>
          <w:rFonts w:ascii="Times New Roman" w:hAnsi="Times New Roman"/>
          <w:sz w:val="20"/>
        </w:rPr>
        <w:t>)</w:t>
      </w:r>
      <w:r>
        <w:rPr>
          <w:rFonts w:ascii="Times New Roman" w:hAnsi="Times New Roman"/>
          <w:i/>
          <w:iCs/>
          <w:sz w:val="20"/>
        </w:rPr>
        <w:t xml:space="preserve"> Mõne liikmesriigi varasemaid näitajaid on joonisele mahutamiseks vähendatud (</w:t>
      </w:r>
      <w:r>
        <w:rPr>
          <w:rFonts w:ascii="Times New Roman" w:hAnsi="Times New Roman"/>
          <w:b/>
          <w:bCs/>
          <w:i/>
          <w:iCs/>
          <w:sz w:val="20"/>
        </w:rPr>
        <w:t>Küprosel</w:t>
      </w:r>
      <w:r>
        <w:rPr>
          <w:rFonts w:ascii="Times New Roman" w:hAnsi="Times New Roman"/>
          <w:i/>
          <w:iCs/>
          <w:sz w:val="20"/>
        </w:rPr>
        <w:t xml:space="preserve"> oli kõnealune määr 2018. aastal 219 %;</w:t>
      </w:r>
      <w:r>
        <w:rPr>
          <w:rFonts w:ascii="Times New Roman" w:hAnsi="Times New Roman"/>
          <w:i/>
          <w:sz w:val="20"/>
        </w:rPr>
        <w:t xml:space="preserve"> </w:t>
      </w:r>
      <w:r>
        <w:rPr>
          <w:rFonts w:ascii="Times New Roman" w:hAnsi="Times New Roman"/>
          <w:b/>
          <w:bCs/>
          <w:i/>
          <w:sz w:val="20"/>
        </w:rPr>
        <w:t>Itaalias</w:t>
      </w:r>
      <w:r>
        <w:rPr>
          <w:rFonts w:ascii="Times New Roman" w:hAnsi="Times New Roman"/>
          <w:i/>
          <w:sz w:val="20"/>
        </w:rPr>
        <w:t xml:space="preserve"> 2012. aastal 279,8 %); </w:t>
      </w:r>
      <w:r>
        <w:rPr>
          <w:rFonts w:ascii="Times New Roman" w:hAnsi="Times New Roman"/>
          <w:b/>
          <w:bCs/>
          <w:i/>
          <w:sz w:val="20"/>
        </w:rPr>
        <w:t>Kreeka</w:t>
      </w:r>
      <w:r>
        <w:rPr>
          <w:rFonts w:ascii="Times New Roman" w:hAnsi="Times New Roman"/>
          <w:i/>
          <w:sz w:val="20"/>
        </w:rPr>
        <w:t xml:space="preserve"> ja </w:t>
      </w:r>
      <w:r>
        <w:rPr>
          <w:rFonts w:ascii="Times New Roman" w:hAnsi="Times New Roman"/>
          <w:b/>
          <w:bCs/>
          <w:i/>
          <w:sz w:val="20"/>
        </w:rPr>
        <w:t>Slovakkia</w:t>
      </w:r>
      <w:r>
        <w:rPr>
          <w:rFonts w:ascii="Times New Roman" w:hAnsi="Times New Roman"/>
          <w:i/>
          <w:sz w:val="20"/>
        </w:rPr>
        <w:t xml:space="preserve"> muutsid metoodikat. </w:t>
      </w:r>
      <w:r>
        <w:rPr>
          <w:rFonts w:ascii="Times New Roman" w:hAnsi="Times New Roman"/>
          <w:b/>
          <w:bCs/>
          <w:i/>
          <w:sz w:val="20"/>
        </w:rPr>
        <w:t>Taani</w:t>
      </w:r>
      <w:r>
        <w:rPr>
          <w:rFonts w:ascii="Times New Roman" w:hAnsi="Times New Roman"/>
          <w:i/>
          <w:sz w:val="20"/>
        </w:rPr>
        <w:t xml:space="preserve"> ja </w:t>
      </w:r>
      <w:r>
        <w:rPr>
          <w:rFonts w:ascii="Times New Roman" w:hAnsi="Times New Roman"/>
          <w:b/>
          <w:bCs/>
          <w:i/>
          <w:sz w:val="20"/>
        </w:rPr>
        <w:t>Iirimaa</w:t>
      </w:r>
      <w:r>
        <w:rPr>
          <w:rFonts w:ascii="Times New Roman" w:hAnsi="Times New Roman"/>
          <w:i/>
          <w:sz w:val="20"/>
        </w:rPr>
        <w:t xml:space="preserve"> andmetes haldusasju ei eristata. </w:t>
      </w:r>
      <w:r>
        <w:rPr>
          <w:rFonts w:ascii="Times New Roman" w:hAnsi="Times New Roman"/>
          <w:b/>
          <w:bCs/>
          <w:i/>
          <w:sz w:val="20"/>
        </w:rPr>
        <w:t>Küprosel</w:t>
      </w:r>
      <w:r>
        <w:rPr>
          <w:rFonts w:ascii="Times New Roman" w:hAnsi="Times New Roman"/>
          <w:i/>
          <w:sz w:val="20"/>
        </w:rPr>
        <w:t xml:space="preserve"> on lahendatud kohtuasjade arv kasvanud, sest kohtuasjades tehti otsuseid koos, 2 724 liidetud kohtuasja võeti tagasi ning kaks aastat tagasi asutati halduskohus.</w:t>
      </w:r>
    </w:p>
    <w:p>
      <w:pPr>
        <w:keepNext/>
        <w:tabs>
          <w:tab w:val="left" w:pos="850"/>
        </w:tabs>
        <w:spacing w:before="240" w:after="120" w:line="240" w:lineRule="auto"/>
        <w:ind w:left="850" w:hanging="850"/>
        <w:jc w:val="both"/>
        <w:outlineLvl w:val="2"/>
        <w:rPr>
          <w:rFonts w:ascii="Times New Roman" w:eastAsia="Times New Roman" w:hAnsi="Times New Roman" w:cs="Times New Roman"/>
          <w:i/>
          <w:sz w:val="24"/>
          <w:szCs w:val="24"/>
        </w:rPr>
      </w:pPr>
      <w:bookmarkStart w:id="163" w:name="_Toc438545670"/>
      <w:bookmarkStart w:id="164" w:name="_Toc438548320"/>
      <w:bookmarkStart w:id="165" w:name="_Toc438548506"/>
      <w:bookmarkStart w:id="166" w:name="_Toc440017696"/>
      <w:bookmarkStart w:id="167" w:name="_Toc440018080"/>
      <w:bookmarkStart w:id="168" w:name="_Toc440033378"/>
      <w:bookmarkStart w:id="169" w:name="_Toc440035229"/>
      <w:bookmarkStart w:id="170" w:name="_Toc440036524"/>
      <w:bookmarkStart w:id="171" w:name="_Toc440042466"/>
      <w:bookmarkStart w:id="172" w:name="_Toc440291119"/>
      <w:bookmarkStart w:id="173" w:name="_Toc440294682"/>
      <w:bookmarkStart w:id="174" w:name="_Toc440295184"/>
      <w:bookmarkStart w:id="175" w:name="_Toc440296589"/>
      <w:bookmarkStart w:id="176" w:name="_Toc440625073"/>
      <w:bookmarkStart w:id="177" w:name="_Toc440626403"/>
      <w:bookmarkStart w:id="178" w:name="_Toc440628857"/>
      <w:bookmarkStart w:id="179" w:name="_Toc441571129"/>
      <w:bookmarkStart w:id="180" w:name="_Toc441581631"/>
      <w:bookmarkStart w:id="181" w:name="_Toc441585898"/>
      <w:bookmarkStart w:id="182" w:name="_Toc441595833"/>
      <w:bookmarkStart w:id="183" w:name="_Toc441596010"/>
      <w:bookmarkStart w:id="184" w:name="_Toc441748135"/>
      <w:bookmarkStart w:id="185" w:name="_Toc441755420"/>
      <w:bookmarkStart w:id="186" w:name="_Toc441756457"/>
      <w:bookmarkStart w:id="187" w:name="_Toc441757501"/>
      <w:bookmarkStart w:id="188" w:name="_Toc441766630"/>
      <w:bookmarkStart w:id="189" w:name="_Toc441766969"/>
      <w:bookmarkStart w:id="190" w:name="_Toc442187970"/>
      <w:bookmarkStart w:id="191" w:name="_Toc442262062"/>
      <w:bookmarkStart w:id="192" w:name="_Toc442362469"/>
      <w:bookmarkStart w:id="193" w:name="_Toc442374805"/>
      <w:bookmarkStart w:id="194" w:name="_Toc442425945"/>
      <w:bookmarkStart w:id="195" w:name="_Toc442453071"/>
      <w:bookmarkStart w:id="196" w:name="_Toc443484529"/>
      <w:bookmarkStart w:id="197" w:name="_Toc443484751"/>
      <w:bookmarkStart w:id="198" w:name="_Toc443509492"/>
      <w:bookmarkStart w:id="199" w:name="_Toc446014821"/>
      <w:r>
        <w:rPr>
          <w:rFonts w:ascii="Times New Roman" w:hAnsi="Times New Roman"/>
          <w:i/>
          <w:sz w:val="24"/>
          <w:szCs w:val="24"/>
        </w:rPr>
        <w:sym w:font="Symbol" w:char="F02D"/>
      </w:r>
      <w:r>
        <w:rPr>
          <w:rFonts w:ascii="Times New Roman" w:hAnsi="Times New Roman"/>
          <w:i/>
          <w:sz w:val="24"/>
          <w:szCs w:val="24"/>
        </w:rPr>
        <w:t xml:space="preserve"> </w:t>
      </w:r>
      <w:bookmarkStart w:id="200" w:name="_Toc409530220"/>
      <w:r>
        <w:rPr>
          <w:rFonts w:ascii="Times New Roman" w:hAnsi="Times New Roman"/>
          <w:i/>
          <w:sz w:val="24"/>
          <w:szCs w:val="24"/>
        </w:rPr>
        <w:t>Pooleliolevad kohtuasjad</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Fonts w:ascii="Times New Roman" w:hAnsi="Times New Roman"/>
          <w:i/>
          <w:sz w:val="24"/>
          <w:szCs w:val="24"/>
        </w:rPr>
        <w:t xml:space="preserve"> </w:t>
      </w:r>
      <w:r>
        <w:rPr>
          <w:rFonts w:ascii="Times New Roman" w:hAnsi="Times New Roman"/>
          <w:sz w:val="24"/>
          <w:szCs w:val="24"/>
        </w:rPr>
        <w:t>–</w:t>
      </w:r>
    </w:p>
    <w:p>
      <w:pPr>
        <w:spacing w:after="120" w:line="240" w:lineRule="auto"/>
        <w:jc w:val="both"/>
        <w:rPr>
          <w:rFonts w:ascii="Times New Roman" w:eastAsia="Times New Roman" w:hAnsi="Times New Roman" w:cs="Times New Roman"/>
          <w:sz w:val="24"/>
          <w:szCs w:val="24"/>
        </w:rPr>
      </w:pPr>
      <w:r>
        <w:rPr>
          <w:rFonts w:ascii="Times New Roman" w:hAnsi="Times New Roman"/>
          <w:sz w:val="24"/>
          <w:szCs w:val="24"/>
        </w:rPr>
        <w:t>Pooleliolevate kohtuasjade arv väljendab lõpuni menetlemata kohtuasjade arvu asjaomase aasta lõpu seisuga. See mõjutab ka kohtuasjas otsusele jõudmiseks kuluvat aega.</w:t>
      </w:r>
      <w:bookmarkStart w:id="201" w:name="_Ref442281988"/>
    </w:p>
    <w:p>
      <w:pPr>
        <w:spacing w:after="0" w:line="240" w:lineRule="auto"/>
        <w:jc w:val="both"/>
        <w:rPr>
          <w:rFonts w:ascii="Times New Roman" w:eastAsia="Times New Roman" w:hAnsi="Times New Roman" w:cs="Times New Roman"/>
          <w:i/>
          <w:iCs/>
          <w:sz w:val="24"/>
          <w:szCs w:val="24"/>
        </w:rPr>
      </w:pPr>
      <w:r>
        <w:rPr>
          <w:rFonts w:ascii="Times New Roman" w:hAnsi="Times New Roman"/>
          <w:b/>
          <w:bCs/>
          <w:sz w:val="24"/>
          <w:szCs w:val="24"/>
        </w:rPr>
        <w:t>Joonis </w:t>
      </w:r>
      <w:r>
        <w:fldChar w:fldCharType="begin"/>
      </w:r>
      <w:r>
        <w:rPr>
          <w:rFonts w:ascii="Times New Roman" w:eastAsia="Times New Roman" w:hAnsi="Times New Roman" w:cs="Times New Roman"/>
          <w:b/>
          <w:sz w:val="24"/>
          <w:szCs w:val="24"/>
        </w:rPr>
        <w:instrText xml:space="preserve"> SEQ Figure \* ARABIC </w:instrText>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bCs/>
          <w:sz w:val="24"/>
          <w:szCs w:val="24"/>
        </w:rPr>
        <w:t>13</w:t>
      </w:r>
      <w:r>
        <w:fldChar w:fldCharType="end"/>
      </w:r>
      <w:bookmarkEnd w:id="201"/>
      <w:r>
        <w:rPr>
          <w:rFonts w:ascii="Times New Roman" w:hAnsi="Times New Roman"/>
          <w:b/>
          <w:bCs/>
          <w:sz w:val="24"/>
          <w:szCs w:val="24"/>
        </w:rPr>
        <w:t xml:space="preserve">. </w:t>
      </w:r>
      <w:r>
        <w:rPr>
          <w:rFonts w:ascii="Times New Roman" w:hAnsi="Times New Roman"/>
          <w:b/>
          <w:bCs/>
          <w:sz w:val="24"/>
          <w:szCs w:val="24"/>
          <w:u w:val="single"/>
        </w:rPr>
        <w:t>Pooleliolevate tsiviil-, kaubandus- ning haldus- ja muude asjade</w:t>
      </w:r>
      <w:r>
        <w:rPr>
          <w:rFonts w:ascii="Times New Roman" w:hAnsi="Times New Roman"/>
          <w:sz w:val="24"/>
          <w:szCs w:val="24"/>
        </w:rPr>
        <w:t xml:space="preserve"> </w:t>
      </w:r>
      <w:r>
        <w:rPr>
          <w:rFonts w:ascii="Times New Roman" w:hAnsi="Times New Roman"/>
          <w:b/>
          <w:bCs/>
          <w:sz w:val="24"/>
          <w:szCs w:val="24"/>
        </w:rPr>
        <w:t>arv,</w:t>
      </w:r>
      <w:r>
        <w:rPr>
          <w:rFonts w:ascii="Times New Roman" w:hAnsi="Times New Roman"/>
          <w:sz w:val="24"/>
          <w:szCs w:val="24"/>
        </w:rPr>
        <w:t xml:space="preserve"> </w:t>
      </w:r>
      <w:r>
        <w:rPr>
          <w:rFonts w:ascii="Times New Roman" w:hAnsi="Times New Roman"/>
          <w:b/>
          <w:bCs/>
          <w:sz w:val="24"/>
          <w:szCs w:val="24"/>
          <w:u w:val="single"/>
        </w:rPr>
        <w:t>2012–2018</w:t>
      </w:r>
      <w:r>
        <w:rPr>
          <w:rFonts w:ascii="Times New Roman" w:hAnsi="Times New Roman"/>
          <w:sz w:val="24"/>
          <w:szCs w:val="24"/>
        </w:rPr>
        <w:t xml:space="preserve">(*) </w:t>
      </w:r>
      <w:r>
        <w:rPr>
          <w:rFonts w:ascii="Times New Roman" w:hAnsi="Times New Roman"/>
          <w:i/>
          <w:iCs/>
          <w:sz w:val="24"/>
          <w:szCs w:val="24"/>
        </w:rPr>
        <w:t>(esimene aste / 100 elaniku kohta) (allikas: CEPEJ uuring)</w:t>
      </w:r>
    </w:p>
    <w:p>
      <w:pPr>
        <w:spacing w:after="0" w:line="240" w:lineRule="auto"/>
        <w:jc w:val="both"/>
        <w:rPr>
          <w:rFonts w:ascii="Times New Roman" w:eastAsia="Times New Roman" w:hAnsi="Times New Roman" w:cs="Times New Roman"/>
          <w:i/>
          <w:sz w:val="20"/>
          <w:szCs w:val="24"/>
        </w:rPr>
      </w:pPr>
      <w:r>
        <w:rPr>
          <w:lang w:val="en-GB" w:eastAsia="en-GB"/>
        </w:rPr>
        <w:drawing>
          <wp:inline distT="0" distB="0" distL="0" distR="0">
            <wp:extent cx="5977255" cy="2323235"/>
            <wp:effectExtent l="0" t="0" r="4445"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7255" cy="2323235"/>
                    </a:xfrm>
                    <a:prstGeom prst="rect">
                      <a:avLst/>
                    </a:prstGeom>
                    <a:noFill/>
                    <a:ln>
                      <a:noFill/>
                    </a:ln>
                  </pic:spPr>
                </pic:pic>
              </a:graphicData>
            </a:graphic>
          </wp:inline>
        </w:drawing>
      </w:r>
      <w:r>
        <w:rPr>
          <w:rFonts w:ascii="Times New Roman" w:hAnsi="Times New Roman"/>
          <w:i/>
          <w:sz w:val="20"/>
          <w:szCs w:val="24"/>
        </w:rPr>
        <w:t xml:space="preserve">(*) </w:t>
      </w:r>
      <w:r>
        <w:rPr>
          <w:rFonts w:ascii="Times New Roman" w:hAnsi="Times New Roman"/>
          <w:b/>
          <w:bCs/>
          <w:i/>
          <w:sz w:val="20"/>
          <w:szCs w:val="24"/>
        </w:rPr>
        <w:t>Slovakkia</w:t>
      </w:r>
      <w:r>
        <w:rPr>
          <w:rFonts w:ascii="Times New Roman" w:hAnsi="Times New Roman"/>
          <w:i/>
          <w:sz w:val="20"/>
          <w:szCs w:val="24"/>
        </w:rPr>
        <w:t xml:space="preserve"> muutis metoodikat. </w:t>
      </w:r>
      <w:r>
        <w:rPr>
          <w:rFonts w:ascii="Times New Roman" w:hAnsi="Times New Roman"/>
          <w:b/>
          <w:bCs/>
          <w:i/>
          <w:sz w:val="20"/>
          <w:szCs w:val="24"/>
        </w:rPr>
        <w:t>Tšehhi</w:t>
      </w:r>
      <w:r>
        <w:rPr>
          <w:rFonts w:ascii="Times New Roman" w:hAnsi="Times New Roman"/>
          <w:i/>
          <w:sz w:val="20"/>
          <w:szCs w:val="24"/>
        </w:rPr>
        <w:t xml:space="preserve"> puhul ja kuni 2016. aastani </w:t>
      </w:r>
      <w:r>
        <w:rPr>
          <w:rFonts w:ascii="Times New Roman" w:hAnsi="Times New Roman"/>
          <w:b/>
          <w:bCs/>
          <w:i/>
          <w:sz w:val="20"/>
          <w:szCs w:val="24"/>
        </w:rPr>
        <w:t>Slovakkia</w:t>
      </w:r>
      <w:r>
        <w:rPr>
          <w:rFonts w:ascii="Times New Roman" w:hAnsi="Times New Roman"/>
          <w:i/>
          <w:sz w:val="20"/>
          <w:szCs w:val="24"/>
        </w:rPr>
        <w:t xml:space="preserve"> puhul hõlmab pooleliolevate kohtuasjade arv kõiki kohtuastmeid. </w:t>
      </w:r>
      <w:r>
        <w:rPr>
          <w:rFonts w:ascii="Times New Roman" w:hAnsi="Times New Roman"/>
          <w:b/>
          <w:bCs/>
          <w:i/>
          <w:sz w:val="20"/>
          <w:szCs w:val="24"/>
        </w:rPr>
        <w:t>Itaalia</w:t>
      </w:r>
      <w:r>
        <w:rPr>
          <w:rFonts w:ascii="Times New Roman" w:hAnsi="Times New Roman"/>
          <w:b/>
          <w:bCs/>
          <w:i/>
          <w:sz w:val="20"/>
        </w:rPr>
        <w:t>s</w:t>
      </w:r>
      <w:r>
        <w:rPr>
          <w:rFonts w:ascii="Times New Roman" w:hAnsi="Times New Roman"/>
          <w:i/>
          <w:sz w:val="20"/>
        </w:rPr>
        <w:t xml:space="preserve"> võeti 2013. aastal kasutusele tsiviilasjade erinev liigitus.</w:t>
      </w:r>
    </w:p>
    <w:p>
      <w:pPr>
        <w:keepNext/>
        <w:spacing w:before="240" w:after="0" w:line="240" w:lineRule="auto"/>
        <w:jc w:val="both"/>
        <w:rPr>
          <w:rFonts w:ascii="Times New Roman" w:eastAsia="Times New Roman" w:hAnsi="Times New Roman" w:cs="Times New Roman"/>
          <w:i/>
          <w:sz w:val="24"/>
          <w:szCs w:val="24"/>
        </w:rPr>
      </w:pPr>
      <w:r>
        <w:rPr>
          <w:rFonts w:ascii="Times New Roman" w:hAnsi="Times New Roman"/>
          <w:b/>
          <w:bCs/>
          <w:sz w:val="24"/>
          <w:szCs w:val="24"/>
        </w:rPr>
        <w:t>Joonis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14</w:t>
      </w:r>
      <w:r>
        <w:fldChar w:fldCharType="end"/>
      </w:r>
      <w:r>
        <w:rPr>
          <w:rFonts w:ascii="Times New Roman" w:hAnsi="Times New Roman"/>
          <w:b/>
          <w:bCs/>
          <w:sz w:val="24"/>
          <w:szCs w:val="24"/>
        </w:rPr>
        <w:t xml:space="preserve">. </w:t>
      </w:r>
      <w:r>
        <w:rPr>
          <w:rFonts w:ascii="Times New Roman" w:hAnsi="Times New Roman"/>
          <w:b/>
          <w:bCs/>
          <w:sz w:val="24"/>
          <w:szCs w:val="24"/>
          <w:u w:val="single"/>
        </w:rPr>
        <w:t>Pooleliolevate tsiviil- ja kaubandusvaidluste</w:t>
      </w:r>
      <w:r>
        <w:rPr>
          <w:rFonts w:ascii="Times New Roman" w:hAnsi="Times New Roman"/>
        </w:rPr>
        <w:t xml:space="preserve"> </w:t>
      </w:r>
      <w:r>
        <w:rPr>
          <w:rFonts w:ascii="Times New Roman" w:hAnsi="Times New Roman"/>
          <w:b/>
          <w:bCs/>
        </w:rPr>
        <w:t>arv,</w:t>
      </w:r>
      <w:r>
        <w:rPr>
          <w:rFonts w:ascii="Times New Roman" w:hAnsi="Times New Roman"/>
        </w:rPr>
        <w:t xml:space="preserve"> </w:t>
      </w:r>
      <w:r>
        <w:rPr>
          <w:rFonts w:ascii="Times New Roman" w:hAnsi="Times New Roman"/>
          <w:b/>
          <w:bCs/>
          <w:sz w:val="24"/>
          <w:szCs w:val="24"/>
          <w:u w:val="single"/>
        </w:rPr>
        <w:t>2012 – 2018</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i/>
          <w:iCs/>
          <w:sz w:val="24"/>
          <w:szCs w:val="24"/>
        </w:rPr>
        <w:t>(esimene aste / 100 elaniku kohta) (allikas: CEPEJ uuring)</w:t>
      </w:r>
    </w:p>
    <w:p>
      <w:pPr>
        <w:keepNext/>
        <w:spacing w:after="0" w:line="240" w:lineRule="auto"/>
        <w:jc w:val="both"/>
        <w:rPr>
          <w:rFonts w:ascii="Times New Roman" w:eastAsia="Calibri" w:hAnsi="Times New Roman" w:cs="Times New Roman"/>
          <w:i/>
          <w:sz w:val="20"/>
        </w:rPr>
      </w:pPr>
      <w:r>
        <w:rPr>
          <w:lang w:val="en-GB" w:eastAsia="en-GB"/>
        </w:rPr>
        <w:drawing>
          <wp:inline distT="0" distB="0" distL="0" distR="0">
            <wp:extent cx="5977255" cy="2293405"/>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7255" cy="2293405"/>
                    </a:xfrm>
                    <a:prstGeom prst="rect">
                      <a:avLst/>
                    </a:prstGeom>
                    <a:noFill/>
                    <a:ln>
                      <a:noFill/>
                    </a:ln>
                  </pic:spPr>
                </pic:pic>
              </a:graphicData>
            </a:graphic>
          </wp:inline>
        </w:drawing>
      </w:r>
      <w:r>
        <w:rPr>
          <w:rFonts w:ascii="Times New Roman" w:hAnsi="Times New Roman"/>
          <w:i/>
          <w:sz w:val="20"/>
        </w:rPr>
        <w:t xml:space="preserve">(*) </w:t>
      </w:r>
      <w:r>
        <w:rPr>
          <w:rFonts w:ascii="Times New Roman" w:hAnsi="Times New Roman"/>
          <w:b/>
          <w:bCs/>
          <w:i/>
          <w:sz w:val="20"/>
        </w:rPr>
        <w:t>Kreeka</w:t>
      </w:r>
      <w:r>
        <w:rPr>
          <w:rFonts w:ascii="Times New Roman" w:hAnsi="Times New Roman"/>
          <w:i/>
          <w:sz w:val="20"/>
        </w:rPr>
        <w:t xml:space="preserve"> ja </w:t>
      </w:r>
      <w:r>
        <w:rPr>
          <w:rFonts w:ascii="Times New Roman" w:hAnsi="Times New Roman"/>
          <w:b/>
          <w:bCs/>
          <w:i/>
          <w:sz w:val="20"/>
        </w:rPr>
        <w:t>Slovakkia</w:t>
      </w:r>
      <w:r>
        <w:rPr>
          <w:rFonts w:ascii="Times New Roman" w:hAnsi="Times New Roman"/>
          <w:i/>
          <w:sz w:val="20"/>
        </w:rPr>
        <w:t xml:space="preserve"> muutsid metoodikat. </w:t>
      </w:r>
      <w:r>
        <w:rPr>
          <w:rFonts w:ascii="Times New Roman" w:hAnsi="Times New Roman"/>
          <w:b/>
          <w:bCs/>
          <w:i/>
          <w:sz w:val="20"/>
        </w:rPr>
        <w:t>Tšehhi</w:t>
      </w:r>
      <w:r>
        <w:rPr>
          <w:rFonts w:ascii="Times New Roman" w:hAnsi="Times New Roman"/>
          <w:i/>
          <w:sz w:val="20"/>
        </w:rPr>
        <w:t xml:space="preserve"> puhul ja kuni 2016. aastani </w:t>
      </w:r>
      <w:r>
        <w:rPr>
          <w:rFonts w:ascii="Times New Roman" w:hAnsi="Times New Roman"/>
          <w:b/>
          <w:bCs/>
          <w:i/>
          <w:sz w:val="20"/>
        </w:rPr>
        <w:t>Slovakkia</w:t>
      </w:r>
      <w:r>
        <w:rPr>
          <w:rFonts w:ascii="Times New Roman" w:hAnsi="Times New Roman"/>
          <w:i/>
          <w:sz w:val="20"/>
        </w:rPr>
        <w:t xml:space="preserve"> puhul hõlmab pooleliolevate kohtuasjade arv kõiki kohtuastmeid. </w:t>
      </w:r>
      <w:r>
        <w:rPr>
          <w:rFonts w:ascii="Times New Roman" w:hAnsi="Times New Roman"/>
          <w:b/>
          <w:bCs/>
          <w:i/>
          <w:sz w:val="20"/>
        </w:rPr>
        <w:t>Itaalias</w:t>
      </w:r>
      <w:r>
        <w:rPr>
          <w:rFonts w:ascii="Times New Roman" w:hAnsi="Times New Roman"/>
          <w:i/>
          <w:sz w:val="20"/>
        </w:rPr>
        <w:t xml:space="preserve"> võeti 2013. aastal kasutusele tsiviilasjade erinev liigitus. </w:t>
      </w:r>
      <w:r>
        <w:rPr>
          <w:rFonts w:ascii="Times New Roman" w:hAnsi="Times New Roman"/>
          <w:b/>
          <w:bCs/>
          <w:i/>
          <w:sz w:val="20"/>
        </w:rPr>
        <w:t>Madalmaade</w:t>
      </w:r>
      <w:r>
        <w:rPr>
          <w:rFonts w:ascii="Times New Roman" w:hAnsi="Times New Roman"/>
          <w:i/>
          <w:sz w:val="20"/>
        </w:rPr>
        <w:t xml:space="preserve"> andmetes sisalduvad ka vaidlustega mitteseotud asjad.</w:t>
      </w:r>
    </w:p>
    <w:p>
      <w:pPr>
        <w:keepNext/>
        <w:spacing w:before="240" w:after="0" w:line="240" w:lineRule="auto"/>
        <w:jc w:val="both"/>
        <w:rPr>
          <w:rFonts w:ascii="Times New Roman" w:eastAsia="Calibri" w:hAnsi="Times New Roman" w:cs="Times New Roman"/>
          <w:i/>
          <w:sz w:val="24"/>
        </w:rPr>
      </w:pPr>
      <w:bookmarkStart w:id="202" w:name="_Ref442281992"/>
      <w:r>
        <w:rPr>
          <w:rFonts w:ascii="Times New Roman" w:hAnsi="Times New Roman"/>
          <w:b/>
          <w:bCs/>
          <w:sz w:val="24"/>
          <w:szCs w:val="24"/>
        </w:rPr>
        <w:t xml:space="preserve">Joonis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15</w:t>
      </w:r>
      <w:r>
        <w:fldChar w:fldCharType="end"/>
      </w:r>
      <w:bookmarkEnd w:id="202"/>
      <w:r>
        <w:rPr>
          <w:rFonts w:ascii="Times New Roman" w:hAnsi="Times New Roman"/>
          <w:b/>
          <w:bCs/>
          <w:sz w:val="24"/>
          <w:szCs w:val="24"/>
        </w:rPr>
        <w:t xml:space="preserve">. </w:t>
      </w:r>
      <w:r>
        <w:rPr>
          <w:rFonts w:ascii="Times New Roman" w:hAnsi="Times New Roman"/>
          <w:b/>
          <w:bCs/>
          <w:sz w:val="24"/>
          <w:szCs w:val="24"/>
          <w:u w:val="single"/>
        </w:rPr>
        <w:t>Pooleliolevate haldusasjade</w:t>
      </w:r>
      <w:r>
        <w:rPr>
          <w:rFonts w:ascii="Times New Roman" w:hAnsi="Times New Roman"/>
          <w:b/>
          <w:bCs/>
          <w:sz w:val="24"/>
          <w:szCs w:val="24"/>
        </w:rPr>
        <w:t xml:space="preserve"> arv, </w:t>
      </w:r>
      <w:r>
        <w:rPr>
          <w:rFonts w:ascii="Times New Roman" w:hAnsi="Times New Roman"/>
          <w:b/>
          <w:bCs/>
          <w:sz w:val="24"/>
          <w:szCs w:val="24"/>
          <w:u w:val="single"/>
        </w:rPr>
        <w:t>2012–2018</w:t>
      </w:r>
      <w:r>
        <w:rPr>
          <w:rFonts w:ascii="Times New Roman" w:hAnsi="Times New Roman"/>
        </w:rPr>
        <w:t>(*)</w:t>
      </w:r>
      <w:r>
        <w:rPr>
          <w:rFonts w:ascii="Times New Roman" w:hAnsi="Times New Roman"/>
          <w:b/>
          <w:bCs/>
          <w:sz w:val="24"/>
          <w:szCs w:val="24"/>
        </w:rPr>
        <w:t xml:space="preserve"> </w:t>
      </w:r>
      <w:r>
        <w:rPr>
          <w:rFonts w:ascii="Times New Roman" w:hAnsi="Times New Roman"/>
          <w:i/>
          <w:iCs/>
          <w:sz w:val="24"/>
          <w:szCs w:val="24"/>
        </w:rPr>
        <w:t>(esimene aste / 100 elaniku kohta) (allikas: CEPEJ uuring)</w:t>
      </w:r>
      <w:bookmarkStart w:id="203" w:name="_Toc409530221"/>
      <w:bookmarkStart w:id="204" w:name="_Toc438545671"/>
      <w:bookmarkStart w:id="205" w:name="_Toc438548321"/>
      <w:bookmarkStart w:id="206" w:name="_Toc438548507"/>
      <w:bookmarkStart w:id="207" w:name="_Toc440017697"/>
      <w:bookmarkStart w:id="208" w:name="_Toc440018081"/>
      <w:bookmarkStart w:id="209" w:name="_Toc440033379"/>
      <w:bookmarkStart w:id="210" w:name="_Toc440035230"/>
      <w:bookmarkStart w:id="211" w:name="_Toc440036525"/>
      <w:bookmarkStart w:id="212" w:name="_Toc440042467"/>
      <w:bookmarkStart w:id="213" w:name="_Toc440291120"/>
      <w:bookmarkStart w:id="214" w:name="_Toc440294683"/>
      <w:bookmarkStart w:id="215" w:name="_Toc440295185"/>
      <w:bookmarkStart w:id="216" w:name="_Toc440296590"/>
      <w:bookmarkStart w:id="217" w:name="_Toc440625074"/>
      <w:bookmarkStart w:id="218" w:name="_Toc440626404"/>
      <w:bookmarkStart w:id="219" w:name="_Toc440628858"/>
      <w:bookmarkStart w:id="220" w:name="_Toc441571130"/>
      <w:bookmarkStart w:id="221" w:name="_Toc441581632"/>
      <w:bookmarkStart w:id="222" w:name="_Toc441585899"/>
      <w:bookmarkStart w:id="223" w:name="_Toc441595834"/>
      <w:bookmarkStart w:id="224" w:name="_Toc441596011"/>
      <w:bookmarkStart w:id="225" w:name="_Toc441748136"/>
      <w:bookmarkStart w:id="226" w:name="_Toc441755421"/>
      <w:bookmarkStart w:id="227" w:name="_Toc441756458"/>
      <w:bookmarkStart w:id="228" w:name="_Toc441757502"/>
      <w:bookmarkStart w:id="229" w:name="_Toc441766631"/>
      <w:bookmarkStart w:id="230" w:name="_Toc441766970"/>
      <w:bookmarkStart w:id="231" w:name="_Toc442187971"/>
      <w:bookmarkStart w:id="232" w:name="_Toc442262063"/>
      <w:bookmarkStart w:id="233" w:name="_Toc442362470"/>
      <w:bookmarkStart w:id="234" w:name="_Toc442374806"/>
      <w:bookmarkStart w:id="235" w:name="_Toc442425946"/>
      <w:bookmarkStart w:id="236" w:name="_Toc442453072"/>
      <w:bookmarkStart w:id="237" w:name="_Toc443484530"/>
      <w:bookmarkStart w:id="238" w:name="_Toc443484752"/>
      <w:bookmarkStart w:id="239" w:name="_Toc443509493"/>
      <w:bookmarkStart w:id="240" w:name="_Toc446014822"/>
    </w:p>
    <w:p>
      <w:pPr>
        <w:keepNext/>
        <w:spacing w:after="0" w:line="240" w:lineRule="auto"/>
        <w:jc w:val="both"/>
        <w:rPr>
          <w:lang w:eastAsia="et-EE"/>
        </w:rPr>
      </w:pPr>
      <w:r>
        <w:rPr>
          <w:lang w:val="en-GB" w:eastAsia="en-GB"/>
        </w:rPr>
        <w:drawing>
          <wp:inline distT="0" distB="0" distL="0" distR="0">
            <wp:extent cx="5977255" cy="2290350"/>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77255" cy="2290350"/>
                    </a:xfrm>
                    <a:prstGeom prst="rect">
                      <a:avLst/>
                    </a:prstGeom>
                    <a:noFill/>
                    <a:ln>
                      <a:noFill/>
                    </a:ln>
                  </pic:spPr>
                </pic:pic>
              </a:graphicData>
            </a:graphic>
          </wp:inline>
        </w:drawing>
      </w:r>
    </w:p>
    <w:p>
      <w:pPr>
        <w:keepNext/>
        <w:spacing w:after="0" w:line="240" w:lineRule="auto"/>
        <w:jc w:val="both"/>
        <w:rPr>
          <w:rFonts w:ascii="Times New Roman" w:eastAsia="Calibri" w:hAnsi="Times New Roman" w:cs="Times New Roman"/>
          <w:i/>
          <w:sz w:val="20"/>
        </w:rPr>
      </w:pPr>
      <w:r>
        <w:rPr>
          <w:rFonts w:ascii="Times New Roman" w:hAnsi="Times New Roman"/>
          <w:i/>
          <w:sz w:val="20"/>
        </w:rPr>
        <w:t>(*)</w:t>
      </w:r>
      <w:r>
        <w:rPr>
          <w:rFonts w:ascii="Times New Roman" w:hAnsi="Times New Roman"/>
        </w:rPr>
        <w:t xml:space="preserve"> </w:t>
      </w:r>
      <w:r>
        <w:rPr>
          <w:rFonts w:ascii="Times New Roman" w:hAnsi="Times New Roman"/>
          <w:i/>
          <w:sz w:val="20"/>
        </w:rPr>
        <w:t>Mõne liikmesriigi varasemaid näitajaid on joonisele mahutamiseks vähendatud (</w:t>
      </w:r>
      <w:r>
        <w:rPr>
          <w:rFonts w:ascii="Times New Roman" w:hAnsi="Times New Roman"/>
          <w:b/>
          <w:i/>
          <w:sz w:val="20"/>
        </w:rPr>
        <w:t>Kreekas</w:t>
      </w:r>
      <w:r>
        <w:rPr>
          <w:rFonts w:ascii="Times New Roman" w:hAnsi="Times New Roman"/>
          <w:i/>
          <w:sz w:val="20"/>
        </w:rPr>
        <w:t xml:space="preserve"> oli kõnealune määr 2012. aastal 3,5). </w:t>
      </w:r>
      <w:r>
        <w:rPr>
          <w:rFonts w:ascii="Times New Roman" w:hAnsi="Times New Roman"/>
          <w:b/>
          <w:bCs/>
          <w:i/>
          <w:sz w:val="20"/>
        </w:rPr>
        <w:t>Kreeka</w:t>
      </w:r>
      <w:r>
        <w:rPr>
          <w:rFonts w:ascii="Times New Roman" w:hAnsi="Times New Roman"/>
          <w:i/>
          <w:sz w:val="20"/>
        </w:rPr>
        <w:t xml:space="preserve"> ja </w:t>
      </w:r>
      <w:r>
        <w:rPr>
          <w:rFonts w:ascii="Times New Roman" w:hAnsi="Times New Roman"/>
          <w:b/>
          <w:bCs/>
          <w:i/>
          <w:sz w:val="20"/>
        </w:rPr>
        <w:t>Slovakkia</w:t>
      </w:r>
      <w:r>
        <w:rPr>
          <w:rFonts w:ascii="Times New Roman" w:hAnsi="Times New Roman"/>
          <w:i/>
          <w:sz w:val="20"/>
        </w:rPr>
        <w:t xml:space="preserve"> muutsid metoodikat. </w:t>
      </w:r>
      <w:r>
        <w:rPr>
          <w:rFonts w:ascii="Times New Roman" w:hAnsi="Times New Roman"/>
          <w:b/>
          <w:bCs/>
          <w:i/>
          <w:sz w:val="20"/>
        </w:rPr>
        <w:t>Tšehhi</w:t>
      </w:r>
      <w:r>
        <w:rPr>
          <w:rFonts w:ascii="Times New Roman" w:hAnsi="Times New Roman"/>
          <w:i/>
          <w:sz w:val="20"/>
        </w:rPr>
        <w:t xml:space="preserve"> puhul ja kuni 2016. aastani </w:t>
      </w:r>
      <w:r>
        <w:rPr>
          <w:rFonts w:ascii="Times New Roman" w:hAnsi="Times New Roman"/>
          <w:b/>
          <w:bCs/>
          <w:i/>
          <w:sz w:val="20"/>
        </w:rPr>
        <w:t>Slovakkia</w:t>
      </w:r>
      <w:r>
        <w:rPr>
          <w:rFonts w:ascii="Times New Roman" w:hAnsi="Times New Roman"/>
          <w:i/>
          <w:sz w:val="20"/>
        </w:rPr>
        <w:t xml:space="preserve"> puhul hõlmab pooleliolevate kohtuasjade arv kõiki kohtuastmeid. </w:t>
      </w:r>
      <w:r>
        <w:rPr>
          <w:rFonts w:ascii="Times New Roman" w:hAnsi="Times New Roman"/>
          <w:b/>
          <w:bCs/>
          <w:i/>
          <w:sz w:val="20"/>
        </w:rPr>
        <w:t>Taani</w:t>
      </w:r>
      <w:r>
        <w:rPr>
          <w:rFonts w:ascii="Times New Roman" w:hAnsi="Times New Roman"/>
          <w:i/>
          <w:sz w:val="20"/>
        </w:rPr>
        <w:t xml:space="preserve"> ja </w:t>
      </w:r>
      <w:r>
        <w:rPr>
          <w:rFonts w:ascii="Times New Roman" w:hAnsi="Times New Roman"/>
          <w:b/>
          <w:bCs/>
          <w:i/>
          <w:sz w:val="20"/>
        </w:rPr>
        <w:t>Iirimaa</w:t>
      </w:r>
      <w:r>
        <w:rPr>
          <w:rFonts w:ascii="Times New Roman" w:hAnsi="Times New Roman"/>
          <w:i/>
          <w:sz w:val="20"/>
        </w:rPr>
        <w:t xml:space="preserve"> andmetes haldusasju ei eristata.</w:t>
      </w:r>
    </w:p>
    <w:p>
      <w:pPr>
        <w:spacing w:after="0" w:line="240" w:lineRule="auto"/>
        <w:jc w:val="both"/>
        <w:rPr>
          <w:rFonts w:ascii="Times New Roman" w:eastAsia="Times New Roman" w:hAnsi="Times New Roman" w:cs="Times New Roman"/>
          <w:b/>
          <w:sz w:val="24"/>
          <w:szCs w:val="24"/>
          <w:highlight w:val="yellow"/>
        </w:rPr>
      </w:pPr>
      <w:r>
        <w:br w:type="page"/>
      </w:r>
    </w:p>
    <w:p>
      <w:pPr>
        <w:keepNext/>
        <w:spacing w:before="240" w:after="120" w:line="240" w:lineRule="auto"/>
        <w:jc w:val="both"/>
        <w:outlineLvl w:val="2"/>
        <w:rPr>
          <w:rFonts w:ascii="Times New Roman" w:eastAsia="Times New Roman" w:hAnsi="Times New Roman" w:cs="Times New Roman"/>
          <w:b/>
          <w:sz w:val="24"/>
          <w:szCs w:val="24"/>
        </w:rPr>
      </w:pPr>
      <w:r>
        <w:rPr>
          <w:rFonts w:ascii="Times New Roman" w:hAnsi="Times New Roman"/>
          <w:b/>
          <w:sz w:val="24"/>
          <w:szCs w:val="24"/>
        </w:rPr>
        <w:t>3.1.3. Tõhusus konkreetsetes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Fonts w:ascii="Times New Roman" w:hAnsi="Times New Roman"/>
          <w:b/>
          <w:sz w:val="24"/>
          <w:szCs w:val="24"/>
        </w:rPr>
        <w:t xml:space="preserve"> liidu õiguse valdkondades</w:t>
      </w:r>
    </w:p>
    <w:p>
      <w:pPr>
        <w:spacing w:after="0" w:line="240" w:lineRule="auto"/>
        <w:jc w:val="both"/>
        <w:rPr>
          <w:rFonts w:ascii="Times New Roman" w:eastAsia="Calibri" w:hAnsi="Times New Roman" w:cs="Times New Roman"/>
          <w:sz w:val="24"/>
          <w:szCs w:val="24"/>
          <w:highlight w:val="yellow"/>
        </w:rPr>
      </w:pPr>
      <w:r>
        <w:rPr>
          <w:rFonts w:ascii="Times New Roman" w:hAnsi="Times New Roman"/>
          <w:sz w:val="24"/>
          <w:szCs w:val="24"/>
        </w:rPr>
        <w:t>Selles jaos täiendatakse kohtusüsteemide tõhusust käsitlevaid üldandmeid ja antakse ülevaade menetluste keskmisest kestusest(</w:t>
      </w:r>
      <w:r>
        <w:rPr>
          <w:rFonts w:ascii="Times New Roman" w:eastAsia="Calibri" w:hAnsi="Times New Roman" w:cs="Times New Roman"/>
          <w:sz w:val="24"/>
          <w:szCs w:val="24"/>
          <w:vertAlign w:val="superscript"/>
        </w:rPr>
        <w:footnoteReference w:id="42"/>
      </w:r>
      <w:r>
        <w:rPr>
          <w:rFonts w:ascii="Times New Roman" w:hAnsi="Times New Roman"/>
          <w:sz w:val="24"/>
          <w:szCs w:val="24"/>
        </w:rPr>
        <w:t>) konkreetsetes valdkondades, kus kohaldatakse liidu õigust. 2020. aasta tulemustabelis tuginetakse konkurentsi, elektroonilise side, ELi kaubamärkide, tarbijaõiguse ja rahapesuvastase tegevuse valdkonnas varem kogutud andmetele. Need valdkonnad valiti välja, sest need on olulised ühtse turu ja ettevõtluskeskkonna seisukohast. Kokkuvõtlikult võib öelda, et kohtumenetlustes esinevad pikad viivitused võivad kahjustada liidu õigusest tulenevaid õigusi, näiteks kui asjakohaseid õiguskaitsevahendeid ei saa enam kasutada või kui suurt rahalist kahju ei ole enam võimalik sisse nõuda.</w:t>
      </w:r>
    </w:p>
    <w:p>
      <w:pPr>
        <w:spacing w:before="240" w:after="120" w:line="240" w:lineRule="auto"/>
        <w:jc w:val="both"/>
        <w:rPr>
          <w:rFonts w:ascii="Times New Roman" w:eastAsia="Times New Roman" w:hAnsi="Times New Roman" w:cs="Times New Roman"/>
          <w:i/>
          <w:sz w:val="24"/>
          <w:szCs w:val="24"/>
        </w:rPr>
      </w:pPr>
      <w:r>
        <w:rPr>
          <w:rFonts w:ascii="Times New Roman" w:hAnsi="Times New Roman"/>
          <w:i/>
          <w:sz w:val="24"/>
          <w:szCs w:val="24"/>
        </w:rPr>
        <w:t>– Konkurents –</w:t>
      </w:r>
    </w:p>
    <w:p>
      <w:pPr>
        <w:spacing w:after="0" w:line="240" w:lineRule="auto"/>
        <w:jc w:val="both"/>
        <w:rPr>
          <w:rFonts w:ascii="Times New Roman" w:eastAsia="Calibri" w:hAnsi="Times New Roman" w:cs="Times New Roman"/>
          <w:sz w:val="24"/>
          <w:szCs w:val="24"/>
        </w:rPr>
      </w:pPr>
      <w:r>
        <w:rPr>
          <w:rFonts w:ascii="Times New Roman" w:hAnsi="Times New Roman"/>
          <w:sz w:val="24"/>
          <w:szCs w:val="24"/>
        </w:rPr>
        <w:t>Konkurentsiõiguse tulemuslik rakendamine tagab ettevõtjatele tegutsemiseks võrdsed tingimused ja on seepärast väga oluline ligitõmbava ettevõtluskeskkonna kujundamiseks. Joonisel 16 on esitatud ELi toimimise lepingu artikleid 101 ja 102 kohaldanud liikmesriikide konkurentsiasutuste otsuste kohtuliku läbivaatamise keskmine kestus(</w:t>
      </w:r>
      <w:r>
        <w:rPr>
          <w:rFonts w:ascii="Times New Roman" w:eastAsia="Calibri" w:hAnsi="Times New Roman" w:cs="Times New Roman"/>
          <w:sz w:val="24"/>
          <w:szCs w:val="24"/>
          <w:vertAlign w:val="superscript"/>
        </w:rPr>
        <w:footnoteReference w:id="43"/>
      </w:r>
      <w:r>
        <w:rPr>
          <w:rFonts w:ascii="Times New Roman" w:hAnsi="Times New Roman"/>
          <w:sz w:val="24"/>
          <w:szCs w:val="24"/>
        </w:rPr>
        <w:t>).</w:t>
      </w:r>
    </w:p>
    <w:p>
      <w:pPr>
        <w:keepNext/>
        <w:spacing w:before="240" w:after="0" w:line="240" w:lineRule="auto"/>
        <w:jc w:val="both"/>
        <w:rPr>
          <w:rFonts w:ascii="Times New Roman" w:eastAsia="Calibri" w:hAnsi="Times New Roman" w:cs="Times New Roman"/>
          <w:i/>
          <w:iCs/>
          <w:sz w:val="24"/>
          <w:szCs w:val="24"/>
        </w:rPr>
      </w:pPr>
      <w:r>
        <w:rPr>
          <w:rFonts w:ascii="Times New Roman" w:hAnsi="Times New Roman"/>
          <w:b/>
          <w:bCs/>
          <w:sz w:val="24"/>
          <w:szCs w:val="24"/>
        </w:rPr>
        <w:t>Joonis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16</w:t>
      </w:r>
      <w:r>
        <w:fldChar w:fldCharType="end"/>
      </w:r>
      <w:r>
        <w:rPr>
          <w:rFonts w:ascii="Times New Roman" w:hAnsi="Times New Roman"/>
          <w:b/>
          <w:bCs/>
          <w:sz w:val="24"/>
          <w:szCs w:val="24"/>
        </w:rPr>
        <w:t xml:space="preserve">. Konkurents: </w:t>
      </w:r>
      <w:r>
        <w:rPr>
          <w:rFonts w:ascii="Times New Roman" w:hAnsi="Times New Roman"/>
          <w:b/>
          <w:bCs/>
        </w:rPr>
        <w:t>kohtuliku läbivaatamise keskmine kestus</w:t>
      </w:r>
      <w:r>
        <w:rPr>
          <w:rFonts w:ascii="Times New Roman" w:hAnsi="Times New Roman"/>
          <w:b/>
          <w:bCs/>
          <w:sz w:val="24"/>
          <w:szCs w:val="24"/>
        </w:rPr>
        <w:t>, 2013–2018</w:t>
      </w:r>
      <w:r>
        <w:rPr>
          <w:rFonts w:ascii="Times New Roman" w:hAnsi="Times New Roman"/>
        </w:rPr>
        <w:t>(*)</w:t>
      </w:r>
      <w:r>
        <w:rPr>
          <w:rFonts w:ascii="Times New Roman" w:hAnsi="Times New Roman"/>
          <w:i/>
          <w:iCs/>
          <w:sz w:val="24"/>
          <w:szCs w:val="24"/>
        </w:rPr>
        <w:t xml:space="preserve"> (esimene aste / päevades) (allikas: Euroopa Komisjon ja Euroopa konkurentsivõrgustik)</w:t>
      </w:r>
    </w:p>
    <w:p>
      <w:pPr>
        <w:keepNext/>
        <w:spacing w:after="0" w:line="240" w:lineRule="auto"/>
        <w:jc w:val="both"/>
        <w:rPr>
          <w:rFonts w:ascii="Times New Roman" w:eastAsia="Calibri" w:hAnsi="Times New Roman" w:cs="Times New Roman"/>
          <w:i/>
          <w:sz w:val="20"/>
        </w:rPr>
      </w:pPr>
      <w:r>
        <w:rPr>
          <w:lang w:val="en-GB" w:eastAsia="en-GB"/>
        </w:rPr>
        <w:drawing>
          <wp:inline distT="0" distB="0" distL="0" distR="0">
            <wp:extent cx="5977255" cy="2460562"/>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77255" cy="2460562"/>
                    </a:xfrm>
                    <a:prstGeom prst="rect">
                      <a:avLst/>
                    </a:prstGeom>
                    <a:noFill/>
                    <a:ln>
                      <a:noFill/>
                    </a:ln>
                  </pic:spPr>
                </pic:pic>
              </a:graphicData>
            </a:graphic>
          </wp:inline>
        </w:drawing>
      </w:r>
    </w:p>
    <w:p>
      <w:pPr>
        <w:keepNext/>
        <w:spacing w:after="0" w:line="240" w:lineRule="auto"/>
        <w:jc w:val="both"/>
        <w:rPr>
          <w:rFonts w:ascii="Times New Roman" w:eastAsia="Calibri" w:hAnsi="Times New Roman" w:cs="Times New Roman"/>
          <w:i/>
          <w:sz w:val="20"/>
        </w:rPr>
      </w:pPr>
      <w:r>
        <w:rPr>
          <w:rFonts w:ascii="Times New Roman" w:hAnsi="Times New Roman"/>
          <w:i/>
          <w:sz w:val="20"/>
        </w:rPr>
        <w:t xml:space="preserve">(*) </w:t>
      </w:r>
      <w:r>
        <w:rPr>
          <w:rFonts w:ascii="Times New Roman" w:hAnsi="Times New Roman"/>
          <w:b/>
          <w:bCs/>
          <w:i/>
          <w:sz w:val="20"/>
        </w:rPr>
        <w:t>Eestis</w:t>
      </w:r>
      <w:r>
        <w:rPr>
          <w:rFonts w:ascii="Times New Roman" w:hAnsi="Times New Roman"/>
          <w:i/>
          <w:sz w:val="20"/>
        </w:rPr>
        <w:t xml:space="preserve">: ei olnud ühtki kohtuasja. </w:t>
      </w:r>
      <w:r>
        <w:rPr>
          <w:rFonts w:ascii="Times New Roman" w:hAnsi="Times New Roman"/>
          <w:b/>
          <w:bCs/>
          <w:i/>
          <w:sz w:val="20"/>
        </w:rPr>
        <w:t>Iirimaa</w:t>
      </w:r>
      <w:r>
        <w:rPr>
          <w:rFonts w:ascii="Times New Roman" w:hAnsi="Times New Roman"/>
          <w:i/>
          <w:sz w:val="20"/>
        </w:rPr>
        <w:t xml:space="preserve"> ja </w:t>
      </w:r>
      <w:r>
        <w:rPr>
          <w:rFonts w:ascii="Times New Roman" w:hAnsi="Times New Roman"/>
          <w:b/>
          <w:bCs/>
          <w:i/>
          <w:sz w:val="20"/>
        </w:rPr>
        <w:t>Austria</w:t>
      </w:r>
      <w:r>
        <w:rPr>
          <w:rFonts w:ascii="Times New Roman" w:hAnsi="Times New Roman"/>
          <w:i/>
          <w:sz w:val="20"/>
        </w:rPr>
        <w:t xml:space="preserve">: Iirimaa ja Austria puhul ei ole stsenaarium kohaldatav, sest vastavatel ametiasutustel ei ole õigust selliseid otsuseid teha. </w:t>
      </w:r>
      <w:r>
        <w:rPr>
          <w:rFonts w:ascii="Times New Roman" w:hAnsi="Times New Roman"/>
          <w:b/>
          <w:i/>
          <w:sz w:val="20"/>
        </w:rPr>
        <w:t>Austria:</w:t>
      </w:r>
      <w:r>
        <w:rPr>
          <w:rFonts w:ascii="Times New Roman" w:hAnsi="Times New Roman"/>
          <w:i/>
          <w:sz w:val="20"/>
        </w:rPr>
        <w:t xml:space="preserve"> andmed hõlmavad kartellikohtu lahendatud juhtumeid, mis on seotud ELi toimimise lepingu artiklite 101 ja 102 rikkumisega, kuid mis ei põhine liikmesriigi konkurentsiasutuse vastu esitatud edasikaebustel. </w:t>
      </w:r>
      <w:r>
        <w:rPr>
          <w:rFonts w:ascii="Times New Roman" w:hAnsi="Times New Roman"/>
          <w:b/>
          <w:bCs/>
          <w:i/>
          <w:sz w:val="20"/>
        </w:rPr>
        <w:t>Bulgaaria</w:t>
      </w:r>
      <w:r>
        <w:rPr>
          <w:rFonts w:ascii="Times New Roman" w:hAnsi="Times New Roman"/>
          <w:i/>
          <w:sz w:val="20"/>
        </w:rPr>
        <w:t xml:space="preserve"> ja </w:t>
      </w:r>
      <w:r>
        <w:rPr>
          <w:rFonts w:ascii="Times New Roman" w:hAnsi="Times New Roman"/>
          <w:b/>
          <w:bCs/>
          <w:i/>
          <w:sz w:val="20"/>
        </w:rPr>
        <w:t>Itaalia</w:t>
      </w:r>
      <w:r>
        <w:rPr>
          <w:rFonts w:ascii="Times New Roman" w:hAnsi="Times New Roman"/>
          <w:i/>
          <w:sz w:val="20"/>
        </w:rPr>
        <w:t xml:space="preserve"> puhul on kestus hinnanguline. Tulba puudumine võib näidata, et liikmesriik ei teatanud selle aasta puhul ühestki kohtuasjast. Paljudes liikmesriikides oli kohtuasju vähe (aastas alla viie), mistõttu võib aastaandmeid mõjutada üks erandlikult pikk või lühike kohtuasi. Mitu andmestikus sisalduvat kõige pikemat menetlust hõlmasid aega, mis kulus pöördumiseks Euroopa Liidu Kohtusse (nt </w:t>
      </w:r>
      <w:r>
        <w:rPr>
          <w:rFonts w:ascii="Times New Roman" w:hAnsi="Times New Roman"/>
          <w:b/>
          <w:bCs/>
          <w:i/>
          <w:sz w:val="20"/>
        </w:rPr>
        <w:t>Leedu</w:t>
      </w:r>
      <w:r>
        <w:rPr>
          <w:rFonts w:ascii="Times New Roman" w:hAnsi="Times New Roman"/>
          <w:i/>
          <w:sz w:val="20"/>
        </w:rPr>
        <w:t xml:space="preserve"> puhul), põhiseaduslikkuse järelevalvet (nt </w:t>
      </w:r>
      <w:r>
        <w:rPr>
          <w:rFonts w:ascii="Times New Roman" w:hAnsi="Times New Roman"/>
          <w:b/>
          <w:bCs/>
          <w:i/>
          <w:sz w:val="20"/>
        </w:rPr>
        <w:t>Slovakkia</w:t>
      </w:r>
      <w:r>
        <w:rPr>
          <w:rFonts w:ascii="Times New Roman" w:hAnsi="Times New Roman"/>
          <w:i/>
          <w:sz w:val="20"/>
        </w:rPr>
        <w:t xml:space="preserve"> puhul) või teatavaid menetluslikke viivitusi (nt </w:t>
      </w:r>
      <w:r>
        <w:rPr>
          <w:rFonts w:ascii="Times New Roman" w:hAnsi="Times New Roman"/>
          <w:b/>
          <w:bCs/>
          <w:i/>
          <w:sz w:val="20"/>
        </w:rPr>
        <w:t>Tšehhi</w:t>
      </w:r>
      <w:r>
        <w:rPr>
          <w:rFonts w:ascii="Times New Roman" w:hAnsi="Times New Roman"/>
          <w:i/>
          <w:sz w:val="20"/>
        </w:rPr>
        <w:t xml:space="preserve">, </w:t>
      </w:r>
      <w:r>
        <w:rPr>
          <w:rFonts w:ascii="Times New Roman" w:hAnsi="Times New Roman"/>
          <w:b/>
          <w:bCs/>
          <w:i/>
          <w:sz w:val="20"/>
        </w:rPr>
        <w:t>Kreeka</w:t>
      </w:r>
      <w:r>
        <w:rPr>
          <w:rFonts w:ascii="Times New Roman" w:hAnsi="Times New Roman"/>
          <w:i/>
          <w:sz w:val="20"/>
        </w:rPr>
        <w:t xml:space="preserve"> ja </w:t>
      </w:r>
      <w:r>
        <w:rPr>
          <w:rFonts w:ascii="Times New Roman" w:hAnsi="Times New Roman"/>
          <w:b/>
          <w:bCs/>
          <w:i/>
          <w:sz w:val="20"/>
        </w:rPr>
        <w:t>Ungari</w:t>
      </w:r>
      <w:r>
        <w:rPr>
          <w:rFonts w:ascii="Times New Roman" w:hAnsi="Times New Roman"/>
          <w:i/>
          <w:sz w:val="20"/>
        </w:rPr>
        <w:t xml:space="preserve"> puhul). </w:t>
      </w:r>
    </w:p>
    <w:p>
      <w:pPr>
        <w:spacing w:before="240" w:after="120" w:line="240" w:lineRule="auto"/>
        <w:jc w:val="both"/>
        <w:rPr>
          <w:rFonts w:ascii="Times New Roman" w:eastAsia="Times New Roman" w:hAnsi="Times New Roman" w:cs="Times New Roman"/>
          <w:i/>
          <w:sz w:val="24"/>
          <w:szCs w:val="24"/>
          <w:highlight w:val="yellow"/>
        </w:rPr>
      </w:pPr>
    </w:p>
    <w:p>
      <w:pPr>
        <w:spacing w:before="240" w:after="120" w:line="240" w:lineRule="auto"/>
        <w:jc w:val="both"/>
        <w:rPr>
          <w:rFonts w:ascii="Times New Roman" w:eastAsia="Times New Roman" w:hAnsi="Times New Roman" w:cs="Times New Roman"/>
          <w:i/>
          <w:sz w:val="24"/>
          <w:szCs w:val="24"/>
          <w:highlight w:val="yellow"/>
        </w:rPr>
      </w:pPr>
    </w:p>
    <w:p>
      <w:pPr>
        <w:spacing w:before="240" w:after="120" w:line="240" w:lineRule="auto"/>
        <w:jc w:val="both"/>
        <w:rPr>
          <w:rFonts w:ascii="Times New Roman" w:eastAsia="Times New Roman" w:hAnsi="Times New Roman" w:cs="Times New Roman"/>
          <w:i/>
          <w:sz w:val="24"/>
          <w:szCs w:val="24"/>
        </w:rPr>
      </w:pPr>
      <w:r>
        <w:rPr>
          <w:rFonts w:ascii="Times New Roman" w:hAnsi="Times New Roman"/>
          <w:i/>
          <w:sz w:val="24"/>
          <w:szCs w:val="24"/>
        </w:rPr>
        <w:t>– Elektrooniline side –</w:t>
      </w:r>
    </w:p>
    <w:p>
      <w:pPr>
        <w:spacing w:after="0" w:line="240" w:lineRule="auto"/>
        <w:jc w:val="both"/>
        <w:rPr>
          <w:rFonts w:ascii="Times New Roman" w:eastAsia="Calibri" w:hAnsi="Times New Roman" w:cs="Times New Roman"/>
          <w:sz w:val="24"/>
          <w:szCs w:val="24"/>
        </w:rPr>
      </w:pPr>
      <w:r>
        <w:rPr>
          <w:rFonts w:ascii="Times New Roman" w:hAnsi="Times New Roman"/>
          <w:sz w:val="24"/>
          <w:szCs w:val="24"/>
        </w:rPr>
        <w:t>Elektroonilise side alaste ELi õigusaktide eesmärk on suurendada konkurentsi, aidata kaasa ühtse turu arengule ning hoogustada investeeringuid, uuendustegevust ja majanduskasvu. Nende õigusaktide tulemuslikul maksmapanekul on tarbijate jaoks positiivne mõju, sest tänu sellele võivad hinnad lõppkasutaja jaoks odavneda ja teenuste kvaliteet paraneda. Joonisel 17 on esitatud keskmine aeg, mis on kulunud elektroonilise side alast liidu õigust kohaldanud liikmesriikide reguleerivate asutuste otsuste kohtulikuks läbivaatamiseks(</w:t>
      </w:r>
      <w:r>
        <w:rPr>
          <w:rFonts w:ascii="Times New Roman" w:eastAsia="Calibri" w:hAnsi="Times New Roman" w:cs="Times New Roman"/>
          <w:sz w:val="24"/>
          <w:szCs w:val="24"/>
          <w:vertAlign w:val="superscript"/>
        </w:rPr>
        <w:footnoteReference w:id="44"/>
      </w:r>
      <w:r>
        <w:rPr>
          <w:rFonts w:ascii="Times New Roman" w:hAnsi="Times New Roman"/>
          <w:sz w:val="24"/>
          <w:szCs w:val="24"/>
        </w:rPr>
        <w:t>). Joonis hõlmab mitmesuguseid asju alates keerukast turuanalüüsi läbivaatamisest kuni tarbijale keskenduvate küsimusteni.</w:t>
      </w:r>
    </w:p>
    <w:p>
      <w:pPr>
        <w:spacing w:before="240" w:after="0" w:line="240" w:lineRule="auto"/>
        <w:jc w:val="both"/>
        <w:rPr>
          <w:rFonts w:ascii="Times New Roman" w:eastAsia="Calibri" w:hAnsi="Times New Roman" w:cs="Times New Roman"/>
          <w:i/>
          <w:iCs/>
          <w:sz w:val="24"/>
          <w:szCs w:val="24"/>
        </w:rPr>
      </w:pPr>
      <w:r>
        <w:rPr>
          <w:rFonts w:ascii="Times New Roman" w:hAnsi="Times New Roman"/>
          <w:b/>
          <w:bCs/>
          <w:sz w:val="24"/>
          <w:szCs w:val="24"/>
        </w:rPr>
        <w:t>Joonis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17</w:t>
      </w:r>
      <w:r>
        <w:fldChar w:fldCharType="end"/>
      </w:r>
      <w:r>
        <w:rPr>
          <w:rFonts w:ascii="Times New Roman" w:hAnsi="Times New Roman"/>
          <w:b/>
          <w:bCs/>
          <w:sz w:val="24"/>
          <w:szCs w:val="24"/>
        </w:rPr>
        <w:t>. Elektrooniline side: kohtuliku läbivaatamise keskmine kestus, 2013–2018</w:t>
      </w:r>
      <w:r>
        <w:rPr>
          <w:rFonts w:ascii="Times New Roman" w:hAnsi="Times New Roman"/>
        </w:rPr>
        <w:t>(*)</w:t>
      </w:r>
      <w:r>
        <w:rPr>
          <w:rFonts w:ascii="Times New Roman" w:hAnsi="Times New Roman"/>
          <w:i/>
          <w:iCs/>
          <w:sz w:val="24"/>
          <w:szCs w:val="24"/>
        </w:rPr>
        <w:t xml:space="preserve"> (esimene aste / päevades) (allikas: Euroopa Komisjon ja sidekomitee)</w:t>
      </w:r>
    </w:p>
    <w:p>
      <w:pPr>
        <w:spacing w:after="0" w:line="240" w:lineRule="auto"/>
        <w:jc w:val="both"/>
        <w:rPr>
          <w:rFonts w:ascii="Times New Roman" w:eastAsia="Calibri" w:hAnsi="Times New Roman" w:cs="Times New Roman"/>
          <w:sz w:val="20"/>
          <w:szCs w:val="20"/>
        </w:rPr>
      </w:pPr>
      <w:r>
        <w:rPr>
          <w:lang w:val="en-GB" w:eastAsia="en-GB"/>
        </w:rPr>
        <w:drawing>
          <wp:inline distT="0" distB="0" distL="0" distR="0">
            <wp:extent cx="5977255" cy="2239397"/>
            <wp:effectExtent l="0" t="0" r="4445"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77255" cy="2239397"/>
                    </a:xfrm>
                    <a:prstGeom prst="rect">
                      <a:avLst/>
                    </a:prstGeom>
                    <a:noFill/>
                    <a:ln>
                      <a:noFill/>
                    </a:ln>
                  </pic:spPr>
                </pic:pic>
              </a:graphicData>
            </a:graphic>
          </wp:inline>
        </w:drawing>
      </w:r>
    </w:p>
    <w:p>
      <w:pPr>
        <w:spacing w:after="0" w:line="240" w:lineRule="auto"/>
        <w:jc w:val="both"/>
        <w:rPr>
          <w:rFonts w:ascii="Times New Roman" w:eastAsia="Calibri" w:hAnsi="Times New Roman" w:cs="Times New Roman"/>
          <w:i/>
          <w:iCs/>
          <w:sz w:val="24"/>
          <w:szCs w:val="24"/>
        </w:rPr>
      </w:pPr>
      <w:r>
        <w:rPr>
          <w:rFonts w:ascii="Times New Roman" w:hAnsi="Times New Roman"/>
          <w:sz w:val="20"/>
          <w:szCs w:val="20"/>
        </w:rPr>
        <w:t>(*)</w:t>
      </w:r>
      <w:r>
        <w:rPr>
          <w:rFonts w:ascii="Times New Roman" w:hAnsi="Times New Roman"/>
        </w:rPr>
        <w:t xml:space="preserve"> </w:t>
      </w:r>
      <w:r>
        <w:rPr>
          <w:rFonts w:ascii="Times New Roman" w:hAnsi="Times New Roman"/>
          <w:i/>
          <w:sz w:val="20"/>
        </w:rPr>
        <w:t xml:space="preserve">Kohtuasjade arv on liikmesriigiti erinev. Tulba puudumine näitab, et liikmesriik ei teatanud selle aasta puhul ühestki kohtuasjast (välja arvatud </w:t>
      </w:r>
      <w:r>
        <w:rPr>
          <w:rFonts w:ascii="Times New Roman" w:hAnsi="Times New Roman"/>
          <w:b/>
          <w:i/>
          <w:sz w:val="20"/>
        </w:rPr>
        <w:t>Portugal</w:t>
      </w:r>
      <w:r>
        <w:rPr>
          <w:rFonts w:ascii="Times New Roman" w:hAnsi="Times New Roman"/>
          <w:i/>
          <w:sz w:val="20"/>
        </w:rPr>
        <w:t xml:space="preserve">, mille kohta 2017.–2018. aasta, ning Rumeenia, mille kohta 2018. aasta andmed puuduvad). </w:t>
      </w:r>
      <w:r>
        <w:rPr>
          <w:rFonts w:ascii="Times New Roman" w:hAnsi="Times New Roman"/>
          <w:b/>
          <w:bCs/>
          <w:i/>
          <w:sz w:val="20"/>
        </w:rPr>
        <w:t>Luksemburg</w:t>
      </w:r>
      <w:r>
        <w:rPr>
          <w:rFonts w:ascii="Times New Roman" w:hAnsi="Times New Roman"/>
          <w:i/>
          <w:sz w:val="20"/>
        </w:rPr>
        <w:t>: ei olnud ühtki kohtuasja. Kui asjaomaste kohtuasjade arv on mõnes kohtuastmes väike (</w:t>
      </w:r>
      <w:r>
        <w:rPr>
          <w:rFonts w:ascii="Times New Roman" w:hAnsi="Times New Roman"/>
          <w:b/>
          <w:bCs/>
          <w:i/>
          <w:sz w:val="20"/>
        </w:rPr>
        <w:t>Läti</w:t>
      </w:r>
      <w:r>
        <w:rPr>
          <w:rFonts w:ascii="Times New Roman" w:hAnsi="Times New Roman"/>
          <w:i/>
          <w:sz w:val="20"/>
        </w:rPr>
        <w:t xml:space="preserve">, </w:t>
      </w:r>
      <w:r>
        <w:rPr>
          <w:rFonts w:ascii="Times New Roman" w:hAnsi="Times New Roman"/>
          <w:b/>
          <w:bCs/>
          <w:i/>
          <w:sz w:val="20"/>
        </w:rPr>
        <w:t>Leedu</w:t>
      </w:r>
      <w:r>
        <w:rPr>
          <w:rFonts w:ascii="Times New Roman" w:hAnsi="Times New Roman"/>
          <w:i/>
          <w:sz w:val="20"/>
        </w:rPr>
        <w:t xml:space="preserve">, </w:t>
      </w:r>
      <w:r>
        <w:rPr>
          <w:rFonts w:ascii="Times New Roman" w:hAnsi="Times New Roman"/>
          <w:b/>
          <w:bCs/>
          <w:i/>
          <w:sz w:val="20"/>
        </w:rPr>
        <w:t>Malta</w:t>
      </w:r>
      <w:r>
        <w:rPr>
          <w:rFonts w:ascii="Times New Roman" w:hAnsi="Times New Roman"/>
          <w:i/>
          <w:sz w:val="20"/>
        </w:rPr>
        <w:t xml:space="preserve">, </w:t>
      </w:r>
      <w:r>
        <w:rPr>
          <w:rFonts w:ascii="Times New Roman" w:hAnsi="Times New Roman"/>
          <w:b/>
          <w:bCs/>
          <w:i/>
          <w:sz w:val="20"/>
        </w:rPr>
        <w:t>Slovakkia</w:t>
      </w:r>
      <w:r>
        <w:rPr>
          <w:rFonts w:ascii="Times New Roman" w:hAnsi="Times New Roman"/>
          <w:i/>
          <w:sz w:val="20"/>
        </w:rPr>
        <w:t xml:space="preserve"> ja </w:t>
      </w:r>
      <w:r>
        <w:rPr>
          <w:rFonts w:ascii="Times New Roman" w:hAnsi="Times New Roman"/>
          <w:b/>
          <w:bCs/>
          <w:i/>
          <w:sz w:val="20"/>
        </w:rPr>
        <w:t>Rootsi</w:t>
      </w:r>
      <w:r>
        <w:rPr>
          <w:rFonts w:ascii="Times New Roman" w:hAnsi="Times New Roman"/>
          <w:i/>
          <w:sz w:val="20"/>
        </w:rPr>
        <w:t>), võib aastaandmeid mõjutada üks erandlikult pikk või lühike kohtuasi, mille tulemusel esineb aastate lõikes suuri kõikumisi.</w:t>
      </w:r>
      <w:r>
        <w:rPr>
          <w:rFonts w:ascii="Times New Roman" w:hAnsi="Times New Roman"/>
          <w:i/>
          <w:sz w:val="20"/>
          <w:szCs w:val="20"/>
        </w:rPr>
        <w:t xml:space="preserve"> </w:t>
      </w:r>
      <w:r>
        <w:rPr>
          <w:rFonts w:ascii="Times New Roman" w:hAnsi="Times New Roman"/>
          <w:b/>
          <w:i/>
          <w:sz w:val="20"/>
        </w:rPr>
        <w:t>Taani:</w:t>
      </w:r>
      <w:r>
        <w:rPr>
          <w:rFonts w:ascii="Times New Roman" w:hAnsi="Times New Roman"/>
          <w:i/>
          <w:sz w:val="20"/>
        </w:rPr>
        <w:t xml:space="preserve"> esimeses astmes vastutab kaebuste läbivaatamise eest kohtulaadne organ. </w:t>
      </w:r>
      <w:r>
        <w:rPr>
          <w:rFonts w:ascii="Times New Roman" w:hAnsi="Times New Roman"/>
          <w:b/>
          <w:bCs/>
          <w:i/>
          <w:sz w:val="20"/>
        </w:rPr>
        <w:t>Hispaanias</w:t>
      </w:r>
      <w:r>
        <w:rPr>
          <w:rFonts w:ascii="Times New Roman" w:hAnsi="Times New Roman"/>
          <w:i/>
          <w:sz w:val="20"/>
        </w:rPr>
        <w:t xml:space="preserve">, </w:t>
      </w:r>
      <w:r>
        <w:rPr>
          <w:rFonts w:ascii="Times New Roman" w:hAnsi="Times New Roman"/>
          <w:b/>
          <w:bCs/>
          <w:i/>
          <w:sz w:val="20"/>
        </w:rPr>
        <w:t>Austrias</w:t>
      </w:r>
      <w:r>
        <w:rPr>
          <w:rFonts w:ascii="Times New Roman" w:hAnsi="Times New Roman"/>
          <w:i/>
          <w:sz w:val="20"/>
        </w:rPr>
        <w:t xml:space="preserve"> ja </w:t>
      </w:r>
      <w:r>
        <w:rPr>
          <w:rFonts w:ascii="Times New Roman" w:hAnsi="Times New Roman"/>
          <w:b/>
          <w:bCs/>
          <w:i/>
          <w:sz w:val="20"/>
        </w:rPr>
        <w:t>Poolas</w:t>
      </w:r>
      <w:r>
        <w:rPr>
          <w:rFonts w:ascii="Times New Roman" w:hAnsi="Times New Roman"/>
          <w:i/>
          <w:sz w:val="20"/>
        </w:rPr>
        <w:t xml:space="preserve"> vastutavad olenevalt valdkonnast erinevad kohtud. </w:t>
      </w:r>
      <w:r>
        <w:rPr>
          <w:rFonts w:ascii="Times New Roman" w:hAnsi="Times New Roman"/>
          <w:b/>
          <w:i/>
          <w:sz w:val="20"/>
        </w:rPr>
        <w:t>Malta:</w:t>
      </w:r>
      <w:r>
        <w:rPr>
          <w:rFonts w:ascii="Times New Roman" w:hAnsi="Times New Roman"/>
          <w:i/>
          <w:sz w:val="20"/>
        </w:rPr>
        <w:t xml:space="preserve"> 2016. aastal teatati 2500 päeva kestnud erandlikult pikast ja keerulisest kohtuasjast, mille oli algatanud kohalik omavalitsus koos mitme elanikuga seoses mobiilraadioside põhijaamade tekitatava väidetavalt kahjuliku heitega.</w:t>
      </w:r>
    </w:p>
    <w:p>
      <w:pPr>
        <w:spacing w:before="240" w:after="120" w:line="240" w:lineRule="auto"/>
        <w:jc w:val="both"/>
        <w:rPr>
          <w:rFonts w:ascii="Times New Roman" w:eastAsia="Times New Roman" w:hAnsi="Times New Roman" w:cs="Times New Roman"/>
          <w:i/>
          <w:sz w:val="24"/>
          <w:szCs w:val="24"/>
        </w:rPr>
      </w:pPr>
      <w:bookmarkStart w:id="241" w:name="_Ref441766145"/>
      <w:r>
        <w:rPr>
          <w:rFonts w:ascii="Times New Roman" w:hAnsi="Times New Roman"/>
          <w:i/>
          <w:sz w:val="24"/>
          <w:szCs w:val="24"/>
        </w:rPr>
        <w:t>– ELi kaubamärk –</w:t>
      </w:r>
    </w:p>
    <w:bookmarkEnd w:id="241"/>
    <w:p>
      <w:pPr>
        <w:spacing w:after="0" w:line="240" w:lineRule="auto"/>
        <w:jc w:val="both"/>
        <w:rPr>
          <w:rFonts w:ascii="Times New Roman" w:eastAsia="Calibri" w:hAnsi="Times New Roman" w:cs="Times New Roman"/>
          <w:sz w:val="24"/>
          <w:highlight w:val="yellow"/>
        </w:rPr>
      </w:pPr>
      <w:r>
        <w:rPr>
          <w:rFonts w:ascii="Times New Roman" w:hAnsi="Times New Roman"/>
          <w:sz w:val="24"/>
          <w:szCs w:val="24"/>
        </w:rPr>
        <w:t>Intellektuaalomandiõiguste tulemuslik kaitse on väga oluline, et elavdada investeerimist uuendustegevusse. ELi kaubamärke käsitleva ELi õigusaktiga(</w:t>
      </w:r>
      <w:r>
        <w:rPr>
          <w:rFonts w:ascii="Times New Roman" w:eastAsia="Calibri" w:hAnsi="Times New Roman" w:cs="Times New Roman"/>
          <w:sz w:val="24"/>
          <w:szCs w:val="24"/>
          <w:vertAlign w:val="superscript"/>
        </w:rPr>
        <w:footnoteReference w:id="45"/>
      </w:r>
      <w:r>
        <w:rPr>
          <w:rFonts w:ascii="Times New Roman" w:hAnsi="Times New Roman"/>
          <w:sz w:val="24"/>
          <w:szCs w:val="24"/>
        </w:rPr>
        <w:t>) on antud märkimisväärne roll liikmesriikide kohtutele, kes tegutsevad ELi kohtutena ja teevad ühtset turgu mõjutavaid otsuseid. Joonisel 18 on näha ELi kaubamärgiga seotud rikkumiste menetlemise keskmine kestus eraõiguslike isikute vahelistes kohtuvaidlustes.</w:t>
      </w:r>
    </w:p>
    <w:p>
      <w:pPr>
        <w:spacing w:after="0" w:line="240" w:lineRule="auto"/>
        <w:jc w:val="both"/>
        <w:rPr>
          <w:rFonts w:ascii="Times New Roman" w:eastAsia="Calibri" w:hAnsi="Times New Roman" w:cs="Times New Roman"/>
          <w:b/>
          <w:sz w:val="24"/>
          <w:highlight w:val="yellow"/>
        </w:rPr>
      </w:pPr>
      <w:r>
        <w:br w:type="page"/>
      </w:r>
    </w:p>
    <w:p>
      <w:pPr>
        <w:spacing w:before="240" w:after="0" w:line="240" w:lineRule="auto"/>
        <w:jc w:val="both"/>
        <w:rPr>
          <w:rFonts w:ascii="Times New Roman" w:eastAsia="Calibri" w:hAnsi="Times New Roman" w:cs="Times New Roman"/>
          <w:i/>
          <w:sz w:val="24"/>
          <w:szCs w:val="24"/>
        </w:rPr>
      </w:pPr>
      <w:r>
        <w:rPr>
          <w:rFonts w:ascii="Times New Roman" w:hAnsi="Times New Roman"/>
          <w:b/>
          <w:bCs/>
          <w:sz w:val="24"/>
          <w:szCs w:val="24"/>
        </w:rPr>
        <w:t>Joonis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18</w:t>
      </w:r>
      <w:r>
        <w:fldChar w:fldCharType="end"/>
      </w:r>
      <w:r>
        <w:rPr>
          <w:rFonts w:ascii="Times New Roman" w:hAnsi="Times New Roman"/>
          <w:b/>
          <w:bCs/>
          <w:sz w:val="24"/>
          <w:szCs w:val="24"/>
        </w:rPr>
        <w:t>. ELi kaubamärk: ELi kaubamärgiga seotud rikkumiste menetlemise keskmine kestus, 2013–2018</w:t>
      </w:r>
      <w:r>
        <w:rPr>
          <w:rFonts w:ascii="Times New Roman" w:hAnsi="Times New Roman"/>
        </w:rPr>
        <w:t>(*)</w:t>
      </w:r>
      <w:r>
        <w:rPr>
          <w:rFonts w:ascii="Times New Roman" w:hAnsi="Times New Roman"/>
          <w:i/>
          <w:iCs/>
          <w:sz w:val="24"/>
          <w:szCs w:val="24"/>
        </w:rPr>
        <w:t xml:space="preserve"> (esimene aste / päevades) (allikas: Euroopa Komisjon ja intellektuaalomandiga seotud õigusrikkumiste Euroopa vaatluskeskus)</w:t>
      </w:r>
    </w:p>
    <w:p>
      <w:pPr>
        <w:spacing w:after="0" w:line="240" w:lineRule="auto"/>
        <w:jc w:val="both"/>
        <w:rPr>
          <w:rFonts w:ascii="Times New Roman" w:eastAsia="Calibri" w:hAnsi="Times New Roman" w:cs="Times New Roman"/>
          <w:i/>
          <w:sz w:val="20"/>
        </w:rPr>
      </w:pPr>
      <w:r>
        <w:rPr>
          <w:lang w:val="en-GB" w:eastAsia="en-GB"/>
        </w:rPr>
        <w:drawing>
          <wp:inline distT="0" distB="0" distL="0" distR="0">
            <wp:extent cx="5977255" cy="2432086"/>
            <wp:effectExtent l="0" t="0" r="4445"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77255" cy="2432086"/>
                    </a:xfrm>
                    <a:prstGeom prst="rect">
                      <a:avLst/>
                    </a:prstGeom>
                    <a:noFill/>
                    <a:ln>
                      <a:noFill/>
                    </a:ln>
                  </pic:spPr>
                </pic:pic>
              </a:graphicData>
            </a:graphic>
          </wp:inline>
        </w:drawing>
      </w:r>
      <w:r>
        <w:rPr>
          <w:rFonts w:ascii="Times New Roman" w:hAnsi="Times New Roman"/>
          <w:i/>
          <w:sz w:val="20"/>
        </w:rPr>
        <w:t xml:space="preserve">(*) </w:t>
      </w:r>
      <w:r>
        <w:rPr>
          <w:rFonts w:ascii="Times New Roman" w:hAnsi="Times New Roman"/>
          <w:b/>
          <w:bCs/>
          <w:i/>
          <w:sz w:val="20"/>
        </w:rPr>
        <w:t>Prantsusmaa</w:t>
      </w:r>
      <w:r>
        <w:rPr>
          <w:rFonts w:ascii="Times New Roman" w:hAnsi="Times New Roman"/>
          <w:i/>
          <w:sz w:val="20"/>
        </w:rPr>
        <w:t xml:space="preserve">, </w:t>
      </w:r>
      <w:r>
        <w:rPr>
          <w:rFonts w:ascii="Times New Roman" w:hAnsi="Times New Roman"/>
          <w:b/>
          <w:i/>
          <w:sz w:val="20"/>
        </w:rPr>
        <w:t>Itaalia</w:t>
      </w:r>
      <w:r>
        <w:rPr>
          <w:rFonts w:ascii="Times New Roman" w:hAnsi="Times New Roman"/>
          <w:i/>
          <w:sz w:val="20"/>
        </w:rPr>
        <w:t xml:space="preserve">, </w:t>
      </w:r>
      <w:r>
        <w:rPr>
          <w:rFonts w:ascii="Times New Roman" w:hAnsi="Times New Roman"/>
          <w:b/>
          <w:bCs/>
          <w:i/>
          <w:sz w:val="20"/>
        </w:rPr>
        <w:t>Leedu</w:t>
      </w:r>
      <w:r>
        <w:rPr>
          <w:rFonts w:ascii="Times New Roman" w:hAnsi="Times New Roman"/>
          <w:i/>
          <w:sz w:val="20"/>
        </w:rPr>
        <w:t xml:space="preserve"> ja </w:t>
      </w:r>
      <w:r>
        <w:rPr>
          <w:rFonts w:ascii="Times New Roman" w:hAnsi="Times New Roman"/>
          <w:b/>
          <w:bCs/>
          <w:i/>
          <w:sz w:val="20"/>
        </w:rPr>
        <w:t>Luksemburgi</w:t>
      </w:r>
      <w:r>
        <w:rPr>
          <w:rFonts w:ascii="Times New Roman" w:hAnsi="Times New Roman"/>
          <w:b/>
          <w:i/>
          <w:sz w:val="20"/>
        </w:rPr>
        <w:t xml:space="preserve"> </w:t>
      </w:r>
      <w:r>
        <w:rPr>
          <w:rFonts w:ascii="Times New Roman" w:hAnsi="Times New Roman"/>
          <w:i/>
          <w:sz w:val="20"/>
        </w:rPr>
        <w:t>puhul kasutati teatud aastate andmete jaoks kohtuasjade valimit.</w:t>
      </w:r>
      <w:r>
        <w:rPr>
          <w:rFonts w:ascii="Times New Roman" w:hAnsi="Times New Roman"/>
          <w:i/>
        </w:rPr>
        <w:t xml:space="preserve"> </w:t>
      </w:r>
      <w:r>
        <w:rPr>
          <w:rFonts w:ascii="Times New Roman" w:hAnsi="Times New Roman"/>
          <w:b/>
          <w:i/>
          <w:sz w:val="20"/>
        </w:rPr>
        <w:t>Bulgaaria:</w:t>
      </w:r>
      <w:r>
        <w:rPr>
          <w:rFonts w:ascii="Times New Roman" w:hAnsi="Times New Roman"/>
          <w:i/>
          <w:sz w:val="20"/>
        </w:rPr>
        <w:t xml:space="preserve"> 2016. aasta kohta kasutati kohtute hinnanguid. </w:t>
      </w:r>
      <w:r>
        <w:rPr>
          <w:rFonts w:ascii="Times New Roman" w:hAnsi="Times New Roman"/>
          <w:b/>
          <w:i/>
          <w:sz w:val="20"/>
        </w:rPr>
        <w:t xml:space="preserve">Poola: </w:t>
      </w:r>
      <w:r>
        <w:rPr>
          <w:rFonts w:ascii="Times New Roman" w:hAnsi="Times New Roman"/>
          <w:i/>
          <w:sz w:val="20"/>
        </w:rPr>
        <w:t xml:space="preserve">2015. aasta kohta kasutati kohtute hinnanguid. </w:t>
      </w:r>
      <w:r>
        <w:rPr>
          <w:rFonts w:ascii="Times New Roman" w:hAnsi="Times New Roman"/>
          <w:b/>
          <w:bCs/>
          <w:i/>
          <w:sz w:val="20"/>
        </w:rPr>
        <w:t>Eestis</w:t>
      </w:r>
      <w:r>
        <w:rPr>
          <w:rFonts w:ascii="Times New Roman" w:hAnsi="Times New Roman"/>
          <w:i/>
          <w:sz w:val="20"/>
        </w:rPr>
        <w:t xml:space="preserve">, </w:t>
      </w:r>
      <w:r>
        <w:rPr>
          <w:rFonts w:ascii="Times New Roman" w:hAnsi="Times New Roman"/>
          <w:b/>
          <w:bCs/>
          <w:i/>
          <w:sz w:val="20"/>
        </w:rPr>
        <w:t>Iirimaal</w:t>
      </w:r>
      <w:r>
        <w:rPr>
          <w:rFonts w:ascii="Times New Roman" w:hAnsi="Times New Roman"/>
          <w:i/>
          <w:sz w:val="20"/>
        </w:rPr>
        <w:t xml:space="preserve">, </w:t>
      </w:r>
      <w:r>
        <w:rPr>
          <w:rFonts w:ascii="Times New Roman" w:hAnsi="Times New Roman"/>
          <w:b/>
          <w:bCs/>
          <w:i/>
          <w:sz w:val="20"/>
        </w:rPr>
        <w:t>Lätis</w:t>
      </w:r>
      <w:r>
        <w:rPr>
          <w:rFonts w:ascii="Times New Roman" w:hAnsi="Times New Roman"/>
          <w:i/>
          <w:sz w:val="20"/>
        </w:rPr>
        <w:t xml:space="preserve"> ja </w:t>
      </w:r>
      <w:r>
        <w:rPr>
          <w:rFonts w:ascii="Times New Roman" w:hAnsi="Times New Roman"/>
          <w:b/>
          <w:bCs/>
          <w:i/>
          <w:sz w:val="20"/>
        </w:rPr>
        <w:t>Rootsis</w:t>
      </w:r>
      <w:r>
        <w:rPr>
          <w:rFonts w:ascii="Times New Roman" w:hAnsi="Times New Roman"/>
          <w:i/>
          <w:sz w:val="20"/>
        </w:rPr>
        <w:t xml:space="preserve"> mõjutasid teatatud keskmist näitajat eriti pikad kohtuasjad. </w:t>
      </w:r>
      <w:r>
        <w:rPr>
          <w:rFonts w:ascii="Times New Roman" w:hAnsi="Times New Roman"/>
          <w:b/>
          <w:i/>
          <w:sz w:val="20"/>
        </w:rPr>
        <w:t>Kreeka:</w:t>
      </w:r>
      <w:r>
        <w:rPr>
          <w:rFonts w:ascii="Times New Roman" w:hAnsi="Times New Roman"/>
          <w:i/>
          <w:sz w:val="20"/>
        </w:rPr>
        <w:t xml:space="preserve"> andmed põhinevad kahe kohtu menetluste kestuse kaalutud keskmisel. </w:t>
      </w:r>
      <w:r>
        <w:rPr>
          <w:rFonts w:ascii="Times New Roman" w:hAnsi="Times New Roman"/>
          <w:b/>
          <w:i/>
          <w:sz w:val="20"/>
          <w:szCs w:val="20"/>
        </w:rPr>
        <w:t>Taani:</w:t>
      </w:r>
      <w:r>
        <w:rPr>
          <w:rFonts w:ascii="Times New Roman" w:hAnsi="Times New Roman"/>
          <w:i/>
          <w:sz w:val="20"/>
          <w:szCs w:val="20"/>
        </w:rPr>
        <w:t xml:space="preserve"> andmed hõlmavad kõiki (mitte üksnes ELi) kaubamärkidega seotud kohtuasju kõrgetes kaubandus- ja merenduskohtutes; 2018. aasta kohta andmed puuduvad uue IKT-süsteemi tõttu.</w:t>
      </w:r>
      <w:r>
        <w:rPr>
          <w:rFonts w:ascii="Times New Roman" w:hAnsi="Times New Roman"/>
          <w:b/>
          <w:i/>
          <w:sz w:val="20"/>
        </w:rPr>
        <w:t xml:space="preserve"> Hispaania:</w:t>
      </w:r>
      <w:r>
        <w:rPr>
          <w:rFonts w:ascii="Times New Roman" w:hAnsi="Times New Roman"/>
          <w:i/>
          <w:sz w:val="20"/>
        </w:rPr>
        <w:t xml:space="preserve"> keskmise kestuse arvutamisel on arvesse võetud muude ELi intellektuaalomandiõigustega seotud kohtuasju; 2018. aasta kohta kasutati hinnangut.</w:t>
      </w:r>
    </w:p>
    <w:p>
      <w:pPr>
        <w:spacing w:before="240" w:after="120" w:line="240" w:lineRule="auto"/>
        <w:jc w:val="both"/>
        <w:rPr>
          <w:rFonts w:ascii="Times New Roman" w:eastAsia="Times New Roman" w:hAnsi="Times New Roman" w:cs="Times New Roman"/>
          <w:i/>
          <w:sz w:val="24"/>
          <w:szCs w:val="24"/>
        </w:rPr>
      </w:pPr>
      <w:r>
        <w:rPr>
          <w:rFonts w:ascii="Times New Roman" w:hAnsi="Times New Roman"/>
          <w:i/>
          <w:sz w:val="24"/>
          <w:szCs w:val="24"/>
        </w:rPr>
        <w:t>– Tarbijakaitse –</w:t>
      </w:r>
    </w:p>
    <w:p>
      <w:pPr>
        <w:spacing w:after="0" w:line="240" w:lineRule="auto"/>
        <w:jc w:val="both"/>
        <w:rPr>
          <w:rFonts w:ascii="Times New Roman" w:eastAsia="Calibri" w:hAnsi="Times New Roman" w:cs="Times New Roman"/>
          <w:sz w:val="24"/>
        </w:rPr>
      </w:pPr>
      <w:r>
        <w:rPr>
          <w:rFonts w:ascii="Times New Roman" w:hAnsi="Times New Roman"/>
          <w:sz w:val="24"/>
          <w:szCs w:val="24"/>
        </w:rPr>
        <w:t>Tarbijaõiguse tulemusliku rakendamisega kantakse hoolt selle eest, et tarbijad saaksid kasu oma õigustest ja tarbijaeeskirju rikkuvad ettevõtjad ei saaks ebaõiglast eelist. Tarbijakaitseasutustel ja kohtutel on liidu tarbijaõiguse jõustamisel erinevates riiklikes õigusnormide täitmise tagamise süsteemides väga tähtis roll(</w:t>
      </w:r>
      <w:r>
        <w:rPr>
          <w:rFonts w:ascii="Times New Roman" w:eastAsia="Calibri" w:hAnsi="Times New Roman" w:cs="Times New Roman"/>
          <w:sz w:val="24"/>
          <w:szCs w:val="24"/>
          <w:vertAlign w:val="superscript"/>
        </w:rPr>
        <w:footnoteReference w:id="46"/>
      </w:r>
      <w:r>
        <w:rPr>
          <w:rFonts w:ascii="Times New Roman" w:hAnsi="Times New Roman"/>
          <w:sz w:val="24"/>
          <w:szCs w:val="24"/>
        </w:rPr>
        <w:t xml:space="preserve">). Joonisel 19 kajastatakse liidu õigust kohaldanud tarbijakaitseasutuste otsuste kohtuliku läbivaatamise keskmist kestust. </w:t>
      </w:r>
    </w:p>
    <w:p>
      <w:pPr>
        <w:spacing w:before="120" w:after="0" w:line="240" w:lineRule="auto"/>
        <w:jc w:val="both"/>
        <w:rPr>
          <w:rFonts w:ascii="Times New Roman" w:eastAsia="Calibri" w:hAnsi="Times New Roman" w:cs="Times New Roman"/>
          <w:sz w:val="24"/>
        </w:rPr>
      </w:pPr>
      <w:r>
        <w:rPr>
          <w:rFonts w:ascii="Times New Roman" w:hAnsi="Times New Roman"/>
          <w:sz w:val="24"/>
        </w:rPr>
        <w:t>Õigusnormide tulemuslik maksmapanek võib nii tarbijate kui ka ettevõtjate jaoks tähendada erinevate osalejate ahelat, kuhu kuuluvad lisaks kohtutele ka haldusasutused. Et jätkata selle õigusnormide täitmise tagamise ahela uurimist, on esitatud taas andmed tarbijakaitseasutuste menetluste kestuse kohta. Joonisel 20 on näha keskmine aeg, mis kulus riiklikel tarbijakaitseasutustel aastatel 2014–2018 haldusotsuseni jõudmiseks alates kohtuasja algatamisest. Asjakohaste otsuste hulka kuuluvad materiaalõiguse normide rikkumise tuvastamine, ajutised meetmed, keelustamiskorraldused, kohtumenetluse algatamine ja kohtuasja sulgemine.</w:t>
      </w:r>
    </w:p>
    <w:p>
      <w:pPr>
        <w:spacing w:after="0" w:line="240" w:lineRule="auto"/>
        <w:jc w:val="both"/>
        <w:rPr>
          <w:rFonts w:ascii="Times New Roman" w:eastAsia="Calibri" w:hAnsi="Times New Roman" w:cs="Times New Roman"/>
          <w:sz w:val="24"/>
          <w:highlight w:val="yellow"/>
        </w:rPr>
      </w:pPr>
      <w:r>
        <w:br w:type="page"/>
      </w:r>
    </w:p>
    <w:p>
      <w:pPr>
        <w:spacing w:before="240" w:after="0" w:line="240" w:lineRule="auto"/>
        <w:jc w:val="both"/>
        <w:rPr>
          <w:rFonts w:ascii="Times New Roman" w:eastAsia="Calibri" w:hAnsi="Times New Roman" w:cs="Times New Roman"/>
          <w:i/>
          <w:sz w:val="24"/>
          <w:szCs w:val="24"/>
        </w:rPr>
      </w:pPr>
      <w:r>
        <w:rPr>
          <w:rFonts w:ascii="Times New Roman" w:hAnsi="Times New Roman"/>
          <w:b/>
          <w:bCs/>
          <w:sz w:val="24"/>
          <w:szCs w:val="24"/>
        </w:rPr>
        <w:t>Joonis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19</w:t>
      </w:r>
      <w:r>
        <w:fldChar w:fldCharType="end"/>
      </w:r>
      <w:r>
        <w:rPr>
          <w:rFonts w:ascii="Times New Roman" w:hAnsi="Times New Roman"/>
          <w:b/>
          <w:bCs/>
          <w:sz w:val="24"/>
          <w:szCs w:val="24"/>
        </w:rPr>
        <w:t>. Tarbijakaitse: kohtuliku läbivaatamise keskmine kestus, 2013–2018</w:t>
      </w:r>
      <w:r>
        <w:rPr>
          <w:rFonts w:ascii="Times New Roman" w:hAnsi="Times New Roman"/>
        </w:rPr>
        <w:t>(</w:t>
      </w:r>
      <w:r>
        <w:t>*)</w:t>
      </w:r>
      <w:r>
        <w:rPr>
          <w:rFonts w:ascii="Times New Roman" w:hAnsi="Times New Roman"/>
          <w:i/>
          <w:iCs/>
          <w:sz w:val="24"/>
          <w:szCs w:val="24"/>
        </w:rPr>
        <w:t xml:space="preserve"> (esimene aste / päevades) (allikas: Euroopa Komisjon ja tarbijakaitsealase koostöö võrgustik)</w:t>
      </w:r>
    </w:p>
    <w:p>
      <w:pPr>
        <w:spacing w:after="0" w:line="240" w:lineRule="auto"/>
        <w:jc w:val="both"/>
        <w:rPr>
          <w:rFonts w:ascii="Times New Roman" w:eastAsia="Calibri" w:hAnsi="Times New Roman" w:cs="Times New Roman"/>
          <w:i/>
          <w:sz w:val="20"/>
        </w:rPr>
      </w:pPr>
      <w:r>
        <w:rPr>
          <w:lang w:val="en-GB" w:eastAsia="en-GB"/>
        </w:rPr>
        <w:drawing>
          <wp:inline distT="0" distB="0" distL="0" distR="0">
            <wp:extent cx="5977255" cy="2741197"/>
            <wp:effectExtent l="0" t="0" r="4445" b="254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77255" cy="2741197"/>
                    </a:xfrm>
                    <a:prstGeom prst="rect">
                      <a:avLst/>
                    </a:prstGeom>
                    <a:noFill/>
                    <a:ln>
                      <a:noFill/>
                    </a:ln>
                  </pic:spPr>
                </pic:pic>
              </a:graphicData>
            </a:graphic>
          </wp:inline>
        </w:drawing>
      </w:r>
    </w:p>
    <w:p>
      <w:pPr>
        <w:spacing w:after="0" w:line="240" w:lineRule="auto"/>
        <w:jc w:val="both"/>
        <w:rPr>
          <w:rFonts w:ascii="Times New Roman" w:eastAsia="Calibri" w:hAnsi="Times New Roman" w:cs="Times New Roman"/>
          <w:i/>
          <w:sz w:val="20"/>
        </w:rPr>
      </w:pPr>
      <w:r>
        <w:rPr>
          <w:rFonts w:ascii="Times New Roman" w:hAnsi="Times New Roman"/>
          <w:i/>
          <w:sz w:val="20"/>
        </w:rPr>
        <w:t xml:space="preserve">(*) </w:t>
      </w:r>
      <w:r>
        <w:rPr>
          <w:rFonts w:ascii="Times New Roman" w:hAnsi="Times New Roman"/>
          <w:b/>
          <w:i/>
          <w:sz w:val="20"/>
        </w:rPr>
        <w:t>Austria</w:t>
      </w:r>
      <w:r>
        <w:rPr>
          <w:rFonts w:ascii="Times New Roman" w:hAnsi="Times New Roman"/>
          <w:i/>
          <w:sz w:val="20"/>
        </w:rPr>
        <w:t xml:space="preserve">, </w:t>
      </w:r>
      <w:r>
        <w:rPr>
          <w:rFonts w:ascii="Times New Roman" w:hAnsi="Times New Roman"/>
          <w:b/>
          <w:i/>
          <w:sz w:val="20"/>
        </w:rPr>
        <w:t>Soome</w:t>
      </w:r>
      <w:r>
        <w:rPr>
          <w:rFonts w:ascii="Times New Roman" w:hAnsi="Times New Roman"/>
          <w:i/>
          <w:sz w:val="20"/>
        </w:rPr>
        <w:t xml:space="preserve">, </w:t>
      </w:r>
      <w:r>
        <w:rPr>
          <w:rFonts w:ascii="Times New Roman" w:hAnsi="Times New Roman"/>
          <w:b/>
          <w:i/>
          <w:sz w:val="20"/>
        </w:rPr>
        <w:t>Saksamaa</w:t>
      </w:r>
      <w:r>
        <w:rPr>
          <w:rFonts w:ascii="Times New Roman" w:hAnsi="Times New Roman"/>
          <w:i/>
          <w:sz w:val="20"/>
        </w:rPr>
        <w:t xml:space="preserve">, </w:t>
      </w:r>
      <w:r>
        <w:rPr>
          <w:rFonts w:ascii="Times New Roman" w:hAnsi="Times New Roman"/>
          <w:b/>
          <w:i/>
          <w:sz w:val="20"/>
        </w:rPr>
        <w:t>Luksemburgi</w:t>
      </w:r>
      <w:r>
        <w:rPr>
          <w:rFonts w:ascii="Times New Roman" w:hAnsi="Times New Roman"/>
          <w:i/>
          <w:sz w:val="20"/>
        </w:rPr>
        <w:t xml:space="preserve"> puhul ei ole stsenaarium kohaldatav, sest tarbijakaitseasutustel ei ole õigust otsustada asjakohaste tarbijaeeskirjade rikkumise üle. </w:t>
      </w:r>
      <w:r>
        <w:rPr>
          <w:rFonts w:ascii="Times New Roman" w:hAnsi="Times New Roman"/>
          <w:b/>
          <w:bCs/>
          <w:i/>
          <w:sz w:val="20"/>
        </w:rPr>
        <w:t>Küprosel</w:t>
      </w:r>
      <w:r>
        <w:rPr>
          <w:rFonts w:ascii="Times New Roman" w:hAnsi="Times New Roman"/>
          <w:i/>
          <w:sz w:val="20"/>
        </w:rPr>
        <w:t xml:space="preserve">, </w:t>
      </w:r>
      <w:r>
        <w:rPr>
          <w:rFonts w:ascii="Times New Roman" w:hAnsi="Times New Roman"/>
          <w:b/>
          <w:bCs/>
          <w:i/>
          <w:sz w:val="20"/>
        </w:rPr>
        <w:t>Iirimaal</w:t>
      </w:r>
      <w:r>
        <w:rPr>
          <w:rFonts w:ascii="Times New Roman" w:hAnsi="Times New Roman"/>
          <w:i/>
          <w:sz w:val="20"/>
        </w:rPr>
        <w:t xml:space="preserve">, </w:t>
      </w:r>
      <w:r>
        <w:rPr>
          <w:rFonts w:ascii="Times New Roman" w:hAnsi="Times New Roman"/>
          <w:b/>
          <w:bCs/>
          <w:i/>
          <w:sz w:val="20"/>
        </w:rPr>
        <w:t>Madalmaades</w:t>
      </w:r>
      <w:r>
        <w:rPr>
          <w:rFonts w:ascii="Times New Roman" w:hAnsi="Times New Roman"/>
          <w:i/>
          <w:sz w:val="20"/>
        </w:rPr>
        <w:t xml:space="preserve"> ja </w:t>
      </w:r>
      <w:r>
        <w:rPr>
          <w:rFonts w:ascii="Times New Roman" w:hAnsi="Times New Roman"/>
          <w:b/>
          <w:bCs/>
          <w:i/>
          <w:sz w:val="20"/>
        </w:rPr>
        <w:t>Rootsis</w:t>
      </w:r>
      <w:r>
        <w:rPr>
          <w:rFonts w:ascii="Times New Roman" w:hAnsi="Times New Roman"/>
          <w:i/>
          <w:sz w:val="20"/>
        </w:rPr>
        <w:t xml:space="preserve"> oli asjaomaste kohtuasjade arv väike (alla viie). </w:t>
      </w:r>
      <w:r>
        <w:rPr>
          <w:rFonts w:ascii="Times New Roman" w:hAnsi="Times New Roman"/>
          <w:b/>
          <w:bCs/>
          <w:i/>
          <w:sz w:val="20"/>
        </w:rPr>
        <w:t>Kreeka</w:t>
      </w:r>
      <w:r>
        <w:rPr>
          <w:rFonts w:ascii="Times New Roman" w:hAnsi="Times New Roman"/>
          <w:i/>
          <w:sz w:val="20"/>
        </w:rPr>
        <w:t xml:space="preserve"> ja </w:t>
      </w:r>
      <w:r>
        <w:rPr>
          <w:rFonts w:ascii="Times New Roman" w:hAnsi="Times New Roman"/>
          <w:b/>
          <w:bCs/>
          <w:i/>
          <w:sz w:val="20"/>
        </w:rPr>
        <w:t>Rumeenia</w:t>
      </w:r>
      <w:r>
        <w:rPr>
          <w:rFonts w:ascii="Times New Roman" w:hAnsi="Times New Roman"/>
          <w:i/>
          <w:sz w:val="20"/>
        </w:rPr>
        <w:t xml:space="preserve"> esitasid hinnangulise keskmise kestuse.</w:t>
      </w:r>
      <w:r>
        <w:rPr>
          <w:rFonts w:ascii="Times New Roman" w:hAnsi="Times New Roman"/>
          <w:i/>
          <w:sz w:val="20"/>
          <w:szCs w:val="20"/>
        </w:rPr>
        <w:t xml:space="preserve"> </w:t>
      </w:r>
    </w:p>
    <w:p>
      <w:pPr>
        <w:spacing w:after="0" w:line="240" w:lineRule="auto"/>
        <w:jc w:val="both"/>
        <w:rPr>
          <w:rFonts w:ascii="Times New Roman" w:eastAsia="Calibri" w:hAnsi="Times New Roman" w:cs="Times New Roman"/>
          <w:b/>
          <w:sz w:val="24"/>
        </w:rPr>
      </w:pPr>
    </w:p>
    <w:p>
      <w:pPr>
        <w:spacing w:after="0" w:line="240" w:lineRule="auto"/>
        <w:jc w:val="both"/>
        <w:rPr>
          <w:rFonts w:ascii="Times New Roman" w:eastAsia="Calibri" w:hAnsi="Times New Roman" w:cs="Times New Roman"/>
          <w:i/>
          <w:iCs/>
          <w:sz w:val="24"/>
          <w:szCs w:val="24"/>
        </w:rPr>
      </w:pPr>
      <w:r>
        <w:rPr>
          <w:rFonts w:ascii="Times New Roman" w:hAnsi="Times New Roman"/>
          <w:b/>
          <w:bCs/>
          <w:sz w:val="24"/>
          <w:szCs w:val="24"/>
        </w:rPr>
        <w:t>Joonis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20</w:t>
      </w:r>
      <w:r>
        <w:fldChar w:fldCharType="end"/>
      </w:r>
      <w:r>
        <w:rPr>
          <w:rFonts w:ascii="Times New Roman" w:hAnsi="Times New Roman"/>
          <w:b/>
          <w:bCs/>
          <w:sz w:val="24"/>
          <w:szCs w:val="24"/>
        </w:rPr>
        <w:t>. Tarbijakaitse: tarbijakaitseasutuste haldusotsusteni jõudmise keskmine kestus, 2014–2018</w:t>
      </w:r>
      <w:r>
        <w:rPr>
          <w:rFonts w:ascii="Times New Roman" w:hAnsi="Times New Roman"/>
        </w:rPr>
        <w:t>(</w:t>
      </w:r>
      <w:r>
        <w:t>*)</w:t>
      </w:r>
      <w:r>
        <w:rPr>
          <w:rFonts w:ascii="Times New Roman" w:hAnsi="Times New Roman"/>
          <w:i/>
          <w:iCs/>
          <w:sz w:val="24"/>
          <w:szCs w:val="24"/>
        </w:rPr>
        <w:t xml:space="preserve"> (esimene aste / päevades) (allikas: Euroopa Komisjon ja tarbijakaitsealase koostöö võrgustik)</w:t>
      </w:r>
    </w:p>
    <w:p>
      <w:pPr>
        <w:spacing w:after="0" w:line="240" w:lineRule="auto"/>
        <w:jc w:val="both"/>
        <w:rPr>
          <w:lang w:eastAsia="et-EE"/>
        </w:rPr>
      </w:pPr>
      <w:r>
        <w:rPr>
          <w:lang w:val="en-GB" w:eastAsia="en-GB"/>
        </w:rPr>
        <w:drawing>
          <wp:inline distT="0" distB="0" distL="0" distR="0">
            <wp:extent cx="5977255" cy="2758301"/>
            <wp:effectExtent l="0" t="0" r="4445" b="444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77255" cy="2758301"/>
                    </a:xfrm>
                    <a:prstGeom prst="rect">
                      <a:avLst/>
                    </a:prstGeom>
                    <a:noFill/>
                    <a:ln>
                      <a:noFill/>
                    </a:ln>
                  </pic:spPr>
                </pic:pic>
              </a:graphicData>
            </a:graphic>
          </wp:inline>
        </w:drawing>
      </w:r>
    </w:p>
    <w:p>
      <w:pPr>
        <w:spacing w:after="0" w:line="240" w:lineRule="auto"/>
        <w:jc w:val="both"/>
        <w:rPr>
          <w:rFonts w:ascii="Times New Roman" w:eastAsia="Times New Roman" w:hAnsi="Times New Roman" w:cs="Times New Roman"/>
          <w:i/>
          <w:sz w:val="20"/>
          <w:szCs w:val="20"/>
        </w:rPr>
      </w:pPr>
      <w:r>
        <w:rPr>
          <w:rFonts w:ascii="Times New Roman" w:hAnsi="Times New Roman"/>
          <w:i/>
          <w:sz w:val="20"/>
          <w:szCs w:val="20"/>
        </w:rPr>
        <w:t xml:space="preserve">(*) </w:t>
      </w:r>
      <w:r>
        <w:rPr>
          <w:rFonts w:ascii="Times New Roman" w:hAnsi="Times New Roman"/>
          <w:b/>
          <w:i/>
          <w:sz w:val="20"/>
          <w:szCs w:val="20"/>
        </w:rPr>
        <w:t>Austrias</w:t>
      </w:r>
      <w:r>
        <w:rPr>
          <w:rFonts w:ascii="Times New Roman" w:hAnsi="Times New Roman"/>
          <w:i/>
          <w:sz w:val="20"/>
          <w:szCs w:val="20"/>
        </w:rPr>
        <w:t xml:space="preserve">, </w:t>
      </w:r>
      <w:r>
        <w:rPr>
          <w:rFonts w:ascii="Times New Roman" w:hAnsi="Times New Roman"/>
          <w:b/>
          <w:bCs/>
          <w:i/>
          <w:sz w:val="20"/>
          <w:szCs w:val="20"/>
        </w:rPr>
        <w:t>Saksamaal</w:t>
      </w:r>
      <w:r>
        <w:rPr>
          <w:rFonts w:ascii="Times New Roman" w:hAnsi="Times New Roman"/>
          <w:i/>
          <w:sz w:val="20"/>
          <w:szCs w:val="20"/>
        </w:rPr>
        <w:t xml:space="preserve"> ja </w:t>
      </w:r>
      <w:r>
        <w:rPr>
          <w:rFonts w:ascii="Times New Roman" w:hAnsi="Times New Roman"/>
          <w:b/>
          <w:bCs/>
          <w:i/>
          <w:sz w:val="20"/>
          <w:szCs w:val="20"/>
        </w:rPr>
        <w:t>Luksemburgis</w:t>
      </w:r>
      <w:r>
        <w:rPr>
          <w:rFonts w:ascii="Times New Roman" w:hAnsi="Times New Roman"/>
          <w:i/>
          <w:sz w:val="20"/>
          <w:szCs w:val="20"/>
        </w:rPr>
        <w:t xml:space="preserve"> ei ole stsenaarium kohaldatav, sest tarbijakaitseasutustel ei ole õigust otsustada asjakohaste tarbijaeeskirjade rikkumise üle. </w:t>
      </w:r>
      <w:r>
        <w:rPr>
          <w:rFonts w:ascii="Times New Roman" w:hAnsi="Times New Roman"/>
          <w:b/>
          <w:bCs/>
          <w:i/>
          <w:sz w:val="20"/>
          <w:szCs w:val="20"/>
        </w:rPr>
        <w:t>Madalmaades</w:t>
      </w:r>
      <w:r>
        <w:rPr>
          <w:rFonts w:ascii="Times New Roman" w:hAnsi="Times New Roman"/>
          <w:i/>
          <w:sz w:val="20"/>
          <w:szCs w:val="20"/>
        </w:rPr>
        <w:t xml:space="preserve"> ja </w:t>
      </w:r>
      <w:r>
        <w:rPr>
          <w:rFonts w:ascii="Times New Roman" w:hAnsi="Times New Roman"/>
          <w:b/>
          <w:bCs/>
          <w:i/>
          <w:sz w:val="20"/>
          <w:szCs w:val="20"/>
        </w:rPr>
        <w:t>Rootsis</w:t>
      </w:r>
      <w:r>
        <w:rPr>
          <w:rFonts w:ascii="Times New Roman" w:hAnsi="Times New Roman"/>
          <w:i/>
          <w:sz w:val="20"/>
          <w:szCs w:val="20"/>
        </w:rPr>
        <w:t xml:space="preserve"> on asjaomaste kohtuasjade arv väike (alla viie). </w:t>
      </w:r>
      <w:r>
        <w:rPr>
          <w:rFonts w:ascii="Times New Roman" w:hAnsi="Times New Roman"/>
          <w:b/>
          <w:bCs/>
          <w:i/>
          <w:sz w:val="20"/>
          <w:szCs w:val="20"/>
        </w:rPr>
        <w:t>Taani</w:t>
      </w:r>
      <w:r>
        <w:rPr>
          <w:rFonts w:ascii="Times New Roman" w:hAnsi="Times New Roman"/>
          <w:i/>
          <w:sz w:val="20"/>
          <w:szCs w:val="20"/>
        </w:rPr>
        <w:t xml:space="preserve">, </w:t>
      </w:r>
      <w:r>
        <w:rPr>
          <w:rFonts w:ascii="Times New Roman" w:hAnsi="Times New Roman"/>
          <w:b/>
          <w:bCs/>
          <w:i/>
          <w:sz w:val="20"/>
          <w:szCs w:val="20"/>
        </w:rPr>
        <w:t>Soome</w:t>
      </w:r>
      <w:r>
        <w:rPr>
          <w:rFonts w:ascii="Times New Roman" w:hAnsi="Times New Roman"/>
          <w:i/>
          <w:sz w:val="20"/>
          <w:szCs w:val="20"/>
        </w:rPr>
        <w:t xml:space="preserve">, </w:t>
      </w:r>
      <w:r>
        <w:rPr>
          <w:rFonts w:ascii="Times New Roman" w:hAnsi="Times New Roman"/>
          <w:b/>
          <w:bCs/>
          <w:i/>
          <w:sz w:val="20"/>
          <w:szCs w:val="20"/>
        </w:rPr>
        <w:t>Prantsusmaa</w:t>
      </w:r>
      <w:r>
        <w:rPr>
          <w:rFonts w:ascii="Times New Roman" w:hAnsi="Times New Roman"/>
          <w:i/>
          <w:sz w:val="20"/>
          <w:szCs w:val="20"/>
        </w:rPr>
        <w:t xml:space="preserve">, </w:t>
      </w:r>
      <w:r>
        <w:rPr>
          <w:rFonts w:ascii="Times New Roman" w:hAnsi="Times New Roman"/>
          <w:b/>
          <w:bCs/>
          <w:i/>
          <w:sz w:val="20"/>
          <w:szCs w:val="20"/>
        </w:rPr>
        <w:t>Kreeka</w:t>
      </w:r>
      <w:r>
        <w:rPr>
          <w:rFonts w:ascii="Times New Roman" w:hAnsi="Times New Roman"/>
          <w:i/>
          <w:sz w:val="20"/>
          <w:szCs w:val="20"/>
        </w:rPr>
        <w:t xml:space="preserve"> ja </w:t>
      </w:r>
      <w:r>
        <w:rPr>
          <w:rFonts w:ascii="Times New Roman" w:hAnsi="Times New Roman"/>
          <w:b/>
          <w:bCs/>
          <w:i/>
          <w:sz w:val="20"/>
          <w:szCs w:val="20"/>
        </w:rPr>
        <w:t>Rumeenia</w:t>
      </w:r>
      <w:r>
        <w:rPr>
          <w:rFonts w:ascii="Times New Roman" w:hAnsi="Times New Roman"/>
          <w:i/>
          <w:sz w:val="20"/>
          <w:szCs w:val="20"/>
        </w:rPr>
        <w:t xml:space="preserve"> esitasid hinnangulise keskmise kestuse.</w:t>
      </w:r>
      <w:r>
        <w:rPr>
          <w:rFonts w:ascii="Times New Roman" w:hAnsi="Times New Roman"/>
          <w:i/>
        </w:rPr>
        <w:br w:type="page"/>
      </w:r>
    </w:p>
    <w:p>
      <w:pPr>
        <w:spacing w:before="240" w:after="120" w:line="240" w:lineRule="auto"/>
        <w:jc w:val="both"/>
        <w:rPr>
          <w:rFonts w:ascii="Times New Roman" w:eastAsia="Times New Roman" w:hAnsi="Times New Roman" w:cs="Times New Roman"/>
          <w:i/>
          <w:sz w:val="24"/>
          <w:szCs w:val="24"/>
        </w:rPr>
      </w:pPr>
      <w:r>
        <w:rPr>
          <w:rFonts w:ascii="Times New Roman" w:hAnsi="Times New Roman"/>
          <w:i/>
          <w:sz w:val="24"/>
          <w:szCs w:val="24"/>
        </w:rPr>
        <w:t>– Rahapesu –</w:t>
      </w:r>
    </w:p>
    <w:p>
      <w:pPr>
        <w:spacing w:after="120" w:line="240" w:lineRule="auto"/>
        <w:jc w:val="both"/>
        <w:rPr>
          <w:rFonts w:ascii="Times New Roman" w:eastAsia="Calibri" w:hAnsi="Times New Roman" w:cs="Times New Roman"/>
          <w:sz w:val="24"/>
          <w:szCs w:val="24"/>
        </w:rPr>
      </w:pPr>
      <w:r>
        <w:rPr>
          <w:rFonts w:ascii="Times New Roman" w:hAnsi="Times New Roman"/>
          <w:sz w:val="24"/>
          <w:szCs w:val="24"/>
        </w:rPr>
        <w:t>Kuritegevuse vastasesse võitlusesse panustamise kõrval on rahapesu vastu võitlemise tulemuslikkus ülioluline selleks, et tagada finantssektori usaldusväärsus, terviklikkus ja stabiilsus, usaldus finantssüsteemi vastu ning ühtsel turul aus konkurents(</w:t>
      </w:r>
      <w:r>
        <w:rPr>
          <w:rFonts w:ascii="Times New Roman" w:eastAsia="Calibri" w:hAnsi="Times New Roman" w:cs="Times New Roman"/>
          <w:sz w:val="24"/>
          <w:szCs w:val="24"/>
          <w:vertAlign w:val="superscript"/>
        </w:rPr>
        <w:footnoteReference w:id="47"/>
      </w:r>
      <w:r>
        <w:rPr>
          <w:rFonts w:ascii="Times New Roman" w:hAnsi="Times New Roman"/>
          <w:sz w:val="24"/>
          <w:szCs w:val="24"/>
        </w:rPr>
        <w:t>). Nagu on rõhutanud Rahvusvaheline Valuutafond, võib rahapesu peletada välisinvesteeringuid, moonutada rahvusvahelisi kapitalivooge ja kahjustada riigi makromajanduslikke tulemusi, mis põhjustab heaolu kadu ja tootlikuma majandustegevuse arvelt ressursside raiskamist(</w:t>
      </w:r>
      <w:r>
        <w:rPr>
          <w:rFonts w:ascii="Times New Roman" w:eastAsia="Calibri" w:hAnsi="Times New Roman" w:cs="Times New Roman"/>
          <w:sz w:val="24"/>
          <w:szCs w:val="24"/>
          <w:vertAlign w:val="superscript"/>
        </w:rPr>
        <w:footnoteReference w:id="48"/>
      </w:r>
      <w:r>
        <w:rPr>
          <w:rFonts w:ascii="Times New Roman" w:hAnsi="Times New Roman"/>
          <w:sz w:val="24"/>
          <w:szCs w:val="24"/>
        </w:rPr>
        <w:t>). Rahapesuvastase direktiiviga on ette nähtud, et liikmesriigid peavad säilitama statistika rahapesu või terrorismi rahastamise vastase võitluse süsteemide tulemuslikkuse kohta(</w:t>
      </w:r>
      <w:r>
        <w:rPr>
          <w:rFonts w:ascii="Times New Roman" w:eastAsia="Calibri" w:hAnsi="Times New Roman" w:cs="Times New Roman"/>
          <w:sz w:val="24"/>
          <w:szCs w:val="24"/>
          <w:vertAlign w:val="superscript"/>
        </w:rPr>
        <w:footnoteReference w:id="49"/>
      </w:r>
      <w:r>
        <w:rPr>
          <w:rFonts w:ascii="Times New Roman" w:hAnsi="Times New Roman"/>
          <w:sz w:val="24"/>
          <w:szCs w:val="24"/>
        </w:rPr>
        <w:t xml:space="preserve">). Koostöös liikmesriikidega koguti uuendatud küsimustikku kasutades andmeid liikmesriikide rahapesuvastase korra kohtumenetluse etappide kohta. Joonisel 21 on näha esimese astme kohtu kohtuasjade keskmine kestus rahapesuga seotud kuritegude menetlemisel. </w:t>
      </w:r>
    </w:p>
    <w:p>
      <w:pPr>
        <w:spacing w:after="0" w:line="240" w:lineRule="auto"/>
        <w:jc w:val="both"/>
        <w:rPr>
          <w:rFonts w:ascii="Times New Roman" w:eastAsia="Calibri" w:hAnsi="Times New Roman" w:cs="Times New Roman"/>
          <w:i/>
          <w:iCs/>
          <w:sz w:val="24"/>
          <w:szCs w:val="24"/>
        </w:rPr>
      </w:pPr>
      <w:r>
        <w:rPr>
          <w:rFonts w:ascii="Times New Roman" w:hAnsi="Times New Roman"/>
          <w:b/>
          <w:bCs/>
          <w:sz w:val="24"/>
          <w:szCs w:val="24"/>
        </w:rPr>
        <w:t>Joonis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sz w:val="24"/>
          <w:szCs w:val="24"/>
        </w:rPr>
        <w:t>21</w:t>
      </w:r>
      <w:r>
        <w:fldChar w:fldCharType="end"/>
      </w:r>
      <w:r>
        <w:rPr>
          <w:rFonts w:ascii="Times New Roman" w:hAnsi="Times New Roman"/>
          <w:b/>
          <w:bCs/>
          <w:sz w:val="24"/>
          <w:szCs w:val="24"/>
        </w:rPr>
        <w:t>. Rahapesu: kohtuasjade keskmine kestus, 2014–2018</w:t>
      </w:r>
      <w:r>
        <w:rPr>
          <w:rFonts w:ascii="Times New Roman" w:hAnsi="Times New Roman"/>
        </w:rPr>
        <w:t>(</w:t>
      </w:r>
      <w:r>
        <w:t>*</w:t>
      </w:r>
      <w:r>
        <w:rPr>
          <w:rFonts w:ascii="Times New Roman" w:hAnsi="Times New Roman"/>
        </w:rPr>
        <w:t>)</w:t>
      </w:r>
      <w:r>
        <w:rPr>
          <w:rFonts w:ascii="Times New Roman" w:hAnsi="Times New Roman"/>
          <w:i/>
          <w:iCs/>
          <w:sz w:val="24"/>
          <w:szCs w:val="24"/>
        </w:rPr>
        <w:t xml:space="preserve"> (esimene aste / päevades) (allikas: Euroopa Komisjon ning rahapesu ja terrorismi rahastamist käsitlev eksperdirühm)</w:t>
      </w:r>
    </w:p>
    <w:p>
      <w:pPr>
        <w:spacing w:after="0" w:line="240" w:lineRule="auto"/>
        <w:jc w:val="both"/>
        <w:rPr>
          <w:lang w:eastAsia="et-EE"/>
        </w:rPr>
      </w:pPr>
      <w:r>
        <w:rPr>
          <w:lang w:val="en-GB" w:eastAsia="en-GB"/>
        </w:rPr>
        <w:drawing>
          <wp:inline distT="0" distB="0" distL="0" distR="0">
            <wp:extent cx="5977255" cy="2985695"/>
            <wp:effectExtent l="0" t="0" r="4445" b="571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77255" cy="2985695"/>
                    </a:xfrm>
                    <a:prstGeom prst="rect">
                      <a:avLst/>
                    </a:prstGeom>
                    <a:noFill/>
                    <a:ln>
                      <a:noFill/>
                    </a:ln>
                  </pic:spPr>
                </pic:pic>
              </a:graphicData>
            </a:graphic>
          </wp:inline>
        </w:drawing>
      </w:r>
    </w:p>
    <w:p>
      <w:pPr>
        <w:spacing w:after="0" w:line="240" w:lineRule="auto"/>
        <w:jc w:val="both"/>
        <w:rPr>
          <w:rFonts w:ascii="Times New Roman" w:eastAsia="Calibri" w:hAnsi="Times New Roman" w:cs="Times New Roman"/>
          <w:i/>
          <w:sz w:val="24"/>
          <w:szCs w:val="24"/>
        </w:rPr>
      </w:pPr>
      <w:r>
        <w:rPr>
          <w:rFonts w:ascii="Times New Roman" w:hAnsi="Times New Roman"/>
          <w:i/>
          <w:sz w:val="20"/>
        </w:rPr>
        <w:t xml:space="preserve">(*) 2018. aasta andmed puuduvad </w:t>
      </w:r>
      <w:r>
        <w:rPr>
          <w:rFonts w:ascii="Times New Roman" w:hAnsi="Times New Roman"/>
          <w:b/>
          <w:i/>
          <w:sz w:val="20"/>
        </w:rPr>
        <w:t>Belgia</w:t>
      </w:r>
      <w:r>
        <w:rPr>
          <w:rFonts w:ascii="Times New Roman" w:hAnsi="Times New Roman"/>
          <w:i/>
          <w:sz w:val="20"/>
        </w:rPr>
        <w:t xml:space="preserve">, </w:t>
      </w:r>
      <w:r>
        <w:rPr>
          <w:rFonts w:ascii="Times New Roman" w:hAnsi="Times New Roman"/>
          <w:b/>
          <w:i/>
          <w:sz w:val="20"/>
        </w:rPr>
        <w:t>Eesti</w:t>
      </w:r>
      <w:r>
        <w:rPr>
          <w:rFonts w:ascii="Times New Roman" w:hAnsi="Times New Roman"/>
          <w:i/>
          <w:sz w:val="20"/>
        </w:rPr>
        <w:t xml:space="preserve">, </w:t>
      </w:r>
      <w:r>
        <w:rPr>
          <w:rFonts w:ascii="Times New Roman" w:hAnsi="Times New Roman"/>
          <w:b/>
          <w:i/>
          <w:sz w:val="20"/>
        </w:rPr>
        <w:t>Küprose</w:t>
      </w:r>
      <w:r>
        <w:rPr>
          <w:rFonts w:ascii="Times New Roman" w:hAnsi="Times New Roman"/>
          <w:i/>
          <w:sz w:val="20"/>
        </w:rPr>
        <w:t xml:space="preserve">, </w:t>
      </w:r>
      <w:r>
        <w:rPr>
          <w:rFonts w:ascii="Times New Roman" w:hAnsi="Times New Roman"/>
          <w:b/>
          <w:i/>
          <w:sz w:val="20"/>
        </w:rPr>
        <w:t>Austria</w:t>
      </w:r>
      <w:r>
        <w:rPr>
          <w:rFonts w:ascii="Times New Roman" w:hAnsi="Times New Roman"/>
          <w:i/>
          <w:sz w:val="20"/>
        </w:rPr>
        <w:t xml:space="preserve">, </w:t>
      </w:r>
      <w:r>
        <w:rPr>
          <w:rFonts w:ascii="Times New Roman" w:hAnsi="Times New Roman"/>
          <w:b/>
          <w:i/>
          <w:sz w:val="20"/>
        </w:rPr>
        <w:t>Poola</w:t>
      </w:r>
      <w:r>
        <w:rPr>
          <w:rFonts w:ascii="Times New Roman" w:hAnsi="Times New Roman"/>
          <w:i/>
          <w:sz w:val="20"/>
        </w:rPr>
        <w:t xml:space="preserve"> ja </w:t>
      </w:r>
      <w:r>
        <w:rPr>
          <w:rFonts w:ascii="Times New Roman" w:hAnsi="Times New Roman"/>
          <w:b/>
          <w:i/>
          <w:sz w:val="20"/>
        </w:rPr>
        <w:t>Portugali</w:t>
      </w:r>
      <w:r>
        <w:rPr>
          <w:rFonts w:ascii="Times New Roman" w:hAnsi="Times New Roman"/>
          <w:i/>
          <w:sz w:val="20"/>
        </w:rPr>
        <w:t xml:space="preserve"> kohta. </w:t>
      </w:r>
      <w:r>
        <w:rPr>
          <w:rFonts w:ascii="Times New Roman" w:hAnsi="Times New Roman"/>
          <w:b/>
          <w:i/>
          <w:sz w:val="20"/>
        </w:rPr>
        <w:t>Hispaania, Madalmaad:</w:t>
      </w:r>
      <w:r>
        <w:rPr>
          <w:rFonts w:ascii="Times New Roman" w:hAnsi="Times New Roman"/>
          <w:i/>
          <w:sz w:val="20"/>
        </w:rPr>
        <w:t xml:space="preserve"> hinnanguline kestus. </w:t>
      </w:r>
      <w:r>
        <w:rPr>
          <w:rFonts w:ascii="Times New Roman" w:hAnsi="Times New Roman"/>
          <w:b/>
          <w:bCs/>
          <w:i/>
          <w:sz w:val="20"/>
        </w:rPr>
        <w:t>Läti</w:t>
      </w:r>
      <w:r>
        <w:rPr>
          <w:rFonts w:ascii="Times New Roman" w:hAnsi="Times New Roman"/>
          <w:i/>
          <w:sz w:val="20"/>
        </w:rPr>
        <w:t xml:space="preserve">: kohtuasju oli 2016. aastal võrdlemisi vähe, mistõttu võivad menetluste kestust mõjutada eri tegurid, näiteks ühe kohtuasja peatamine objektiivsetel põhjustel. </w:t>
      </w:r>
      <w:r>
        <w:rPr>
          <w:rFonts w:ascii="Times New Roman" w:hAnsi="Times New Roman"/>
          <w:b/>
          <w:i/>
          <w:sz w:val="20"/>
        </w:rPr>
        <w:t>Poola:</w:t>
      </w:r>
      <w:r>
        <w:rPr>
          <w:rFonts w:ascii="Times New Roman" w:hAnsi="Times New Roman"/>
          <w:i/>
          <w:sz w:val="20"/>
        </w:rPr>
        <w:t xml:space="preserve"> kestuse arvutamisel 2016. aasta kohta võeti aluseks kohtuasjade juhuvalim.</w:t>
      </w:r>
      <w:bookmarkStart w:id="242" w:name="_Toc441571131"/>
      <w:bookmarkStart w:id="243" w:name="_Toc441581633"/>
      <w:bookmarkStart w:id="244" w:name="_Toc441585900"/>
      <w:bookmarkStart w:id="245" w:name="_Toc441595835"/>
      <w:bookmarkStart w:id="246" w:name="_Toc441596012"/>
      <w:bookmarkStart w:id="247" w:name="_Toc441748137"/>
      <w:bookmarkStart w:id="248" w:name="_Toc441755422"/>
      <w:bookmarkStart w:id="249" w:name="_Toc441756459"/>
      <w:bookmarkStart w:id="250" w:name="_Toc441757503"/>
      <w:bookmarkStart w:id="251" w:name="_Toc441766632"/>
      <w:bookmarkStart w:id="252" w:name="_Toc441766971"/>
      <w:bookmarkStart w:id="253" w:name="_Toc442187972"/>
      <w:bookmarkStart w:id="254" w:name="_Toc442262064"/>
      <w:bookmarkStart w:id="255" w:name="_Toc442362471"/>
      <w:bookmarkStart w:id="256" w:name="_Toc442374807"/>
      <w:bookmarkStart w:id="257" w:name="_Toc442425947"/>
      <w:bookmarkStart w:id="258" w:name="_Toc442453073"/>
      <w:bookmarkStart w:id="259" w:name="_Toc443484531"/>
      <w:bookmarkStart w:id="260" w:name="_Toc443484753"/>
      <w:bookmarkStart w:id="261" w:name="_Toc443509494"/>
      <w:bookmarkStart w:id="262" w:name="_Toc446014823"/>
      <w:r>
        <w:rPr>
          <w:rFonts w:ascii="Times New Roman" w:hAnsi="Times New Roman"/>
          <w:i/>
          <w:sz w:val="20"/>
        </w:rPr>
        <w:t xml:space="preserve"> </w:t>
      </w:r>
      <w:r>
        <w:rPr>
          <w:rFonts w:ascii="Times New Roman" w:hAnsi="Times New Roman"/>
          <w:b/>
          <w:i/>
          <w:sz w:val="20"/>
        </w:rPr>
        <w:t>Rootsi:</w:t>
      </w:r>
      <w:r>
        <w:rPr>
          <w:rFonts w:ascii="Times New Roman" w:hAnsi="Times New Roman"/>
          <w:i/>
          <w:sz w:val="20"/>
        </w:rPr>
        <w:t xml:space="preserve"> arvestus 2017. aasta kohta põhineb lahendatud kohtuasjade valimil; 2018. aasta andmed on esialgsed.</w:t>
      </w:r>
      <w:r>
        <w:rPr>
          <w:rFonts w:ascii="Times New Roman" w:hAnsi="Times New Roman"/>
        </w:rPr>
        <w:t xml:space="preserve"> </w:t>
      </w:r>
      <w:r>
        <w:rPr>
          <w:rFonts w:ascii="Times New Roman" w:hAnsi="Times New Roman"/>
          <w:b/>
          <w:i/>
          <w:sz w:val="20"/>
        </w:rPr>
        <w:t>Itaalia:</w:t>
      </w:r>
      <w:r>
        <w:rPr>
          <w:rFonts w:ascii="Times New Roman" w:hAnsi="Times New Roman"/>
          <w:i/>
          <w:sz w:val="20"/>
        </w:rPr>
        <w:t xml:space="preserve"> andmed puudutavad vastanud kohtuid, mille osakaal kõikidest menetlustest oli 2015. aastal ligikaudu 91 % ning 2016. ja 2017. aastal ligikaudu 99 %. Andmed hõlmavad nii põhi- kui ka eelistungeid.</w:t>
      </w:r>
    </w:p>
    <w:p>
      <w:pPr>
        <w:spacing w:line="240" w:lineRule="auto"/>
        <w:jc w:val="both"/>
      </w:pPr>
      <w:r>
        <w:br w:type="page"/>
      </w:r>
    </w:p>
    <w:tbl>
      <w:tblPr>
        <w:tblpPr w:leftFromText="180" w:rightFromText="180"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trPr>
          <w:trHeight w:val="614"/>
        </w:trPr>
        <w:tc>
          <w:tcPr>
            <w:tcW w:w="9629" w:type="dxa"/>
            <w:tcBorders>
              <w:top w:val="single" w:sz="4" w:space="0" w:color="auto"/>
              <w:left w:val="single" w:sz="4" w:space="0" w:color="auto"/>
              <w:bottom w:val="single" w:sz="4" w:space="0" w:color="auto"/>
              <w:right w:val="single" w:sz="4" w:space="0" w:color="auto"/>
            </w:tcBorders>
          </w:tcPr>
          <w:p>
            <w:pPr>
              <w:keepNext/>
              <w:spacing w:before="120" w:after="120" w:line="240" w:lineRule="auto"/>
              <w:jc w:val="both"/>
              <w:outlineLvl w:val="2"/>
              <w:rPr>
                <w:rFonts w:ascii="Times New Roman" w:eastAsia="Times New Roman" w:hAnsi="Times New Roman" w:cs="Times New Roman"/>
                <w:b/>
                <w:sz w:val="24"/>
                <w:szCs w:val="24"/>
              </w:rPr>
            </w:pPr>
            <w:r>
              <w:rPr>
                <w:rFonts w:ascii="Times New Roman" w:hAnsi="Times New Roman"/>
                <w:b/>
                <w:sz w:val="24"/>
                <w:szCs w:val="24"/>
              </w:rPr>
              <w:t>3.1.4.</w:t>
            </w:r>
            <w:r>
              <w:rPr>
                <w:rFonts w:ascii="Times New Roman" w:hAnsi="Times New Roman"/>
                <w:b/>
                <w:sz w:val="18"/>
                <w:szCs w:val="24"/>
              </w:rPr>
              <w:t xml:space="preserve"> </w:t>
            </w:r>
            <w:r>
              <w:rPr>
                <w:rFonts w:ascii="Times New Roman" w:hAnsi="Times New Roman"/>
                <w:b/>
                <w:sz w:val="24"/>
                <w:szCs w:val="24"/>
              </w:rPr>
              <w:t>Kokkuvõte kohtusüsteemide tõhususe kohta</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spacing w:after="120" w:line="240" w:lineRule="auto"/>
              <w:jc w:val="both"/>
              <w:rPr>
                <w:rFonts w:ascii="Times New Roman" w:eastAsia="Times New Roman" w:hAnsi="Times New Roman" w:cs="Times New Roman"/>
                <w:sz w:val="24"/>
              </w:rPr>
            </w:pPr>
            <w:r>
              <w:rPr>
                <w:rFonts w:ascii="Times New Roman" w:hAnsi="Times New Roman"/>
                <w:sz w:val="24"/>
                <w:szCs w:val="24"/>
              </w:rPr>
              <w:t xml:space="preserve">Tõhusas kohtusüsteemis hallatakse töökoormust ja kuhjunud kohtuasju ning tehakse lahendeid ilma tarbetute viivitusteta. Põhinäitajad, mida kasutatakse ELi õigusemõistmise tulemustabelis kohtusüsteemide tõhususe jälgimiseks, on seega </w:t>
            </w:r>
            <w:r>
              <w:rPr>
                <w:rFonts w:ascii="Times New Roman" w:hAnsi="Times New Roman"/>
                <w:i/>
                <w:iCs/>
                <w:sz w:val="24"/>
                <w:szCs w:val="24"/>
              </w:rPr>
              <w:t>menetluste kestus</w:t>
            </w:r>
            <w:r>
              <w:rPr>
                <w:rFonts w:ascii="Times New Roman" w:hAnsi="Times New Roman"/>
                <w:sz w:val="24"/>
                <w:szCs w:val="24"/>
              </w:rPr>
              <w:t xml:space="preserve"> (eeldatav või keskmine kohtuasja lahendamiseks kuluv aeg päevades), </w:t>
            </w:r>
            <w:r>
              <w:rPr>
                <w:rFonts w:ascii="Times New Roman" w:hAnsi="Times New Roman"/>
                <w:i/>
                <w:iCs/>
                <w:sz w:val="24"/>
                <w:szCs w:val="24"/>
              </w:rPr>
              <w:t>algatatud ja lõpuleviidud kohtumenetluste määr</w:t>
            </w:r>
            <w:r>
              <w:rPr>
                <w:rFonts w:ascii="Times New Roman" w:hAnsi="Times New Roman"/>
                <w:sz w:val="24"/>
                <w:szCs w:val="24"/>
              </w:rPr>
              <w:t xml:space="preserve"> (sissetulnud kohtuasjade arvu ja lahendatud kohtuasjade arvu suhe) ning </w:t>
            </w:r>
            <w:r>
              <w:rPr>
                <w:rFonts w:ascii="Times New Roman" w:hAnsi="Times New Roman"/>
                <w:i/>
                <w:iCs/>
                <w:sz w:val="24"/>
                <w:szCs w:val="24"/>
              </w:rPr>
              <w:t>pooleliolevate kohtuasjade arv</w:t>
            </w:r>
            <w:r>
              <w:rPr>
                <w:rFonts w:ascii="Times New Roman" w:hAnsi="Times New Roman"/>
                <w:sz w:val="24"/>
                <w:szCs w:val="24"/>
              </w:rPr>
              <w:t xml:space="preserve"> (lõpuni menetlemata kohtuasjade arv aasta lõpu seisuga).</w:t>
            </w:r>
          </w:p>
          <w:p>
            <w:pPr>
              <w:spacing w:before="120" w:after="0" w:line="240" w:lineRule="auto"/>
              <w:jc w:val="both"/>
              <w:rPr>
                <w:rFonts w:ascii="Times New Roman" w:eastAsia="Calibri" w:hAnsi="Times New Roman" w:cs="Times New Roman"/>
                <w:i/>
                <w:sz w:val="24"/>
              </w:rPr>
            </w:pPr>
            <w:r>
              <w:rPr>
                <w:rFonts w:ascii="Times New Roman" w:hAnsi="Times New Roman"/>
                <w:i/>
                <w:sz w:val="24"/>
              </w:rPr>
              <w:t>Kohtusüsteemi tõhususe üldandmed</w:t>
            </w:r>
          </w:p>
          <w:p>
            <w:pPr>
              <w:spacing w:after="60" w:line="240" w:lineRule="auto"/>
              <w:jc w:val="both"/>
              <w:rPr>
                <w:rFonts w:ascii="Times New Roman" w:eastAsia="Calibri" w:hAnsi="Times New Roman" w:cs="Times New Roman"/>
                <w:sz w:val="24"/>
              </w:rPr>
            </w:pPr>
            <w:r>
              <w:rPr>
                <w:rFonts w:ascii="Times New Roman" w:hAnsi="Times New Roman"/>
                <w:sz w:val="24"/>
              </w:rPr>
              <w:t>2020. aasta ELi õigusemõistmise tulemustabel sisaldab tõhusust kajastavaid andmeid seitsme aasta kohta (2012–2018). See ajavahemik võimaldab leida teatud suundumusi ning võtta arvesse tõika, et kohtureformide mõju avaldub sageli aeglaselt.</w:t>
            </w:r>
          </w:p>
          <w:p>
            <w:pPr>
              <w:spacing w:after="60" w:line="240" w:lineRule="auto"/>
              <w:jc w:val="both"/>
              <w:rPr>
                <w:rFonts w:ascii="Times New Roman" w:eastAsia="Calibri" w:hAnsi="Times New Roman" w:cs="Times New Roman"/>
                <w:sz w:val="24"/>
              </w:rPr>
            </w:pPr>
            <w:r>
              <w:rPr>
                <w:rFonts w:ascii="Times New Roman" w:hAnsi="Times New Roman"/>
                <w:sz w:val="24"/>
              </w:rPr>
              <w:t>Kui vaadata alates 2012. aastast tsiviil-, kaubandus- ja haldusasjade kohta kättesaadavaid andmeid, siis on näha, et tõhusus on paranenud või püsinud stabiilne üheteistkümnes liikmesriigis ning on halvenenud (mitmel juhul küll vaid vähesel määral) kaheksas liikmesriigis.</w:t>
            </w:r>
          </w:p>
          <w:p>
            <w:pPr>
              <w:spacing w:after="60" w:line="240" w:lineRule="auto"/>
              <w:jc w:val="both"/>
              <w:rPr>
                <w:rFonts w:ascii="Times New Roman" w:eastAsia="Calibri" w:hAnsi="Times New Roman" w:cs="Times New Roman"/>
                <w:sz w:val="24"/>
              </w:rPr>
            </w:pPr>
            <w:r>
              <w:rPr>
                <w:rFonts w:ascii="Times New Roman" w:hAnsi="Times New Roman"/>
                <w:sz w:val="24"/>
                <w:szCs w:val="24"/>
              </w:rPr>
              <w:t>Positiivseid muutusi võib täheldada suuremas osas nendest liikmesriikidest, mida on Euroopa poolaasta raames nimetatud riikidena, kus esineb konkreetseid probleeme(</w:t>
            </w:r>
            <w:bookmarkStart w:id="263" w:name="_Ref4705096"/>
            <w:r>
              <w:rPr>
                <w:rFonts w:ascii="Times New Roman" w:eastAsia="Calibri" w:hAnsi="Times New Roman" w:cs="Times New Roman"/>
                <w:sz w:val="24"/>
                <w:szCs w:val="24"/>
                <w:vertAlign w:val="superscript"/>
              </w:rPr>
              <w:footnoteReference w:id="50"/>
            </w:r>
            <w:bookmarkEnd w:id="263"/>
            <w:r>
              <w:rPr>
                <w:rFonts w:ascii="Times New Roman" w:hAnsi="Times New Roman"/>
                <w:sz w:val="24"/>
                <w:szCs w:val="24"/>
              </w:rPr>
              <w:t>).</w:t>
            </w:r>
          </w:p>
          <w:p>
            <w:pPr>
              <w:numPr>
                <w:ilvl w:val="0"/>
                <w:numId w:val="7"/>
              </w:numPr>
              <w:spacing w:after="60" w:line="240" w:lineRule="auto"/>
              <w:ind w:left="397" w:hanging="357"/>
              <w:jc w:val="both"/>
              <w:rPr>
                <w:rFonts w:ascii="Times New Roman" w:eastAsia="Times New Roman" w:hAnsi="Times New Roman" w:cs="Times New Roman"/>
                <w:sz w:val="24"/>
                <w:szCs w:val="24"/>
              </w:rPr>
            </w:pPr>
            <w:r>
              <w:rPr>
                <w:rFonts w:ascii="Times New Roman" w:hAnsi="Times New Roman"/>
                <w:b/>
                <w:bCs/>
                <w:sz w:val="24"/>
                <w:szCs w:val="24"/>
              </w:rPr>
              <w:t>Esimese astme kohtumenetluste kestus</w:t>
            </w:r>
            <w:r>
              <w:rPr>
                <w:rFonts w:ascii="Times New Roman" w:hAnsi="Times New Roman"/>
                <w:sz w:val="24"/>
                <w:szCs w:val="24"/>
              </w:rPr>
              <w:t xml:space="preserve"> kõiki kohtuasju hõlmavas üldkategoorias (joonis 5) ning tsiviil- ja kaubandusvaidluste puhul (joonis 6) on alates 2012. aastast peaaegu kõikides neis liikmesriikides lühenenud või püsinud stabiilne. Haldusasjade puhul (joonis 8) on menetluste kestus alates 2012. aastast lühenenud või püsinud stabiilne enamikus neis liikmesriikides. Üldiselt pikenes menetluste kestus 2018. aastal vaid mõnes liikmesriigis.</w:t>
            </w:r>
          </w:p>
          <w:p>
            <w:pPr>
              <w:numPr>
                <w:ilvl w:val="0"/>
                <w:numId w:val="7"/>
              </w:numPr>
              <w:spacing w:after="6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Tulemustabelis on esitatud andmed </w:t>
            </w:r>
            <w:r>
              <w:rPr>
                <w:rFonts w:ascii="Times New Roman" w:hAnsi="Times New Roman"/>
                <w:b/>
                <w:bCs/>
                <w:sz w:val="24"/>
                <w:szCs w:val="24"/>
              </w:rPr>
              <w:t>menetluste kestuse kohta kõikides kohtuastmetes</w:t>
            </w:r>
            <w:r>
              <w:rPr>
                <w:rFonts w:ascii="Times New Roman" w:hAnsi="Times New Roman"/>
                <w:sz w:val="24"/>
                <w:szCs w:val="24"/>
              </w:rPr>
              <w:t xml:space="preserve"> tsiviil- kaubandusvaidluste puhul (joonis 7) ning haldusasjade puhul (joonis 9). Andmetest nähtub, et mitmes liikmesriigis, kus on tuvastatud probleeme menetluste kestusega esimese astme kohtutes, tegutsevad kõrgema astme kohtud tõhusamalt. Mõnes teises probleemses liikmesriigis on aga vastupidi – menetluste keskmine kestus kõrgema astme kohtutes on veelgi pikem kui esimese astme kohtutes.</w:t>
            </w:r>
          </w:p>
          <w:p>
            <w:pPr>
              <w:numPr>
                <w:ilvl w:val="0"/>
                <w:numId w:val="7"/>
              </w:numPr>
              <w:spacing w:after="6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Kõiki kohtuasju hõlmavas üldkategoorias ning tsiviil- ja kaubandusvaidluste kategoorias (joonised 10 ja 11) on alates 2012. aastast suurenenud nende liikmesriikide koguarv, kelle </w:t>
            </w:r>
            <w:r>
              <w:rPr>
                <w:rFonts w:ascii="Times New Roman" w:hAnsi="Times New Roman"/>
                <w:b/>
                <w:bCs/>
                <w:sz w:val="24"/>
                <w:szCs w:val="24"/>
              </w:rPr>
              <w:t xml:space="preserve">algatatud ja </w:t>
            </w:r>
            <w:r>
              <w:rPr>
                <w:rFonts w:ascii="Times New Roman" w:hAnsi="Times New Roman"/>
                <w:b/>
                <w:sz w:val="24"/>
                <w:szCs w:val="24"/>
              </w:rPr>
              <w:t>lõpuleviidud kohtumenetluste määr</w:t>
            </w:r>
            <w:r>
              <w:rPr>
                <w:rFonts w:ascii="Times New Roman" w:hAnsi="Times New Roman"/>
                <w:sz w:val="24"/>
                <w:szCs w:val="24"/>
              </w:rPr>
              <w:t xml:space="preserve"> on alla 100 %. 2018. aastal teatasid peaaegu kõik liikmesriigid – sh need, kellel oli probleeme – kõrgest algatatud ja lõpuleviidud kohtumenetluste määrast (üle 97 %), mis tähendab, et kohtud saavad neis kategooriates sissetulevate kohtuasjade menetlemisega üldjuhul hakkama. Haldusasjade puhul (joonis 12) võib täheldada algatatud ja lõpuleviidud kohtumenetluste määra suuremat kõikumist aastate lõikes, ning kuigi üldjuhul jääb see määr väiksemaks kui teistes kohtuasjade kategooriates, on mõned liikmesriigid teinud selles vallas suuri edusamme. Eelkõige teatab enamik probleeme kogenud liikmesriikidest, et algatatud ja lõpuleviidud kohtumenetluste määr on alates 2012. aastast haldusasjade puhul suurenenud. </w:t>
            </w:r>
          </w:p>
          <w:p>
            <w:pPr>
              <w:numPr>
                <w:ilvl w:val="0"/>
                <w:numId w:val="7"/>
              </w:numPr>
              <w:spacing w:after="6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Alates 2012. aastast on olenemata kohtuasjade kategooriast paremuse suunas liigutud pea kõikides liikmesriikides, kus probleemid </w:t>
            </w:r>
            <w:r>
              <w:rPr>
                <w:rFonts w:ascii="Times New Roman" w:hAnsi="Times New Roman"/>
                <w:b/>
                <w:sz w:val="24"/>
                <w:szCs w:val="24"/>
              </w:rPr>
              <w:t>kuhjunud kohtuasjadega</w:t>
            </w:r>
            <w:r>
              <w:rPr>
                <w:rFonts w:ascii="Times New Roman" w:hAnsi="Times New Roman"/>
                <w:sz w:val="24"/>
                <w:szCs w:val="24"/>
              </w:rPr>
              <w:t xml:space="preserve"> on kõige suuremad. Olulisi edusamme pooleliolevate kohtuasjade arvu vähendamisel on sageli tehtud nii tsiviil- ja kaubandusvaidlustes (joonis 14) kui ka haldusasjades (joonis 15). Hoolimata edasiliikumisest, on erinevused suhteliselt väheste pooleliolevate kohtuasjadega liikmesriikide ja arvukate pooleliolevate kohtuasjadega liikmesriikide vahel jäänud siiski märkimisväärseks ning mõnes liikmesriigis näib kuhjumine suurenevat.</w:t>
            </w:r>
          </w:p>
          <w:p>
            <w:pPr>
              <w:spacing w:before="120" w:after="0" w:line="240" w:lineRule="auto"/>
              <w:jc w:val="both"/>
              <w:rPr>
                <w:rFonts w:ascii="Times New Roman" w:eastAsia="Calibri" w:hAnsi="Times New Roman" w:cs="Times New Roman"/>
                <w:i/>
                <w:sz w:val="24"/>
              </w:rPr>
            </w:pPr>
            <w:r>
              <w:rPr>
                <w:rFonts w:ascii="Times New Roman" w:hAnsi="Times New Roman"/>
                <w:i/>
                <w:sz w:val="24"/>
              </w:rPr>
              <w:t>Tõhusus konkreetsetes liidu õiguse valdkondades</w:t>
            </w:r>
          </w:p>
          <w:p>
            <w:pPr>
              <w:spacing w:after="12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Andmed menetluste keskmise kestuse kohta liidu õiguse konkreetsetes valdkondades (joonised 16–21) annavad ülevaate kohtusüsteemide toimimisest sedalaadi ettevõtlusalastes vaidlustes. </w:t>
            </w:r>
          </w:p>
          <w:p>
            <w:pPr>
              <w:spacing w:after="120" w:line="240" w:lineRule="auto"/>
              <w:jc w:val="both"/>
              <w:rPr>
                <w:rFonts w:ascii="Times New Roman" w:eastAsia="Times New Roman" w:hAnsi="Times New Roman" w:cs="Times New Roman"/>
                <w:sz w:val="24"/>
                <w:szCs w:val="24"/>
              </w:rPr>
            </w:pPr>
            <w:r>
              <w:rPr>
                <w:rFonts w:ascii="Times New Roman" w:hAnsi="Times New Roman"/>
                <w:sz w:val="24"/>
                <w:szCs w:val="24"/>
              </w:rPr>
              <w:t>Konkreetsetes õigusvaldkondades tõhususe kohta andmete kogumisel on aluseks võetud kitsalt määratletud stsenaarium ja sellele vastavate kohtuasjade arv võib näida väike. Samas, kui tõhususe üldandmetes on esitatud menetluste arvestuslik kestus, siis need näitajad kajastavad kõikide aasta jooksul menetletud konkreetse õigusvaldkonnaga seotud asjaomaste kohtuasjade tegelikku keskmist kestust. Seetõttu väärib äramärkimist, et mitu liikmesriiki, kellel tõhususe üldandmete põhjal ei tundu olevat probleeme, on teatanud liidu konkreetsetes õigusvaldkondades märkimisväärselt pikemast menetluste keskmisest kestusest. Samas võib menetluste kestus kõikuda õigusvaldkondade lõikes tunduvalt ka liikmesriigi piires.</w:t>
            </w:r>
          </w:p>
          <w:p>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Liidu õiguse konkreetseid valdkondi puudutavatest arvandmetest nähtuvad järgmised suundumused.</w:t>
            </w:r>
          </w:p>
          <w:p>
            <w:pPr>
              <w:numPr>
                <w:ilvl w:val="0"/>
                <w:numId w:val="7"/>
              </w:numPr>
              <w:spacing w:after="6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Ehkki </w:t>
            </w:r>
            <w:r>
              <w:rPr>
                <w:rFonts w:ascii="Times New Roman" w:hAnsi="Times New Roman"/>
                <w:b/>
                <w:bCs/>
                <w:sz w:val="24"/>
                <w:szCs w:val="24"/>
              </w:rPr>
              <w:t>konkurentsiasjades</w:t>
            </w:r>
            <w:r>
              <w:rPr>
                <w:rFonts w:ascii="Times New Roman" w:hAnsi="Times New Roman"/>
                <w:sz w:val="24"/>
                <w:szCs w:val="24"/>
              </w:rPr>
              <w:t xml:space="preserve"> (joonis 16) liikmesriikide kohtute üldine töökoormus veidi kasvas, lühenes kohtuliku läbivaatamise kestus või püsis stabiilne kuues liikmesriigis, sellal kui see suurenes viies muus liikmesriigis. 2018. aastal positiivne suundumus jätkus ning vaid kaks liikmesriiki teatas, et nende menetluste keskmine kestus on pikem kui 1 000 päeva (2017. aastal oli selliseid liikmesriike kolm).</w:t>
            </w:r>
          </w:p>
          <w:p>
            <w:pPr>
              <w:numPr>
                <w:ilvl w:val="0"/>
                <w:numId w:val="7"/>
              </w:numPr>
              <w:spacing w:after="60" w:line="240" w:lineRule="auto"/>
              <w:jc w:val="both"/>
              <w:rPr>
                <w:rFonts w:ascii="Times New Roman" w:eastAsia="Times New Roman" w:hAnsi="Times New Roman" w:cs="Times New Roman"/>
                <w:sz w:val="24"/>
                <w:szCs w:val="24"/>
              </w:rPr>
            </w:pPr>
            <w:r>
              <w:rPr>
                <w:rFonts w:ascii="Times New Roman" w:hAnsi="Times New Roman"/>
                <w:b/>
                <w:sz w:val="24"/>
                <w:szCs w:val="24"/>
              </w:rPr>
              <w:t>Elektroonilise side</w:t>
            </w:r>
            <w:r>
              <w:rPr>
                <w:rFonts w:ascii="Times New Roman" w:hAnsi="Times New Roman"/>
                <w:sz w:val="24"/>
                <w:szCs w:val="24"/>
              </w:rPr>
              <w:t xml:space="preserve"> valdkonnas (joonis 17) kohtute töökoormuse kasv jätkus, viies positiivse suundumuseni, kuivõrd eelmistel aastatel täheldatud menetluste kestus lühenes. 2018. aastal pikenes enamikus liikmesriikides menetluste keskmine kestus nii võrreldes 2017. kui ka 2013. aastaga.</w:t>
            </w:r>
          </w:p>
          <w:p>
            <w:pPr>
              <w:numPr>
                <w:ilvl w:val="0"/>
                <w:numId w:val="7"/>
              </w:numPr>
              <w:spacing w:after="60" w:line="240" w:lineRule="auto"/>
              <w:jc w:val="both"/>
              <w:rPr>
                <w:rFonts w:ascii="Times New Roman" w:eastAsia="Times New Roman" w:hAnsi="Times New Roman" w:cs="Times New Roman"/>
                <w:sz w:val="24"/>
                <w:szCs w:val="24"/>
              </w:rPr>
            </w:pPr>
            <w:r>
              <w:rPr>
                <w:rFonts w:ascii="Times New Roman" w:hAnsi="Times New Roman"/>
                <w:b/>
                <w:sz w:val="24"/>
                <w:szCs w:val="24"/>
              </w:rPr>
              <w:t xml:space="preserve">ELi kaubamärgiga seotud rikkumiste </w:t>
            </w:r>
            <w:r>
              <w:rPr>
                <w:rFonts w:ascii="Times New Roman" w:hAnsi="Times New Roman"/>
                <w:sz w:val="24"/>
                <w:szCs w:val="24"/>
              </w:rPr>
              <w:t xml:space="preserve">(joonis 18) puhul olid menetluste keskmise kestuse suundumused 2018. aastal väga erinevad. Mõnes liikmesriigis registreeriti järsk pikenemine, samal ajal kui teised said oma töökoormusega paremini hakkama ja kohtuasjade lahendamiseks vajalik aeg lühenes. </w:t>
            </w:r>
          </w:p>
          <w:p>
            <w:pPr>
              <w:numPr>
                <w:ilvl w:val="0"/>
                <w:numId w:val="7"/>
              </w:numPr>
              <w:spacing w:after="6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Seda, milline koosmõju võib olla õigusnormide täitmise tagamise ahelal, mis hõlmab nii haldusmenetlusi kui ka kohtulikku läbivaatamist, on kajastatud tarbijaõiguse valdkonnas (joonised 19 ja 20). Aastal 2018 teatas seitse liikmesriiki, et nende tarbijakaitseasutustel kulus ELi tarbijaõiguse valdkonna kohtuasjas otsuse tegemiseks keskmiselt alla kolme kuu, samal ajal kui üheksas liikmesriigis kulus üle kuue kuu. Kui tarbijakaitseasutuste otsused vaidlustati kohtus, kulus 2018. aastal haldusotsuse kohtulikuks läbivaatamiseks enamikus liikmesriikides keskmiselt alla ühe aasta. </w:t>
            </w:r>
          </w:p>
          <w:p>
            <w:pPr>
              <w:numPr>
                <w:ilvl w:val="0"/>
                <w:numId w:val="7"/>
              </w:numPr>
              <w:spacing w:after="6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Tulemuslik võitlus </w:t>
            </w:r>
            <w:r>
              <w:rPr>
                <w:rFonts w:ascii="Times New Roman" w:hAnsi="Times New Roman"/>
                <w:b/>
                <w:bCs/>
                <w:sz w:val="24"/>
                <w:szCs w:val="24"/>
              </w:rPr>
              <w:t>rahapesu</w:t>
            </w:r>
            <w:r>
              <w:rPr>
                <w:rFonts w:ascii="Times New Roman" w:hAnsi="Times New Roman"/>
                <w:sz w:val="24"/>
                <w:szCs w:val="24"/>
              </w:rPr>
              <w:t xml:space="preserve"> vastu on väga oluline, et kaitsta finantssüsteemi ja ausat konkurentsi ning ennetada kahjulikke tagajärgi majandusele. Rahapesualaste rikkumiste kohtus menetlemise kestusega seotud probleemid võivad mõjutada rahapesuvastase võitluse tulemuslikkust. 2020. aasta ELi õigusemõistmise tulemustabelis on esitatud ajakohastatud andmed rahapesuga seotud kohtumenetluste kestuse kohta (joonis 21), millest on näha, et kui umbes pooltes liikmesriikides kulub menetlustele esimese astme kohtus keskmiselt kuni aasta, siis mitmes probleemidega silmitsi seisvas liikmesriigis võtavad need menetlused aega keskmiselt umbes kaks aastat(</w:t>
            </w:r>
            <w:r>
              <w:rPr>
                <w:rFonts w:ascii="Times New Roman" w:eastAsia="Times New Roman" w:hAnsi="Times New Roman" w:cs="Times New Roman"/>
                <w:sz w:val="24"/>
                <w:szCs w:val="24"/>
                <w:vertAlign w:val="superscript"/>
              </w:rPr>
              <w:footnoteReference w:id="51"/>
            </w:r>
            <w:r>
              <w:rPr>
                <w:rFonts w:ascii="Times New Roman" w:hAnsi="Times New Roman"/>
                <w:sz w:val="24"/>
                <w:szCs w:val="24"/>
              </w:rPr>
              <w:t>).</w:t>
            </w:r>
          </w:p>
        </w:tc>
      </w:tr>
    </w:tbl>
    <w:p>
      <w:pPr>
        <w:keepNext/>
        <w:spacing w:before="360" w:after="120" w:line="240" w:lineRule="auto"/>
        <w:jc w:val="both"/>
        <w:outlineLvl w:val="1"/>
        <w:rPr>
          <w:rFonts w:ascii="Times New Roman" w:eastAsia="Times New Roman" w:hAnsi="Times New Roman" w:cs="Times New Roman"/>
          <w:b/>
          <w:bCs/>
          <w:iCs/>
          <w:sz w:val="24"/>
          <w:szCs w:val="28"/>
        </w:rPr>
      </w:pPr>
      <w:bookmarkStart w:id="264" w:name="_Toc409512290"/>
      <w:bookmarkStart w:id="265" w:name="_Toc409530222"/>
      <w:bookmarkStart w:id="266" w:name="_Toc438545672"/>
      <w:bookmarkStart w:id="267" w:name="_Toc438548322"/>
      <w:bookmarkStart w:id="268" w:name="_Toc438548508"/>
      <w:bookmarkStart w:id="269" w:name="_Toc440017698"/>
      <w:bookmarkStart w:id="270" w:name="_Toc440018082"/>
      <w:bookmarkStart w:id="271" w:name="_Toc440033380"/>
      <w:bookmarkStart w:id="272" w:name="_Toc440035231"/>
      <w:bookmarkStart w:id="273" w:name="_Toc440036526"/>
      <w:bookmarkStart w:id="274" w:name="_Toc440042468"/>
      <w:bookmarkStart w:id="275" w:name="_Toc440291121"/>
      <w:bookmarkStart w:id="276" w:name="_Toc440294684"/>
      <w:bookmarkStart w:id="277" w:name="_Toc440295186"/>
      <w:bookmarkStart w:id="278" w:name="_Toc440296591"/>
      <w:bookmarkStart w:id="279" w:name="_Toc440625075"/>
      <w:bookmarkStart w:id="280" w:name="_Toc440626405"/>
      <w:bookmarkStart w:id="281" w:name="_Toc440628859"/>
      <w:bookmarkStart w:id="282" w:name="_Toc441571132"/>
      <w:bookmarkStart w:id="283" w:name="_Toc441581634"/>
      <w:bookmarkStart w:id="284" w:name="_Toc441585901"/>
      <w:bookmarkStart w:id="285" w:name="_Toc441595836"/>
      <w:bookmarkStart w:id="286" w:name="_Toc441596013"/>
      <w:bookmarkStart w:id="287" w:name="_Toc441748138"/>
      <w:bookmarkStart w:id="288" w:name="_Toc441755423"/>
      <w:bookmarkStart w:id="289" w:name="_Toc441756460"/>
      <w:bookmarkStart w:id="290" w:name="_Toc441757504"/>
      <w:bookmarkStart w:id="291" w:name="_Toc441766633"/>
      <w:bookmarkStart w:id="292" w:name="_Toc441766972"/>
      <w:bookmarkStart w:id="293" w:name="_Toc442187973"/>
      <w:bookmarkStart w:id="294" w:name="_Toc442262065"/>
      <w:bookmarkStart w:id="295" w:name="_Toc442362472"/>
      <w:bookmarkStart w:id="296" w:name="_Toc442374808"/>
      <w:bookmarkStart w:id="297" w:name="_Toc442425948"/>
      <w:bookmarkStart w:id="298" w:name="_Toc442453074"/>
      <w:bookmarkStart w:id="299" w:name="_Toc443484532"/>
      <w:bookmarkStart w:id="300" w:name="_Toc443484754"/>
      <w:bookmarkStart w:id="301" w:name="_Toc443509495"/>
      <w:bookmarkStart w:id="302" w:name="_Toc446014824"/>
      <w:r>
        <w:rPr>
          <w:rFonts w:ascii="Times New Roman" w:hAnsi="Times New Roman"/>
          <w:b/>
          <w:bCs/>
          <w:iCs/>
          <w:sz w:val="24"/>
          <w:szCs w:val="28"/>
        </w:rPr>
        <w:t>3.2. Kohtusüsteemide kvaliteet</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spacing w:after="120" w:line="240" w:lineRule="auto"/>
        <w:jc w:val="both"/>
        <w:rPr>
          <w:rFonts w:ascii="Times New Roman" w:eastAsia="Calibri" w:hAnsi="Times New Roman" w:cs="Times New Roman"/>
          <w:sz w:val="24"/>
        </w:rPr>
      </w:pPr>
      <w:r>
        <w:rPr>
          <w:rFonts w:ascii="Times New Roman" w:hAnsi="Times New Roman"/>
          <w:sz w:val="24"/>
        </w:rPr>
        <w:t>Kohtusüsteemi kvaliteedi mõõtmiseks ei ole üht kindlat viisi. 2020. aasta ELi õigusemõistmise tulemustabelis jätkatakse selliste tegurite uurimist, mida peetakse kohtusüsteemi kvaliteedi parandamisel üldjuhul asjakohaseks. Nagu varasematelgi aastatel, on need jaotatud nelja kategooriasse:</w:t>
      </w:r>
    </w:p>
    <w:p>
      <w:pPr>
        <w:spacing w:after="120" w:line="240" w:lineRule="auto"/>
        <w:jc w:val="both"/>
        <w:rPr>
          <w:rFonts w:ascii="Times New Roman" w:eastAsia="Calibri" w:hAnsi="Times New Roman" w:cs="Times New Roman"/>
          <w:sz w:val="24"/>
        </w:rPr>
      </w:pPr>
      <w:r>
        <w:rPr>
          <w:rFonts w:ascii="Times New Roman" w:hAnsi="Times New Roman"/>
          <w:sz w:val="24"/>
        </w:rPr>
        <w:t>1) kodanike ja ettevõtjate juurdepääs õigusemõistmisele;</w:t>
      </w:r>
    </w:p>
    <w:p>
      <w:pPr>
        <w:spacing w:after="120" w:line="240" w:lineRule="auto"/>
        <w:jc w:val="both"/>
        <w:rPr>
          <w:rFonts w:ascii="Times New Roman" w:eastAsia="Calibri" w:hAnsi="Times New Roman" w:cs="Times New Roman"/>
          <w:sz w:val="24"/>
        </w:rPr>
      </w:pPr>
      <w:r>
        <w:rPr>
          <w:rFonts w:ascii="Times New Roman" w:hAnsi="Times New Roman"/>
          <w:sz w:val="24"/>
        </w:rPr>
        <w:t>2) piisavad materiaalsed ja inimressursid;</w:t>
      </w:r>
    </w:p>
    <w:p>
      <w:pPr>
        <w:spacing w:after="120" w:line="240" w:lineRule="auto"/>
        <w:jc w:val="both"/>
        <w:rPr>
          <w:rFonts w:ascii="Times New Roman" w:eastAsia="Calibri" w:hAnsi="Times New Roman" w:cs="Times New Roman"/>
          <w:sz w:val="24"/>
        </w:rPr>
      </w:pPr>
      <w:r>
        <w:rPr>
          <w:rFonts w:ascii="Times New Roman" w:hAnsi="Times New Roman"/>
          <w:sz w:val="24"/>
        </w:rPr>
        <w:t>3) hindamisvahendite kasutuselevõtt ning</w:t>
      </w:r>
    </w:p>
    <w:p>
      <w:pPr>
        <w:spacing w:after="120" w:line="240" w:lineRule="auto"/>
        <w:jc w:val="both"/>
        <w:rPr>
          <w:rFonts w:ascii="Times New Roman" w:eastAsia="Calibri" w:hAnsi="Times New Roman" w:cs="Times New Roman"/>
          <w:sz w:val="24"/>
        </w:rPr>
      </w:pPr>
      <w:r>
        <w:rPr>
          <w:rFonts w:ascii="Times New Roman" w:hAnsi="Times New Roman"/>
          <w:sz w:val="24"/>
        </w:rPr>
        <w:t>4) kvaliteedistandardite kasutamine.</w:t>
      </w:r>
    </w:p>
    <w:p>
      <w:pPr>
        <w:keepNext/>
        <w:tabs>
          <w:tab w:val="left" w:pos="850"/>
        </w:tabs>
        <w:spacing w:before="240" w:after="120" w:line="240" w:lineRule="auto"/>
        <w:ind w:left="850" w:hanging="850"/>
        <w:jc w:val="both"/>
        <w:outlineLvl w:val="2"/>
        <w:rPr>
          <w:rFonts w:ascii="Times New Roman" w:eastAsia="Times New Roman" w:hAnsi="Times New Roman" w:cs="Times New Roman"/>
          <w:b/>
          <w:sz w:val="24"/>
          <w:szCs w:val="24"/>
        </w:rPr>
      </w:pPr>
      <w:bookmarkStart w:id="303" w:name="_Toc440017699"/>
      <w:bookmarkStart w:id="304" w:name="_Toc440018083"/>
      <w:bookmarkStart w:id="305" w:name="_Toc440033381"/>
      <w:bookmarkStart w:id="306" w:name="_Toc440035232"/>
      <w:bookmarkStart w:id="307" w:name="_Toc440036527"/>
      <w:bookmarkStart w:id="308" w:name="_Toc440042469"/>
      <w:bookmarkStart w:id="309" w:name="_Toc440291122"/>
      <w:bookmarkStart w:id="310" w:name="_Toc440294685"/>
      <w:bookmarkStart w:id="311" w:name="_Toc440295187"/>
      <w:bookmarkStart w:id="312" w:name="_Toc440296592"/>
      <w:bookmarkStart w:id="313" w:name="_Toc440625076"/>
      <w:bookmarkStart w:id="314" w:name="_Toc440626406"/>
      <w:bookmarkStart w:id="315" w:name="_Toc440628860"/>
      <w:bookmarkStart w:id="316" w:name="_Toc441571133"/>
      <w:bookmarkStart w:id="317" w:name="_Toc441581635"/>
      <w:bookmarkStart w:id="318" w:name="_Toc441585902"/>
      <w:bookmarkStart w:id="319" w:name="_Toc441595837"/>
      <w:bookmarkStart w:id="320" w:name="_Toc441596014"/>
      <w:bookmarkStart w:id="321" w:name="_Toc441748139"/>
      <w:bookmarkStart w:id="322" w:name="_Toc441755424"/>
      <w:bookmarkStart w:id="323" w:name="_Toc441756461"/>
      <w:bookmarkStart w:id="324" w:name="_Toc441757505"/>
      <w:bookmarkStart w:id="325" w:name="_Toc441766634"/>
      <w:bookmarkStart w:id="326" w:name="_Toc441766973"/>
      <w:bookmarkStart w:id="327" w:name="_Toc442187974"/>
      <w:bookmarkStart w:id="328" w:name="_Toc442262066"/>
      <w:bookmarkStart w:id="329" w:name="_Toc442362473"/>
      <w:bookmarkStart w:id="330" w:name="_Toc442374809"/>
      <w:bookmarkStart w:id="331" w:name="_Toc442425949"/>
      <w:bookmarkStart w:id="332" w:name="_Toc442453075"/>
      <w:bookmarkStart w:id="333" w:name="_Toc443484533"/>
      <w:bookmarkStart w:id="334" w:name="_Toc443484755"/>
      <w:bookmarkStart w:id="335" w:name="_Toc443509496"/>
      <w:bookmarkStart w:id="336" w:name="_Toc446014825"/>
      <w:bookmarkStart w:id="337" w:name="_Toc409530223"/>
      <w:bookmarkStart w:id="338" w:name="_Toc438545673"/>
      <w:bookmarkStart w:id="339" w:name="_Toc438548323"/>
      <w:bookmarkStart w:id="340" w:name="_Toc438548509"/>
      <w:r>
        <w:rPr>
          <w:rFonts w:ascii="Times New Roman" w:hAnsi="Times New Roman"/>
          <w:b/>
          <w:sz w:val="24"/>
          <w:szCs w:val="24"/>
        </w:rPr>
        <w:t>3.2.1. Juurdepääsetavus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bookmarkEnd w:id="337"/>
    <w:bookmarkEnd w:id="338"/>
    <w:bookmarkEnd w:id="339"/>
    <w:bookmarkEnd w:id="340"/>
    <w:p>
      <w:pPr>
        <w:spacing w:after="120" w:line="240" w:lineRule="auto"/>
        <w:jc w:val="both"/>
        <w:rPr>
          <w:rFonts w:ascii="Times New Roman" w:eastAsia="Times New Roman" w:hAnsi="Times New Roman" w:cs="Times New Roman"/>
          <w:sz w:val="24"/>
          <w:szCs w:val="24"/>
        </w:rPr>
      </w:pPr>
      <w:r>
        <w:rPr>
          <w:rFonts w:ascii="Times New Roman" w:hAnsi="Times New Roman"/>
          <w:sz w:val="24"/>
          <w:szCs w:val="24"/>
        </w:rPr>
        <w:t>Juurdepääsetavus on vajalik kogu õigusemõistmise ahelas, et oleks võimalik saada asjakohast teavet kohtusüsteemi, hagi algatamise ja sellega seonduvate finantsaspektide ning menetluse seisu kohta kuni menetluse lõpuni ning et kohtuotsusele oleks võimalik veebis kiiresti ligi pääseda.</w:t>
      </w:r>
    </w:p>
    <w:p>
      <w:pPr>
        <w:spacing w:before="240" w:after="120" w:line="240" w:lineRule="auto"/>
        <w:jc w:val="both"/>
        <w:rPr>
          <w:rFonts w:ascii="Times New Roman" w:eastAsia="Times New Roman" w:hAnsi="Times New Roman" w:cs="Times New Roman"/>
          <w:i/>
          <w:sz w:val="24"/>
          <w:szCs w:val="24"/>
        </w:rPr>
      </w:pPr>
      <w:r>
        <w:rPr>
          <w:rFonts w:ascii="Times New Roman" w:hAnsi="Times New Roman"/>
          <w:i/>
          <w:sz w:val="24"/>
          <w:szCs w:val="24"/>
        </w:rPr>
        <w:t>– Kohtusüsteemi kohta teabe andmine –</w:t>
      </w:r>
    </w:p>
    <w:p>
      <w:pPr>
        <w:spacing w:before="120" w:after="120" w:line="240" w:lineRule="auto"/>
        <w:jc w:val="both"/>
        <w:rPr>
          <w:rFonts w:ascii="Times New Roman" w:eastAsia="Times New Roman" w:hAnsi="Times New Roman" w:cs="Times New Roman"/>
          <w:sz w:val="24"/>
          <w:szCs w:val="24"/>
        </w:rPr>
      </w:pPr>
      <w:bookmarkStart w:id="341" w:name="_Ref441218478"/>
      <w:r>
        <w:rPr>
          <w:rFonts w:ascii="Times New Roman" w:hAnsi="Times New Roman"/>
          <w:sz w:val="24"/>
          <w:szCs w:val="24"/>
        </w:rPr>
        <w:t>Lisaks sellele, et teave peab olema kergesti kättesaadav, on kodanikukeskse õigusemõistmise jaoks vajalik, et teave kohtusüsteemi kohta on kohandatud konkreetsetele ühiskonnarühmadele, kellel oleks muidu teabele ligipääsemisel raskusi. Joonisel 22 on näha kohtusüsteemi konkreetseid aspekte käsitleva veebipõhise teabe kättesaadavus konkreetsetele ühiskonnarühmadele.</w:t>
      </w:r>
    </w:p>
    <w:p>
      <w:pPr>
        <w:keepNext/>
        <w:spacing w:before="240" w:after="0" w:line="240" w:lineRule="auto"/>
        <w:jc w:val="both"/>
        <w:rPr>
          <w:rFonts w:ascii="Times New Roman" w:eastAsia="Times New Roman" w:hAnsi="Times New Roman" w:cs="Times New Roman"/>
          <w:i/>
          <w:iCs/>
          <w:sz w:val="24"/>
          <w:szCs w:val="24"/>
        </w:rPr>
      </w:pPr>
      <w:r>
        <w:rPr>
          <w:rFonts w:ascii="Times New Roman" w:hAnsi="Times New Roman"/>
          <w:b/>
          <w:bCs/>
          <w:color w:val="000000"/>
          <w:sz w:val="24"/>
          <w:szCs w:val="24"/>
        </w:rPr>
        <w:t>Joonis </w:t>
      </w:r>
      <w:r>
        <w:fldChar w:fldCharType="begin"/>
      </w:r>
      <w:r>
        <w:rPr>
          <w:rFonts w:ascii="Times New Roman" w:eastAsia="Times New Roman" w:hAnsi="Times New Roman" w:cs="Times New Roman"/>
          <w:b/>
          <w:sz w:val="24"/>
          <w:szCs w:val="24"/>
        </w:rPr>
        <w:instrText xml:space="preserve"> SEQ Figure \* ARABIC </w:instrText>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t>22</w:t>
      </w:r>
      <w:r>
        <w:fldChar w:fldCharType="end"/>
      </w:r>
      <w:bookmarkEnd w:id="341"/>
      <w:r>
        <w:rPr>
          <w:rFonts w:ascii="Times New Roman" w:hAnsi="Times New Roman"/>
          <w:sz w:val="24"/>
          <w:szCs w:val="24"/>
        </w:rPr>
        <w:t xml:space="preserve">. </w:t>
      </w:r>
      <w:r>
        <w:rPr>
          <w:rFonts w:ascii="Times New Roman" w:hAnsi="Times New Roman"/>
          <w:b/>
          <w:bCs/>
          <w:sz w:val="24"/>
          <w:szCs w:val="24"/>
        </w:rPr>
        <w:t>Kohtusüsteemi käsitleva veebipõhise teabe kättesaadavus üldsusele, 2019</w:t>
      </w:r>
      <w:r>
        <w:rPr>
          <w:rFonts w:ascii="Times New Roman" w:hAnsi="Times New Roman"/>
          <w:sz w:val="24"/>
          <w:szCs w:val="24"/>
        </w:rPr>
        <w:t xml:space="preserve">(*) </w:t>
      </w:r>
      <w:r>
        <w:rPr>
          <w:rFonts w:ascii="Times New Roman" w:hAnsi="Times New Roman"/>
          <w:i/>
          <w:iCs/>
          <w:sz w:val="24"/>
          <w:szCs w:val="24"/>
        </w:rPr>
        <w:t>(allikas: Euroopa Komisjon(</w:t>
      </w:r>
      <w:r>
        <w:rPr>
          <w:rFonts w:ascii="Times New Roman" w:eastAsia="Times New Roman" w:hAnsi="Times New Roman" w:cs="Times New Roman"/>
          <w:i/>
          <w:iCs/>
          <w:sz w:val="24"/>
          <w:szCs w:val="24"/>
          <w:vertAlign w:val="superscript"/>
          <w:lang w:eastAsia="en-GB"/>
        </w:rPr>
        <w:footnoteReference w:id="52"/>
      </w:r>
      <w:r>
        <w:rPr>
          <w:rFonts w:ascii="Times New Roman" w:hAnsi="Times New Roman"/>
          <w:i/>
          <w:iCs/>
          <w:sz w:val="24"/>
          <w:szCs w:val="24"/>
        </w:rPr>
        <w:t>))</w:t>
      </w:r>
    </w:p>
    <w:p>
      <w:pPr>
        <w:spacing w:after="120" w:line="240" w:lineRule="auto"/>
        <w:jc w:val="both"/>
        <w:rPr>
          <w:rFonts w:ascii="Times New Roman" w:eastAsia="Times New Roman" w:hAnsi="Times New Roman" w:cs="Times New Roman"/>
          <w:i/>
          <w:color w:val="000000"/>
          <w:sz w:val="20"/>
          <w:szCs w:val="24"/>
        </w:rPr>
      </w:pPr>
      <w:r>
        <w:rPr>
          <w:lang w:val="en-GB" w:eastAsia="en-GB"/>
        </w:rPr>
        <w:drawing>
          <wp:inline distT="0" distB="0" distL="0" distR="0">
            <wp:extent cx="5977255" cy="27815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77255" cy="2781550"/>
                    </a:xfrm>
                    <a:prstGeom prst="rect">
                      <a:avLst/>
                    </a:prstGeom>
                    <a:noFill/>
                    <a:ln>
                      <a:noFill/>
                    </a:ln>
                  </pic:spPr>
                </pic:pic>
              </a:graphicData>
            </a:graphic>
          </wp:inline>
        </w:drawing>
      </w:r>
    </w:p>
    <w:p>
      <w:pPr>
        <w:spacing w:after="120" w:line="240" w:lineRule="auto"/>
        <w:jc w:val="both"/>
        <w:rPr>
          <w:rFonts w:ascii="Times New Roman" w:eastAsia="Times New Roman" w:hAnsi="Times New Roman" w:cs="Times New Roman"/>
          <w:i/>
          <w:color w:val="000000"/>
          <w:sz w:val="20"/>
          <w:szCs w:val="24"/>
        </w:rPr>
      </w:pPr>
      <w:r>
        <w:rPr>
          <w:rFonts w:ascii="Times New Roman" w:hAnsi="Times New Roman"/>
          <w:i/>
          <w:color w:val="000000"/>
          <w:sz w:val="20"/>
          <w:szCs w:val="24"/>
        </w:rPr>
        <w:t xml:space="preserve">(*) </w:t>
      </w:r>
      <w:r>
        <w:rPr>
          <w:rFonts w:ascii="Times New Roman" w:hAnsi="Times New Roman"/>
          <w:b/>
          <w:i/>
          <w:color w:val="000000"/>
          <w:sz w:val="20"/>
          <w:szCs w:val="24"/>
        </w:rPr>
        <w:t>Saksamaal</w:t>
      </w:r>
      <w:r>
        <w:rPr>
          <w:rFonts w:ascii="Times New Roman" w:hAnsi="Times New Roman"/>
          <w:i/>
          <w:color w:val="000000"/>
          <w:sz w:val="20"/>
          <w:szCs w:val="24"/>
        </w:rPr>
        <w:t xml:space="preserve"> otsustatakse igal liidumaal ja föderaaltasandil, millist teavet veebis avaldada.</w:t>
      </w:r>
    </w:p>
    <w:p>
      <w:pPr>
        <w:spacing w:before="240" w:after="120" w:line="240" w:lineRule="auto"/>
        <w:jc w:val="both"/>
        <w:rPr>
          <w:rFonts w:ascii="Times New Roman" w:eastAsia="Calibri" w:hAnsi="Times New Roman" w:cs="Times New Roman"/>
          <w:i/>
          <w:sz w:val="24"/>
          <w:szCs w:val="24"/>
        </w:rPr>
      </w:pPr>
      <w:r>
        <w:rPr>
          <w:rFonts w:ascii="Times New Roman" w:hAnsi="Times New Roman"/>
          <w:i/>
          <w:iCs/>
          <w:sz w:val="24"/>
          <w:szCs w:val="24"/>
        </w:rPr>
        <w:t>– Tasuta õigusabi, kohtulõivud ja õigusabikulud –</w:t>
      </w:r>
    </w:p>
    <w:p>
      <w:pPr>
        <w:spacing w:before="120" w:after="0" w:line="240" w:lineRule="auto"/>
        <w:jc w:val="both"/>
        <w:rPr>
          <w:rFonts w:ascii="Times New Roman" w:eastAsia="Calibri" w:hAnsi="Times New Roman" w:cs="Times New Roman"/>
          <w:sz w:val="24"/>
          <w:szCs w:val="24"/>
        </w:rPr>
      </w:pPr>
      <w:r>
        <w:rPr>
          <w:rFonts w:ascii="Times New Roman" w:hAnsi="Times New Roman"/>
          <w:sz w:val="24"/>
          <w:szCs w:val="24"/>
        </w:rPr>
        <w:t>Kohtuvaidlustega seotud kulud on põhitegur, mis mõjutab juurdepääsu õigusemõistmisele. Kohtuvaidlusega seotud suured kulud, sealhulgas kohtulõivud(</w:t>
      </w:r>
      <w:r>
        <w:rPr>
          <w:rFonts w:ascii="Times New Roman" w:eastAsia="Calibri" w:hAnsi="Times New Roman" w:cs="Times New Roman"/>
          <w:sz w:val="24"/>
          <w:szCs w:val="24"/>
          <w:vertAlign w:val="superscript"/>
        </w:rPr>
        <w:footnoteReference w:id="53"/>
      </w:r>
      <w:r>
        <w:rPr>
          <w:rFonts w:ascii="Times New Roman" w:hAnsi="Times New Roman"/>
          <w:sz w:val="24"/>
          <w:szCs w:val="24"/>
        </w:rPr>
        <w:t>) ja õigusabikulud,(</w:t>
      </w:r>
      <w:r>
        <w:rPr>
          <w:rFonts w:ascii="Times New Roman" w:eastAsia="Calibri" w:hAnsi="Times New Roman" w:cs="Times New Roman"/>
          <w:sz w:val="24"/>
          <w:szCs w:val="24"/>
          <w:vertAlign w:val="superscript"/>
        </w:rPr>
        <w:footnoteReference w:id="54"/>
      </w:r>
      <w:r>
        <w:rPr>
          <w:rFonts w:ascii="Times New Roman" w:hAnsi="Times New Roman"/>
          <w:sz w:val="24"/>
          <w:szCs w:val="24"/>
        </w:rPr>
        <w:t xml:space="preserve">) võivad juurdepääsu õigusemõistmisele takistada. Tsiviil- ja kaubandusvaidlustega seotud kulud </w:t>
      </w:r>
      <w:r>
        <w:rPr>
          <w:rFonts w:ascii="Times New Roman" w:hAnsi="Times New Roman"/>
          <w:color w:val="000000" w:themeColor="text1"/>
          <w:sz w:val="24"/>
          <w:szCs w:val="24"/>
        </w:rPr>
        <w:t xml:space="preserve">ei ole ELi tasandil ühtlustatud. </w:t>
      </w:r>
      <w:r>
        <w:rPr>
          <w:rFonts w:ascii="Times New Roman" w:hAnsi="Times New Roman"/>
          <w:sz w:val="24"/>
          <w:szCs w:val="24"/>
        </w:rPr>
        <w:t xml:space="preserve">Neid reguleeritakse liikmesriikide õigusaktidega ja seepärast need erinevad liikmesriigiti. </w:t>
      </w:r>
    </w:p>
    <w:p>
      <w:pPr>
        <w:spacing w:after="120" w:line="240" w:lineRule="auto"/>
        <w:jc w:val="both"/>
        <w:rPr>
          <w:rFonts w:ascii="Times New Roman" w:eastAsia="Calibri" w:hAnsi="Times New Roman" w:cs="Times New Roman"/>
          <w:sz w:val="24"/>
          <w:szCs w:val="24"/>
        </w:rPr>
      </w:pPr>
      <w:bookmarkStart w:id="342" w:name="_Ref441218501"/>
      <w:r>
        <w:rPr>
          <w:rFonts w:ascii="Times New Roman" w:hAnsi="Times New Roman"/>
          <w:sz w:val="24"/>
          <w:szCs w:val="24"/>
        </w:rPr>
        <w:t>Juurdepääs tasuta õigusabile on hartas sätestatud põhiõigus(</w:t>
      </w:r>
      <w:r>
        <w:rPr>
          <w:rFonts w:ascii="Times New Roman" w:eastAsia="Calibri" w:hAnsi="Times New Roman" w:cs="Times New Roman"/>
          <w:sz w:val="24"/>
          <w:szCs w:val="24"/>
          <w:vertAlign w:val="superscript"/>
        </w:rPr>
        <w:footnoteReference w:id="55"/>
      </w:r>
      <w:r>
        <w:rPr>
          <w:rFonts w:ascii="Times New Roman" w:hAnsi="Times New Roman"/>
          <w:sz w:val="24"/>
          <w:szCs w:val="24"/>
        </w:rPr>
        <w:t>). See võimaldab juurdepääsu õigusemõistmisele neile, kes ei suuda kohtuvaidlusega seotud kulusid tasuda või ette maksta. Enamik liikmesriike lähtub tasuta õigusabi andmisel taotleja sissetulekust(</w:t>
      </w:r>
      <w:r>
        <w:rPr>
          <w:rFonts w:ascii="Times New Roman" w:eastAsia="Calibri" w:hAnsi="Times New Roman" w:cs="Times New Roman"/>
          <w:sz w:val="24"/>
          <w:szCs w:val="24"/>
          <w:vertAlign w:val="superscript"/>
        </w:rPr>
        <w:footnoteReference w:id="56"/>
      </w:r>
      <w:r>
        <w:rPr>
          <w:rFonts w:ascii="Times New Roman" w:hAnsi="Times New Roman"/>
          <w:sz w:val="24"/>
          <w:szCs w:val="24"/>
        </w:rPr>
        <w:t>).</w:t>
      </w:r>
    </w:p>
    <w:p>
      <w:pPr>
        <w:spacing w:after="120" w:line="240" w:lineRule="auto"/>
        <w:jc w:val="both"/>
        <w:rPr>
          <w:rFonts w:ascii="Times New Roman" w:eastAsia="Calibri" w:hAnsi="Times New Roman" w:cs="Times New Roman"/>
          <w:sz w:val="24"/>
          <w:szCs w:val="24"/>
        </w:rPr>
      </w:pPr>
      <w:r>
        <w:rPr>
          <w:rFonts w:ascii="Times New Roman" w:hAnsi="Times New Roman"/>
          <w:sz w:val="24"/>
          <w:szCs w:val="24"/>
        </w:rPr>
        <w:t>Joonisel 23 on näidatud täieliku või osalise tasuta õigusabi kättesaadavus tarbijavaidluses, mis hõlmab 6 000 euro suurust nõuet. Sellel võrreldakse tasuta õigusabi saamiseks kohaldatavaid sissetulekukünniseid, mis on väljendatud protsendina Eurostati vaesuspiirist igas liikmesriigis(</w:t>
      </w:r>
      <w:r>
        <w:rPr>
          <w:rFonts w:ascii="Times New Roman" w:eastAsia="Calibri" w:hAnsi="Times New Roman" w:cs="Times New Roman"/>
          <w:sz w:val="24"/>
          <w:szCs w:val="24"/>
          <w:vertAlign w:val="superscript"/>
        </w:rPr>
        <w:footnoteReference w:id="57"/>
      </w:r>
      <w:r>
        <w:rPr>
          <w:rFonts w:ascii="Times New Roman" w:hAnsi="Times New Roman"/>
          <w:sz w:val="24"/>
          <w:szCs w:val="24"/>
        </w:rPr>
        <w:t>). Näiteks kui tasuta õigusabi saamise künnis on 20 %, võib tasuta õigusabi saada veel taotleja, kelle sissetulek on Eurostati asjaomase liikmesriigi vaesuspiirist 20 % suurem. Kui aga tasuta õigusabi saamise künnis jääb allapoole nulli, tähendab see, et ka vaesuspiirist väiksema sissetulekuga isik ei pruugi saada tasuta õigusabi.</w:t>
      </w:r>
    </w:p>
    <w:p>
      <w:pPr>
        <w:spacing w:after="120" w:line="240" w:lineRule="auto"/>
        <w:jc w:val="both"/>
        <w:rPr>
          <w:rFonts w:ascii="Times New Roman" w:eastAsia="Calibri" w:hAnsi="Times New Roman" w:cs="Times New Roman"/>
          <w:sz w:val="24"/>
          <w:szCs w:val="24"/>
        </w:rPr>
      </w:pPr>
      <w:r>
        <w:rPr>
          <w:rFonts w:ascii="Times New Roman" w:hAnsi="Times New Roman"/>
          <w:sz w:val="24"/>
          <w:szCs w:val="24"/>
        </w:rPr>
        <w:t>Mõnes liikmesriigis on kasutusel õigusabisüsteem, mille raames kaetakse 100 % kohtuvaidlusega seotud kuludest (täielikult tasuta õigusabi) ning mida täiendab süsteem, mille raames kaetakse osa kuludest (osaliselt tasuta õigusabi), kusjuures viimase puhul rakendatakse tasuta õigusabi saamise õiguse tuvastamiseks teistsuguseid kriteeriume kui esimese puhul. Teistes liikmesriikides on vaid kas täielikult või osaliselt tasuta õigusabi andmise süsteem.</w:t>
      </w:r>
    </w:p>
    <w:p>
      <w:pPr>
        <w:keepNext/>
        <w:spacing w:before="240" w:after="0" w:line="240" w:lineRule="auto"/>
        <w:jc w:val="both"/>
        <w:rPr>
          <w:rFonts w:ascii="Times New Roman" w:eastAsia="Calibri" w:hAnsi="Times New Roman" w:cs="Times New Roman"/>
          <w:i/>
          <w:iCs/>
          <w:sz w:val="24"/>
          <w:szCs w:val="24"/>
        </w:rPr>
      </w:pPr>
      <w:r>
        <w:rPr>
          <w:rFonts w:ascii="Times New Roman" w:hAnsi="Times New Roman"/>
          <w:b/>
          <w:bCs/>
          <w:sz w:val="24"/>
          <w:szCs w:val="24"/>
        </w:rPr>
        <w:t>Joonis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sz w:val="24"/>
        </w:rPr>
        <w:t>23</w:t>
      </w:r>
      <w:r>
        <w:fldChar w:fldCharType="end"/>
      </w:r>
      <w:bookmarkEnd w:id="342"/>
      <w:r>
        <w:rPr>
          <w:rFonts w:ascii="Times New Roman" w:hAnsi="Times New Roman"/>
          <w:b/>
          <w:bCs/>
          <w:sz w:val="24"/>
          <w:szCs w:val="24"/>
        </w:rPr>
        <w:t>. Sissetulekukünnis tasuta õigusabi saamiseks teatavates tarbijavaidlustes, 2019</w:t>
      </w:r>
      <w:r>
        <w:rPr>
          <w:rFonts w:ascii="Times New Roman" w:hAnsi="Times New Roman"/>
          <w:sz w:val="24"/>
          <w:szCs w:val="24"/>
        </w:rPr>
        <w:t>(</w:t>
      </w:r>
      <w:r>
        <w:rPr>
          <w:sz w:val="24"/>
          <w:szCs w:val="24"/>
        </w:rPr>
        <w:t>*</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i/>
          <w:iCs/>
          <w:sz w:val="24"/>
          <w:szCs w:val="24"/>
        </w:rPr>
        <w:t>(Eurostati vaesuspiiri ja sissetulekukünnise erinevus protsentides) (allikas: Euroopa Komisjon ning Euroopa Advokatuuride ja Õigusliitude Nõukogu(</w:t>
      </w:r>
      <w:r>
        <w:rPr>
          <w:rFonts w:ascii="Times New Roman" w:eastAsia="Calibri" w:hAnsi="Times New Roman" w:cs="Times New Roman"/>
          <w:i/>
          <w:iCs/>
          <w:sz w:val="24"/>
          <w:szCs w:val="24"/>
          <w:vertAlign w:val="superscript"/>
        </w:rPr>
        <w:footnoteReference w:id="58"/>
      </w:r>
      <w:r>
        <w:rPr>
          <w:rFonts w:ascii="Times New Roman" w:hAnsi="Times New Roman"/>
          <w:i/>
          <w:iCs/>
          <w:sz w:val="24"/>
          <w:szCs w:val="24"/>
        </w:rPr>
        <w:t xml:space="preserve">)) </w:t>
      </w:r>
    </w:p>
    <w:p>
      <w:pPr>
        <w:keepNext/>
        <w:spacing w:after="0" w:line="240" w:lineRule="auto"/>
        <w:jc w:val="both"/>
        <w:rPr>
          <w:rFonts w:ascii="Times New Roman" w:eastAsia="Calibri" w:hAnsi="Times New Roman" w:cs="Times New Roman"/>
          <w:i/>
          <w:color w:val="000000"/>
          <w:sz w:val="20"/>
        </w:rPr>
      </w:pPr>
      <w:r>
        <w:rPr>
          <w:lang w:val="en-GB" w:eastAsia="en-GB"/>
        </w:rPr>
        <w:drawing>
          <wp:inline distT="0" distB="0" distL="0" distR="0">
            <wp:extent cx="5977255" cy="2580155"/>
            <wp:effectExtent l="0" t="0" r="444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77255" cy="2580155"/>
                    </a:xfrm>
                    <a:prstGeom prst="rect">
                      <a:avLst/>
                    </a:prstGeom>
                    <a:noFill/>
                    <a:ln>
                      <a:noFill/>
                    </a:ln>
                  </pic:spPr>
                </pic:pic>
              </a:graphicData>
            </a:graphic>
          </wp:inline>
        </w:drawing>
      </w:r>
    </w:p>
    <w:p>
      <w:pPr>
        <w:keepNext/>
        <w:spacing w:after="0" w:line="240" w:lineRule="auto"/>
        <w:jc w:val="both"/>
        <w:rPr>
          <w:rFonts w:ascii="Times New Roman" w:eastAsia="Calibri" w:hAnsi="Times New Roman" w:cs="Times New Roman"/>
          <w:i/>
          <w:sz w:val="20"/>
          <w:highlight w:val="yellow"/>
        </w:rPr>
      </w:pPr>
      <w:r>
        <w:rPr>
          <w:rFonts w:ascii="Times New Roman" w:hAnsi="Times New Roman"/>
          <w:i/>
          <w:color w:val="000000"/>
          <w:sz w:val="20"/>
        </w:rPr>
        <w:t xml:space="preserve">(*) </w:t>
      </w:r>
      <w:r>
        <w:rPr>
          <w:rFonts w:ascii="Times New Roman" w:hAnsi="Times New Roman"/>
          <w:b/>
          <w:bCs/>
          <w:i/>
          <w:color w:val="000000"/>
          <w:sz w:val="20"/>
        </w:rPr>
        <w:t>Eesti</w:t>
      </w:r>
      <w:r>
        <w:rPr>
          <w:rFonts w:ascii="Times New Roman" w:hAnsi="Times New Roman"/>
          <w:i/>
          <w:color w:val="000000"/>
          <w:sz w:val="20"/>
        </w:rPr>
        <w:t>:</w:t>
      </w:r>
      <w:r>
        <w:rPr>
          <w:rFonts w:ascii="Times New Roman" w:hAnsi="Times New Roman"/>
          <w:b/>
          <w:i/>
          <w:color w:val="000000"/>
          <w:sz w:val="20"/>
        </w:rPr>
        <w:t xml:space="preserve"> </w:t>
      </w:r>
      <w:r>
        <w:rPr>
          <w:rFonts w:ascii="Times New Roman" w:hAnsi="Times New Roman"/>
          <w:i/>
          <w:sz w:val="20"/>
        </w:rPr>
        <w:t xml:space="preserve">otsus tasuta õigusabi andmise kohta ei põhine taotleja rahaliste vahendite suurusel. </w:t>
      </w:r>
      <w:r>
        <w:rPr>
          <w:rFonts w:ascii="Times New Roman" w:hAnsi="Times New Roman"/>
          <w:b/>
          <w:i/>
          <w:sz w:val="20"/>
        </w:rPr>
        <w:t>Iirimaa:</w:t>
      </w:r>
      <w:r>
        <w:rPr>
          <w:rFonts w:ascii="Times New Roman" w:hAnsi="Times New Roman"/>
          <w:i/>
          <w:sz w:val="20"/>
        </w:rPr>
        <w:t xml:space="preserve"> osaliselt tasuta õigusabi andmise otsustamisel tuleb võtta arvesse ka taotleja likviidset vara. </w:t>
      </w:r>
      <w:r>
        <w:rPr>
          <w:rFonts w:ascii="Times New Roman" w:hAnsi="Times New Roman"/>
          <w:b/>
          <w:i/>
          <w:sz w:val="20"/>
        </w:rPr>
        <w:t>Läti:</w:t>
      </w:r>
      <w:r>
        <w:rPr>
          <w:rFonts w:ascii="Times New Roman" w:hAnsi="Times New Roman"/>
          <w:i/>
          <w:sz w:val="20"/>
        </w:rPr>
        <w:t xml:space="preserve"> künnis on eri omavalitsustes erinev, ülempiir on kujutatud skeemil.</w:t>
      </w:r>
    </w:p>
    <w:p>
      <w:pPr>
        <w:spacing w:before="240" w:after="120" w:line="240" w:lineRule="auto"/>
        <w:jc w:val="both"/>
        <w:rPr>
          <w:rFonts w:ascii="Times New Roman" w:eastAsia="Calibri" w:hAnsi="Times New Roman" w:cs="Times New Roman"/>
          <w:sz w:val="24"/>
          <w:szCs w:val="24"/>
        </w:rPr>
      </w:pPr>
      <w:r>
        <w:rPr>
          <w:rFonts w:ascii="Times New Roman" w:hAnsi="Times New Roman"/>
          <w:sz w:val="24"/>
          <w:szCs w:val="24"/>
        </w:rPr>
        <w:t>Enamik liikmesriike nõuab pooltelt kohtumenetluse alustamiseks kohtulõivu tasumist. Tasuta õigusabi saajad on sageli vabastatud kohtulõivu tasumisest. Vaid Bulgaarias, Eestis, Iirimaal, Madalmaades, Poolas ja Sloveenias ei ole tasuta õigusabi saajad kohtulõivu tasumisest automaatselt vabastatud. Tšehhis otsustab kohus tasuta õigusabi saaja kohtulõivu tasumisest vabastamise iga juhtumi puhul eraldi. Joonisel 24 on võrreldud kahe stsenaariumi puhul nõude suuruse alusel kohtulõivu suhtelist suurust. Näiteks kui allpool oleval joonisel on 6 000 euro suuruse nõude juures kohtulõiv 10 %, siis peab tarbija kohtumenetluse alustamiseks tasuma kohtulõivuna 600 eurot. Väikese nõude aluseks on Eurostati vaesuspiir asjaomases liikmesriigis.</w:t>
      </w:r>
      <w:bookmarkStart w:id="343" w:name="_Toc409530224"/>
      <w:bookmarkStart w:id="344" w:name="_Toc438545674"/>
      <w:bookmarkStart w:id="345" w:name="_Toc438548324"/>
      <w:bookmarkStart w:id="346" w:name="_Toc438548510"/>
    </w:p>
    <w:p>
      <w:pPr>
        <w:spacing w:after="0" w:line="240" w:lineRule="auto"/>
        <w:jc w:val="both"/>
        <w:rPr>
          <w:rFonts w:ascii="Times New Roman" w:eastAsia="Calibri" w:hAnsi="Times New Roman" w:cs="Times New Roman"/>
          <w:b/>
          <w:sz w:val="24"/>
        </w:rPr>
      </w:pPr>
      <w:r>
        <w:br w:type="page"/>
      </w:r>
    </w:p>
    <w:p>
      <w:pPr>
        <w:spacing w:before="240" w:after="0" w:line="240" w:lineRule="auto"/>
        <w:jc w:val="both"/>
        <w:rPr>
          <w:rFonts w:ascii="Times New Roman" w:eastAsia="Calibri" w:hAnsi="Times New Roman" w:cs="Times New Roman"/>
          <w:i/>
          <w:iCs/>
          <w:sz w:val="24"/>
          <w:szCs w:val="24"/>
        </w:rPr>
      </w:pPr>
      <w:r>
        <w:rPr>
          <w:rFonts w:ascii="Times New Roman" w:hAnsi="Times New Roman"/>
          <w:b/>
          <w:bCs/>
          <w:sz w:val="24"/>
          <w:szCs w:val="24"/>
        </w:rPr>
        <w:t>Joonis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sz w:val="24"/>
        </w:rPr>
        <w:t>24</w:t>
      </w:r>
      <w:r>
        <w:fldChar w:fldCharType="end"/>
      </w:r>
      <w:r>
        <w:rPr>
          <w:rFonts w:ascii="Times New Roman" w:hAnsi="Times New Roman"/>
          <w:b/>
          <w:bCs/>
          <w:sz w:val="24"/>
          <w:szCs w:val="24"/>
        </w:rPr>
        <w:t>. Tarbijavaidluses kohtumenetluse alustamiseks nõutav kohtulõiv, 2019(*)</w:t>
      </w:r>
      <w:r>
        <w:rPr>
          <w:rFonts w:ascii="Times New Roman" w:hAnsi="Times New Roman"/>
          <w:sz w:val="24"/>
          <w:szCs w:val="24"/>
        </w:rPr>
        <w:t xml:space="preserve"> </w:t>
      </w:r>
      <w:r>
        <w:rPr>
          <w:rFonts w:ascii="Times New Roman" w:hAnsi="Times New Roman"/>
          <w:i/>
          <w:iCs/>
          <w:sz w:val="24"/>
          <w:szCs w:val="24"/>
        </w:rPr>
        <w:t>(kohtulõivu suhteline suurus nõude suuruse alusel) (allikas: Euroopa Komisjon ning Euroopa Advokatuuride ja Õigusliitude Nõukogu(</w:t>
      </w:r>
      <w:r>
        <w:rPr>
          <w:rFonts w:ascii="Times New Roman" w:eastAsia="Calibri" w:hAnsi="Times New Roman" w:cs="Times New Roman"/>
          <w:i/>
          <w:iCs/>
          <w:sz w:val="24"/>
          <w:szCs w:val="24"/>
          <w:vertAlign w:val="superscript"/>
        </w:rPr>
        <w:footnoteReference w:id="59"/>
      </w:r>
      <w:r>
        <w:rPr>
          <w:rFonts w:ascii="Times New Roman" w:hAnsi="Times New Roman"/>
          <w:i/>
          <w:iCs/>
          <w:sz w:val="24"/>
          <w:szCs w:val="24"/>
        </w:rPr>
        <w:t>))</w:t>
      </w:r>
    </w:p>
    <w:p>
      <w:pPr>
        <w:keepNext/>
        <w:spacing w:after="0" w:line="240" w:lineRule="auto"/>
        <w:jc w:val="both"/>
        <w:rPr>
          <w:rFonts w:ascii="Times New Roman" w:eastAsia="Calibri" w:hAnsi="Times New Roman" w:cs="Times New Roman"/>
          <w:i/>
          <w:iCs/>
          <w:color w:val="000000" w:themeColor="text1"/>
          <w:sz w:val="20"/>
          <w:szCs w:val="20"/>
        </w:rPr>
      </w:pPr>
      <w:r>
        <w:rPr>
          <w:lang w:val="en-GB" w:eastAsia="en-GB"/>
        </w:rPr>
        <w:drawing>
          <wp:inline distT="0" distB="0" distL="0" distR="0">
            <wp:extent cx="5977255" cy="2548960"/>
            <wp:effectExtent l="0" t="0" r="4445" b="381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77255" cy="2548960"/>
                    </a:xfrm>
                    <a:prstGeom prst="rect">
                      <a:avLst/>
                    </a:prstGeom>
                    <a:noFill/>
                    <a:ln>
                      <a:noFill/>
                    </a:ln>
                  </pic:spPr>
                </pic:pic>
              </a:graphicData>
            </a:graphic>
          </wp:inline>
        </w:drawing>
      </w:r>
    </w:p>
    <w:p>
      <w:pPr>
        <w:keepNext/>
        <w:spacing w:after="0" w:line="240" w:lineRule="auto"/>
        <w:jc w:val="both"/>
        <w:rPr>
          <w:rFonts w:ascii="Times New Roman" w:eastAsia="Calibri" w:hAnsi="Times New Roman" w:cs="Times New Roman"/>
          <w:i/>
          <w:color w:val="000000"/>
          <w:sz w:val="20"/>
        </w:rPr>
      </w:pPr>
      <w:r>
        <w:rPr>
          <w:rFonts w:ascii="Times New Roman" w:hAnsi="Times New Roman"/>
          <w:i/>
          <w:iCs/>
          <w:color w:val="000000" w:themeColor="text1"/>
          <w:sz w:val="20"/>
          <w:szCs w:val="20"/>
        </w:rPr>
        <w:t xml:space="preserve">(*) Väike nõue on nõue, mis vastab asjaomase liikmesriigi kohta avaldatud Eurostati vallalise isiku vaesuspiirile, mis on arvutatud igakuise sissetulekuna (2019. aastal jäi see näiteks vahemikku 164 eurot </w:t>
      </w:r>
      <w:r>
        <w:rPr>
          <w:rFonts w:ascii="Times New Roman" w:hAnsi="Times New Roman"/>
          <w:b/>
          <w:bCs/>
          <w:i/>
          <w:iCs/>
          <w:color w:val="000000" w:themeColor="text1"/>
          <w:sz w:val="20"/>
          <w:szCs w:val="20"/>
        </w:rPr>
        <w:t>Rumeenias</w:t>
      </w:r>
      <w:r>
        <w:rPr>
          <w:rFonts w:ascii="Times New Roman" w:hAnsi="Times New Roman"/>
          <w:i/>
          <w:iCs/>
          <w:color w:val="000000" w:themeColor="text1"/>
          <w:sz w:val="20"/>
          <w:szCs w:val="20"/>
        </w:rPr>
        <w:t xml:space="preserve"> kuni 1 804 eurot </w:t>
      </w:r>
      <w:r>
        <w:rPr>
          <w:rFonts w:ascii="Times New Roman" w:hAnsi="Times New Roman"/>
          <w:b/>
          <w:i/>
          <w:iCs/>
          <w:color w:val="000000" w:themeColor="text1"/>
          <w:sz w:val="20"/>
          <w:szCs w:val="20"/>
        </w:rPr>
        <w:t>Luksemburgis</w:t>
      </w:r>
      <w:r>
        <w:rPr>
          <w:rFonts w:ascii="Times New Roman" w:hAnsi="Times New Roman"/>
          <w:i/>
          <w:iCs/>
          <w:color w:val="000000" w:themeColor="text1"/>
          <w:sz w:val="20"/>
          <w:szCs w:val="20"/>
        </w:rPr>
        <w:t xml:space="preserve">). </w:t>
      </w:r>
      <w:r>
        <w:rPr>
          <w:rFonts w:ascii="Times New Roman" w:hAnsi="Times New Roman"/>
          <w:b/>
          <w:bCs/>
          <w:i/>
          <w:iCs/>
          <w:color w:val="000000" w:themeColor="text1"/>
          <w:sz w:val="20"/>
          <w:szCs w:val="20"/>
        </w:rPr>
        <w:t>Belgia</w:t>
      </w:r>
      <w:r>
        <w:rPr>
          <w:rFonts w:ascii="Times New Roman" w:hAnsi="Times New Roman"/>
          <w:i/>
          <w:iCs/>
          <w:color w:val="000000" w:themeColor="text1"/>
          <w:sz w:val="20"/>
          <w:szCs w:val="20"/>
        </w:rPr>
        <w:t xml:space="preserve">, </w:t>
      </w:r>
      <w:r>
        <w:rPr>
          <w:rFonts w:ascii="Times New Roman" w:hAnsi="Times New Roman"/>
          <w:b/>
          <w:i/>
          <w:iCs/>
          <w:color w:val="000000" w:themeColor="text1"/>
          <w:sz w:val="20"/>
          <w:szCs w:val="20"/>
        </w:rPr>
        <w:t>Kreeka</w:t>
      </w:r>
      <w:r>
        <w:rPr>
          <w:rFonts w:ascii="Times New Roman" w:hAnsi="Times New Roman"/>
          <w:i/>
          <w:iCs/>
          <w:color w:val="000000" w:themeColor="text1"/>
          <w:sz w:val="20"/>
          <w:szCs w:val="20"/>
        </w:rPr>
        <w:t xml:space="preserve"> ja </w:t>
      </w:r>
      <w:r>
        <w:rPr>
          <w:rFonts w:ascii="Times New Roman" w:hAnsi="Times New Roman"/>
          <w:b/>
          <w:bCs/>
          <w:i/>
          <w:iCs/>
          <w:color w:val="000000" w:themeColor="text1"/>
          <w:sz w:val="20"/>
          <w:szCs w:val="20"/>
        </w:rPr>
        <w:t>Rumeenia:</w:t>
      </w:r>
      <w:r>
        <w:rPr>
          <w:rFonts w:ascii="Times New Roman" w:hAnsi="Times New Roman"/>
          <w:i/>
          <w:iCs/>
          <w:color w:val="000000" w:themeColor="text1"/>
          <w:sz w:val="20"/>
          <w:szCs w:val="20"/>
        </w:rPr>
        <w:t xml:space="preserve"> ei esitatud andmeid kohtulõivude kohta väikese nõude korral. </w:t>
      </w:r>
      <w:r>
        <w:rPr>
          <w:rFonts w:ascii="Times New Roman" w:hAnsi="Times New Roman"/>
          <w:b/>
          <w:bCs/>
          <w:i/>
          <w:iCs/>
          <w:color w:val="000000" w:themeColor="text1"/>
          <w:sz w:val="20"/>
          <w:szCs w:val="20"/>
        </w:rPr>
        <w:t>Luksemburg:</w:t>
      </w:r>
      <w:r>
        <w:rPr>
          <w:rFonts w:ascii="Times New Roman" w:hAnsi="Times New Roman"/>
          <w:i/>
          <w:iCs/>
          <w:color w:val="000000" w:themeColor="text1"/>
          <w:sz w:val="20"/>
          <w:szCs w:val="20"/>
        </w:rPr>
        <w:t xml:space="preserve"> menetlusosalised peavad menetluse alustamiseks hagejana tasuma kohtutäituri tasu, kui nad ei saa tasuta õigusabi. </w:t>
      </w:r>
      <w:r>
        <w:rPr>
          <w:rFonts w:ascii="Times New Roman" w:hAnsi="Times New Roman"/>
          <w:b/>
          <w:bCs/>
          <w:i/>
          <w:iCs/>
          <w:color w:val="000000" w:themeColor="text1"/>
          <w:sz w:val="20"/>
          <w:szCs w:val="20"/>
        </w:rPr>
        <w:t>Madalmaad:</w:t>
      </w:r>
      <w:r>
        <w:rPr>
          <w:rFonts w:ascii="Times New Roman" w:hAnsi="Times New Roman"/>
          <w:i/>
          <w:iCs/>
          <w:color w:val="000000" w:themeColor="text1"/>
          <w:sz w:val="20"/>
          <w:szCs w:val="20"/>
        </w:rPr>
        <w:t xml:space="preserve"> kohtulõiv juhul, kui sissetulek on alla 2 275 euro kuus. </w:t>
      </w:r>
    </w:p>
    <w:p>
      <w:pPr>
        <w:spacing w:before="240" w:after="0" w:line="240" w:lineRule="auto"/>
        <w:jc w:val="both"/>
        <w:rPr>
          <w:rFonts w:ascii="Times New Roman" w:eastAsia="Calibri" w:hAnsi="Times New Roman" w:cs="Times New Roman"/>
          <w:sz w:val="24"/>
          <w:szCs w:val="24"/>
        </w:rPr>
      </w:pPr>
    </w:p>
    <w:p>
      <w:pPr>
        <w:jc w:val="both"/>
        <w:rPr>
          <w:rFonts w:ascii="Times New Roman" w:eastAsia="Calibri" w:hAnsi="Times New Roman" w:cs="Times New Roman"/>
          <w:sz w:val="24"/>
          <w:szCs w:val="24"/>
        </w:rPr>
      </w:pPr>
      <w:r>
        <w:br w:type="page"/>
      </w:r>
    </w:p>
    <w:p>
      <w:pPr>
        <w:spacing w:before="240"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Lepingute täitmise tõhus tagamine on majandusele väga oluline. Kohtuvaidlusega seotud tegelike kulude hüvitamise tõenäosus tugevdab lepingu täitmise tagamist taotleva võlausaldaja positsiooni. Tavaliselt peab võlausaldajast hageja tasuma hagi kohtusse esitamise eest kohtulõivu. Üldjuhul kohustab kohus kaotanud kostjat võitnud hagejale tema ette makstud kohtulõivu </w:t>
      </w:r>
      <w:r>
        <w:rPr>
          <w:rFonts w:ascii="Times New Roman" w:hAnsi="Times New Roman"/>
          <w:color w:val="000000" w:themeColor="text1"/>
          <w:sz w:val="24"/>
          <w:szCs w:val="24"/>
        </w:rPr>
        <w:t>täies ulatuses hüvitama</w:t>
      </w:r>
      <w:r>
        <w:rPr>
          <w:rFonts w:ascii="Times New Roman" w:hAnsi="Times New Roman"/>
          <w:sz w:val="24"/>
          <w:szCs w:val="24"/>
        </w:rPr>
        <w:t xml:space="preserve">. Joonisel 25 on näidatud kohtulõivu summa, mida on vaja kohtumenetluse alustamiseks teatavas tarbijavaidluses (vt joonealune märkus 59). </w:t>
      </w:r>
    </w:p>
    <w:p>
      <w:pPr>
        <w:keepNext/>
        <w:spacing w:before="240" w:after="0" w:line="240" w:lineRule="auto"/>
        <w:jc w:val="both"/>
        <w:rPr>
          <w:rFonts w:ascii="Times New Roman" w:eastAsia="Calibri" w:hAnsi="Times New Roman" w:cs="Times New Roman"/>
          <w:i/>
          <w:sz w:val="24"/>
          <w:szCs w:val="24"/>
        </w:rPr>
      </w:pPr>
      <w:r>
        <w:rPr>
          <w:rFonts w:ascii="Times New Roman" w:hAnsi="Times New Roman"/>
          <w:b/>
          <w:bCs/>
          <w:sz w:val="24"/>
          <w:szCs w:val="24"/>
        </w:rPr>
        <w:t>Joonis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sz w:val="24"/>
        </w:rPr>
        <w:t>25</w:t>
      </w:r>
      <w:r>
        <w:fldChar w:fldCharType="end"/>
      </w:r>
      <w:r>
        <w:rPr>
          <w:rFonts w:ascii="Times New Roman" w:hAnsi="Times New Roman"/>
          <w:b/>
          <w:bCs/>
          <w:sz w:val="24"/>
          <w:szCs w:val="24"/>
        </w:rPr>
        <w:t>. Kohtulõiv kohtumenetluse alustamiseks kaubandusasjas, 2019</w:t>
      </w:r>
      <w:r>
        <w:rPr>
          <w:rFonts w:ascii="Times New Roman" w:hAnsi="Times New Roman"/>
          <w:sz w:val="24"/>
          <w:szCs w:val="24"/>
        </w:rPr>
        <w:t>(</w:t>
      </w:r>
      <w:r>
        <w:rPr>
          <w:sz w:val="24"/>
          <w:szCs w:val="24"/>
        </w:rPr>
        <w:t>*</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w:t>
      </w:r>
      <w:r>
        <w:rPr>
          <w:rFonts w:ascii="Times New Roman" w:hAnsi="Times New Roman"/>
          <w:i/>
          <w:iCs/>
          <w:sz w:val="24"/>
          <w:szCs w:val="24"/>
        </w:rPr>
        <w:t>eurodes</w:t>
      </w:r>
      <w:r>
        <w:rPr>
          <w:rFonts w:ascii="Times New Roman" w:hAnsi="Times New Roman"/>
          <w:sz w:val="24"/>
          <w:szCs w:val="24"/>
        </w:rPr>
        <w:t xml:space="preserve">) </w:t>
      </w:r>
      <w:r>
        <w:rPr>
          <w:rFonts w:ascii="Times New Roman" w:hAnsi="Times New Roman"/>
          <w:i/>
          <w:iCs/>
          <w:sz w:val="24"/>
          <w:szCs w:val="24"/>
        </w:rPr>
        <w:t>(allikas: Euroopa Komisjon ning Euroopa Advokatuuride ja Õigusliitude Nõukogu(</w:t>
      </w:r>
      <w:r>
        <w:rPr>
          <w:rStyle w:val="FootnoteReference"/>
          <w:rFonts w:ascii="Times New Roman" w:eastAsia="Calibri" w:hAnsi="Times New Roman" w:cs="Times New Roman"/>
          <w:i/>
          <w:iCs/>
          <w:sz w:val="24"/>
          <w:szCs w:val="24"/>
        </w:rPr>
        <w:footnoteReference w:id="60"/>
      </w:r>
      <w:r>
        <w:rPr>
          <w:rFonts w:ascii="Times New Roman" w:hAnsi="Times New Roman"/>
          <w:i/>
          <w:iCs/>
          <w:sz w:val="24"/>
          <w:szCs w:val="24"/>
        </w:rPr>
        <w:t>))</w:t>
      </w:r>
    </w:p>
    <w:p>
      <w:pPr>
        <w:keepNext/>
        <w:spacing w:after="0" w:line="240" w:lineRule="auto"/>
        <w:jc w:val="both"/>
        <w:rPr>
          <w:rFonts w:ascii="Times New Roman" w:eastAsia="Calibri" w:hAnsi="Times New Roman" w:cs="Times New Roman"/>
          <w:i/>
          <w:color w:val="000000" w:themeColor="text1"/>
          <w:sz w:val="20"/>
          <w:szCs w:val="20"/>
        </w:rPr>
      </w:pPr>
      <w:r>
        <w:rPr>
          <w:lang w:val="en-GB" w:eastAsia="en-GB"/>
        </w:rPr>
        <w:drawing>
          <wp:inline distT="0" distB="0" distL="0" distR="0">
            <wp:extent cx="5977255" cy="3181538"/>
            <wp:effectExtent l="0" t="0" r="4445"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77255" cy="3181538"/>
                    </a:xfrm>
                    <a:prstGeom prst="rect">
                      <a:avLst/>
                    </a:prstGeom>
                    <a:noFill/>
                    <a:ln>
                      <a:noFill/>
                    </a:ln>
                  </pic:spPr>
                </pic:pic>
              </a:graphicData>
            </a:graphic>
          </wp:inline>
        </w:drawing>
      </w:r>
      <w:r>
        <w:rPr>
          <w:rFonts w:ascii="Times New Roman" w:hAnsi="Times New Roman"/>
          <w:i/>
          <w:iCs/>
          <w:color w:val="000000" w:themeColor="text1"/>
          <w:sz w:val="20"/>
          <w:szCs w:val="20"/>
        </w:rPr>
        <w:t xml:space="preserve">(*) Kohtulõivu hüvitamine otsustatakse </w:t>
      </w:r>
      <w:r>
        <w:rPr>
          <w:rFonts w:ascii="Times New Roman" w:hAnsi="Times New Roman"/>
          <w:b/>
          <w:bCs/>
          <w:i/>
          <w:iCs/>
          <w:color w:val="000000" w:themeColor="text1"/>
          <w:sz w:val="20"/>
          <w:szCs w:val="20"/>
        </w:rPr>
        <w:t xml:space="preserve">Hispaanias, Portugalis </w:t>
      </w:r>
      <w:r>
        <w:rPr>
          <w:rFonts w:ascii="Times New Roman" w:hAnsi="Times New Roman"/>
          <w:i/>
          <w:iCs/>
          <w:color w:val="000000" w:themeColor="text1"/>
          <w:sz w:val="20"/>
          <w:szCs w:val="20"/>
        </w:rPr>
        <w:t xml:space="preserve">ja </w:t>
      </w:r>
      <w:r>
        <w:rPr>
          <w:rFonts w:ascii="Times New Roman" w:hAnsi="Times New Roman"/>
          <w:b/>
          <w:bCs/>
          <w:i/>
          <w:iCs/>
          <w:color w:val="000000" w:themeColor="text1"/>
          <w:sz w:val="20"/>
          <w:szCs w:val="20"/>
        </w:rPr>
        <w:t>Rumeenias</w:t>
      </w:r>
      <w:r>
        <w:rPr>
          <w:rFonts w:ascii="Times New Roman" w:hAnsi="Times New Roman"/>
          <w:i/>
          <w:iCs/>
          <w:color w:val="000000" w:themeColor="text1"/>
          <w:sz w:val="20"/>
          <w:szCs w:val="20"/>
        </w:rPr>
        <w:t xml:space="preserve"> iga juhtumi puhul eraldi. </w:t>
      </w:r>
      <w:r>
        <w:rPr>
          <w:rFonts w:ascii="Times New Roman" w:hAnsi="Times New Roman"/>
          <w:b/>
          <w:bCs/>
          <w:i/>
          <w:iCs/>
          <w:color w:val="000000" w:themeColor="text1"/>
          <w:sz w:val="20"/>
          <w:szCs w:val="20"/>
        </w:rPr>
        <w:t>Kreekas</w:t>
      </w:r>
      <w:r>
        <w:rPr>
          <w:rFonts w:ascii="Times New Roman" w:hAnsi="Times New Roman"/>
          <w:i/>
          <w:iCs/>
          <w:color w:val="000000" w:themeColor="text1"/>
          <w:sz w:val="20"/>
          <w:szCs w:val="20"/>
        </w:rPr>
        <w:t xml:space="preserve"> ja </w:t>
      </w:r>
      <w:r>
        <w:rPr>
          <w:rFonts w:ascii="Times New Roman" w:hAnsi="Times New Roman"/>
          <w:b/>
          <w:bCs/>
          <w:i/>
          <w:iCs/>
          <w:color w:val="000000" w:themeColor="text1"/>
          <w:sz w:val="20"/>
          <w:szCs w:val="20"/>
        </w:rPr>
        <w:t>Ungaris</w:t>
      </w:r>
      <w:r>
        <w:rPr>
          <w:rFonts w:ascii="Times New Roman" w:hAnsi="Times New Roman"/>
          <w:i/>
          <w:iCs/>
          <w:color w:val="000000" w:themeColor="text1"/>
          <w:sz w:val="20"/>
          <w:szCs w:val="20"/>
        </w:rPr>
        <w:t xml:space="preserve"> ei ole kohustust võitnud poolele kohtulõiv täielikult hüvitada. </w:t>
      </w:r>
    </w:p>
    <w:p>
      <w:pPr>
        <w:spacing w:before="240"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Tavaliselt peab võlausaldaja oma advokaadi tasu ise ette maksma mitte ainult kohtumenetluse etapis, vaid ka juba enne seda etappi. Hüvitise puhul kohaldatakse enamikus liikmesriikides reeglit, mille kohaselt kohtuasja kaotanud pool peab lisaks enda õigusabikuludele tasuma ka võitnud poole kulud. Selline tasu hüvitamise reegel pärsib selliste kohtuasjade algatamist, mille võitmise tõenäosus on väike, julgustades samal ajal selliste kohtuasjade algatamist, mille võitmise tõenäosus on suur. Joonisel 26 on näidatud summa, mille kohus määraks võitnud hagejale teatava kaubandusvaidluse stsenaariumi puhul (vt joonealune märkus 60). On võimalik eristada kolme peamist süsteemi: 1) seadusest tulenevate tasude süsteemiga riikides oleneb õigusabikulude hüvitamine advokaadi töö eest ette nähtud seadusest tuleneva tasu summast, mis on liikmesriigiti väga erinev; 2) liikmesriikides, kus seadusest tulenevate tasude süsteemi ei kasutata, hüvitatakse õigusabikulud kas täielikult (Ungari, Portugal, Soome) või osaliselt (Poola, Läti, Luksemburg) ning 3) mitmes liikmesriigis otsustab hüvitamise kohus iga juhtumi puhul eraldi. </w:t>
      </w:r>
    </w:p>
    <w:p>
      <w:pPr>
        <w:keepNext/>
        <w:spacing w:before="240" w:after="120" w:line="240" w:lineRule="auto"/>
        <w:jc w:val="both"/>
        <w:rPr>
          <w:rFonts w:ascii="Times New Roman" w:eastAsia="Calibri" w:hAnsi="Times New Roman" w:cs="Times New Roman"/>
          <w:i/>
          <w:sz w:val="24"/>
          <w:szCs w:val="24"/>
        </w:rPr>
      </w:pPr>
      <w:r>
        <w:rPr>
          <w:rFonts w:ascii="Times New Roman" w:hAnsi="Times New Roman"/>
          <w:b/>
          <w:bCs/>
          <w:sz w:val="24"/>
          <w:szCs w:val="24"/>
        </w:rPr>
        <w:t>Joonis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sz w:val="24"/>
        </w:rPr>
        <w:t>26</w:t>
      </w:r>
      <w:r>
        <w:fldChar w:fldCharType="end"/>
      </w:r>
      <w:r>
        <w:rPr>
          <w:rFonts w:ascii="Times New Roman" w:hAnsi="Times New Roman"/>
          <w:b/>
          <w:bCs/>
          <w:sz w:val="24"/>
          <w:szCs w:val="24"/>
        </w:rPr>
        <w:t>. Õigusabikulude hüvitamine kaubandusvaidluse puhul, 2019(*)</w:t>
      </w:r>
      <w:r>
        <w:rPr>
          <w:rFonts w:ascii="Times New Roman" w:hAnsi="Times New Roman"/>
          <w:sz w:val="24"/>
          <w:szCs w:val="24"/>
        </w:rPr>
        <w:t xml:space="preserve"> (eurodes) </w:t>
      </w:r>
      <w:r>
        <w:rPr>
          <w:rFonts w:ascii="Times New Roman" w:hAnsi="Times New Roman"/>
          <w:i/>
          <w:iCs/>
          <w:sz w:val="24"/>
          <w:szCs w:val="24"/>
        </w:rPr>
        <w:t xml:space="preserve">(allikas: </w:t>
      </w:r>
      <w:r>
        <w:rPr>
          <w:rFonts w:ascii="Times New Roman" w:hAnsi="Times New Roman"/>
          <w:sz w:val="24"/>
          <w:szCs w:val="24"/>
        </w:rPr>
        <w:t>Euroopa Komisjon ning Euroopa Advokatuuride ja Õigusliitude Nõukogu(</w:t>
      </w:r>
      <w:r>
        <w:rPr>
          <w:rFonts w:ascii="Times New Roman" w:eastAsia="Calibri" w:hAnsi="Times New Roman" w:cs="Times New Roman"/>
          <w:sz w:val="24"/>
          <w:szCs w:val="24"/>
          <w:vertAlign w:val="superscript"/>
        </w:rPr>
        <w:footnoteReference w:id="61"/>
      </w:r>
      <w:r>
        <w:rPr>
          <w:rFonts w:ascii="Times New Roman" w:hAnsi="Times New Roman"/>
          <w:sz w:val="24"/>
          <w:szCs w:val="24"/>
        </w:rPr>
        <w:t>))</w:t>
      </w:r>
      <w:r>
        <w:rPr>
          <w:rFonts w:ascii="Times New Roman" w:hAnsi="Times New Roman"/>
          <w:i/>
          <w:iCs/>
          <w:sz w:val="24"/>
          <w:szCs w:val="24"/>
        </w:rPr>
        <w:t xml:space="preserve"> </w:t>
      </w:r>
    </w:p>
    <w:p>
      <w:pPr>
        <w:keepNext/>
        <w:spacing w:after="0" w:line="240" w:lineRule="auto"/>
        <w:jc w:val="both"/>
        <w:rPr>
          <w:rFonts w:ascii="Times New Roman" w:eastAsia="Calibri" w:hAnsi="Times New Roman" w:cs="Times New Roman"/>
          <w:i/>
          <w:iCs/>
          <w:color w:val="000000" w:themeColor="text1"/>
          <w:sz w:val="20"/>
          <w:szCs w:val="20"/>
        </w:rPr>
      </w:pPr>
      <w:r>
        <w:rPr>
          <w:lang w:val="en-GB" w:eastAsia="en-GB"/>
        </w:rPr>
        <w:drawing>
          <wp:inline distT="0" distB="0" distL="0" distR="0">
            <wp:extent cx="5977255" cy="2870920"/>
            <wp:effectExtent l="0" t="0" r="4445" b="571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77255" cy="2870920"/>
                    </a:xfrm>
                    <a:prstGeom prst="rect">
                      <a:avLst/>
                    </a:prstGeom>
                    <a:noFill/>
                    <a:ln>
                      <a:noFill/>
                    </a:ln>
                  </pic:spPr>
                </pic:pic>
              </a:graphicData>
            </a:graphic>
          </wp:inline>
        </w:drawing>
      </w:r>
    </w:p>
    <w:p>
      <w:pPr>
        <w:keepNext/>
        <w:spacing w:after="0" w:line="240" w:lineRule="auto"/>
        <w:jc w:val="both"/>
        <w:rPr>
          <w:rFonts w:ascii="Times New Roman" w:eastAsia="Calibri" w:hAnsi="Times New Roman" w:cs="Times New Roman"/>
          <w:i/>
          <w:color w:val="000000" w:themeColor="text1"/>
          <w:sz w:val="20"/>
          <w:szCs w:val="20"/>
        </w:rPr>
      </w:pPr>
      <w:r>
        <w:rPr>
          <w:rFonts w:ascii="Times New Roman" w:hAnsi="Times New Roman"/>
          <w:i/>
          <w:iCs/>
          <w:color w:val="000000" w:themeColor="text1"/>
          <w:sz w:val="20"/>
          <w:szCs w:val="20"/>
        </w:rPr>
        <w:t xml:space="preserve">(*) Selle näitaja puhul ei sisalda õigusabikulud menetluskulusid ja käibemaksu (kui need tuleb tasuda). Hüpoteetiline õigusabikulu stsenaariumis ette nähtud kohtuetapi eest on 1 650 eurot. Süsteemides, kus seadusest tulenevat tasu ei kohaldata, tähendab täielik hüvitamine, et see summa (1 650 eurot) võidakse välja mõista. Osalist hüvitamist kohaldavad liikmesriigid (Poola, Läti, Luksemburg) on reastatud välja mõistetava õigusabikulu suuruse alusel (suurimast vähimani, summad varieeruvad 1 275 ja 500 euro vahel). Joonis ei sisalda teavet kohtueelse etapi õigusabikulude hüvitamise kohta, mida ei ole kõikides liikmesriikides ette nähtud. </w:t>
      </w:r>
      <w:r>
        <w:rPr>
          <w:rFonts w:ascii="Times New Roman" w:hAnsi="Times New Roman"/>
          <w:b/>
          <w:bCs/>
          <w:i/>
          <w:iCs/>
          <w:color w:val="000000" w:themeColor="text1"/>
          <w:sz w:val="20"/>
          <w:szCs w:val="20"/>
        </w:rPr>
        <w:t>Austria</w:t>
      </w:r>
      <w:r>
        <w:rPr>
          <w:rFonts w:ascii="Times New Roman" w:hAnsi="Times New Roman"/>
          <w:i/>
          <w:iCs/>
          <w:color w:val="000000" w:themeColor="text1"/>
          <w:sz w:val="20"/>
          <w:szCs w:val="20"/>
        </w:rPr>
        <w:t xml:space="preserve">: stsenaariumi ei saa Austria hüvitamissüsteemile täielikult kohaldada. </w:t>
      </w:r>
      <w:r>
        <w:rPr>
          <w:rFonts w:ascii="Times New Roman" w:hAnsi="Times New Roman"/>
          <w:b/>
          <w:bCs/>
          <w:i/>
          <w:iCs/>
          <w:color w:val="000000" w:themeColor="text1"/>
          <w:sz w:val="20"/>
          <w:szCs w:val="20"/>
        </w:rPr>
        <w:t>Malta</w:t>
      </w:r>
      <w:r>
        <w:rPr>
          <w:rFonts w:ascii="Times New Roman" w:hAnsi="Times New Roman"/>
          <w:i/>
          <w:iCs/>
          <w:color w:val="000000" w:themeColor="text1"/>
          <w:sz w:val="20"/>
          <w:szCs w:val="20"/>
        </w:rPr>
        <w:t xml:space="preserve">: Maltal ei kasutata tunnipõhist õigusabikulu, hüvitamise üle otsustatakse nõude suuruse alusel. </w:t>
      </w:r>
      <w:r>
        <w:rPr>
          <w:rFonts w:ascii="Times New Roman" w:hAnsi="Times New Roman"/>
          <w:b/>
          <w:bCs/>
          <w:i/>
          <w:iCs/>
          <w:color w:val="000000" w:themeColor="text1"/>
          <w:sz w:val="20"/>
          <w:szCs w:val="20"/>
        </w:rPr>
        <w:t>Itaalia</w:t>
      </w:r>
      <w:r>
        <w:rPr>
          <w:rFonts w:ascii="Times New Roman" w:hAnsi="Times New Roman"/>
          <w:i/>
          <w:iCs/>
          <w:color w:val="000000" w:themeColor="text1"/>
          <w:sz w:val="20"/>
          <w:szCs w:val="20"/>
        </w:rPr>
        <w:t xml:space="preserve">: Itaalias kehtib seadusest tulenev tasu (stsenaariumis 3 235 eurot), kuid kohus võib hüvitamise otsustada etteantud piirides. </w:t>
      </w:r>
      <w:r>
        <w:rPr>
          <w:rFonts w:ascii="Times New Roman" w:hAnsi="Times New Roman"/>
          <w:b/>
          <w:bCs/>
          <w:i/>
          <w:iCs/>
          <w:color w:val="000000" w:themeColor="text1"/>
          <w:sz w:val="20"/>
          <w:szCs w:val="20"/>
        </w:rPr>
        <w:t>Leedu</w:t>
      </w:r>
      <w:r>
        <w:rPr>
          <w:rFonts w:ascii="Times New Roman" w:hAnsi="Times New Roman"/>
          <w:i/>
          <w:iCs/>
          <w:color w:val="000000" w:themeColor="text1"/>
          <w:sz w:val="20"/>
          <w:szCs w:val="20"/>
        </w:rPr>
        <w:t xml:space="preserve">: kohus võtab otsuse tegemisel arvesse justiitsministeeriumi suuniseid, stsenaariumi puhul oleks maksimumsumma 3 350 eurot. </w:t>
      </w:r>
    </w:p>
    <w:p>
      <w:pPr>
        <w:keepNext/>
        <w:spacing w:after="0" w:line="240" w:lineRule="auto"/>
        <w:jc w:val="both"/>
        <w:rPr>
          <w:rFonts w:ascii="Times New Roman" w:eastAsia="Calibri" w:hAnsi="Times New Roman" w:cs="Times New Roman"/>
          <w:i/>
          <w:color w:val="000000" w:themeColor="text1"/>
          <w:sz w:val="20"/>
          <w:szCs w:val="20"/>
        </w:rPr>
      </w:pPr>
      <w:r>
        <w:rPr>
          <w:rFonts w:ascii="Times New Roman" w:hAnsi="Times New Roman"/>
          <w:i/>
          <w:iCs/>
          <w:color w:val="000000" w:themeColor="text1"/>
          <w:sz w:val="20"/>
          <w:szCs w:val="20"/>
        </w:rPr>
        <w:t xml:space="preserve"> </w:t>
      </w:r>
    </w:p>
    <w:p>
      <w:pPr>
        <w:spacing w:before="240" w:after="120" w:line="240" w:lineRule="auto"/>
        <w:jc w:val="both"/>
        <w:rPr>
          <w:rFonts w:ascii="Times New Roman" w:eastAsia="Calibri" w:hAnsi="Times New Roman" w:cs="Times New Roman"/>
          <w:i/>
        </w:rPr>
      </w:pPr>
      <w:r>
        <w:rPr>
          <w:rFonts w:ascii="Times New Roman" w:hAnsi="Times New Roman"/>
          <w:i/>
        </w:rPr>
        <w:t>–</w:t>
      </w:r>
      <w:r>
        <w:rPr>
          <w:rFonts w:ascii="Times New Roman" w:hAnsi="Times New Roman"/>
          <w:i/>
          <w:sz w:val="24"/>
        </w:rPr>
        <w:t xml:space="preserve"> Nõude esitamine ja jälgimine veebis </w:t>
      </w:r>
      <w:bookmarkEnd w:id="343"/>
      <w:bookmarkEnd w:id="344"/>
      <w:bookmarkEnd w:id="345"/>
      <w:bookmarkEnd w:id="346"/>
      <w:r>
        <w:rPr>
          <w:rFonts w:ascii="Times New Roman" w:hAnsi="Times New Roman"/>
          <w:i/>
        </w:rPr>
        <w:t>–</w:t>
      </w:r>
    </w:p>
    <w:p>
      <w:pPr>
        <w:spacing w:after="0" w:line="240" w:lineRule="auto"/>
        <w:jc w:val="both"/>
        <w:rPr>
          <w:rFonts w:ascii="Times New Roman" w:hAnsi="Times New Roman" w:cs="Times New Roman"/>
          <w:sz w:val="24"/>
        </w:rPr>
      </w:pPr>
      <w:r>
        <w:rPr>
          <w:rFonts w:ascii="Times New Roman" w:hAnsi="Times New Roman"/>
          <w:sz w:val="24"/>
        </w:rPr>
        <w:t xml:space="preserve">Võimalus kasutada kohtumenetluse teatavate etappide läbimiseks elektroonilisi vahendeid on oluline kohtusüsteemi kvaliteedi näitaja, sest nõuete elektrooniline esitamine ning võimalus veebi teel menetlust jälgida ja toiminguid teha võib lihtsustada juurdepääsu õigusemõistmisele ning vähendada viivitusi ja kulusid. Kohtute IKT-süsteemidel on ka üha suurem roll õigusasutuste vahelises piiriüleses koostöös ning need hõlbustavad ELi õigusaktide, näiteks väiksemate nõuete menetlust käsitlevate õigusaktide rakendamist. </w:t>
      </w:r>
      <w:bookmarkStart w:id="347" w:name="_Ref441218509"/>
      <w:bookmarkStart w:id="348" w:name="_Ref442360381"/>
    </w:p>
    <w:p>
      <w:pPr>
        <w:spacing w:line="240" w:lineRule="auto"/>
        <w:jc w:val="both"/>
        <w:rPr>
          <w:rFonts w:ascii="Times New Roman" w:eastAsia="Calibri" w:hAnsi="Times New Roman" w:cs="Times New Roman"/>
          <w:b/>
          <w:bCs/>
          <w:sz w:val="24"/>
          <w:szCs w:val="24"/>
        </w:rPr>
      </w:pPr>
      <w:r>
        <w:br w:type="page"/>
      </w:r>
    </w:p>
    <w:p>
      <w:pPr>
        <w:spacing w:before="240" w:after="120" w:line="240" w:lineRule="auto"/>
        <w:jc w:val="both"/>
        <w:rPr>
          <w:rFonts w:ascii="Times New Roman" w:eastAsia="Calibri" w:hAnsi="Times New Roman" w:cs="Times New Roman"/>
          <w:i/>
          <w:iCs/>
          <w:sz w:val="24"/>
          <w:szCs w:val="24"/>
        </w:rPr>
      </w:pPr>
      <w:r>
        <w:rPr>
          <w:rFonts w:ascii="Times New Roman" w:hAnsi="Times New Roman"/>
          <w:b/>
          <w:bCs/>
          <w:sz w:val="24"/>
          <w:szCs w:val="24"/>
        </w:rPr>
        <w:t>Joonis </w:t>
      </w:r>
      <w:r>
        <w:fldChar w:fldCharType="begin"/>
      </w:r>
      <w:r>
        <w:rPr>
          <w:rFonts w:ascii="Times New Roman" w:eastAsia="Calibri" w:hAnsi="Times New Roman" w:cs="Times New Roman"/>
          <w:b/>
          <w:sz w:val="24"/>
          <w:szCs w:val="24"/>
        </w:rPr>
        <w:instrText xml:space="preserve"> SEQ Figure \* ARABIC </w:instrText>
      </w:r>
      <w:r>
        <w:rPr>
          <w:rFonts w:ascii="Times New Roman" w:eastAsia="Calibri" w:hAnsi="Times New Roman" w:cs="Times New Roman"/>
          <w:b/>
          <w:sz w:val="24"/>
          <w:szCs w:val="24"/>
        </w:rPr>
        <w:fldChar w:fldCharType="separate"/>
      </w:r>
      <w:r>
        <w:rPr>
          <w:rFonts w:ascii="Times New Roman" w:eastAsia="Calibri" w:hAnsi="Times New Roman" w:cs="Times New Roman"/>
          <w:b/>
          <w:sz w:val="24"/>
          <w:szCs w:val="24"/>
        </w:rPr>
        <w:t>27</w:t>
      </w:r>
      <w:r>
        <w:fldChar w:fldCharType="end"/>
      </w:r>
      <w:bookmarkEnd w:id="347"/>
      <w:bookmarkEnd w:id="348"/>
      <w:r>
        <w:rPr>
          <w:rFonts w:ascii="Times New Roman" w:hAnsi="Times New Roman"/>
          <w:b/>
          <w:bCs/>
          <w:sz w:val="24"/>
          <w:szCs w:val="24"/>
        </w:rPr>
        <w:t>. Elektrooniliste vahendite kättesaadavus, 2018</w:t>
      </w:r>
      <w:r>
        <w:rPr>
          <w:rFonts w:ascii="Times New Roman" w:hAnsi="Times New Roman"/>
          <w:sz w:val="24"/>
          <w:szCs w:val="24"/>
        </w:rPr>
        <w:t>(*)</w:t>
      </w:r>
      <w:r>
        <w:rPr>
          <w:rFonts w:ascii="Times New Roman" w:hAnsi="Times New Roman"/>
          <w:i/>
          <w:iCs/>
          <w:sz w:val="24"/>
          <w:szCs w:val="24"/>
        </w:rPr>
        <w:t xml:space="preserve"> (0 = võimalik 0 % kohtutes, 4 = võimalik 100% kohtutes(</w:t>
      </w:r>
      <w:r>
        <w:rPr>
          <w:rFonts w:ascii="Times New Roman" w:eastAsia="Calibri" w:hAnsi="Times New Roman" w:cs="Times New Roman"/>
          <w:i/>
          <w:iCs/>
          <w:sz w:val="24"/>
          <w:szCs w:val="24"/>
          <w:vertAlign w:val="superscript"/>
        </w:rPr>
        <w:footnoteReference w:id="62"/>
      </w:r>
      <w:r>
        <w:rPr>
          <w:rFonts w:ascii="Times New Roman" w:hAnsi="Times New Roman"/>
          <w:i/>
          <w:iCs/>
          <w:sz w:val="24"/>
          <w:szCs w:val="24"/>
        </w:rPr>
        <w:t>)) (allikas: CEPEJ uuring)</w:t>
      </w:r>
    </w:p>
    <w:p>
      <w:pPr>
        <w:spacing w:after="0" w:line="240" w:lineRule="auto"/>
        <w:contextualSpacing/>
        <w:jc w:val="both"/>
        <w:rPr>
          <w:rFonts w:ascii="Times New Roman" w:eastAsia="Calibri" w:hAnsi="Times New Roman" w:cs="Times New Roman"/>
          <w:i/>
          <w:sz w:val="20"/>
        </w:rPr>
      </w:pPr>
      <w:r>
        <w:rPr>
          <w:lang w:val="en-GB" w:eastAsia="en-GB"/>
        </w:rPr>
        <w:drawing>
          <wp:inline distT="0" distB="0" distL="0" distR="0">
            <wp:extent cx="5977255" cy="1842612"/>
            <wp:effectExtent l="0" t="0" r="4445" b="571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77255" cy="1842612"/>
                    </a:xfrm>
                    <a:prstGeom prst="rect">
                      <a:avLst/>
                    </a:prstGeom>
                    <a:noFill/>
                    <a:ln>
                      <a:noFill/>
                    </a:ln>
                  </pic:spPr>
                </pic:pic>
              </a:graphicData>
            </a:graphic>
          </wp:inline>
        </w:drawing>
      </w:r>
    </w:p>
    <w:p>
      <w:pPr>
        <w:spacing w:after="0" w:line="240" w:lineRule="auto"/>
        <w:contextualSpacing/>
        <w:jc w:val="both"/>
        <w:rPr>
          <w:rFonts w:ascii="Times New Roman" w:eastAsia="Calibri" w:hAnsi="Times New Roman" w:cs="Times New Roman"/>
          <w:i/>
          <w:sz w:val="20"/>
          <w:szCs w:val="20"/>
          <w:highlight w:val="yellow"/>
        </w:rPr>
      </w:pPr>
      <w:r>
        <w:rPr>
          <w:rFonts w:ascii="Times New Roman" w:hAnsi="Times New Roman"/>
          <w:i/>
          <w:sz w:val="20"/>
        </w:rPr>
        <w:t xml:space="preserve">(*) </w:t>
      </w:r>
      <w:r>
        <w:rPr>
          <w:rFonts w:ascii="Times New Roman" w:hAnsi="Times New Roman"/>
          <w:i/>
          <w:sz w:val="20"/>
          <w:szCs w:val="20"/>
        </w:rPr>
        <w:t xml:space="preserve">Uus metoodika, andmed ei ole eelmiste aastatega võrreldavad. </w:t>
      </w:r>
      <w:r>
        <w:rPr>
          <w:rFonts w:ascii="Times New Roman" w:hAnsi="Times New Roman"/>
          <w:b/>
          <w:bCs/>
          <w:i/>
          <w:sz w:val="20"/>
          <w:szCs w:val="20"/>
        </w:rPr>
        <w:t>Taani</w:t>
      </w:r>
      <w:r>
        <w:rPr>
          <w:rFonts w:ascii="Times New Roman" w:hAnsi="Times New Roman"/>
          <w:i/>
          <w:sz w:val="20"/>
          <w:szCs w:val="20"/>
        </w:rPr>
        <w:t xml:space="preserve"> ja </w:t>
      </w:r>
      <w:r>
        <w:rPr>
          <w:rFonts w:ascii="Times New Roman" w:hAnsi="Times New Roman"/>
          <w:b/>
          <w:bCs/>
          <w:i/>
          <w:sz w:val="20"/>
          <w:szCs w:val="20"/>
        </w:rPr>
        <w:t>Rumeenia</w:t>
      </w:r>
      <w:r>
        <w:rPr>
          <w:rFonts w:ascii="Times New Roman" w:hAnsi="Times New Roman"/>
          <w:i/>
          <w:sz w:val="20"/>
          <w:szCs w:val="20"/>
        </w:rPr>
        <w:t xml:space="preserve">: kohtuasja võib alustada e-kirja teel. </w:t>
      </w:r>
    </w:p>
    <w:p>
      <w:pPr>
        <w:spacing w:before="240" w:after="120" w:line="240" w:lineRule="auto"/>
        <w:jc w:val="both"/>
        <w:rPr>
          <w:rFonts w:ascii="Times New Roman" w:eastAsia="Calibri" w:hAnsi="Times New Roman" w:cs="Helvetica Neue"/>
          <w:i/>
          <w:color w:val="000000"/>
          <w:sz w:val="24"/>
          <w:szCs w:val="24"/>
        </w:rPr>
      </w:pPr>
      <w:r>
        <w:rPr>
          <w:rFonts w:ascii="Times New Roman" w:hAnsi="Times New Roman"/>
          <w:i/>
          <w:sz w:val="24"/>
          <w:szCs w:val="24"/>
        </w:rPr>
        <w:t>– Juurdepääs kohtuotsustele –</w:t>
      </w:r>
    </w:p>
    <w:p>
      <w:pPr>
        <w:spacing w:after="120" w:line="240" w:lineRule="auto"/>
        <w:jc w:val="both"/>
        <w:rPr>
          <w:rFonts w:ascii="Times New Roman" w:eastAsia="Calibri" w:hAnsi="Times New Roman" w:cs="Helvetica Neue"/>
          <w:color w:val="000000"/>
          <w:sz w:val="24"/>
          <w:szCs w:val="24"/>
        </w:rPr>
      </w:pPr>
      <w:r>
        <w:rPr>
          <w:rFonts w:ascii="Times New Roman" w:hAnsi="Times New Roman"/>
          <w:color w:val="000000"/>
          <w:sz w:val="24"/>
          <w:szCs w:val="24"/>
        </w:rPr>
        <w:t>Kohtuotsustele veebi kaudu juurdepääsu tagamine parandab kohtusüsteemi läbipaistvust, aitab kodanikel ja ettevõtjatel aru saada oma õigustest ning võib aidata suurendada kohtupraktika ühtsust. Kohtuotsuste veebis avaldamise kord on oluline selleks, et luua kasutajakeskseid otsingusüsteeme,(</w:t>
      </w:r>
      <w:r>
        <w:rPr>
          <w:rStyle w:val="FootnoteReference"/>
          <w:rFonts w:ascii="Times New Roman" w:eastAsia="Calibri" w:hAnsi="Times New Roman" w:cs="Helvetica Neue"/>
          <w:color w:val="000000"/>
          <w:sz w:val="24"/>
          <w:szCs w:val="24"/>
        </w:rPr>
        <w:footnoteReference w:id="63"/>
      </w:r>
      <w:r>
        <w:rPr>
          <w:rFonts w:ascii="Times New Roman" w:hAnsi="Times New Roman"/>
          <w:color w:val="000000"/>
          <w:sz w:val="24"/>
          <w:szCs w:val="24"/>
        </w:rPr>
        <w:t xml:space="preserve">) mis muudavad kohtupraktika õigusala töötajatele ja üldsusele kättesaadavamaks. Sujuv juurdepääs kohtupraktikale ja selle hõlbus taaskasutamine võimaldab luua uuenduslikke õigustehnilisi rakendusi, mis toetavad õigusala töötajaid. </w:t>
      </w:r>
    </w:p>
    <w:p>
      <w:pPr>
        <w:spacing w:after="120" w:line="240" w:lineRule="auto"/>
        <w:jc w:val="both"/>
        <w:rPr>
          <w:rFonts w:ascii="Times New Roman" w:eastAsia="Calibri" w:hAnsi="Times New Roman" w:cs="Helvetica Neue"/>
          <w:color w:val="000000"/>
          <w:sz w:val="24"/>
          <w:szCs w:val="24"/>
        </w:rPr>
      </w:pPr>
      <w:r>
        <w:rPr>
          <w:rFonts w:ascii="Times New Roman" w:hAnsi="Times New Roman"/>
          <w:color w:val="000000"/>
          <w:sz w:val="24"/>
          <w:szCs w:val="24"/>
        </w:rPr>
        <w:t>Kohtuotsuste veebis avaldamisel tuleb õigus- ja poliitikaraamistikega seatud piirides arvestada mitmesuguste huvidega. Kui kohtud töötlevad isikuandmeid, kohaldatakse selle suhtes täielikult isikuandmete kaitse üldmäärust(</w:t>
      </w:r>
      <w:r>
        <w:rPr>
          <w:rStyle w:val="FootnoteReference"/>
          <w:rFonts w:ascii="Times New Roman" w:eastAsia="Calibri" w:hAnsi="Times New Roman" w:cs="Helvetica Neue"/>
          <w:color w:val="000000"/>
          <w:sz w:val="24"/>
          <w:szCs w:val="24"/>
        </w:rPr>
        <w:footnoteReference w:id="64"/>
      </w:r>
      <w:r>
        <w:rPr>
          <w:rFonts w:ascii="Times New Roman" w:hAnsi="Times New Roman"/>
          <w:color w:val="000000"/>
          <w:sz w:val="24"/>
          <w:szCs w:val="24"/>
        </w:rPr>
        <w:t>). Selle hindamisel, millised andmed avalikustada, tuleb omavahel kaaluda õigust andmekaitsele ja isikukajastuse kontrollile kohtuotsustes ning kohtusüsteemi läbipaistvust. See kehtib eriti juhul, kui tegemist on valdava avaliku huviga, mis õigustab selliste andmete avaldamist. Paljudes riikides nõuab seadus või praktika kohtuotsuste anonüümimist või pseudonüümimist(</w:t>
      </w:r>
      <w:r>
        <w:rPr>
          <w:rStyle w:val="FootnoteReference"/>
          <w:rFonts w:ascii="Times New Roman" w:eastAsia="Calibri" w:hAnsi="Times New Roman" w:cs="Helvetica Neue"/>
          <w:color w:val="000000"/>
          <w:sz w:val="24"/>
          <w:szCs w:val="24"/>
        </w:rPr>
        <w:footnoteReference w:id="65"/>
      </w:r>
      <w:r>
        <w:rPr>
          <w:rFonts w:ascii="Times New Roman" w:hAnsi="Times New Roman"/>
          <w:color w:val="000000"/>
          <w:sz w:val="24"/>
          <w:szCs w:val="24"/>
        </w:rPr>
        <w:t>) enne avaldamist kas süsteemselt või taotluse alusel. Kohtusüsteemis toodetud andmeid reguleeritakse ka Euroopa õigusaktidega, mis käsitlevad avatud andmeid ja avaliku sektori teabe taaskasutamist(</w:t>
      </w:r>
      <w:r>
        <w:rPr>
          <w:rStyle w:val="FootnoteReference"/>
          <w:rFonts w:ascii="Times New Roman" w:eastAsia="Calibri" w:hAnsi="Times New Roman" w:cs="Helvetica Neue"/>
          <w:color w:val="000000"/>
          <w:sz w:val="24"/>
          <w:szCs w:val="24"/>
        </w:rPr>
        <w:footnoteReference w:id="66"/>
      </w:r>
      <w:r>
        <w:rPr>
          <w:rFonts w:ascii="Times New Roman" w:hAnsi="Times New Roman"/>
          <w:color w:val="000000"/>
          <w:sz w:val="24"/>
          <w:szCs w:val="24"/>
        </w:rPr>
        <w:t>).</w:t>
      </w:r>
    </w:p>
    <w:p>
      <w:pPr>
        <w:spacing w:after="120" w:line="240" w:lineRule="auto"/>
        <w:jc w:val="both"/>
        <w:rPr>
          <w:rFonts w:ascii="Times New Roman" w:eastAsia="Calibri" w:hAnsi="Times New Roman" w:cs="Helvetica Neue"/>
          <w:color w:val="000000"/>
          <w:sz w:val="24"/>
          <w:szCs w:val="24"/>
        </w:rPr>
      </w:pPr>
      <w:r>
        <w:rPr>
          <w:rFonts w:ascii="Times New Roman" w:hAnsi="Times New Roman"/>
          <w:color w:val="000000"/>
          <w:sz w:val="24"/>
          <w:szCs w:val="24"/>
        </w:rPr>
        <w:t>Kohtuotsuste kättesaadavus masinloetaval kujul(</w:t>
      </w:r>
      <w:r>
        <w:rPr>
          <w:rStyle w:val="FootnoteReference"/>
          <w:rFonts w:ascii="Times New Roman" w:eastAsia="Calibri" w:hAnsi="Times New Roman" w:cs="Helvetica Neue"/>
          <w:color w:val="000000"/>
          <w:sz w:val="24"/>
          <w:szCs w:val="24"/>
        </w:rPr>
        <w:footnoteReference w:id="67"/>
      </w:r>
      <w:r>
        <w:rPr>
          <w:rFonts w:ascii="Times New Roman" w:hAnsi="Times New Roman"/>
          <w:color w:val="000000"/>
          <w:sz w:val="24"/>
          <w:szCs w:val="24"/>
        </w:rPr>
        <w:t>) soodustab algoritmide kasutamist kohtusüsteemis(</w:t>
      </w:r>
      <w:r>
        <w:rPr>
          <w:rStyle w:val="FootnoteReference"/>
          <w:rFonts w:ascii="Times New Roman" w:eastAsia="Calibri" w:hAnsi="Times New Roman" w:cs="Helvetica Neue"/>
          <w:color w:val="000000"/>
          <w:sz w:val="24"/>
          <w:szCs w:val="24"/>
        </w:rPr>
        <w:footnoteReference w:id="68"/>
      </w:r>
      <w:r>
        <w:rPr>
          <w:rFonts w:ascii="Times New Roman" w:hAnsi="Times New Roman"/>
          <w:color w:val="000000"/>
          <w:sz w:val="24"/>
          <w:szCs w:val="24"/>
        </w:rPr>
        <w:t>).</w:t>
      </w:r>
    </w:p>
    <w:p>
      <w:pPr>
        <w:spacing w:before="240" w:after="0" w:line="240" w:lineRule="auto"/>
        <w:jc w:val="both"/>
        <w:rPr>
          <w:rFonts w:ascii="Times New Roman" w:eastAsia="Calibri" w:hAnsi="Times New Roman" w:cs="Times New Roman"/>
          <w:i/>
          <w:iCs/>
          <w:sz w:val="24"/>
          <w:szCs w:val="24"/>
        </w:rPr>
      </w:pPr>
      <w:r>
        <w:rPr>
          <w:rFonts w:ascii="Times New Roman" w:hAnsi="Times New Roman"/>
          <w:b/>
          <w:bCs/>
          <w:sz w:val="24"/>
          <w:szCs w:val="24"/>
        </w:rPr>
        <w:t>Joonis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sz w:val="24"/>
        </w:rPr>
        <w:t>28</w:t>
      </w:r>
      <w:r>
        <w:fldChar w:fldCharType="end"/>
      </w:r>
      <w:r>
        <w:rPr>
          <w:rFonts w:ascii="Times New Roman" w:hAnsi="Times New Roman"/>
          <w:b/>
          <w:bCs/>
          <w:sz w:val="24"/>
          <w:szCs w:val="24"/>
        </w:rPr>
        <w:t xml:space="preserve">. Üldsuse veebipõhine juurdepääs avaldatud kohtuotsustele, 2019(*) </w:t>
      </w:r>
      <w:r>
        <w:rPr>
          <w:rFonts w:ascii="Times New Roman" w:hAnsi="Times New Roman"/>
          <w:i/>
          <w:iCs/>
          <w:sz w:val="24"/>
          <w:szCs w:val="24"/>
        </w:rPr>
        <w:t>(tsiviil-/kaubandusasjad, haldusasjad ja kriminaalasjad, kõik astmed) (allikas: Euroopa Komisjon(</w:t>
      </w:r>
      <w:r>
        <w:rPr>
          <w:rFonts w:ascii="Times New Roman" w:eastAsia="Calibri" w:hAnsi="Times New Roman" w:cs="Times New Roman"/>
          <w:i/>
          <w:iCs/>
          <w:sz w:val="24"/>
          <w:szCs w:val="24"/>
          <w:vertAlign w:val="superscript"/>
        </w:rPr>
        <w:footnoteReference w:id="69"/>
      </w:r>
      <w:r>
        <w:rPr>
          <w:rFonts w:ascii="Times New Roman" w:hAnsi="Times New Roman"/>
          <w:i/>
          <w:iCs/>
          <w:sz w:val="24"/>
          <w:szCs w:val="24"/>
        </w:rPr>
        <w:t>))</w:t>
      </w:r>
    </w:p>
    <w:p>
      <w:pPr>
        <w:spacing w:after="0" w:line="240" w:lineRule="auto"/>
        <w:jc w:val="both"/>
        <w:rPr>
          <w:rFonts w:ascii="Times New Roman" w:eastAsia="Calibri" w:hAnsi="Times New Roman" w:cs="Times New Roman"/>
          <w:i/>
          <w:sz w:val="20"/>
        </w:rPr>
      </w:pPr>
      <w:r>
        <w:rPr>
          <w:lang w:val="en-GB" w:eastAsia="en-GB"/>
        </w:rPr>
        <w:drawing>
          <wp:inline distT="0" distB="0" distL="0" distR="0">
            <wp:extent cx="5977255" cy="2701761"/>
            <wp:effectExtent l="0" t="0" r="4445" b="381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77255" cy="2701761"/>
                    </a:xfrm>
                    <a:prstGeom prst="rect">
                      <a:avLst/>
                    </a:prstGeom>
                    <a:noFill/>
                    <a:ln>
                      <a:noFill/>
                    </a:ln>
                  </pic:spPr>
                </pic:pic>
              </a:graphicData>
            </a:graphic>
          </wp:inline>
        </w:drawing>
      </w:r>
    </w:p>
    <w:p>
      <w:pPr>
        <w:spacing w:after="0" w:line="240" w:lineRule="auto"/>
        <w:jc w:val="both"/>
        <w:rPr>
          <w:rFonts w:ascii="Times New Roman" w:eastAsia="Calibri" w:hAnsi="Times New Roman" w:cs="Times New Roman"/>
          <w:i/>
          <w:sz w:val="20"/>
          <w:highlight w:val="yellow"/>
        </w:rPr>
      </w:pPr>
      <w:r>
        <w:rPr>
          <w:rFonts w:ascii="Times New Roman" w:hAnsi="Times New Roman"/>
          <w:i/>
          <w:sz w:val="20"/>
        </w:rPr>
        <w:t xml:space="preserve">(*) Suurim võimalik punktide arv: 9 punkti. Kui kõik tsiviil-/kaubandusasjades, haldusasjades ja kriminaalasjades tehtud otsused on veebis kättesaadavad, anti iga astme eest üks punkt (ja kui kättesaadavad on vaid mõne kohtu otsused, anti 0,5 punkti). Kui liikmesriigis on vaid kaks kohtuastet, on punktide andmisel kolmele astmele antud vastava olemasoleva kõrgema astme punktid ka puuduvale astmele. Liikmesriikides, kus nimetatud kahte õigusvaldkonda (tsiviil-/kaubandus- ja haldusasjad) ei eristata, anti samad punktid mõlemale valdkonnale. </w:t>
      </w:r>
      <w:r>
        <w:rPr>
          <w:rFonts w:ascii="Times New Roman" w:hAnsi="Times New Roman"/>
          <w:b/>
          <w:bCs/>
          <w:i/>
          <w:sz w:val="20"/>
        </w:rPr>
        <w:t>Belgia</w:t>
      </w:r>
      <w:r>
        <w:rPr>
          <w:rFonts w:ascii="Times New Roman" w:hAnsi="Times New Roman"/>
          <w:i/>
          <w:sz w:val="20"/>
        </w:rPr>
        <w:t xml:space="preserve">: tsiviil- ja kriminaalasjade puhul otsustab iga kohus oma otsuste avaldamise ise. </w:t>
      </w:r>
      <w:r>
        <w:rPr>
          <w:rFonts w:ascii="Times New Roman" w:hAnsi="Times New Roman"/>
          <w:b/>
          <w:i/>
          <w:sz w:val="20"/>
        </w:rPr>
        <w:t>Bulgaaria:</w:t>
      </w:r>
      <w:r>
        <w:rPr>
          <w:rFonts w:ascii="Times New Roman" w:hAnsi="Times New Roman"/>
          <w:i/>
          <w:sz w:val="20"/>
        </w:rPr>
        <w:t xml:space="preserve"> avaldatakse kõik kriminaalasjades tehtud kassatsioonikohtu otsused peale nende, mis sisaldavad salastatud andmeid. </w:t>
      </w:r>
      <w:r>
        <w:rPr>
          <w:rFonts w:ascii="Times New Roman" w:hAnsi="Times New Roman"/>
          <w:b/>
          <w:i/>
          <w:sz w:val="20"/>
        </w:rPr>
        <w:t>Saksamaa:</w:t>
      </w:r>
      <w:r>
        <w:rPr>
          <w:rFonts w:ascii="Times New Roman" w:hAnsi="Times New Roman"/>
          <w:i/>
          <w:sz w:val="20"/>
        </w:rPr>
        <w:t xml:space="preserve"> esimese astme kohtu otsuste veebis avaldamine otsustatakse iga liidumaa tasandil. </w:t>
      </w:r>
      <w:r>
        <w:rPr>
          <w:rFonts w:ascii="Times New Roman" w:hAnsi="Times New Roman"/>
          <w:b/>
          <w:i/>
          <w:sz w:val="20"/>
        </w:rPr>
        <w:t>Iirimaa:</w:t>
      </w:r>
      <w:r>
        <w:rPr>
          <w:rFonts w:ascii="Times New Roman" w:hAnsi="Times New Roman"/>
          <w:i/>
          <w:sz w:val="20"/>
        </w:rPr>
        <w:t xml:space="preserve"> kriminaalasja lahendamisel lühimenetluses ei tehta tavaliselt kirjalikke otsuseid. </w:t>
      </w:r>
      <w:r>
        <w:rPr>
          <w:rFonts w:ascii="Times New Roman" w:hAnsi="Times New Roman"/>
          <w:b/>
          <w:i/>
          <w:sz w:val="20"/>
        </w:rPr>
        <w:t>Küpros:</w:t>
      </w:r>
      <w:r>
        <w:rPr>
          <w:rFonts w:ascii="Times New Roman" w:hAnsi="Times New Roman"/>
          <w:i/>
          <w:sz w:val="20"/>
        </w:rPr>
        <w:t xml:space="preserve"> haldus- ja kriminaalasjade puhul otsustavad kohtunikud, milliseid otsuseid avaldatakse. </w:t>
      </w:r>
      <w:r>
        <w:rPr>
          <w:rFonts w:ascii="Times New Roman" w:hAnsi="Times New Roman"/>
          <w:b/>
          <w:bCs/>
          <w:i/>
          <w:sz w:val="20"/>
        </w:rPr>
        <w:t>Luksemburg</w:t>
      </w:r>
      <w:r>
        <w:rPr>
          <w:rFonts w:ascii="Times New Roman" w:hAnsi="Times New Roman"/>
          <w:i/>
          <w:sz w:val="20"/>
        </w:rPr>
        <w:t xml:space="preserve"> ja </w:t>
      </w:r>
      <w:r>
        <w:rPr>
          <w:rFonts w:ascii="Times New Roman" w:hAnsi="Times New Roman"/>
          <w:b/>
          <w:bCs/>
          <w:i/>
          <w:sz w:val="20"/>
        </w:rPr>
        <w:t>Rootsi</w:t>
      </w:r>
      <w:r>
        <w:rPr>
          <w:rFonts w:ascii="Times New Roman" w:hAnsi="Times New Roman"/>
          <w:i/>
          <w:sz w:val="20"/>
        </w:rPr>
        <w:t xml:space="preserve">: kohtuotsuseid ei avaldata regulaarselt veebis (avaldatakse ainult märgilisi otsuseid). </w:t>
      </w:r>
      <w:r>
        <w:rPr>
          <w:rFonts w:ascii="Times New Roman" w:hAnsi="Times New Roman"/>
          <w:b/>
          <w:i/>
          <w:sz w:val="20"/>
        </w:rPr>
        <w:t>Austria:</w:t>
      </w:r>
      <w:r>
        <w:rPr>
          <w:rFonts w:ascii="Times New Roman" w:hAnsi="Times New Roman"/>
          <w:i/>
          <w:sz w:val="20"/>
        </w:rPr>
        <w:t xml:space="preserve"> esimese ja teise astme puhul otsustavad kohtunikud, millised otsused avaldatakse. </w:t>
      </w:r>
      <w:r>
        <w:rPr>
          <w:rFonts w:ascii="Times New Roman" w:hAnsi="Times New Roman"/>
          <w:b/>
          <w:i/>
          <w:sz w:val="20"/>
        </w:rPr>
        <w:t>Madalmaad:</w:t>
      </w:r>
      <w:r>
        <w:rPr>
          <w:rFonts w:ascii="Times New Roman" w:hAnsi="Times New Roman"/>
          <w:i/>
          <w:sz w:val="20"/>
        </w:rPr>
        <w:t xml:space="preserve"> otsuste avaldamise otsustavad kohtud kooskõlas avaldatud kriteeriumidega. </w:t>
      </w:r>
      <w:r>
        <w:rPr>
          <w:rFonts w:ascii="Times New Roman" w:hAnsi="Times New Roman"/>
          <w:b/>
          <w:i/>
          <w:sz w:val="20"/>
        </w:rPr>
        <w:t>Poola:</w:t>
      </w:r>
      <w:r>
        <w:rPr>
          <w:rFonts w:ascii="Times New Roman" w:hAnsi="Times New Roman"/>
          <w:i/>
          <w:sz w:val="20"/>
        </w:rPr>
        <w:t xml:space="preserve"> haldusasjade puhul teeb avaldamise otsuse iga kohtu vastava üksuse juht. </w:t>
      </w:r>
      <w:r>
        <w:rPr>
          <w:rFonts w:ascii="Times New Roman" w:hAnsi="Times New Roman"/>
          <w:b/>
          <w:i/>
          <w:sz w:val="20"/>
        </w:rPr>
        <w:t>Portugal:</w:t>
      </w:r>
      <w:r>
        <w:rPr>
          <w:rFonts w:ascii="Times New Roman" w:hAnsi="Times New Roman"/>
          <w:i/>
          <w:sz w:val="20"/>
        </w:rPr>
        <w:t xml:space="preserve"> tsiviil- ja kriminaalasjades teeb avaldamisotsuse kohtu komisjon. </w:t>
      </w:r>
    </w:p>
    <w:p>
      <w:pPr>
        <w:spacing w:line="240" w:lineRule="auto"/>
        <w:jc w:val="both"/>
        <w:rPr>
          <w:rFonts w:ascii="Times New Roman" w:eastAsia="Calibri" w:hAnsi="Times New Roman" w:cs="Times New Roman"/>
          <w:b/>
          <w:sz w:val="24"/>
          <w:highlight w:val="yellow"/>
        </w:rPr>
      </w:pPr>
    </w:p>
    <w:p>
      <w:pPr>
        <w:jc w:val="both"/>
        <w:rPr>
          <w:rFonts w:ascii="Times New Roman" w:eastAsia="Calibri" w:hAnsi="Times New Roman" w:cs="Times New Roman"/>
          <w:b/>
          <w:bCs/>
          <w:sz w:val="24"/>
          <w:szCs w:val="24"/>
        </w:rPr>
      </w:pPr>
      <w:r>
        <w:br w:type="page"/>
      </w:r>
    </w:p>
    <w:p>
      <w:pPr>
        <w:spacing w:before="240" w:after="0" w:line="240" w:lineRule="auto"/>
        <w:jc w:val="both"/>
        <w:rPr>
          <w:rFonts w:ascii="Times New Roman" w:eastAsia="Calibri" w:hAnsi="Times New Roman" w:cs="Times New Roman"/>
          <w:i/>
          <w:iCs/>
          <w:sz w:val="24"/>
          <w:szCs w:val="24"/>
        </w:rPr>
      </w:pPr>
      <w:r>
        <w:rPr>
          <w:rFonts w:ascii="Times New Roman" w:hAnsi="Times New Roman"/>
          <w:b/>
          <w:bCs/>
          <w:sz w:val="24"/>
          <w:szCs w:val="24"/>
        </w:rPr>
        <w:t>Joonis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sz w:val="24"/>
        </w:rPr>
        <w:t>29</w:t>
      </w:r>
      <w:r>
        <w:fldChar w:fldCharType="end"/>
      </w:r>
      <w:r>
        <w:rPr>
          <w:rFonts w:ascii="Times New Roman" w:hAnsi="Times New Roman"/>
          <w:b/>
          <w:bCs/>
          <w:sz w:val="24"/>
          <w:szCs w:val="24"/>
        </w:rPr>
        <w:t>. Masinloetavate kohtuotsuste koostamise kord, 2019(*)</w:t>
      </w:r>
      <w:r>
        <w:rPr>
          <w:rFonts w:ascii="Times New Roman" w:hAnsi="Times New Roman"/>
          <w:i/>
          <w:iCs/>
          <w:sz w:val="24"/>
          <w:szCs w:val="24"/>
        </w:rPr>
        <w:t xml:space="preserve"> (tsiviil-/kaubandus-, haldus- ja kriminaalasjad, kõik astmed) (allikas: Euroopa Komisjon(</w:t>
      </w:r>
      <w:r>
        <w:rPr>
          <w:rFonts w:ascii="Times New Roman" w:eastAsia="Calibri" w:hAnsi="Times New Roman" w:cs="Times New Roman"/>
          <w:i/>
          <w:iCs/>
          <w:sz w:val="24"/>
          <w:szCs w:val="24"/>
          <w:vertAlign w:val="superscript"/>
        </w:rPr>
        <w:footnoteReference w:id="70"/>
      </w:r>
      <w:r>
        <w:rPr>
          <w:rFonts w:ascii="Times New Roman" w:hAnsi="Times New Roman"/>
          <w:i/>
          <w:iCs/>
          <w:sz w:val="24"/>
          <w:szCs w:val="24"/>
        </w:rPr>
        <w:t>))</w:t>
      </w:r>
    </w:p>
    <w:p>
      <w:pPr>
        <w:autoSpaceDE w:val="0"/>
        <w:autoSpaceDN w:val="0"/>
        <w:adjustRightInd w:val="0"/>
        <w:spacing w:after="0" w:line="240" w:lineRule="auto"/>
        <w:contextualSpacing/>
        <w:jc w:val="both"/>
        <w:rPr>
          <w:rFonts w:ascii="Times New Roman" w:eastAsia="Calibri" w:hAnsi="Times New Roman" w:cs="Helvetica Neue"/>
          <w:i/>
          <w:sz w:val="18"/>
          <w:szCs w:val="18"/>
        </w:rPr>
      </w:pPr>
      <w:r>
        <w:rPr>
          <w:lang w:val="en-GB" w:eastAsia="en-GB"/>
        </w:rPr>
        <w:drawing>
          <wp:inline distT="0" distB="0" distL="0" distR="0">
            <wp:extent cx="5977255" cy="5132947"/>
            <wp:effectExtent l="0" t="0" r="4445"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77255" cy="5132947"/>
                    </a:xfrm>
                    <a:prstGeom prst="rect">
                      <a:avLst/>
                    </a:prstGeom>
                    <a:noFill/>
                    <a:ln>
                      <a:noFill/>
                    </a:ln>
                  </pic:spPr>
                </pic:pic>
              </a:graphicData>
            </a:graphic>
          </wp:inline>
        </w:drawing>
      </w:r>
    </w:p>
    <w:p>
      <w:pPr>
        <w:jc w:val="both"/>
        <w:rPr>
          <w:rFonts w:ascii="Times New Roman" w:eastAsia="Calibri" w:hAnsi="Times New Roman" w:cs="Times New Roman"/>
          <w:i/>
        </w:rPr>
      </w:pPr>
      <w:r>
        <w:rPr>
          <w:rFonts w:ascii="Times New Roman" w:hAnsi="Times New Roman"/>
          <w:i/>
          <w:sz w:val="18"/>
        </w:rPr>
        <w:t>(*) Suurim võimalik punktide arv: 24 punkti kohtuasja liigi kohta. Kõigi kolme astme (esimene, teine, viimane) puhul võib anda ühe punkti, kui hõlmatud on kõik otsused. Kui teatud astmel on hõlmatud vaid mõni otsus, antakse vaid pool punkti. Kui liikmesriigis on vaid kaks astet, on punktide andmisel kolmele astmele antud vastava olemasoleva kõrgema astme punktid ka puuduvale astmele.</w:t>
      </w:r>
      <w:r>
        <w:rPr>
          <w:rFonts w:ascii="Times New Roman" w:hAnsi="Times New Roman"/>
          <w:sz w:val="20"/>
        </w:rPr>
        <w:t xml:space="preserve"> </w:t>
      </w:r>
      <w:r>
        <w:rPr>
          <w:rFonts w:ascii="Times New Roman" w:hAnsi="Times New Roman"/>
          <w:i/>
          <w:sz w:val="18"/>
        </w:rPr>
        <w:t xml:space="preserve">Liikmesriikides, kus haldusasju ning tsiviil-/kaubandusasju ei eristata, anti samad punktid mõlemale õigusvaldkonnale. </w:t>
      </w:r>
      <w:r>
        <w:rPr>
          <w:rFonts w:ascii="Times New Roman" w:hAnsi="Times New Roman"/>
          <w:b/>
          <w:i/>
          <w:sz w:val="18"/>
        </w:rPr>
        <w:t>Hispaania:</w:t>
      </w:r>
      <w:r>
        <w:rPr>
          <w:rFonts w:ascii="Times New Roman" w:hAnsi="Times New Roman"/>
          <w:i/>
          <w:sz w:val="18"/>
        </w:rPr>
        <w:t xml:space="preserve"> kohtunike üldnõukogu andmebaasi kasutamine ärieesmärkidel või teabe ulatuslik allalaadimine ei ole lubatud. Selle teabe taaskasutamisel andmebaaside täiendamiseks või ärieesmärkidel tuleb järgida kohtunike üldnõukogu kohtudokumentide keskuses kehtestatud korda ja tingimusi. </w:t>
      </w:r>
      <w:r>
        <w:rPr>
          <w:rFonts w:ascii="Times New Roman" w:hAnsi="Times New Roman"/>
          <w:b/>
          <w:i/>
          <w:sz w:val="18"/>
        </w:rPr>
        <w:t>Prantsusmaa:</w:t>
      </w:r>
      <w:r>
        <w:rPr>
          <w:rFonts w:ascii="Times New Roman" w:hAnsi="Times New Roman"/>
          <w:i/>
          <w:sz w:val="18"/>
        </w:rPr>
        <w:t xml:space="preserve"> üldsusele on tasuta kättesaadavad vaid ülemkohtu avaldatud otsused. Apellatsioonikohtute poolt Jurica andmebaasis avaldatud kohtuotsused on kättesaadavad privaatse õigusalase virtuaalvõrgu kaudu ja õigusteabe avaldajatele. Esimese astme ja kõrgema kohtu poolt ülemkohtule saadetud otsuseid ei anonüümita ega pseudonüümita. Kehtestatud on avatud juurdepääs kohtuotsustele – välja arvatud korduvad ja süstemaatilised taotlused. Kohtunike ja kohtutöötajate isikuandmete taaskasutus nende tegeliku või eeldatava erialase praktika hindamiseks, analüüsimiseks, võrdlemiseks või prognoosimiseks on keelatud. </w:t>
      </w:r>
      <w:r>
        <w:rPr>
          <w:rFonts w:ascii="Times New Roman" w:hAnsi="Times New Roman"/>
          <w:b/>
          <w:i/>
          <w:sz w:val="18"/>
        </w:rPr>
        <w:t>Iirimaa:</w:t>
      </w:r>
      <w:r>
        <w:rPr>
          <w:rFonts w:ascii="Times New Roman" w:hAnsi="Times New Roman"/>
          <w:i/>
          <w:sz w:val="18"/>
        </w:rPr>
        <w:t xml:space="preserve"> Iiri õigussüsteemis ei ole haldusasjadega tegelemiseks eraldi jurisdiktsiooni. </w:t>
      </w:r>
      <w:r>
        <w:rPr>
          <w:rFonts w:ascii="Times New Roman" w:hAnsi="Times New Roman"/>
          <w:b/>
          <w:i/>
          <w:sz w:val="18"/>
        </w:rPr>
        <w:t>Luksemburg:</w:t>
      </w:r>
      <w:r>
        <w:rPr>
          <w:rFonts w:ascii="Times New Roman" w:hAnsi="Times New Roman"/>
          <w:i/>
          <w:sz w:val="18"/>
        </w:rPr>
        <w:t xml:space="preserve"> haldusasju käsitletakse vaid kahes kohtuastmes.</w:t>
      </w:r>
      <w:bookmarkStart w:id="349" w:name="_Toc409530226"/>
      <w:bookmarkStart w:id="350" w:name="_Toc438545676"/>
      <w:bookmarkStart w:id="351" w:name="_Toc438548326"/>
      <w:bookmarkStart w:id="352" w:name="_Toc438548512"/>
      <w:r>
        <w:br w:type="page"/>
      </w:r>
    </w:p>
    <w:p>
      <w:pPr>
        <w:spacing w:before="240" w:after="120" w:line="240" w:lineRule="auto"/>
        <w:jc w:val="both"/>
        <w:rPr>
          <w:rFonts w:ascii="Times New Roman" w:eastAsia="Calibri" w:hAnsi="Times New Roman" w:cs="Helvetica Neue"/>
          <w:i/>
          <w:color w:val="000000"/>
          <w:sz w:val="24"/>
          <w:szCs w:val="18"/>
        </w:rPr>
      </w:pPr>
      <w:r>
        <w:rPr>
          <w:rFonts w:ascii="Times New Roman" w:hAnsi="Times New Roman"/>
          <w:i/>
        </w:rPr>
        <w:t>–</w:t>
      </w:r>
      <w:r>
        <w:rPr>
          <w:rFonts w:ascii="Times New Roman" w:hAnsi="Times New Roman"/>
          <w:i/>
          <w:color w:val="000000"/>
          <w:sz w:val="24"/>
          <w:szCs w:val="18"/>
        </w:rPr>
        <w:t xml:space="preserve"> Juurdepääs vaidluste kohtuvälise lahendamise meetoditele</w:t>
      </w:r>
      <w:bookmarkEnd w:id="349"/>
      <w:bookmarkEnd w:id="350"/>
      <w:bookmarkEnd w:id="351"/>
      <w:bookmarkEnd w:id="352"/>
      <w:r>
        <w:rPr>
          <w:rFonts w:ascii="Times New Roman" w:hAnsi="Times New Roman"/>
          <w:i/>
          <w:color w:val="000000"/>
          <w:sz w:val="24"/>
          <w:szCs w:val="18"/>
        </w:rPr>
        <w:t xml:space="preserve"> </w:t>
      </w:r>
      <w:r>
        <w:rPr>
          <w:rFonts w:ascii="Times New Roman" w:hAnsi="Times New Roman"/>
          <w:i/>
        </w:rPr>
        <w:t>–</w:t>
      </w:r>
    </w:p>
    <w:p>
      <w:pPr>
        <w:spacing w:after="120" w:line="240" w:lineRule="auto"/>
        <w:jc w:val="both"/>
        <w:rPr>
          <w:rFonts w:ascii="Times New Roman" w:eastAsia="Calibri" w:hAnsi="Times New Roman" w:cs="Times New Roman"/>
          <w:sz w:val="24"/>
        </w:rPr>
      </w:pPr>
      <w:r>
        <w:rPr>
          <w:rFonts w:ascii="Times New Roman" w:hAnsi="Times New Roman"/>
          <w:sz w:val="24"/>
          <w:szCs w:val="24"/>
        </w:rPr>
        <w:t>Joonisel 30 on näha liikmesriikide pingutused vaidluste kohtuvälise lahendamise meetodite vabatahtliku kasutamise propageerimisel konkreetsete stiimulite abil, mis võivad erineda sõltuvalt õigusvaldkonnast(</w:t>
      </w:r>
      <w:r>
        <w:rPr>
          <w:rFonts w:ascii="Times New Roman" w:eastAsia="Calibri" w:hAnsi="Times New Roman" w:cs="Times New Roman"/>
          <w:sz w:val="24"/>
          <w:szCs w:val="24"/>
          <w:vertAlign w:val="superscript"/>
        </w:rPr>
        <w:footnoteReference w:id="71"/>
      </w:r>
      <w:r>
        <w:rPr>
          <w:rFonts w:ascii="Times New Roman" w:hAnsi="Times New Roman"/>
          <w:sz w:val="24"/>
          <w:szCs w:val="24"/>
        </w:rPr>
        <w:t xml:space="preserve">). </w:t>
      </w:r>
    </w:p>
    <w:p>
      <w:pPr>
        <w:spacing w:before="240" w:after="120" w:line="240" w:lineRule="auto"/>
        <w:ind w:left="40"/>
        <w:jc w:val="both"/>
        <w:rPr>
          <w:rFonts w:ascii="Times New Roman" w:eastAsia="Calibri" w:hAnsi="Times New Roman" w:cs="Times New Roman"/>
          <w:i/>
          <w:iCs/>
          <w:sz w:val="24"/>
          <w:szCs w:val="24"/>
        </w:rPr>
      </w:pPr>
      <w:bookmarkStart w:id="353" w:name="_Ref441218564"/>
      <w:bookmarkStart w:id="354" w:name="_Ref442346571"/>
      <w:r>
        <w:rPr>
          <w:rFonts w:ascii="Times New Roman" w:hAnsi="Times New Roman"/>
          <w:b/>
          <w:bCs/>
          <w:sz w:val="24"/>
          <w:szCs w:val="24"/>
        </w:rPr>
        <w:t>Joonis </w:t>
      </w:r>
      <w:bookmarkEnd w:id="353"/>
      <w:bookmarkEnd w:id="354"/>
      <w:r>
        <w:fldChar w:fldCharType="begin"/>
      </w:r>
      <w:r>
        <w:rPr>
          <w:rFonts w:ascii="Times New Roman" w:eastAsia="Calibri" w:hAnsi="Times New Roman" w:cs="Times New Roman"/>
          <w:b/>
          <w:sz w:val="24"/>
        </w:rPr>
        <w:instrText xml:space="preserve"> SEQ Figure \* ARABIC  \* MERGEFORMAT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30</w:t>
      </w:r>
      <w:r>
        <w:fldChar w:fldCharType="end"/>
      </w:r>
      <w:r>
        <w:rPr>
          <w:rFonts w:ascii="Times New Roman" w:hAnsi="Times New Roman"/>
          <w:b/>
          <w:bCs/>
          <w:sz w:val="24"/>
          <w:szCs w:val="24"/>
        </w:rPr>
        <w:t xml:space="preserve">. Vaidluste kohtuvälise lahendamise meetodite kasutamise propageerimine ja edendamine, 2019(*) </w:t>
      </w:r>
      <w:r>
        <w:rPr>
          <w:rFonts w:ascii="Times New Roman" w:hAnsi="Times New Roman"/>
          <w:i/>
          <w:iCs/>
          <w:sz w:val="24"/>
          <w:szCs w:val="24"/>
        </w:rPr>
        <w:t>(allikas: Euroopa Komisjon(</w:t>
      </w:r>
      <w:r>
        <w:rPr>
          <w:rFonts w:ascii="Times New Roman" w:eastAsia="Calibri" w:hAnsi="Times New Roman" w:cs="Times New Roman"/>
          <w:i/>
          <w:iCs/>
          <w:sz w:val="24"/>
          <w:szCs w:val="24"/>
          <w:vertAlign w:val="superscript"/>
        </w:rPr>
        <w:footnoteReference w:id="72"/>
      </w:r>
      <w:r>
        <w:rPr>
          <w:rFonts w:ascii="Times New Roman" w:hAnsi="Times New Roman"/>
          <w:i/>
          <w:iCs/>
          <w:sz w:val="24"/>
          <w:szCs w:val="24"/>
        </w:rPr>
        <w:t>))</w:t>
      </w:r>
    </w:p>
    <w:p>
      <w:pPr>
        <w:spacing w:after="0" w:line="240" w:lineRule="auto"/>
        <w:ind w:left="40"/>
        <w:jc w:val="both"/>
        <w:rPr>
          <w:rFonts w:ascii="Times New Roman" w:eastAsia="Calibri" w:hAnsi="Times New Roman" w:cs="Times New Roman"/>
          <w:i/>
          <w:sz w:val="20"/>
        </w:rPr>
      </w:pPr>
      <w:r>
        <w:rPr>
          <w:lang w:val="en-GB" w:eastAsia="en-GB"/>
        </w:rPr>
        <w:drawing>
          <wp:inline distT="0" distB="0" distL="0" distR="0">
            <wp:extent cx="5977255" cy="2373076"/>
            <wp:effectExtent l="0" t="0" r="4445" b="8255"/>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77255" cy="2373076"/>
                    </a:xfrm>
                    <a:prstGeom prst="rect">
                      <a:avLst/>
                    </a:prstGeom>
                    <a:noFill/>
                    <a:ln>
                      <a:noFill/>
                    </a:ln>
                  </pic:spPr>
                </pic:pic>
              </a:graphicData>
            </a:graphic>
          </wp:inline>
        </w:drawing>
      </w:r>
    </w:p>
    <w:p>
      <w:pPr>
        <w:spacing w:after="0" w:line="240" w:lineRule="auto"/>
        <w:jc w:val="both"/>
        <w:rPr>
          <w:rFonts w:ascii="Times New Roman" w:eastAsia="Calibri" w:hAnsi="Times New Roman" w:cs="Times New Roman"/>
          <w:i/>
          <w:sz w:val="20"/>
        </w:rPr>
      </w:pPr>
      <w:r>
        <w:rPr>
          <w:rFonts w:ascii="Times New Roman" w:hAnsi="Times New Roman"/>
          <w:i/>
          <w:sz w:val="20"/>
        </w:rPr>
        <w:t xml:space="preserve">(*) Suurim võimalik punktide arv: 52 punkti. Koondandmed, mis põhinevad järgmistel näitajatel: 1) veebisaidid, kus antakse teavet vaidluste kohtuvälise lahendamise kohta; 2) reklaamikampaaniad meedias; 3) üldsusele suunatud brošüürid; 4) konkreetne teave vaidluste kohtuvälise lahendamise kohta, mida kohus annab taotluse korral; 5) vaidluste kohtuvälise lahendamise / vahendamise koordineerija kohtutes; 6) hinnangute avaldamine vaidluste kohtuvälise lahendamise kohta; 7) statistika avaldamine vaidluste kohtuvälise lahendamise kohta; 8) vaidluste kohtuvälise lahendamise kulude (osaline või täielik) katmine tasuta õigusabiga; 9) kohtulõivude, sealhulgas tempelmaksude osaline või täielik tagastamine, kui vaidluse kohtuväline lahendamine on edukas; 10) vaidluse kohtuväliseks lahendamiseks ei nõuta advokaadi olemasolu; 11) kohtunik võib olla lepitajaks, 12) poolte saavutatud kokkulepe muudetakse kohtus täidetavaks, 13) elektrooniliste vahendite kasutamine vaidluste kohtuväliseks lahendamiseks. Kõigi nimetatud 13 näitaja puhul anti iga õigusvaldkonna eest üks punkt. </w:t>
      </w:r>
      <w:r>
        <w:rPr>
          <w:rFonts w:ascii="Times New Roman" w:hAnsi="Times New Roman"/>
          <w:b/>
          <w:i/>
          <w:sz w:val="20"/>
        </w:rPr>
        <w:t>Tšehhi:</w:t>
      </w:r>
      <w:r>
        <w:rPr>
          <w:rFonts w:ascii="Times New Roman" w:hAnsi="Times New Roman"/>
          <w:i/>
          <w:sz w:val="20"/>
        </w:rPr>
        <w:t xml:space="preserve"> haldusvaidluste kohta ei ole andmed kättesaadavad. </w:t>
      </w:r>
      <w:r>
        <w:rPr>
          <w:rFonts w:ascii="Times New Roman" w:hAnsi="Times New Roman"/>
          <w:b/>
          <w:i/>
          <w:sz w:val="20"/>
        </w:rPr>
        <w:t>Taani:</w:t>
      </w:r>
      <w:r>
        <w:rPr>
          <w:rFonts w:ascii="Times New Roman" w:hAnsi="Times New Roman"/>
          <w:i/>
          <w:sz w:val="20"/>
        </w:rPr>
        <w:t xml:space="preserve"> igas kohtus on isik, kelle ülesanne on edendada vahendamise kasutamist. Halduskohtud võivad teha pooltele ettepaneku kasutada vahendamist. </w:t>
      </w:r>
      <w:r>
        <w:rPr>
          <w:rFonts w:ascii="Times New Roman" w:hAnsi="Times New Roman"/>
          <w:b/>
          <w:i/>
          <w:sz w:val="20"/>
        </w:rPr>
        <w:t>Iirimaa:</w:t>
      </w:r>
      <w:r>
        <w:rPr>
          <w:rFonts w:ascii="Times New Roman" w:hAnsi="Times New Roman"/>
          <w:i/>
          <w:sz w:val="20"/>
        </w:rPr>
        <w:t xml:space="preserve"> haldusasjad klassifitseeritakse tsiviil- ja kaubandusasjade kategooriasse. </w:t>
      </w:r>
      <w:r>
        <w:rPr>
          <w:rFonts w:ascii="Times New Roman" w:hAnsi="Times New Roman"/>
          <w:b/>
          <w:i/>
          <w:sz w:val="20"/>
        </w:rPr>
        <w:t>Kreeka:</w:t>
      </w:r>
      <w:r>
        <w:rPr>
          <w:rFonts w:ascii="Times New Roman" w:hAnsi="Times New Roman"/>
          <w:i/>
          <w:sz w:val="20"/>
        </w:rPr>
        <w:t xml:space="preserve"> vaidluste kohtuvälise lahendamise võimalus on olemas riigihankemenetluses kõrgemates halduskohtutes.</w:t>
      </w:r>
      <w:r>
        <w:rPr>
          <w:rFonts w:ascii="Times New Roman" w:hAnsi="Times New Roman"/>
          <w:b/>
          <w:i/>
          <w:sz w:val="20"/>
        </w:rPr>
        <w:t xml:space="preserve"> Hispaania:</w:t>
      </w:r>
      <w:r>
        <w:rPr>
          <w:rFonts w:ascii="Times New Roman" w:hAnsi="Times New Roman"/>
          <w:i/>
          <w:sz w:val="20"/>
        </w:rPr>
        <w:t xml:space="preserve"> tööõigusasjades on vaidluste kohtuväline lahendamine kohustuslik. </w:t>
      </w:r>
      <w:r>
        <w:rPr>
          <w:rFonts w:ascii="Times New Roman" w:hAnsi="Times New Roman"/>
          <w:b/>
          <w:i/>
          <w:sz w:val="20"/>
        </w:rPr>
        <w:t>Leedu:</w:t>
      </w:r>
      <w:r>
        <w:rPr>
          <w:rFonts w:ascii="Times New Roman" w:hAnsi="Times New Roman"/>
          <w:i/>
          <w:sz w:val="20"/>
        </w:rPr>
        <w:t xml:space="preserve"> kohtuliku vahendamise protsesse kohtutes koordineerib riikliku kohtuadministratsiooni sekretariaat. </w:t>
      </w:r>
      <w:r>
        <w:rPr>
          <w:rFonts w:ascii="Times New Roman" w:hAnsi="Times New Roman"/>
          <w:b/>
          <w:i/>
          <w:sz w:val="20"/>
        </w:rPr>
        <w:t>Portugal:</w:t>
      </w:r>
      <w:r>
        <w:rPr>
          <w:rFonts w:ascii="Times New Roman" w:hAnsi="Times New Roman"/>
          <w:i/>
          <w:sz w:val="20"/>
        </w:rPr>
        <w:t xml:space="preserve"> tsiviil- ja kaubandusvaidlustes tagastatakse kohtulõiv üksnes rahukohtunike puhul. </w:t>
      </w:r>
      <w:r>
        <w:rPr>
          <w:rFonts w:ascii="Times New Roman" w:hAnsi="Times New Roman"/>
          <w:b/>
          <w:i/>
          <w:sz w:val="20"/>
        </w:rPr>
        <w:t>Slovakkia:</w:t>
      </w:r>
      <w:r>
        <w:rPr>
          <w:rFonts w:ascii="Times New Roman" w:hAnsi="Times New Roman"/>
          <w:i/>
          <w:sz w:val="20"/>
        </w:rPr>
        <w:t xml:space="preserve"> Slovakkia õiguskorras ei toetata vaidluste kohtuvälist lahendamist haldusalastel põhjustel. </w:t>
      </w:r>
      <w:r>
        <w:rPr>
          <w:rFonts w:ascii="Times New Roman" w:hAnsi="Times New Roman"/>
          <w:b/>
          <w:i/>
          <w:sz w:val="20"/>
        </w:rPr>
        <w:t>Rootsi:</w:t>
      </w:r>
      <w:r>
        <w:rPr>
          <w:rFonts w:ascii="Times New Roman" w:hAnsi="Times New Roman"/>
          <w:i/>
          <w:sz w:val="20"/>
        </w:rPr>
        <w:t xml:space="preserve"> kohtunikel on vaidluse kohtuvälise lahendamise puhul menetluslik kaalutlusõigus. Kohtunik on kohustatud otsima rahumeelset lahendust, välja arvatud juhul, kui see on asja laadi tõttu ebasobiv.</w:t>
      </w:r>
      <w:bookmarkStart w:id="355" w:name="_Toc438545678"/>
      <w:bookmarkStart w:id="356" w:name="_Toc438548328"/>
      <w:bookmarkStart w:id="357" w:name="_Toc438548514"/>
      <w:bookmarkStart w:id="358" w:name="_Toc440010581"/>
      <w:bookmarkStart w:id="359" w:name="_Toc440017700"/>
      <w:bookmarkStart w:id="360" w:name="_Toc440033382"/>
      <w:bookmarkStart w:id="361" w:name="_Toc440035233"/>
      <w:bookmarkStart w:id="362" w:name="_Toc440036528"/>
      <w:bookmarkStart w:id="363" w:name="_Toc440042470"/>
      <w:bookmarkStart w:id="364" w:name="_Toc440291123"/>
      <w:bookmarkStart w:id="365" w:name="_Toc440294686"/>
      <w:bookmarkStart w:id="366" w:name="_Toc440295188"/>
      <w:bookmarkStart w:id="367" w:name="_Toc440296593"/>
      <w:bookmarkStart w:id="368" w:name="_Toc440625077"/>
      <w:bookmarkStart w:id="369" w:name="_Toc440626407"/>
      <w:bookmarkStart w:id="370" w:name="_Toc440628861"/>
      <w:bookmarkStart w:id="371" w:name="_Toc441571134"/>
      <w:bookmarkStart w:id="372" w:name="_Toc441581636"/>
      <w:bookmarkStart w:id="373" w:name="_Toc441585903"/>
      <w:bookmarkStart w:id="374" w:name="_Toc441595838"/>
      <w:bookmarkStart w:id="375" w:name="_Toc441596015"/>
      <w:bookmarkStart w:id="376" w:name="_Toc441748140"/>
      <w:bookmarkStart w:id="377" w:name="_Toc441755425"/>
      <w:bookmarkStart w:id="378" w:name="_Toc441756462"/>
      <w:bookmarkStart w:id="379" w:name="_Toc441757506"/>
      <w:bookmarkStart w:id="380" w:name="_Toc441766635"/>
      <w:bookmarkStart w:id="381" w:name="_Toc441766974"/>
      <w:r>
        <w:rPr>
          <w:rFonts w:ascii="Times New Roman" w:hAnsi="Times New Roman"/>
          <w:i/>
          <w:sz w:val="20"/>
        </w:rPr>
        <w:t xml:space="preserve"> </w:t>
      </w:r>
    </w:p>
    <w:p>
      <w:pPr>
        <w:jc w:val="both"/>
        <w:rPr>
          <w:rFonts w:ascii="Times New Roman" w:eastAsia="Calibri" w:hAnsi="Times New Roman" w:cs="Times New Roman"/>
          <w:i/>
          <w:sz w:val="24"/>
        </w:rPr>
      </w:pPr>
      <w:r>
        <w:br w:type="page"/>
      </w:r>
    </w:p>
    <w:p>
      <w:pPr>
        <w:spacing w:before="240" w:after="120" w:line="240" w:lineRule="auto"/>
        <w:ind w:left="40"/>
        <w:jc w:val="both"/>
        <w:rPr>
          <w:rFonts w:ascii="Times New Roman" w:eastAsia="Calibri" w:hAnsi="Times New Roman" w:cs="Times New Roman"/>
          <w:i/>
          <w:sz w:val="24"/>
        </w:rPr>
      </w:pPr>
      <w:r>
        <w:rPr>
          <w:rFonts w:ascii="Times New Roman" w:hAnsi="Times New Roman"/>
          <w:i/>
          <w:sz w:val="24"/>
        </w:rPr>
        <w:t xml:space="preserve">– Lapsesõbralik õigusemõistmine – </w:t>
      </w:r>
    </w:p>
    <w:p>
      <w:pPr>
        <w:spacing w:after="0" w:line="240" w:lineRule="auto"/>
        <w:ind w:left="40"/>
        <w:jc w:val="both"/>
        <w:rPr>
          <w:rFonts w:ascii="Times New Roman" w:eastAsia="Calibri" w:hAnsi="Times New Roman" w:cs="Times New Roman"/>
          <w:sz w:val="24"/>
        </w:rPr>
      </w:pPr>
      <w:r>
        <w:rPr>
          <w:rFonts w:ascii="Times New Roman" w:hAnsi="Times New Roman"/>
          <w:sz w:val="24"/>
        </w:rPr>
        <w:t xml:space="preserve">Joonisel 31 on näha liikmesriikides kehtestatud lähenemisviisid, et muuta kohtusüsteem lastele kättesaadavamaks ja kohandada see nende vajadustega, näiteks pakkudes menetluse kohta teavet lastepäraselt või võttes meetmeid, et laps ei peaks osalema mitmel kohtuistungil. </w:t>
      </w:r>
    </w:p>
    <w:p>
      <w:pPr>
        <w:spacing w:after="0" w:line="240" w:lineRule="auto"/>
        <w:ind w:left="40"/>
        <w:jc w:val="both"/>
        <w:rPr>
          <w:rFonts w:ascii="Times New Roman" w:eastAsia="Calibri" w:hAnsi="Times New Roman" w:cs="Times New Roman"/>
          <w:i/>
          <w:sz w:val="24"/>
        </w:rPr>
      </w:pPr>
    </w:p>
    <w:p>
      <w:pPr>
        <w:keepNext/>
        <w:spacing w:before="240" w:after="120" w:line="240" w:lineRule="auto"/>
        <w:ind w:left="40"/>
        <w:jc w:val="both"/>
        <w:rPr>
          <w:rFonts w:ascii="Times New Roman" w:eastAsia="Calibri" w:hAnsi="Times New Roman" w:cs="Times New Roman"/>
          <w:i/>
          <w:iCs/>
          <w:sz w:val="24"/>
          <w:szCs w:val="24"/>
        </w:rPr>
      </w:pPr>
      <w:r>
        <w:rPr>
          <w:rFonts w:ascii="Times New Roman" w:hAnsi="Times New Roman"/>
          <w:b/>
          <w:bCs/>
          <w:sz w:val="24"/>
          <w:szCs w:val="24"/>
        </w:rPr>
        <w:t>Joonis </w:t>
      </w:r>
      <w:r>
        <w:fldChar w:fldCharType="begin"/>
      </w:r>
      <w:r>
        <w:rPr>
          <w:rFonts w:ascii="Times New Roman" w:eastAsia="Calibri" w:hAnsi="Times New Roman" w:cs="Times New Roman"/>
          <w:b/>
          <w:sz w:val="24"/>
        </w:rPr>
        <w:instrText xml:space="preserve"> SEQ Figure \* ARABIC  \* MERGEFORMAT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31</w:t>
      </w:r>
      <w:r>
        <w:fldChar w:fldCharType="end"/>
      </w:r>
      <w:r>
        <w:rPr>
          <w:rFonts w:ascii="Times New Roman" w:hAnsi="Times New Roman"/>
          <w:b/>
          <w:bCs/>
          <w:sz w:val="24"/>
          <w:szCs w:val="24"/>
        </w:rPr>
        <w:t xml:space="preserve">. Lapsesõbralik õigusemõistmine, 2019(*) </w:t>
      </w:r>
      <w:r>
        <w:rPr>
          <w:rFonts w:ascii="Times New Roman" w:hAnsi="Times New Roman"/>
          <w:i/>
          <w:iCs/>
          <w:sz w:val="24"/>
          <w:szCs w:val="24"/>
        </w:rPr>
        <w:t>(allikas: Euroopa Komisjon(</w:t>
      </w:r>
      <w:r>
        <w:rPr>
          <w:rFonts w:ascii="Times New Roman" w:eastAsia="Calibri" w:hAnsi="Times New Roman" w:cs="Times New Roman"/>
          <w:i/>
          <w:iCs/>
          <w:sz w:val="24"/>
          <w:szCs w:val="24"/>
          <w:vertAlign w:val="superscript"/>
        </w:rPr>
        <w:footnoteReference w:id="73"/>
      </w:r>
      <w:r>
        <w:rPr>
          <w:rFonts w:ascii="Times New Roman" w:hAnsi="Times New Roman"/>
          <w:i/>
          <w:iCs/>
          <w:sz w:val="24"/>
          <w:szCs w:val="24"/>
        </w:rPr>
        <w:t>))</w:t>
      </w:r>
    </w:p>
    <w:p>
      <w:pPr>
        <w:keepNext/>
        <w:spacing w:after="0" w:line="240" w:lineRule="auto"/>
        <w:jc w:val="both"/>
        <w:rPr>
          <w:rFonts w:ascii="Times New Roman" w:eastAsia="Calibri" w:hAnsi="Times New Roman" w:cs="Times New Roman"/>
          <w:i/>
          <w:sz w:val="24"/>
        </w:rPr>
      </w:pPr>
      <w:r>
        <w:rPr>
          <w:lang w:val="en-GB" w:eastAsia="en-GB"/>
        </w:rPr>
        <w:drawing>
          <wp:inline distT="0" distB="0" distL="0" distR="0">
            <wp:extent cx="5977255" cy="2557683"/>
            <wp:effectExtent l="0" t="0" r="4445" b="0"/>
            <wp:docPr id="97282" name="Picture 97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77255" cy="2557683"/>
                    </a:xfrm>
                    <a:prstGeom prst="rect">
                      <a:avLst/>
                    </a:prstGeom>
                    <a:noFill/>
                    <a:ln>
                      <a:noFill/>
                    </a:ln>
                  </pic:spPr>
                </pic:pic>
              </a:graphicData>
            </a:graphic>
          </wp:inline>
        </w:drawing>
      </w:r>
    </w:p>
    <w:p>
      <w:pPr>
        <w:keepNext/>
        <w:tabs>
          <w:tab w:val="left" w:pos="850"/>
        </w:tabs>
        <w:spacing w:before="240" w:after="120" w:line="240" w:lineRule="auto"/>
        <w:ind w:left="850" w:hanging="850"/>
        <w:jc w:val="both"/>
        <w:outlineLvl w:val="2"/>
        <w:rPr>
          <w:rFonts w:ascii="Times New Roman" w:eastAsia="Times New Roman" w:hAnsi="Times New Roman" w:cs="Times New Roman"/>
          <w:b/>
          <w:sz w:val="24"/>
          <w:szCs w:val="24"/>
        </w:rPr>
      </w:pPr>
      <w:bookmarkStart w:id="382" w:name="_Toc442187975"/>
      <w:bookmarkStart w:id="383" w:name="_Toc442262067"/>
      <w:bookmarkStart w:id="384" w:name="_Toc442362474"/>
      <w:bookmarkStart w:id="385" w:name="_Toc442374810"/>
      <w:bookmarkStart w:id="386" w:name="_Toc442425950"/>
      <w:bookmarkStart w:id="387" w:name="_Toc442453076"/>
      <w:bookmarkStart w:id="388" w:name="_Toc443484534"/>
      <w:bookmarkStart w:id="389" w:name="_Toc443484756"/>
      <w:bookmarkStart w:id="390" w:name="_Toc443509497"/>
      <w:bookmarkStart w:id="391" w:name="_Toc446014826"/>
      <w:r>
        <w:rPr>
          <w:rFonts w:ascii="Times New Roman" w:hAnsi="Times New Roman"/>
          <w:b/>
          <w:sz w:val="24"/>
          <w:szCs w:val="24"/>
        </w:rPr>
        <w:t>3.2.2. Ressursid</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spacing w:after="120" w:line="240" w:lineRule="auto"/>
        <w:jc w:val="both"/>
        <w:rPr>
          <w:rFonts w:ascii="Times New Roman" w:eastAsia="Calibri" w:hAnsi="Times New Roman" w:cs="Times New Roman"/>
          <w:sz w:val="24"/>
        </w:rPr>
      </w:pPr>
      <w:r>
        <w:rPr>
          <w:rFonts w:ascii="Times New Roman" w:hAnsi="Times New Roman"/>
          <w:sz w:val="24"/>
        </w:rPr>
        <w:t>Kohtusüsteemi heaks toimimiseks on tarvis piisavalt ressursse, sealhulgas vajalikke investeeringuid füüsilisse ja tehnilisse taristusse, samuti on kõikides valdkondades vaja kvalifitseeritud töötajaid, kes on saanud väljaõppe ja kellele makstakse asjakohast tasu. Ilma piisavate vahendite, tööriistade või töötajateta, kellel on nõutav kvalifikatsioon ja oskused ning keda järjepidevalt koolitatakse, on ohus menetluste ja otsuste kvaliteet.</w:t>
      </w:r>
    </w:p>
    <w:p>
      <w:pPr>
        <w:spacing w:before="240" w:after="120" w:line="240" w:lineRule="auto"/>
        <w:jc w:val="both"/>
        <w:rPr>
          <w:rFonts w:ascii="Times New Roman" w:eastAsia="Calibri" w:hAnsi="Times New Roman" w:cs="Times New Roman"/>
          <w:i/>
          <w:sz w:val="24"/>
        </w:rPr>
      </w:pPr>
      <w:r>
        <w:rPr>
          <w:rFonts w:ascii="Times New Roman" w:hAnsi="Times New Roman"/>
          <w:i/>
        </w:rPr>
        <w:t>– Rahalised vahendid –</w:t>
      </w:r>
    </w:p>
    <w:p>
      <w:pPr>
        <w:spacing w:after="120" w:line="240" w:lineRule="auto"/>
        <w:jc w:val="both"/>
        <w:rPr>
          <w:rFonts w:ascii="Times New Roman" w:eastAsia="Calibri" w:hAnsi="Times New Roman" w:cs="Times New Roman"/>
          <w:sz w:val="24"/>
        </w:rPr>
      </w:pPr>
      <w:r>
        <w:rPr>
          <w:rFonts w:ascii="Times New Roman" w:hAnsi="Times New Roman"/>
          <w:sz w:val="24"/>
          <w:szCs w:val="24"/>
        </w:rPr>
        <w:t>Allpool olev joonis näitab valitsemissektori tegelikke kulutusi kohtusüsteemi käitamiseks (välja arvatud vanglad) nii elaniku kohta (joonis 32) kui ka osana sisemajanduse koguproduktist (SKP) (joonis 33) ning viimaks kohtute peamisi kulukategooriaid (joonis 34) (</w:t>
      </w:r>
      <w:r>
        <w:rPr>
          <w:rFonts w:ascii="Times New Roman" w:eastAsia="Calibri" w:hAnsi="Times New Roman" w:cs="Times New Roman"/>
          <w:sz w:val="24"/>
          <w:szCs w:val="24"/>
          <w:vertAlign w:val="superscript"/>
        </w:rPr>
        <w:footnoteReference w:id="74"/>
      </w:r>
      <w:r>
        <w:rPr>
          <w:rFonts w:ascii="Times New Roman" w:hAnsi="Times New Roman"/>
          <w:sz w:val="24"/>
          <w:szCs w:val="24"/>
        </w:rPr>
        <w:t>).</w:t>
      </w:r>
      <w:bookmarkStart w:id="392" w:name="_Ref441218579"/>
    </w:p>
    <w:p>
      <w:pPr>
        <w:spacing w:line="240" w:lineRule="auto"/>
        <w:jc w:val="both"/>
        <w:rPr>
          <w:rFonts w:ascii="Times New Roman" w:eastAsia="Calibri" w:hAnsi="Times New Roman" w:cs="Times New Roman"/>
          <w:b/>
          <w:bCs/>
          <w:sz w:val="24"/>
          <w:szCs w:val="24"/>
        </w:rPr>
      </w:pPr>
      <w:r>
        <w:br w:type="page"/>
      </w:r>
    </w:p>
    <w:p>
      <w:pPr>
        <w:spacing w:before="240" w:after="0" w:line="240" w:lineRule="auto"/>
        <w:jc w:val="both"/>
        <w:rPr>
          <w:rFonts w:ascii="Times New Roman" w:eastAsia="Calibri" w:hAnsi="Times New Roman" w:cs="Times New Roman"/>
          <w:i/>
          <w:iCs/>
          <w:sz w:val="24"/>
          <w:szCs w:val="24"/>
        </w:rPr>
      </w:pPr>
      <w:r>
        <w:rPr>
          <w:rFonts w:ascii="Times New Roman" w:hAnsi="Times New Roman"/>
          <w:b/>
          <w:bCs/>
          <w:sz w:val="24"/>
          <w:szCs w:val="24"/>
        </w:rPr>
        <w:t>Joonis</w:t>
      </w:r>
      <w:bookmarkEnd w:id="392"/>
      <w:r>
        <w:rPr>
          <w:rFonts w:ascii="Times New Roman" w:hAnsi="Times New Roman"/>
          <w:b/>
          <w:bCs/>
          <w:sz w:val="24"/>
          <w:szCs w:val="24"/>
        </w:rPr>
        <w:t xml:space="preserve"> </w:t>
      </w:r>
      <w:r>
        <w:fldChar w:fldCharType="begin"/>
      </w:r>
      <w:r>
        <w:rPr>
          <w:rFonts w:ascii="Times New Roman" w:eastAsia="Calibri" w:hAnsi="Times New Roman" w:cs="Times New Roman"/>
          <w:b/>
          <w:sz w:val="24"/>
        </w:rPr>
        <w:instrText xml:space="preserve"> SEQ Figure \* ARABIC  \* MERGEFORMAT </w:instrText>
      </w:r>
      <w:r>
        <w:rPr>
          <w:rFonts w:ascii="Times New Roman" w:eastAsia="Calibri" w:hAnsi="Times New Roman" w:cs="Times New Roman"/>
          <w:b/>
          <w:sz w:val="24"/>
        </w:rPr>
        <w:fldChar w:fldCharType="separate"/>
      </w:r>
      <w:r>
        <w:rPr>
          <w:rFonts w:ascii="Times New Roman" w:eastAsia="Calibri" w:hAnsi="Times New Roman" w:cs="Times New Roman"/>
          <w:b/>
          <w:bCs/>
          <w:sz w:val="24"/>
          <w:szCs w:val="24"/>
        </w:rPr>
        <w:t>32</w:t>
      </w:r>
      <w:r>
        <w:fldChar w:fldCharType="end"/>
      </w:r>
      <w:r>
        <w:rPr>
          <w:rFonts w:ascii="Times New Roman" w:hAnsi="Times New Roman"/>
          <w:b/>
          <w:bCs/>
          <w:sz w:val="24"/>
          <w:szCs w:val="24"/>
        </w:rPr>
        <w:t xml:space="preserve">. Valitsemissektori kogukulutused kohtutele, 2012, 2016–2018(*) </w:t>
      </w:r>
      <w:r>
        <w:rPr>
          <w:rFonts w:ascii="Times New Roman" w:hAnsi="Times New Roman"/>
          <w:i/>
          <w:iCs/>
          <w:sz w:val="24"/>
          <w:szCs w:val="24"/>
        </w:rPr>
        <w:t>(eurodes elaniku kohta) (allikas: Eurostat)</w:t>
      </w:r>
    </w:p>
    <w:p>
      <w:pPr>
        <w:spacing w:after="0" w:line="240" w:lineRule="auto"/>
        <w:jc w:val="both"/>
        <w:rPr>
          <w:rFonts w:ascii="Times New Roman" w:eastAsia="Calibri" w:hAnsi="Times New Roman" w:cs="Times New Roman"/>
          <w:i/>
          <w:sz w:val="20"/>
        </w:rPr>
      </w:pPr>
      <w:r>
        <w:rPr>
          <w:lang w:val="en-GB" w:eastAsia="en-GB"/>
        </w:rPr>
        <w:drawing>
          <wp:inline distT="0" distB="0" distL="0" distR="0">
            <wp:extent cx="5977255" cy="2264886"/>
            <wp:effectExtent l="0" t="0" r="4445" b="2540"/>
            <wp:docPr id="97285" name="Picture 97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77255" cy="2264886"/>
                    </a:xfrm>
                    <a:prstGeom prst="rect">
                      <a:avLst/>
                    </a:prstGeom>
                    <a:noFill/>
                    <a:ln>
                      <a:noFill/>
                    </a:ln>
                  </pic:spPr>
                </pic:pic>
              </a:graphicData>
            </a:graphic>
          </wp:inline>
        </w:drawing>
      </w:r>
    </w:p>
    <w:p>
      <w:pPr>
        <w:spacing w:after="0" w:line="240" w:lineRule="auto"/>
        <w:jc w:val="both"/>
        <w:rPr>
          <w:rFonts w:ascii="Times New Roman" w:eastAsia="Calibri" w:hAnsi="Times New Roman" w:cs="Times New Roman"/>
          <w:i/>
          <w:sz w:val="20"/>
        </w:rPr>
      </w:pPr>
      <w:r>
        <w:rPr>
          <w:rFonts w:ascii="Times New Roman" w:hAnsi="Times New Roman"/>
          <w:i/>
          <w:sz w:val="20"/>
        </w:rPr>
        <w:t xml:space="preserve">(*) Liikmesriigid on järjestatud 2018. aasta kulutuste järgi (kõige suurematest kõige väiksemateni). </w:t>
      </w:r>
      <w:r>
        <w:rPr>
          <w:rFonts w:ascii="Times New Roman" w:hAnsi="Times New Roman"/>
          <w:b/>
          <w:i/>
          <w:sz w:val="20"/>
        </w:rPr>
        <w:t>Hispaania</w:t>
      </w:r>
      <w:r>
        <w:rPr>
          <w:rFonts w:ascii="Times New Roman" w:hAnsi="Times New Roman"/>
          <w:i/>
          <w:sz w:val="20"/>
        </w:rPr>
        <w:t xml:space="preserve">, </w:t>
      </w:r>
      <w:r>
        <w:rPr>
          <w:rFonts w:ascii="Times New Roman" w:hAnsi="Times New Roman"/>
          <w:b/>
          <w:i/>
          <w:sz w:val="20"/>
        </w:rPr>
        <w:t>Prantsusmaa</w:t>
      </w:r>
      <w:r>
        <w:rPr>
          <w:rFonts w:ascii="Times New Roman" w:hAnsi="Times New Roman"/>
          <w:i/>
          <w:sz w:val="20"/>
        </w:rPr>
        <w:t xml:space="preserve">, </w:t>
      </w:r>
      <w:r>
        <w:rPr>
          <w:rFonts w:ascii="Times New Roman" w:hAnsi="Times New Roman"/>
          <w:b/>
          <w:i/>
          <w:sz w:val="20"/>
        </w:rPr>
        <w:t>Horvaatia</w:t>
      </w:r>
      <w:r>
        <w:rPr>
          <w:rFonts w:ascii="Times New Roman" w:hAnsi="Times New Roman"/>
          <w:i/>
          <w:sz w:val="20"/>
        </w:rPr>
        <w:t xml:space="preserve">, </w:t>
      </w:r>
      <w:r>
        <w:rPr>
          <w:rFonts w:ascii="Times New Roman" w:hAnsi="Times New Roman"/>
          <w:b/>
          <w:bCs/>
          <w:i/>
          <w:sz w:val="20"/>
        </w:rPr>
        <w:t>Portugali</w:t>
      </w:r>
      <w:r>
        <w:rPr>
          <w:rFonts w:ascii="Times New Roman" w:hAnsi="Times New Roman"/>
          <w:i/>
          <w:sz w:val="20"/>
        </w:rPr>
        <w:t xml:space="preserve"> ja </w:t>
      </w:r>
      <w:r>
        <w:rPr>
          <w:rFonts w:ascii="Times New Roman" w:hAnsi="Times New Roman"/>
          <w:b/>
          <w:i/>
          <w:sz w:val="20"/>
        </w:rPr>
        <w:t>Slovakkia</w:t>
      </w:r>
      <w:r>
        <w:rPr>
          <w:rFonts w:ascii="Times New Roman" w:hAnsi="Times New Roman"/>
          <w:i/>
          <w:sz w:val="20"/>
        </w:rPr>
        <w:t xml:space="preserve"> 2018. aasta andmed on esialgsed. </w:t>
      </w:r>
    </w:p>
    <w:p>
      <w:pPr>
        <w:keepNext/>
        <w:spacing w:before="240" w:after="120" w:line="240" w:lineRule="auto"/>
        <w:jc w:val="both"/>
        <w:rPr>
          <w:rFonts w:ascii="Times New Roman" w:eastAsia="Times New Roman" w:hAnsi="Times New Roman" w:cs="Times New Roman"/>
          <w:i/>
          <w:iCs/>
          <w:sz w:val="24"/>
          <w:szCs w:val="24"/>
        </w:rPr>
      </w:pPr>
      <w:r>
        <w:rPr>
          <w:rFonts w:ascii="Times New Roman" w:hAnsi="Times New Roman"/>
          <w:b/>
          <w:bCs/>
          <w:sz w:val="24"/>
          <w:szCs w:val="24"/>
        </w:rPr>
        <w:t>Joonis </w:t>
      </w:r>
      <w:r>
        <w:fldChar w:fldCharType="begin"/>
      </w:r>
      <w:r>
        <w:rPr>
          <w:rFonts w:ascii="Times New Roman" w:eastAsia="Calibri" w:hAnsi="Times New Roman" w:cs="Times New Roman"/>
          <w:b/>
          <w:sz w:val="24"/>
          <w:szCs w:val="24"/>
        </w:rPr>
        <w:instrText xml:space="preserve"> SEQ Figure \* ARABIC  \* MERGEFORMAT </w:instrText>
      </w:r>
      <w:r>
        <w:rPr>
          <w:rFonts w:ascii="Times New Roman" w:eastAsia="Calibri" w:hAnsi="Times New Roman" w:cs="Times New Roman"/>
          <w:b/>
          <w:sz w:val="24"/>
          <w:szCs w:val="24"/>
        </w:rPr>
        <w:fldChar w:fldCharType="separate"/>
      </w:r>
      <w:r>
        <w:rPr>
          <w:rFonts w:ascii="Times New Roman" w:eastAsia="Calibri" w:hAnsi="Times New Roman" w:cs="Times New Roman"/>
          <w:b/>
          <w:bCs/>
          <w:sz w:val="24"/>
          <w:szCs w:val="24"/>
        </w:rPr>
        <w:t>33</w:t>
      </w:r>
      <w:r>
        <w:fldChar w:fldCharType="end"/>
      </w:r>
      <w:r>
        <w:rPr>
          <w:rFonts w:ascii="Times New Roman" w:hAnsi="Times New Roman"/>
          <w:b/>
          <w:bCs/>
          <w:sz w:val="24"/>
          <w:szCs w:val="24"/>
        </w:rPr>
        <w:t>. Valitsemissektori kogukulutused kohtutele, 2012, 2016–2018(*)</w:t>
      </w:r>
      <w:r>
        <w:rPr>
          <w:rFonts w:ascii="Times New Roman" w:hAnsi="Times New Roman"/>
          <w:sz w:val="24"/>
          <w:szCs w:val="24"/>
        </w:rPr>
        <w:t xml:space="preserve"> </w:t>
      </w:r>
      <w:r>
        <w:rPr>
          <w:rFonts w:ascii="Times New Roman" w:hAnsi="Times New Roman"/>
          <w:i/>
          <w:iCs/>
          <w:sz w:val="24"/>
          <w:szCs w:val="24"/>
        </w:rPr>
        <w:t>(protsendina SKPst) (allikas: Eurostat)</w:t>
      </w:r>
      <w:bookmarkStart w:id="393" w:name="_Ref440969342"/>
    </w:p>
    <w:p>
      <w:pPr>
        <w:spacing w:after="0" w:line="240" w:lineRule="auto"/>
        <w:jc w:val="both"/>
        <w:rPr>
          <w:rFonts w:ascii="Times New Roman" w:eastAsia="Calibri" w:hAnsi="Times New Roman" w:cs="Times New Roman"/>
          <w:i/>
          <w:sz w:val="20"/>
        </w:rPr>
      </w:pPr>
      <w:r>
        <w:rPr>
          <w:lang w:val="en-GB" w:eastAsia="en-GB"/>
        </w:rPr>
        <w:drawing>
          <wp:inline distT="0" distB="0" distL="0" distR="0">
            <wp:extent cx="5977255" cy="2270127"/>
            <wp:effectExtent l="0" t="0" r="4445" b="0"/>
            <wp:docPr id="97286" name="Picture 97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77255" cy="2270127"/>
                    </a:xfrm>
                    <a:prstGeom prst="rect">
                      <a:avLst/>
                    </a:prstGeom>
                    <a:noFill/>
                    <a:ln>
                      <a:noFill/>
                    </a:ln>
                  </pic:spPr>
                </pic:pic>
              </a:graphicData>
            </a:graphic>
          </wp:inline>
        </w:drawing>
      </w:r>
    </w:p>
    <w:p>
      <w:pPr>
        <w:spacing w:after="0" w:line="240" w:lineRule="auto"/>
        <w:jc w:val="both"/>
        <w:rPr>
          <w:rFonts w:ascii="Times New Roman" w:eastAsia="Calibri" w:hAnsi="Times New Roman" w:cs="Times New Roman"/>
        </w:rPr>
      </w:pPr>
      <w:r>
        <w:rPr>
          <w:rFonts w:ascii="Times New Roman" w:hAnsi="Times New Roman"/>
          <w:i/>
          <w:sz w:val="20"/>
        </w:rPr>
        <w:t xml:space="preserve">(*) Liikmesriigid on järjestatud 2018. aasta kulutuste järgi (kõige suurematest kõige väiksemateni). </w:t>
      </w:r>
      <w:r>
        <w:rPr>
          <w:rFonts w:ascii="Times New Roman" w:hAnsi="Times New Roman"/>
          <w:b/>
          <w:i/>
          <w:sz w:val="20"/>
        </w:rPr>
        <w:t>Hispaania</w:t>
      </w:r>
      <w:r>
        <w:rPr>
          <w:rFonts w:ascii="Times New Roman" w:hAnsi="Times New Roman"/>
          <w:i/>
          <w:sz w:val="20"/>
        </w:rPr>
        <w:t xml:space="preserve">, </w:t>
      </w:r>
      <w:r>
        <w:rPr>
          <w:rFonts w:ascii="Times New Roman" w:hAnsi="Times New Roman"/>
          <w:b/>
          <w:i/>
          <w:sz w:val="20"/>
        </w:rPr>
        <w:t>Prantsusmaa</w:t>
      </w:r>
      <w:r>
        <w:rPr>
          <w:rFonts w:ascii="Times New Roman" w:hAnsi="Times New Roman"/>
          <w:i/>
          <w:sz w:val="20"/>
        </w:rPr>
        <w:t xml:space="preserve">, </w:t>
      </w:r>
      <w:r>
        <w:rPr>
          <w:rFonts w:ascii="Times New Roman" w:hAnsi="Times New Roman"/>
          <w:b/>
          <w:i/>
          <w:sz w:val="20"/>
        </w:rPr>
        <w:t>Horvaatia</w:t>
      </w:r>
      <w:r>
        <w:rPr>
          <w:rFonts w:ascii="Times New Roman" w:hAnsi="Times New Roman"/>
          <w:i/>
          <w:sz w:val="20"/>
        </w:rPr>
        <w:t xml:space="preserve">, </w:t>
      </w:r>
      <w:r>
        <w:rPr>
          <w:rFonts w:ascii="Times New Roman" w:hAnsi="Times New Roman"/>
          <w:b/>
          <w:i/>
          <w:sz w:val="20"/>
        </w:rPr>
        <w:t>Portugali</w:t>
      </w:r>
      <w:r>
        <w:rPr>
          <w:rFonts w:ascii="Times New Roman" w:hAnsi="Times New Roman"/>
          <w:i/>
          <w:sz w:val="20"/>
        </w:rPr>
        <w:t xml:space="preserve"> ja </w:t>
      </w:r>
      <w:r>
        <w:rPr>
          <w:rFonts w:ascii="Times New Roman" w:hAnsi="Times New Roman"/>
          <w:b/>
          <w:i/>
          <w:sz w:val="20"/>
        </w:rPr>
        <w:t>Slovakkia</w:t>
      </w:r>
      <w:r>
        <w:rPr>
          <w:rFonts w:ascii="Times New Roman" w:hAnsi="Times New Roman"/>
          <w:i/>
          <w:sz w:val="20"/>
        </w:rPr>
        <w:t xml:space="preserve"> 2018. aasta andmed on esialgsed. </w:t>
      </w:r>
    </w:p>
    <w:p>
      <w:pPr>
        <w:spacing w:after="0" w:line="240" w:lineRule="auto"/>
        <w:jc w:val="both"/>
        <w:rPr>
          <w:rFonts w:ascii="Times New Roman" w:eastAsia="Calibri" w:hAnsi="Times New Roman" w:cs="Times New Roman"/>
          <w:sz w:val="24"/>
        </w:rPr>
      </w:pPr>
      <w:r>
        <w:br w:type="page"/>
      </w:r>
    </w:p>
    <w:bookmarkEnd w:id="393"/>
    <w:p>
      <w:pPr>
        <w:spacing w:before="120" w:after="0" w:line="240" w:lineRule="auto"/>
        <w:jc w:val="both"/>
        <w:rPr>
          <w:rFonts w:ascii="Times New Roman" w:eastAsia="Calibri" w:hAnsi="Times New Roman" w:cs="Times New Roman"/>
          <w:b/>
        </w:rPr>
      </w:pPr>
      <w:r>
        <w:rPr>
          <w:rFonts w:ascii="Times New Roman" w:hAnsi="Times New Roman"/>
          <w:sz w:val="24"/>
          <w:szCs w:val="24"/>
        </w:rPr>
        <w:t>Joonisel 34 on näidatud järgmised põhilised majanduskategooriad, mida valitsemissektori kulutused kohtutele hõlmavad: 1) kohtunike ja kohtutöötajate palgad, sealhulgas sotsiaalmaksed (hüvitised töötajatele</w:t>
      </w:r>
      <w:r>
        <w:rPr>
          <w:rFonts w:ascii="Times New Roman" w:hAnsi="Times New Roman"/>
        </w:rPr>
        <w:t>(</w:t>
      </w:r>
      <w:r>
        <w:rPr>
          <w:rFonts w:ascii="Times New Roman" w:eastAsia="Calibri" w:hAnsi="Times New Roman" w:cs="Times New Roman"/>
          <w:vertAlign w:val="superscript"/>
        </w:rPr>
        <w:footnoteReference w:id="75"/>
      </w:r>
      <w:r>
        <w:rPr>
          <w:rFonts w:ascii="Times New Roman" w:hAnsi="Times New Roman"/>
        </w:rPr>
        <w:t xml:space="preserve">)), </w:t>
      </w:r>
      <w:r>
        <w:rPr>
          <w:rFonts w:ascii="Times New Roman" w:hAnsi="Times New Roman"/>
          <w:sz w:val="24"/>
          <w:szCs w:val="24"/>
        </w:rPr>
        <w:t>2) kohtutele vajalike kaupade ja teenuste kulud, näiteks hoonete üürimine, kontoritarbed, energia ja õigusabi (vahetarbimine</w:t>
      </w:r>
      <w:r>
        <w:rPr>
          <w:rFonts w:ascii="Times New Roman" w:hAnsi="Times New Roman"/>
        </w:rPr>
        <w:t>(</w:t>
      </w:r>
      <w:r>
        <w:rPr>
          <w:rFonts w:ascii="Times New Roman" w:eastAsia="Calibri" w:hAnsi="Times New Roman" w:cs="Times New Roman"/>
          <w:vertAlign w:val="superscript"/>
        </w:rPr>
        <w:footnoteReference w:id="76"/>
      </w:r>
      <w:r>
        <w:rPr>
          <w:rFonts w:ascii="Times New Roman" w:hAnsi="Times New Roman"/>
        </w:rPr>
        <w:t>))</w:t>
      </w:r>
      <w:r>
        <w:rPr>
          <w:rFonts w:ascii="Times New Roman" w:hAnsi="Times New Roman"/>
          <w:sz w:val="24"/>
          <w:szCs w:val="24"/>
        </w:rPr>
        <w:t>, 3) investeeringud põhivarasse, näiteks kohtuhoonetesse ja tarkvarasse (kapitali kogumahutus põhivarasse(</w:t>
      </w:r>
      <w:r>
        <w:rPr>
          <w:rFonts w:ascii="Times New Roman" w:eastAsia="Calibri" w:hAnsi="Times New Roman" w:cs="Times New Roman"/>
          <w:sz w:val="24"/>
          <w:szCs w:val="24"/>
        </w:rPr>
        <w:footnoteReference w:id="77"/>
      </w:r>
      <w:r>
        <w:rPr>
          <w:rFonts w:ascii="Times New Roman" w:hAnsi="Times New Roman"/>
          <w:sz w:val="24"/>
          <w:szCs w:val="24"/>
        </w:rPr>
        <w:t>)) ning 4) muud kulud.</w:t>
      </w:r>
    </w:p>
    <w:p>
      <w:pPr>
        <w:keepNext/>
        <w:spacing w:before="240" w:after="120" w:line="240" w:lineRule="auto"/>
        <w:jc w:val="both"/>
        <w:rPr>
          <w:rFonts w:ascii="Times New Roman" w:eastAsia="Times New Roman" w:hAnsi="Times New Roman" w:cs="Times New Roman"/>
          <w:i/>
          <w:sz w:val="24"/>
          <w:szCs w:val="24"/>
        </w:rPr>
      </w:pPr>
      <w:r>
        <w:rPr>
          <w:rFonts w:ascii="Times New Roman" w:hAnsi="Times New Roman"/>
          <w:b/>
          <w:sz w:val="24"/>
          <w:szCs w:val="24"/>
        </w:rPr>
        <w:t>Joonis </w:t>
      </w:r>
      <w:r>
        <w:rPr>
          <w:rFonts w:ascii="Times New Roman" w:eastAsia="Calibri" w:hAnsi="Times New Roman" w:cs="Times New Roman"/>
          <w:b/>
          <w:sz w:val="24"/>
          <w:szCs w:val="24"/>
        </w:rPr>
        <w:fldChar w:fldCharType="begin"/>
      </w:r>
      <w:r>
        <w:rPr>
          <w:rFonts w:ascii="Times New Roman" w:eastAsia="Calibri" w:hAnsi="Times New Roman" w:cs="Times New Roman"/>
          <w:b/>
          <w:sz w:val="24"/>
          <w:szCs w:val="24"/>
        </w:rPr>
        <w:instrText xml:space="preserve"> SEQ Figure \* ARABIC  \* MERGEFORMAT </w:instrText>
      </w:r>
      <w:r>
        <w:rPr>
          <w:rFonts w:ascii="Times New Roman" w:eastAsia="Calibri" w:hAnsi="Times New Roman" w:cs="Times New Roman"/>
          <w:b/>
          <w:sz w:val="24"/>
          <w:szCs w:val="24"/>
        </w:rPr>
        <w:fldChar w:fldCharType="separate"/>
      </w:r>
      <w:r>
        <w:rPr>
          <w:rFonts w:ascii="Times New Roman" w:eastAsia="Calibri" w:hAnsi="Times New Roman" w:cs="Times New Roman"/>
          <w:b/>
          <w:sz w:val="24"/>
          <w:szCs w:val="24"/>
        </w:rPr>
        <w:t>34</w:t>
      </w:r>
      <w:r>
        <w:rPr>
          <w:rFonts w:ascii="Times New Roman" w:eastAsia="Calibri" w:hAnsi="Times New Roman" w:cs="Times New Roman"/>
          <w:b/>
          <w:sz w:val="24"/>
          <w:szCs w:val="24"/>
        </w:rPr>
        <w:fldChar w:fldCharType="end"/>
      </w:r>
      <w:r>
        <w:t>.</w:t>
      </w:r>
      <w:r>
        <w:rPr>
          <w:rFonts w:ascii="Times New Roman" w:hAnsi="Times New Roman"/>
          <w:b/>
          <w:sz w:val="24"/>
          <w:szCs w:val="24"/>
        </w:rPr>
        <w:t xml:space="preserve"> </w:t>
      </w:r>
      <w:r>
        <w:rPr>
          <w:rFonts w:ascii="Times New Roman" w:hAnsi="Times New Roman"/>
          <w:b/>
          <w:bCs/>
          <w:sz w:val="24"/>
          <w:szCs w:val="24"/>
        </w:rPr>
        <w:t>Valitsemissektori kogukulutused kohtutele kategooriate kaupa(*)</w:t>
      </w:r>
      <w:r>
        <w:rPr>
          <w:rFonts w:ascii="Times New Roman" w:hAnsi="Times New Roman"/>
          <w:sz w:val="24"/>
          <w:szCs w:val="24"/>
        </w:rPr>
        <w:t xml:space="preserve"> </w:t>
      </w:r>
      <w:r>
        <w:rPr>
          <w:rFonts w:ascii="Times New Roman" w:hAnsi="Times New Roman"/>
          <w:i/>
          <w:iCs/>
          <w:sz w:val="24"/>
          <w:szCs w:val="24"/>
        </w:rPr>
        <w:t>(2018. aastal protsendina kogukuludest) (allikas:</w:t>
      </w:r>
      <w:r>
        <w:rPr>
          <w:rFonts w:ascii="Times New Roman" w:hAnsi="Times New Roman"/>
          <w:i/>
          <w:sz w:val="24"/>
          <w:szCs w:val="24"/>
        </w:rPr>
        <w:t xml:space="preserve"> Eurostat)</w:t>
      </w:r>
    </w:p>
    <w:p>
      <w:pPr>
        <w:spacing w:after="0" w:line="240" w:lineRule="auto"/>
        <w:jc w:val="both"/>
        <w:rPr>
          <w:rFonts w:ascii="Times New Roman" w:eastAsia="Calibri" w:hAnsi="Times New Roman" w:cs="Times New Roman"/>
          <w:i/>
          <w:sz w:val="20"/>
        </w:rPr>
      </w:pPr>
      <w:r>
        <w:rPr>
          <w:lang w:val="en-GB" w:eastAsia="en-GB"/>
        </w:rPr>
        <w:drawing>
          <wp:inline distT="0" distB="0" distL="0" distR="0">
            <wp:extent cx="5977255" cy="2711389"/>
            <wp:effectExtent l="0" t="0" r="4445" b="0"/>
            <wp:docPr id="97290" name="Picture 97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77255" cy="2711389"/>
                    </a:xfrm>
                    <a:prstGeom prst="rect">
                      <a:avLst/>
                    </a:prstGeom>
                    <a:noFill/>
                    <a:ln>
                      <a:noFill/>
                    </a:ln>
                  </pic:spPr>
                </pic:pic>
              </a:graphicData>
            </a:graphic>
          </wp:inline>
        </w:drawing>
      </w:r>
    </w:p>
    <w:p>
      <w:pPr>
        <w:spacing w:after="0" w:line="240" w:lineRule="auto"/>
        <w:jc w:val="both"/>
        <w:rPr>
          <w:rFonts w:ascii="Times New Roman" w:eastAsia="Calibri" w:hAnsi="Times New Roman" w:cs="Times New Roman"/>
          <w:i/>
          <w:sz w:val="20"/>
        </w:rPr>
      </w:pPr>
      <w:r>
        <w:rPr>
          <w:rFonts w:ascii="Times New Roman" w:hAnsi="Times New Roman"/>
          <w:i/>
          <w:sz w:val="20"/>
        </w:rPr>
        <w:t xml:space="preserve">(*) </w:t>
      </w:r>
      <w:r>
        <w:rPr>
          <w:rFonts w:ascii="Times New Roman" w:hAnsi="Times New Roman"/>
          <w:b/>
          <w:i/>
          <w:sz w:val="20"/>
        </w:rPr>
        <w:t>Hispaania</w:t>
      </w:r>
      <w:r>
        <w:rPr>
          <w:rFonts w:ascii="Times New Roman" w:hAnsi="Times New Roman"/>
          <w:i/>
          <w:sz w:val="20"/>
        </w:rPr>
        <w:t xml:space="preserve">, </w:t>
      </w:r>
      <w:r>
        <w:rPr>
          <w:rFonts w:ascii="Times New Roman" w:hAnsi="Times New Roman"/>
          <w:b/>
          <w:i/>
          <w:sz w:val="20"/>
        </w:rPr>
        <w:t>Prantsusmaa</w:t>
      </w:r>
      <w:r>
        <w:rPr>
          <w:rFonts w:ascii="Times New Roman" w:hAnsi="Times New Roman"/>
          <w:i/>
          <w:sz w:val="20"/>
        </w:rPr>
        <w:t xml:space="preserve">, </w:t>
      </w:r>
      <w:r>
        <w:rPr>
          <w:rFonts w:ascii="Times New Roman" w:hAnsi="Times New Roman"/>
          <w:b/>
          <w:i/>
          <w:sz w:val="20"/>
        </w:rPr>
        <w:t>Horvaatia</w:t>
      </w:r>
      <w:r>
        <w:rPr>
          <w:rFonts w:ascii="Times New Roman" w:hAnsi="Times New Roman"/>
          <w:i/>
          <w:sz w:val="20"/>
        </w:rPr>
        <w:t xml:space="preserve"> ja </w:t>
      </w:r>
      <w:r>
        <w:rPr>
          <w:rFonts w:ascii="Times New Roman" w:hAnsi="Times New Roman"/>
          <w:b/>
          <w:i/>
          <w:sz w:val="20"/>
        </w:rPr>
        <w:t>Slovakkia</w:t>
      </w:r>
      <w:r>
        <w:rPr>
          <w:rFonts w:ascii="Times New Roman" w:hAnsi="Times New Roman"/>
          <w:i/>
          <w:sz w:val="20"/>
        </w:rPr>
        <w:t xml:space="preserve"> andmed on esialgsed, </w:t>
      </w:r>
      <w:r>
        <w:rPr>
          <w:rFonts w:ascii="Times New Roman" w:hAnsi="Times New Roman"/>
          <w:b/>
          <w:i/>
          <w:sz w:val="20"/>
        </w:rPr>
        <w:t>Portugali</w:t>
      </w:r>
      <w:r>
        <w:rPr>
          <w:rFonts w:ascii="Times New Roman" w:hAnsi="Times New Roman"/>
          <w:i/>
          <w:sz w:val="20"/>
        </w:rPr>
        <w:t xml:space="preserve"> andmed on hinnangulised. </w:t>
      </w:r>
    </w:p>
    <w:p>
      <w:pPr>
        <w:spacing w:before="240" w:after="120" w:line="240" w:lineRule="auto"/>
        <w:jc w:val="both"/>
        <w:rPr>
          <w:rFonts w:ascii="Times New Roman" w:eastAsia="Calibri" w:hAnsi="Times New Roman" w:cs="Times New Roman"/>
          <w:sz w:val="24"/>
          <w:szCs w:val="24"/>
        </w:rPr>
      </w:pPr>
      <w:r>
        <w:rPr>
          <w:rFonts w:ascii="Times New Roman" w:hAnsi="Times New Roman"/>
          <w:i/>
          <w:sz w:val="24"/>
          <w:szCs w:val="24"/>
        </w:rPr>
        <w:t>– Inimressursid –</w:t>
      </w:r>
    </w:p>
    <w:p>
      <w:pPr>
        <w:spacing w:before="120" w:after="120" w:line="240" w:lineRule="auto"/>
        <w:jc w:val="both"/>
        <w:rPr>
          <w:rFonts w:ascii="Times New Roman" w:eastAsia="Calibri" w:hAnsi="Times New Roman" w:cs="Times New Roman"/>
          <w:b/>
          <w:sz w:val="24"/>
        </w:rPr>
      </w:pPr>
      <w:r>
        <w:rPr>
          <w:rFonts w:ascii="Times New Roman" w:hAnsi="Times New Roman"/>
          <w:sz w:val="24"/>
        </w:rPr>
        <w:t>Kohtusüsteemi kvaliteedi jaoks on piisavad inimressursid väga olulised. Kohtunike mitmekesisus, sh sooline tasakaal, rikastab teadmisi, oskusi ja kogemusi ning peegeldab ühiskonnas valitsevat tegelikku olukorda.</w:t>
      </w:r>
    </w:p>
    <w:p>
      <w:pPr>
        <w:keepNext/>
        <w:spacing w:before="240" w:after="120" w:line="240" w:lineRule="auto"/>
        <w:jc w:val="both"/>
        <w:rPr>
          <w:rFonts w:ascii="Times New Roman" w:eastAsia="Calibri" w:hAnsi="Times New Roman" w:cs="Times New Roman"/>
          <w:b/>
          <w:bCs/>
          <w:sz w:val="24"/>
          <w:szCs w:val="24"/>
        </w:rPr>
      </w:pPr>
      <w:r>
        <w:rPr>
          <w:rFonts w:ascii="Times New Roman" w:hAnsi="Times New Roman"/>
          <w:b/>
          <w:bCs/>
          <w:sz w:val="24"/>
          <w:szCs w:val="24"/>
        </w:rPr>
        <w:t>Joonis </w:t>
      </w:r>
      <w:r>
        <w:fldChar w:fldCharType="begin"/>
      </w:r>
      <w:r>
        <w:rPr>
          <w:rFonts w:ascii="Times New Roman" w:eastAsia="Calibri" w:hAnsi="Times New Roman" w:cs="Times New Roman"/>
          <w:b/>
          <w:sz w:val="24"/>
          <w:szCs w:val="24"/>
        </w:rPr>
        <w:instrText xml:space="preserve"> SEQ Figure \* ARABIC  \* MERGEFORMAT </w:instrText>
      </w:r>
      <w:r>
        <w:rPr>
          <w:rFonts w:ascii="Times New Roman" w:eastAsia="Calibri" w:hAnsi="Times New Roman" w:cs="Times New Roman"/>
          <w:b/>
          <w:sz w:val="24"/>
          <w:szCs w:val="24"/>
        </w:rPr>
        <w:fldChar w:fldCharType="separate"/>
      </w:r>
      <w:r>
        <w:rPr>
          <w:rFonts w:ascii="Times New Roman" w:eastAsia="Calibri" w:hAnsi="Times New Roman" w:cs="Times New Roman"/>
          <w:b/>
          <w:bCs/>
          <w:sz w:val="24"/>
          <w:szCs w:val="24"/>
        </w:rPr>
        <w:t>35</w:t>
      </w:r>
      <w:r>
        <w:fldChar w:fldCharType="end"/>
      </w:r>
      <w:r>
        <w:rPr>
          <w:rFonts w:ascii="Times New Roman" w:hAnsi="Times New Roman"/>
          <w:b/>
          <w:bCs/>
          <w:sz w:val="24"/>
          <w:szCs w:val="24"/>
        </w:rPr>
        <w:t xml:space="preserve">. Kohtunike arv, 2012–2018(*) </w:t>
      </w:r>
      <w:r>
        <w:rPr>
          <w:rFonts w:ascii="Times New Roman" w:hAnsi="Times New Roman"/>
          <w:i/>
          <w:iCs/>
          <w:sz w:val="24"/>
          <w:szCs w:val="24"/>
        </w:rPr>
        <w:t>(100 000 elaniku kohta) (allikas: CEPEJ uuring)</w:t>
      </w:r>
    </w:p>
    <w:p>
      <w:pPr>
        <w:spacing w:after="0" w:line="240" w:lineRule="auto"/>
        <w:jc w:val="both"/>
        <w:rPr>
          <w:rFonts w:ascii="Times New Roman" w:eastAsia="Calibri" w:hAnsi="Times New Roman" w:cs="Times New Roman"/>
          <w:i/>
          <w:sz w:val="20"/>
          <w:szCs w:val="20"/>
        </w:rPr>
      </w:pPr>
      <w:r>
        <w:rPr>
          <w:lang w:val="en-GB" w:eastAsia="en-GB"/>
        </w:rPr>
        <w:drawing>
          <wp:inline distT="0" distB="0" distL="0" distR="0">
            <wp:extent cx="5977255" cy="2414430"/>
            <wp:effectExtent l="0" t="0" r="4445" b="5080"/>
            <wp:docPr id="97291" name="Picture 97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77255" cy="2414430"/>
                    </a:xfrm>
                    <a:prstGeom prst="rect">
                      <a:avLst/>
                    </a:prstGeom>
                    <a:noFill/>
                    <a:ln>
                      <a:noFill/>
                    </a:ln>
                  </pic:spPr>
                </pic:pic>
              </a:graphicData>
            </a:graphic>
          </wp:inline>
        </w:drawing>
      </w:r>
    </w:p>
    <w:p>
      <w:pPr>
        <w:spacing w:after="0" w:line="240" w:lineRule="auto"/>
        <w:jc w:val="both"/>
        <w:rPr>
          <w:rFonts w:ascii="Times New Roman" w:eastAsia="Calibri" w:hAnsi="Times New Roman" w:cs="Times New Roman"/>
          <w:i/>
          <w:sz w:val="20"/>
          <w:szCs w:val="20"/>
        </w:rPr>
      </w:pPr>
      <w:r>
        <w:rPr>
          <w:rFonts w:ascii="Times New Roman" w:hAnsi="Times New Roman"/>
          <w:i/>
          <w:sz w:val="20"/>
          <w:szCs w:val="20"/>
        </w:rPr>
        <w:t xml:space="preserve">(*) CEPEJ metoodika kohaselt hõlmab see kategooria täiskohaga töötavaid kohtunikke. Sellesse ei kuulu kohtuametnikud (Rechtspfleger, court clerk), kes on mõnes liikmesriigis olemas. </w:t>
      </w:r>
      <w:r>
        <w:rPr>
          <w:rFonts w:ascii="Times New Roman" w:hAnsi="Times New Roman"/>
          <w:b/>
          <w:i/>
          <w:sz w:val="20"/>
          <w:szCs w:val="20"/>
        </w:rPr>
        <w:t>Austria:</w:t>
      </w:r>
      <w:r>
        <w:rPr>
          <w:rFonts w:ascii="Times New Roman" w:hAnsi="Times New Roman"/>
          <w:i/>
          <w:sz w:val="20"/>
          <w:szCs w:val="20"/>
        </w:rPr>
        <w:t xml:space="preserve"> halduskohtute andmed on lisatud alates 2016. aastast. </w:t>
      </w:r>
      <w:r>
        <w:rPr>
          <w:rFonts w:ascii="Times New Roman" w:hAnsi="Times New Roman"/>
          <w:b/>
          <w:i/>
          <w:sz w:val="20"/>
        </w:rPr>
        <w:t>Kreeka:</w:t>
      </w:r>
      <w:r>
        <w:rPr>
          <w:rFonts w:ascii="Times New Roman" w:hAnsi="Times New Roman"/>
          <w:i/>
          <w:sz w:val="20"/>
        </w:rPr>
        <w:t xml:space="preserve"> elukutseliste kohtunike koguarv hõlmab eespool osutatud aastate lõikes eri kategooriaid, mis osaliselt selgitab selle arvu kõikumisi. Alates 2016. aastast hõlmab elukutseliste kohtunike arv kõigi kohtuastmete kriminaal- ja tsiviilkohtute, samuti halduskohtute kohtunikke. </w:t>
      </w:r>
      <w:r>
        <w:rPr>
          <w:rFonts w:ascii="Times New Roman" w:hAnsi="Times New Roman"/>
          <w:b/>
          <w:i/>
          <w:sz w:val="20"/>
        </w:rPr>
        <w:t xml:space="preserve">Itaalia: </w:t>
      </w:r>
      <w:r>
        <w:rPr>
          <w:rFonts w:ascii="Times New Roman" w:hAnsi="Times New Roman"/>
          <w:i/>
          <w:sz w:val="20"/>
        </w:rPr>
        <w:t xml:space="preserve">arvesse ei ole võetud piirkondlikke auditikomiteesid, kohalikke maksukomisjone ega sõjakohtuid. </w:t>
      </w:r>
      <w:r>
        <w:rPr>
          <w:rFonts w:ascii="Times New Roman" w:hAnsi="Times New Roman"/>
          <w:b/>
          <w:i/>
          <w:sz w:val="20"/>
        </w:rPr>
        <w:t>Luksemburg:</w:t>
      </w:r>
      <w:r>
        <w:rPr>
          <w:rFonts w:ascii="Times New Roman" w:hAnsi="Times New Roman"/>
          <w:i/>
          <w:sz w:val="20"/>
        </w:rPr>
        <w:t xml:space="preserve"> andmeid on täiustatud metoodikat kasutades muudetud.</w:t>
      </w:r>
    </w:p>
    <w:p>
      <w:pPr>
        <w:spacing w:before="240" w:after="120" w:line="240" w:lineRule="auto"/>
        <w:jc w:val="both"/>
        <w:rPr>
          <w:rFonts w:ascii="Times New Roman" w:eastAsia="Calibri" w:hAnsi="Times New Roman" w:cs="Times New Roman"/>
          <w:i/>
          <w:iCs/>
          <w:color w:val="000000"/>
          <w:sz w:val="24"/>
          <w:szCs w:val="24"/>
        </w:rPr>
      </w:pPr>
      <w:bookmarkStart w:id="394" w:name="_Ref441218695"/>
      <w:r>
        <w:rPr>
          <w:rFonts w:ascii="Times New Roman" w:hAnsi="Times New Roman"/>
          <w:b/>
          <w:bCs/>
          <w:color w:val="000000"/>
          <w:sz w:val="24"/>
          <w:szCs w:val="24"/>
        </w:rPr>
        <w:t>Joonis </w:t>
      </w:r>
      <w:r>
        <w:fldChar w:fldCharType="begin"/>
      </w:r>
      <w:r>
        <w:rPr>
          <w:rFonts w:ascii="Times New Roman" w:eastAsia="Calibri" w:hAnsi="Times New Roman" w:cs="Times New Roman"/>
          <w:b/>
          <w:sz w:val="24"/>
          <w:szCs w:val="24"/>
        </w:rPr>
        <w:instrText xml:space="preserve"> SEQ Figure \* ARABIC  \* MERGEFORMAT  \* MERGEFORMAT </w:instrText>
      </w:r>
      <w:r>
        <w:rPr>
          <w:rFonts w:ascii="Times New Roman" w:eastAsia="Calibri" w:hAnsi="Times New Roman" w:cs="Times New Roman"/>
          <w:b/>
          <w:sz w:val="24"/>
          <w:szCs w:val="24"/>
        </w:rPr>
        <w:fldChar w:fldCharType="separate"/>
      </w:r>
      <w:r>
        <w:rPr>
          <w:rFonts w:ascii="Times New Roman" w:eastAsia="Calibri" w:hAnsi="Times New Roman" w:cs="Times New Roman"/>
          <w:b/>
          <w:bCs/>
          <w:sz w:val="24"/>
          <w:szCs w:val="24"/>
        </w:rPr>
        <w:t>36</w:t>
      </w:r>
      <w:r>
        <w:fldChar w:fldCharType="end"/>
      </w:r>
      <w:bookmarkStart w:id="395" w:name="_Toc409530229"/>
      <w:bookmarkEnd w:id="394"/>
      <w:r>
        <w:rPr>
          <w:rFonts w:ascii="Times New Roman" w:hAnsi="Times New Roman"/>
          <w:b/>
          <w:bCs/>
          <w:color w:val="000000"/>
          <w:sz w:val="24"/>
          <w:szCs w:val="24"/>
        </w:rPr>
        <w:t>. Elukutseliste naiskohtunike osakaal ülemkohtutes 2017.–2019. aastal(*)</w:t>
      </w:r>
      <w:r>
        <w:rPr>
          <w:rFonts w:ascii="Times New Roman" w:hAnsi="Times New Roman"/>
          <w:color w:val="000000"/>
          <w:sz w:val="24"/>
          <w:szCs w:val="24"/>
        </w:rPr>
        <w:t xml:space="preserve"> </w:t>
      </w:r>
      <w:r>
        <w:rPr>
          <w:rFonts w:ascii="Times New Roman" w:hAnsi="Times New Roman"/>
          <w:i/>
          <w:iCs/>
          <w:color w:val="000000"/>
          <w:sz w:val="24"/>
          <w:szCs w:val="24"/>
        </w:rPr>
        <w:t>(allikas: Euroopa Komisjon(</w:t>
      </w:r>
      <w:r>
        <w:rPr>
          <w:rFonts w:ascii="Times New Roman" w:eastAsia="Calibri" w:hAnsi="Times New Roman" w:cs="Times New Roman"/>
          <w:i/>
          <w:iCs/>
          <w:color w:val="000000"/>
          <w:sz w:val="24"/>
          <w:szCs w:val="24"/>
          <w:vertAlign w:val="superscript"/>
        </w:rPr>
        <w:footnoteReference w:id="78"/>
      </w:r>
      <w:r>
        <w:rPr>
          <w:rFonts w:ascii="Times New Roman" w:hAnsi="Times New Roman"/>
          <w:i/>
          <w:iCs/>
          <w:color w:val="000000"/>
          <w:sz w:val="24"/>
          <w:szCs w:val="24"/>
        </w:rPr>
        <w:t>))</w:t>
      </w:r>
    </w:p>
    <w:p>
      <w:pPr>
        <w:spacing w:after="0" w:line="240" w:lineRule="auto"/>
        <w:jc w:val="both"/>
        <w:rPr>
          <w:rFonts w:ascii="Times New Roman" w:eastAsia="Calibri" w:hAnsi="Times New Roman" w:cs="Times New Roman"/>
          <w:i/>
          <w:color w:val="000000"/>
          <w:sz w:val="20"/>
          <w:szCs w:val="24"/>
        </w:rPr>
      </w:pPr>
      <w:r>
        <w:rPr>
          <w:lang w:val="en-GB" w:eastAsia="en-GB"/>
        </w:rPr>
        <w:drawing>
          <wp:inline distT="0" distB="0" distL="0" distR="0">
            <wp:extent cx="5977255" cy="2097678"/>
            <wp:effectExtent l="0" t="0" r="4445" b="0"/>
            <wp:docPr id="97297" name="Picture 97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77255" cy="2097678"/>
                    </a:xfrm>
                    <a:prstGeom prst="rect">
                      <a:avLst/>
                    </a:prstGeom>
                    <a:noFill/>
                    <a:ln>
                      <a:noFill/>
                    </a:ln>
                  </pic:spPr>
                </pic:pic>
              </a:graphicData>
            </a:graphic>
          </wp:inline>
        </w:drawing>
      </w:r>
    </w:p>
    <w:p>
      <w:pPr>
        <w:spacing w:after="0" w:line="240" w:lineRule="auto"/>
        <w:jc w:val="both"/>
        <w:rPr>
          <w:rFonts w:ascii="Times New Roman" w:eastAsia="Calibri" w:hAnsi="Times New Roman" w:cs="Times New Roman"/>
          <w:i/>
          <w:color w:val="000000"/>
          <w:sz w:val="24"/>
          <w:szCs w:val="24"/>
        </w:rPr>
      </w:pPr>
      <w:r>
        <w:rPr>
          <w:rFonts w:ascii="Times New Roman" w:hAnsi="Times New Roman"/>
          <w:i/>
          <w:color w:val="000000"/>
          <w:sz w:val="20"/>
          <w:szCs w:val="24"/>
        </w:rPr>
        <w:t>(*) Reastatud 2019. aasta andmete alusel, suurimast vähimani.</w:t>
      </w:r>
    </w:p>
    <w:p>
      <w:pPr>
        <w:spacing w:after="0" w:line="240" w:lineRule="auto"/>
        <w:jc w:val="both"/>
        <w:rPr>
          <w:rFonts w:ascii="Times New Roman" w:eastAsia="Calibri" w:hAnsi="Times New Roman" w:cs="Times New Roman"/>
          <w:i/>
          <w:color w:val="000000"/>
          <w:sz w:val="20"/>
          <w:szCs w:val="24"/>
        </w:rPr>
      </w:pPr>
      <w:r>
        <w:br w:type="page"/>
      </w:r>
    </w:p>
    <w:p>
      <w:pPr>
        <w:spacing w:before="240" w:after="120" w:line="240" w:lineRule="auto"/>
        <w:jc w:val="both"/>
        <w:rPr>
          <w:rFonts w:ascii="Times New Roman" w:eastAsia="Calibri" w:hAnsi="Times New Roman" w:cs="Times New Roman"/>
          <w:i/>
          <w:iCs/>
          <w:sz w:val="24"/>
          <w:szCs w:val="24"/>
        </w:rPr>
      </w:pPr>
      <w:r>
        <w:rPr>
          <w:rFonts w:ascii="Times New Roman" w:hAnsi="Times New Roman"/>
          <w:b/>
          <w:bCs/>
          <w:color w:val="000000"/>
          <w:sz w:val="24"/>
          <w:szCs w:val="24"/>
        </w:rPr>
        <w:t>Joonis </w:t>
      </w:r>
      <w:r>
        <w:fldChar w:fldCharType="begin"/>
      </w:r>
      <w:r>
        <w:rPr>
          <w:rFonts w:ascii="Times New Roman" w:eastAsia="Calibri" w:hAnsi="Times New Roman" w:cs="Times New Roman"/>
          <w:b/>
          <w:sz w:val="24"/>
          <w:szCs w:val="24"/>
        </w:rPr>
        <w:instrText xml:space="preserve"> SEQ Figure \* ARABIC  \* MERGEFORMAT  \* MERGEFORMAT </w:instrText>
      </w:r>
      <w:r>
        <w:rPr>
          <w:rFonts w:ascii="Times New Roman" w:eastAsia="Calibri" w:hAnsi="Times New Roman" w:cs="Times New Roman"/>
          <w:b/>
          <w:sz w:val="24"/>
          <w:szCs w:val="24"/>
        </w:rPr>
        <w:fldChar w:fldCharType="separate"/>
      </w:r>
      <w:r>
        <w:rPr>
          <w:rFonts w:ascii="Times New Roman" w:eastAsia="Calibri" w:hAnsi="Times New Roman" w:cs="Times New Roman"/>
          <w:b/>
          <w:bCs/>
          <w:sz w:val="24"/>
          <w:szCs w:val="24"/>
        </w:rPr>
        <w:t>37</w:t>
      </w:r>
      <w:r>
        <w:fldChar w:fldCharType="end"/>
      </w:r>
      <w:r>
        <w:rPr>
          <w:rFonts w:ascii="Times New Roman" w:hAnsi="Times New Roman"/>
          <w:b/>
          <w:bCs/>
          <w:sz w:val="24"/>
          <w:szCs w:val="24"/>
        </w:rPr>
        <w:t xml:space="preserve">. Advokaatide arv, 2012–2018(*) </w:t>
      </w:r>
      <w:r>
        <w:rPr>
          <w:rFonts w:ascii="Times New Roman" w:hAnsi="Times New Roman"/>
          <w:i/>
          <w:iCs/>
          <w:sz w:val="24"/>
          <w:szCs w:val="24"/>
        </w:rPr>
        <w:t>(100 000 elaniku kohta) (allikas: CEPEJ uuring)</w:t>
      </w:r>
    </w:p>
    <w:p>
      <w:pPr>
        <w:spacing w:after="0" w:line="240" w:lineRule="auto"/>
        <w:jc w:val="both"/>
        <w:rPr>
          <w:rFonts w:ascii="Times New Roman" w:eastAsia="Calibri" w:hAnsi="Times New Roman" w:cs="Times New Roman"/>
          <w:i/>
          <w:sz w:val="20"/>
          <w:szCs w:val="20"/>
        </w:rPr>
      </w:pPr>
      <w:r>
        <w:rPr>
          <w:lang w:val="en-GB" w:eastAsia="en-GB"/>
        </w:rPr>
        <w:drawing>
          <wp:inline distT="0" distB="0" distL="0" distR="0">
            <wp:extent cx="5977255" cy="2326041"/>
            <wp:effectExtent l="0" t="0" r="4445" b="0"/>
            <wp:docPr id="97303" name="Picture 97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77255" cy="2326041"/>
                    </a:xfrm>
                    <a:prstGeom prst="rect">
                      <a:avLst/>
                    </a:prstGeom>
                    <a:noFill/>
                    <a:ln>
                      <a:noFill/>
                    </a:ln>
                  </pic:spPr>
                </pic:pic>
              </a:graphicData>
            </a:graphic>
          </wp:inline>
        </w:drawing>
      </w:r>
    </w:p>
    <w:p>
      <w:pPr>
        <w:spacing w:after="0" w:line="240" w:lineRule="auto"/>
        <w:jc w:val="both"/>
        <w:rPr>
          <w:rFonts w:ascii="Times New Roman" w:eastAsia="Calibri" w:hAnsi="Times New Roman" w:cs="Times New Roman"/>
          <w:i/>
          <w:sz w:val="20"/>
          <w:szCs w:val="20"/>
        </w:rPr>
      </w:pPr>
      <w:r>
        <w:rPr>
          <w:rFonts w:ascii="Times New Roman" w:hAnsi="Times New Roman"/>
          <w:i/>
          <w:sz w:val="20"/>
          <w:szCs w:val="20"/>
        </w:rPr>
        <w:t xml:space="preserve">(*) CEPEJ metoodika järgi on advokaat siseriikliku õiguse kohaselt kvalifitseeritud ja volitatud isik, kes võib oma klientide nimel esineda kaitsjana või osutada õigusteenuseid, esineda kohtus ning nõustada või esindada oma kliente õigusküsimustes (Euroopa Nõukogu ministrite komitee soovitus Rec(2000)21 advokaadi kutsealal tegutsemise vabaduse kohta). </w:t>
      </w:r>
      <w:r>
        <w:rPr>
          <w:rFonts w:ascii="Times New Roman" w:hAnsi="Times New Roman"/>
          <w:b/>
          <w:i/>
          <w:sz w:val="20"/>
          <w:szCs w:val="20"/>
        </w:rPr>
        <w:t>Saksamaa:</w:t>
      </w:r>
      <w:r>
        <w:rPr>
          <w:rFonts w:ascii="Times New Roman" w:hAnsi="Times New Roman"/>
          <w:i/>
          <w:sz w:val="20"/>
          <w:szCs w:val="20"/>
        </w:rPr>
        <w:t xml:space="preserve"> advokaate ei eristata kategooriate (näiteks õigusnõustaja ja vandeadvokaat) alusel. </w:t>
      </w:r>
      <w:r>
        <w:rPr>
          <w:rFonts w:ascii="Times New Roman" w:hAnsi="Times New Roman"/>
          <w:b/>
          <w:i/>
          <w:sz w:val="20"/>
          <w:szCs w:val="20"/>
        </w:rPr>
        <w:t>Soome:</w:t>
      </w:r>
      <w:r>
        <w:rPr>
          <w:rFonts w:ascii="Times New Roman" w:hAnsi="Times New Roman"/>
          <w:i/>
          <w:sz w:val="20"/>
          <w:szCs w:val="20"/>
        </w:rPr>
        <w:t xml:space="preserve"> alates 2015. aastast esitatud advokaatide arv hõlmab nii erasektoris kui ka avalikus sektoris töötavaid advokaate.</w:t>
      </w:r>
      <w:r>
        <w:rPr>
          <w:rFonts w:ascii="Times New Roman" w:hAnsi="Times New Roman"/>
        </w:rPr>
        <w:t xml:space="preserve"> </w:t>
      </w:r>
    </w:p>
    <w:p>
      <w:pPr>
        <w:keepNext/>
        <w:spacing w:before="240" w:after="120" w:line="240" w:lineRule="auto"/>
        <w:jc w:val="both"/>
        <w:rPr>
          <w:rFonts w:ascii="Times New Roman" w:eastAsia="Calibri" w:hAnsi="Times New Roman" w:cs="Times New Roman"/>
          <w:i/>
          <w:sz w:val="24"/>
          <w:szCs w:val="24"/>
        </w:rPr>
      </w:pPr>
      <w:r>
        <w:rPr>
          <w:rFonts w:ascii="Times New Roman" w:hAnsi="Times New Roman"/>
          <w:i/>
          <w:sz w:val="24"/>
          <w:szCs w:val="24"/>
        </w:rPr>
        <w:t>– Koolitus –</w:t>
      </w:r>
    </w:p>
    <w:p>
      <w:pPr>
        <w:spacing w:after="120" w:line="240" w:lineRule="auto"/>
        <w:jc w:val="both"/>
        <w:rPr>
          <w:rFonts w:ascii="Times New Roman" w:eastAsia="Calibri" w:hAnsi="Times New Roman" w:cs="Times New Roman"/>
          <w:sz w:val="24"/>
        </w:rPr>
      </w:pPr>
      <w:r>
        <w:rPr>
          <w:rFonts w:ascii="Times New Roman" w:hAnsi="Times New Roman"/>
          <w:sz w:val="24"/>
        </w:rPr>
        <w:t xml:space="preserve">Kohtunike koolitamine on tähtis kohtuotsuste ja kodanikele osutatava õigusemõistmise teenuse kvaliteedi seisukohast. Allpool esitatud andmed käsitlevad kohtunike koolitamist paljudes eri valdkondades, sealhulgas küsimustes, mis puudutavad suhtlemist poolte ja ajakirjandusega, ning kutseoskuste vallas. </w:t>
      </w:r>
    </w:p>
    <w:p>
      <w:pPr>
        <w:spacing w:before="240" w:after="120" w:line="240" w:lineRule="auto"/>
        <w:jc w:val="both"/>
        <w:rPr>
          <w:rFonts w:ascii="Times New Roman" w:eastAsia="Calibri" w:hAnsi="Times New Roman" w:cs="Times New Roman"/>
          <w:i/>
          <w:iCs/>
          <w:sz w:val="24"/>
          <w:szCs w:val="24"/>
        </w:rPr>
      </w:pPr>
      <w:bookmarkStart w:id="396" w:name="_Ref441218667"/>
      <w:r>
        <w:rPr>
          <w:rFonts w:ascii="Times New Roman" w:hAnsi="Times New Roman"/>
          <w:b/>
          <w:bCs/>
          <w:sz w:val="24"/>
          <w:szCs w:val="24"/>
        </w:rPr>
        <w:t>Joonis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sz w:val="24"/>
        </w:rPr>
        <w:t>38</w:t>
      </w:r>
      <w:r>
        <w:fldChar w:fldCharType="end"/>
      </w:r>
      <w:bookmarkEnd w:id="396"/>
      <w:r>
        <w:rPr>
          <w:rFonts w:ascii="Times New Roman" w:hAnsi="Times New Roman"/>
          <w:b/>
          <w:bCs/>
          <w:sz w:val="24"/>
          <w:szCs w:val="24"/>
        </w:rPr>
        <w:t xml:space="preserve">. Eri liiki oskustele keskenduva kohtunike täienduskoolituse osakaal, 2018(*) </w:t>
      </w:r>
      <w:r>
        <w:rPr>
          <w:rFonts w:ascii="Times New Roman" w:hAnsi="Times New Roman"/>
          <w:i/>
          <w:iCs/>
          <w:sz w:val="24"/>
          <w:szCs w:val="24"/>
        </w:rPr>
        <w:t>(protsendina täienduskoolitust saavate kohtunike koguarvust) (allikas: Euroopa Komisjon(</w:t>
      </w:r>
      <w:r>
        <w:rPr>
          <w:rFonts w:ascii="Times New Roman" w:eastAsia="Calibri" w:hAnsi="Times New Roman" w:cs="Times New Roman"/>
          <w:i/>
          <w:iCs/>
          <w:sz w:val="24"/>
          <w:szCs w:val="24"/>
          <w:vertAlign w:val="superscript"/>
          <w:lang w:eastAsia="en-GB"/>
        </w:rPr>
        <w:footnoteReference w:id="79"/>
      </w:r>
      <w:r>
        <w:rPr>
          <w:rFonts w:ascii="Times New Roman" w:hAnsi="Times New Roman"/>
          <w:i/>
          <w:iCs/>
          <w:sz w:val="24"/>
          <w:szCs w:val="24"/>
        </w:rPr>
        <w:t>))</w:t>
      </w:r>
      <w:bookmarkEnd w:id="395"/>
    </w:p>
    <w:p>
      <w:pPr>
        <w:spacing w:after="0" w:line="240" w:lineRule="auto"/>
        <w:jc w:val="both"/>
        <w:rPr>
          <w:rFonts w:ascii="Times New Roman" w:eastAsia="Calibri" w:hAnsi="Times New Roman" w:cs="Times New Roman"/>
          <w:i/>
          <w:sz w:val="20"/>
        </w:rPr>
      </w:pPr>
      <w:bookmarkStart w:id="397" w:name="_Ref441218678"/>
      <w:r>
        <w:rPr>
          <w:lang w:val="en-GB" w:eastAsia="en-GB"/>
        </w:rPr>
        <w:drawing>
          <wp:inline distT="0" distB="0" distL="0" distR="0">
            <wp:extent cx="5977255" cy="1862601"/>
            <wp:effectExtent l="0" t="0" r="4445" b="4445"/>
            <wp:docPr id="97304" name="Picture 97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77255" cy="1862601"/>
                    </a:xfrm>
                    <a:prstGeom prst="rect">
                      <a:avLst/>
                    </a:prstGeom>
                    <a:noFill/>
                    <a:ln>
                      <a:noFill/>
                    </a:ln>
                  </pic:spPr>
                </pic:pic>
              </a:graphicData>
            </a:graphic>
          </wp:inline>
        </w:drawing>
      </w:r>
    </w:p>
    <w:p>
      <w:pPr>
        <w:spacing w:after="0" w:line="240" w:lineRule="auto"/>
        <w:jc w:val="both"/>
        <w:rPr>
          <w:rFonts w:ascii="Times New Roman" w:eastAsia="Calibri" w:hAnsi="Times New Roman" w:cs="Times New Roman"/>
          <w:i/>
          <w:sz w:val="20"/>
        </w:rPr>
      </w:pPr>
      <w:r>
        <w:rPr>
          <w:rFonts w:ascii="Times New Roman" w:hAnsi="Times New Roman"/>
          <w:i/>
          <w:sz w:val="20"/>
        </w:rPr>
        <w:t xml:space="preserve">(*) Joonis 38 kajastab täienduskoolitusel (s.t pärast kohtuniku põhikoolituse läbimist pakutaval koolitusel) osalenud kohtunike protsentuaalset jaotust nelja kindlaksmääratud valdkonna vahel. Õigusalast koolitust ei ole arvesse võetud. </w:t>
      </w:r>
      <w:r>
        <w:rPr>
          <w:rFonts w:ascii="Times New Roman" w:hAnsi="Times New Roman"/>
          <w:b/>
          <w:i/>
          <w:sz w:val="20"/>
        </w:rPr>
        <w:t>Kreekas</w:t>
      </w:r>
      <w:r>
        <w:rPr>
          <w:rFonts w:ascii="Times New Roman" w:hAnsi="Times New Roman"/>
          <w:i/>
          <w:sz w:val="20"/>
        </w:rPr>
        <w:t xml:space="preserve">, </w:t>
      </w:r>
      <w:r>
        <w:rPr>
          <w:rFonts w:ascii="Times New Roman" w:hAnsi="Times New Roman"/>
          <w:b/>
          <w:i/>
          <w:sz w:val="20"/>
        </w:rPr>
        <w:t>Maltal</w:t>
      </w:r>
      <w:r>
        <w:rPr>
          <w:rFonts w:ascii="Times New Roman" w:hAnsi="Times New Roman"/>
          <w:i/>
          <w:sz w:val="20"/>
        </w:rPr>
        <w:t xml:space="preserve"> ja </w:t>
      </w:r>
      <w:r>
        <w:rPr>
          <w:rFonts w:ascii="Times New Roman" w:hAnsi="Times New Roman"/>
          <w:b/>
          <w:i/>
          <w:sz w:val="20"/>
        </w:rPr>
        <w:t>Portugalis</w:t>
      </w:r>
      <w:r>
        <w:rPr>
          <w:rFonts w:ascii="Times New Roman" w:hAnsi="Times New Roman"/>
          <w:i/>
          <w:sz w:val="20"/>
        </w:rPr>
        <w:t xml:space="preserve"> ei pakkunud kohtunikke koolitavad asutused valitud oskustega seotud erikoolitust. </w:t>
      </w:r>
      <w:r>
        <w:rPr>
          <w:rFonts w:ascii="Times New Roman" w:hAnsi="Times New Roman"/>
          <w:b/>
          <w:i/>
          <w:sz w:val="20"/>
        </w:rPr>
        <w:t>Taani:</w:t>
      </w:r>
      <w:r>
        <w:rPr>
          <w:rFonts w:ascii="Times New Roman" w:hAnsi="Times New Roman"/>
          <w:i/>
          <w:sz w:val="20"/>
        </w:rPr>
        <w:t xml:space="preserve"> andmed hõlmavad kohtutöötajaid. </w:t>
      </w:r>
      <w:r>
        <w:rPr>
          <w:rFonts w:ascii="Times New Roman" w:hAnsi="Times New Roman"/>
          <w:b/>
          <w:i/>
          <w:sz w:val="20"/>
        </w:rPr>
        <w:t>Austria:</w:t>
      </w:r>
      <w:r>
        <w:rPr>
          <w:rFonts w:ascii="Times New Roman" w:hAnsi="Times New Roman"/>
          <w:i/>
          <w:sz w:val="20"/>
        </w:rPr>
        <w:t xml:space="preserve"> andmed hõlmavad prokuröre.</w:t>
      </w:r>
    </w:p>
    <w:p>
      <w:pPr>
        <w:keepNext/>
        <w:spacing w:before="240" w:after="120" w:line="240" w:lineRule="auto"/>
        <w:jc w:val="both"/>
        <w:rPr>
          <w:rFonts w:ascii="Times New Roman" w:eastAsia="Calibri" w:hAnsi="Times New Roman" w:cs="Times New Roman"/>
          <w:i/>
          <w:iCs/>
          <w:sz w:val="24"/>
          <w:szCs w:val="24"/>
        </w:rPr>
      </w:pPr>
      <w:r>
        <w:rPr>
          <w:rFonts w:ascii="Times New Roman" w:hAnsi="Times New Roman"/>
          <w:b/>
          <w:bCs/>
          <w:color w:val="000000"/>
          <w:sz w:val="24"/>
          <w:szCs w:val="24"/>
        </w:rPr>
        <w:t>Joonis </w:t>
      </w:r>
      <w:bookmarkEnd w:id="397"/>
      <w:r>
        <w:fldChar w:fldCharType="begin"/>
      </w:r>
      <w:r>
        <w:rPr>
          <w:rFonts w:ascii="Times New Roman" w:eastAsia="Calibri" w:hAnsi="Times New Roman" w:cs="Times New Roman"/>
          <w:b/>
          <w:color w:val="000000"/>
          <w:sz w:val="24"/>
          <w:szCs w:val="24"/>
        </w:rPr>
        <w:instrText xml:space="preserve"> SEQ Figure \* ARABIC  \* MERGEFORMAT </w:instrText>
      </w:r>
      <w:r>
        <w:rPr>
          <w:rFonts w:ascii="Times New Roman" w:eastAsia="Calibri" w:hAnsi="Times New Roman" w:cs="Times New Roman"/>
          <w:b/>
          <w:color w:val="000000"/>
          <w:sz w:val="24"/>
          <w:szCs w:val="24"/>
        </w:rPr>
        <w:fldChar w:fldCharType="separate"/>
      </w:r>
      <w:r>
        <w:rPr>
          <w:rFonts w:ascii="Times New Roman" w:eastAsia="Calibri" w:hAnsi="Times New Roman" w:cs="Times New Roman"/>
          <w:b/>
          <w:bCs/>
          <w:color w:val="000000"/>
          <w:sz w:val="24"/>
          <w:szCs w:val="24"/>
        </w:rPr>
        <w:t>39</w:t>
      </w:r>
      <w:r>
        <w:fldChar w:fldCharType="end"/>
      </w:r>
      <w:r>
        <w:rPr>
          <w:rFonts w:ascii="Times New Roman" w:hAnsi="Times New Roman"/>
          <w:b/>
          <w:bCs/>
          <w:color w:val="000000"/>
          <w:sz w:val="24"/>
          <w:szCs w:val="24"/>
        </w:rPr>
        <w:t>. Kohtunikele mõeldud suhtluskoolituse kättesaadavus, 2019(*)</w:t>
      </w:r>
      <w:r>
        <w:rPr>
          <w:rFonts w:ascii="Times New Roman" w:hAnsi="Times New Roman"/>
          <w:i/>
          <w:iCs/>
          <w:sz w:val="24"/>
          <w:szCs w:val="24"/>
        </w:rPr>
        <w:t xml:space="preserve"> (allikas: Euroopa Komisjon(</w:t>
      </w:r>
      <w:r>
        <w:rPr>
          <w:rFonts w:ascii="Times New Roman" w:eastAsia="Calibri" w:hAnsi="Times New Roman" w:cs="Times New Roman"/>
          <w:i/>
          <w:iCs/>
          <w:sz w:val="24"/>
          <w:szCs w:val="24"/>
          <w:vertAlign w:val="superscript"/>
          <w:lang w:eastAsia="en-GB"/>
        </w:rPr>
        <w:footnoteReference w:id="80"/>
      </w:r>
      <w:r>
        <w:rPr>
          <w:rFonts w:ascii="Times New Roman" w:hAnsi="Times New Roman"/>
          <w:i/>
          <w:iCs/>
          <w:sz w:val="24"/>
          <w:szCs w:val="24"/>
        </w:rPr>
        <w:t>))</w:t>
      </w:r>
      <w:bookmarkStart w:id="398" w:name="_Toc440017701"/>
      <w:bookmarkStart w:id="399" w:name="_Toc440018085"/>
      <w:bookmarkStart w:id="400" w:name="_Toc440033383"/>
      <w:bookmarkStart w:id="401" w:name="_Toc440035234"/>
      <w:bookmarkStart w:id="402" w:name="_Toc440036529"/>
      <w:bookmarkStart w:id="403" w:name="_Toc440042471"/>
      <w:bookmarkStart w:id="404" w:name="_Toc440291124"/>
      <w:bookmarkStart w:id="405" w:name="_Toc440294687"/>
      <w:bookmarkStart w:id="406" w:name="_Toc440295189"/>
      <w:bookmarkStart w:id="407" w:name="_Toc440296594"/>
      <w:bookmarkStart w:id="408" w:name="_Toc440625078"/>
      <w:bookmarkStart w:id="409" w:name="_Toc440626408"/>
      <w:bookmarkStart w:id="410" w:name="_Toc440628862"/>
      <w:bookmarkStart w:id="411" w:name="_Toc441571135"/>
      <w:bookmarkStart w:id="412" w:name="_Toc441581637"/>
      <w:bookmarkStart w:id="413" w:name="_Toc441585904"/>
      <w:bookmarkStart w:id="414" w:name="_Toc441595839"/>
      <w:bookmarkStart w:id="415" w:name="_Toc441596016"/>
      <w:bookmarkStart w:id="416" w:name="_Toc441748141"/>
      <w:bookmarkStart w:id="417" w:name="_Toc441755426"/>
      <w:bookmarkStart w:id="418" w:name="_Toc441756463"/>
      <w:bookmarkStart w:id="419" w:name="_Toc441757507"/>
      <w:bookmarkStart w:id="420" w:name="_Toc441766636"/>
      <w:bookmarkStart w:id="421" w:name="_Toc441766975"/>
      <w:bookmarkStart w:id="422" w:name="_Toc442187976"/>
      <w:bookmarkStart w:id="423" w:name="_Toc442262068"/>
      <w:bookmarkStart w:id="424" w:name="_Toc442362475"/>
      <w:bookmarkStart w:id="425" w:name="_Toc442374811"/>
      <w:bookmarkStart w:id="426" w:name="_Toc442425951"/>
      <w:bookmarkStart w:id="427" w:name="_Toc442453077"/>
      <w:bookmarkStart w:id="428" w:name="_Toc443484535"/>
      <w:bookmarkStart w:id="429" w:name="_Toc443484757"/>
      <w:bookmarkStart w:id="430" w:name="_Toc443509498"/>
      <w:bookmarkStart w:id="431" w:name="_Toc446014827"/>
    </w:p>
    <w:p>
      <w:pPr>
        <w:spacing w:after="0" w:line="240" w:lineRule="auto"/>
        <w:jc w:val="both"/>
        <w:rPr>
          <w:rFonts w:ascii="Times New Roman" w:eastAsia="Calibri" w:hAnsi="Times New Roman" w:cs="Times New Roman"/>
          <w:i/>
          <w:sz w:val="20"/>
          <w:szCs w:val="20"/>
        </w:rPr>
      </w:pPr>
      <w:r>
        <w:rPr>
          <w:lang w:val="en-GB" w:eastAsia="en-GB"/>
        </w:rPr>
        <w:drawing>
          <wp:inline distT="0" distB="0" distL="0" distR="0">
            <wp:extent cx="5977255" cy="2529700"/>
            <wp:effectExtent l="0" t="0" r="4445" b="4445"/>
            <wp:docPr id="97306" name="Picture 97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77255" cy="2529700"/>
                    </a:xfrm>
                    <a:prstGeom prst="rect">
                      <a:avLst/>
                    </a:prstGeom>
                    <a:noFill/>
                    <a:ln>
                      <a:noFill/>
                    </a:ln>
                  </pic:spPr>
                </pic:pic>
              </a:graphicData>
            </a:graphic>
          </wp:inline>
        </w:drawing>
      </w:r>
    </w:p>
    <w:p>
      <w:pPr>
        <w:spacing w:after="0" w:line="240" w:lineRule="auto"/>
        <w:jc w:val="both"/>
        <w:rPr>
          <w:rFonts w:ascii="Times New Roman" w:eastAsia="Calibri" w:hAnsi="Times New Roman" w:cs="Times New Roman"/>
          <w:i/>
          <w:sz w:val="20"/>
          <w:szCs w:val="20"/>
        </w:rPr>
      </w:pPr>
      <w:r>
        <w:rPr>
          <w:rFonts w:ascii="Times New Roman" w:hAnsi="Times New Roman"/>
          <w:i/>
          <w:sz w:val="20"/>
          <w:szCs w:val="20"/>
        </w:rPr>
        <w:t xml:space="preserve">(*) Suurim võimalik punktide arv: 14 punkti. Liikmesriikidele anti üks punkt, kui seal pakutakse põhikoolitust, ning üks punkt, kui pakutakse täienduskoolitust (mõlema koolituse eest kokku maksimaalselt kaks punkti). </w:t>
      </w:r>
      <w:r>
        <w:rPr>
          <w:rFonts w:ascii="Times New Roman" w:hAnsi="Times New Roman"/>
          <w:b/>
          <w:i/>
          <w:sz w:val="20"/>
          <w:szCs w:val="20"/>
        </w:rPr>
        <w:t>Taani:</w:t>
      </w:r>
      <w:r>
        <w:rPr>
          <w:rFonts w:ascii="Times New Roman" w:hAnsi="Times New Roman"/>
          <w:i/>
          <w:sz w:val="20"/>
          <w:szCs w:val="20"/>
        </w:rPr>
        <w:t xml:space="preserve"> ei pakuta koolitust, mis käsitleb suhtlemist nägemis- või kuulmispuudega isikutega, sest riik võimaldab sellistel isikutel kasutada kohtusaalis vajalikke vahendeid või abilist, näiteks viipekeele tõlki. Muu suhtluskoolitus hõlmab järgmist: kursused üldsuse ja meediaga suhtlemise oskuse parandamiseks (</w:t>
      </w:r>
      <w:r>
        <w:rPr>
          <w:rFonts w:ascii="Times New Roman" w:hAnsi="Times New Roman"/>
          <w:b/>
          <w:i/>
          <w:sz w:val="20"/>
          <w:szCs w:val="20"/>
        </w:rPr>
        <w:t>Belgia, Bulgaaria</w:t>
      </w:r>
      <w:r>
        <w:rPr>
          <w:rFonts w:ascii="Times New Roman" w:hAnsi="Times New Roman"/>
          <w:i/>
          <w:sz w:val="20"/>
          <w:szCs w:val="20"/>
        </w:rPr>
        <w:t xml:space="preserve">, </w:t>
      </w:r>
      <w:r>
        <w:rPr>
          <w:rFonts w:ascii="Times New Roman" w:hAnsi="Times New Roman"/>
          <w:b/>
          <w:i/>
          <w:sz w:val="20"/>
          <w:szCs w:val="20"/>
        </w:rPr>
        <w:t>Eesti, Läti</w:t>
      </w:r>
      <w:r>
        <w:rPr>
          <w:rFonts w:ascii="Times New Roman" w:hAnsi="Times New Roman"/>
          <w:i/>
          <w:sz w:val="20"/>
          <w:szCs w:val="20"/>
        </w:rPr>
        <w:t xml:space="preserve">, </w:t>
      </w:r>
      <w:r>
        <w:rPr>
          <w:rFonts w:ascii="Times New Roman" w:hAnsi="Times New Roman"/>
          <w:b/>
          <w:i/>
          <w:sz w:val="20"/>
          <w:szCs w:val="20"/>
        </w:rPr>
        <w:t>Madalmaad</w:t>
      </w:r>
      <w:r>
        <w:rPr>
          <w:rFonts w:ascii="Times New Roman" w:hAnsi="Times New Roman"/>
          <w:i/>
          <w:sz w:val="20"/>
          <w:szCs w:val="20"/>
        </w:rPr>
        <w:t xml:space="preserve">, </w:t>
      </w:r>
      <w:r>
        <w:rPr>
          <w:rFonts w:ascii="Times New Roman" w:hAnsi="Times New Roman"/>
          <w:b/>
          <w:i/>
          <w:sz w:val="20"/>
          <w:szCs w:val="20"/>
        </w:rPr>
        <w:t>Poola</w:t>
      </w:r>
      <w:r>
        <w:rPr>
          <w:rFonts w:ascii="Times New Roman" w:hAnsi="Times New Roman"/>
          <w:i/>
          <w:sz w:val="20"/>
          <w:szCs w:val="20"/>
        </w:rPr>
        <w:t xml:space="preserve">, </w:t>
      </w:r>
      <w:r>
        <w:rPr>
          <w:rFonts w:ascii="Times New Roman" w:hAnsi="Times New Roman"/>
          <w:b/>
          <w:i/>
          <w:sz w:val="20"/>
          <w:szCs w:val="20"/>
        </w:rPr>
        <w:t>Rumeenia</w:t>
      </w:r>
      <w:r>
        <w:rPr>
          <w:rFonts w:ascii="Times New Roman" w:hAnsi="Times New Roman"/>
          <w:i/>
          <w:sz w:val="20"/>
          <w:szCs w:val="20"/>
        </w:rPr>
        <w:t xml:space="preserve">, </w:t>
      </w:r>
      <w:r>
        <w:rPr>
          <w:rFonts w:ascii="Times New Roman" w:hAnsi="Times New Roman"/>
          <w:b/>
          <w:i/>
          <w:sz w:val="20"/>
          <w:szCs w:val="20"/>
        </w:rPr>
        <w:t>Slovakkia</w:t>
      </w:r>
      <w:r>
        <w:rPr>
          <w:rFonts w:ascii="Times New Roman" w:hAnsi="Times New Roman"/>
          <w:i/>
          <w:sz w:val="20"/>
          <w:szCs w:val="20"/>
        </w:rPr>
        <w:t>); ülekuulamisoskuse kursused (</w:t>
      </w:r>
      <w:r>
        <w:rPr>
          <w:rFonts w:ascii="Times New Roman" w:hAnsi="Times New Roman"/>
          <w:b/>
          <w:i/>
          <w:sz w:val="20"/>
          <w:szCs w:val="20"/>
        </w:rPr>
        <w:t xml:space="preserve">Saksamaa </w:t>
      </w:r>
      <w:r>
        <w:rPr>
          <w:rFonts w:ascii="Times New Roman" w:hAnsi="Times New Roman"/>
          <w:i/>
          <w:sz w:val="20"/>
          <w:szCs w:val="20"/>
        </w:rPr>
        <w:t xml:space="preserve">ja </w:t>
      </w:r>
      <w:r>
        <w:rPr>
          <w:rFonts w:ascii="Times New Roman" w:hAnsi="Times New Roman"/>
          <w:b/>
          <w:i/>
          <w:sz w:val="20"/>
          <w:szCs w:val="20"/>
        </w:rPr>
        <w:t>Austria</w:t>
      </w:r>
      <w:r>
        <w:rPr>
          <w:rFonts w:ascii="Times New Roman" w:hAnsi="Times New Roman"/>
          <w:i/>
          <w:sz w:val="20"/>
          <w:szCs w:val="20"/>
        </w:rPr>
        <w:t>), inimeste juhtimise kursused (</w:t>
      </w:r>
      <w:r>
        <w:rPr>
          <w:rFonts w:ascii="Times New Roman" w:hAnsi="Times New Roman"/>
          <w:b/>
          <w:i/>
          <w:sz w:val="20"/>
          <w:szCs w:val="20"/>
        </w:rPr>
        <w:t>Belgia, Hispaania</w:t>
      </w:r>
      <w:r>
        <w:rPr>
          <w:rFonts w:ascii="Times New Roman" w:hAnsi="Times New Roman"/>
          <w:i/>
          <w:sz w:val="20"/>
          <w:szCs w:val="20"/>
        </w:rPr>
        <w:t xml:space="preserve">, </w:t>
      </w:r>
      <w:r>
        <w:rPr>
          <w:rFonts w:ascii="Times New Roman" w:hAnsi="Times New Roman"/>
          <w:b/>
          <w:i/>
          <w:sz w:val="20"/>
          <w:szCs w:val="20"/>
        </w:rPr>
        <w:t>Poola</w:t>
      </w:r>
      <w:r>
        <w:rPr>
          <w:rFonts w:ascii="Times New Roman" w:hAnsi="Times New Roman"/>
          <w:i/>
          <w:sz w:val="20"/>
          <w:szCs w:val="20"/>
        </w:rPr>
        <w:t>) ja pehmete oskuste koolitused hõlmavad kohtuotsuste selguse ja esitlusmeetodite parandamist (</w:t>
      </w:r>
      <w:r>
        <w:rPr>
          <w:rFonts w:ascii="Times New Roman" w:hAnsi="Times New Roman"/>
          <w:b/>
          <w:i/>
          <w:sz w:val="20"/>
          <w:szCs w:val="20"/>
        </w:rPr>
        <w:t>Tšehhi</w:t>
      </w:r>
      <w:r>
        <w:rPr>
          <w:rFonts w:ascii="Times New Roman" w:hAnsi="Times New Roman"/>
          <w:i/>
          <w:sz w:val="20"/>
          <w:szCs w:val="20"/>
        </w:rPr>
        <w:t xml:space="preserve">, </w:t>
      </w:r>
      <w:r>
        <w:rPr>
          <w:rFonts w:ascii="Times New Roman" w:hAnsi="Times New Roman"/>
          <w:b/>
          <w:i/>
          <w:sz w:val="20"/>
          <w:szCs w:val="20"/>
        </w:rPr>
        <w:t>Taani, Läti</w:t>
      </w:r>
      <w:r>
        <w:rPr>
          <w:rFonts w:ascii="Times New Roman" w:hAnsi="Times New Roman"/>
          <w:i/>
          <w:sz w:val="20"/>
          <w:szCs w:val="20"/>
        </w:rPr>
        <w:t xml:space="preserve">, </w:t>
      </w:r>
      <w:r>
        <w:rPr>
          <w:rFonts w:ascii="Times New Roman" w:hAnsi="Times New Roman"/>
          <w:b/>
          <w:i/>
          <w:sz w:val="20"/>
          <w:szCs w:val="20"/>
        </w:rPr>
        <w:t>Ungari</w:t>
      </w:r>
      <w:r>
        <w:rPr>
          <w:rFonts w:ascii="Times New Roman" w:hAnsi="Times New Roman"/>
          <w:i/>
          <w:sz w:val="20"/>
          <w:szCs w:val="20"/>
        </w:rPr>
        <w:t xml:space="preserve">, </w:t>
      </w:r>
      <w:r>
        <w:rPr>
          <w:rFonts w:ascii="Times New Roman" w:hAnsi="Times New Roman"/>
          <w:b/>
          <w:i/>
          <w:sz w:val="20"/>
          <w:szCs w:val="20"/>
        </w:rPr>
        <w:t>Poola</w:t>
      </w:r>
      <w:r>
        <w:rPr>
          <w:rFonts w:ascii="Times New Roman" w:hAnsi="Times New Roman"/>
          <w:i/>
          <w:sz w:val="20"/>
          <w:szCs w:val="20"/>
        </w:rPr>
        <w:t xml:space="preserve">, </w:t>
      </w:r>
      <w:r>
        <w:rPr>
          <w:rFonts w:ascii="Times New Roman" w:hAnsi="Times New Roman"/>
          <w:b/>
          <w:i/>
          <w:sz w:val="20"/>
          <w:szCs w:val="20"/>
        </w:rPr>
        <w:t>Slovakkia</w:t>
      </w:r>
      <w:r>
        <w:rPr>
          <w:rFonts w:ascii="Times New Roman" w:hAnsi="Times New Roman"/>
          <w:i/>
          <w:sz w:val="20"/>
          <w:szCs w:val="20"/>
        </w:rPr>
        <w:t xml:space="preserve">). </w:t>
      </w:r>
    </w:p>
    <w:p>
      <w:pPr>
        <w:keepNext/>
        <w:tabs>
          <w:tab w:val="left" w:pos="850"/>
        </w:tabs>
        <w:spacing w:before="240" w:after="120" w:line="240" w:lineRule="auto"/>
        <w:ind w:left="851" w:hanging="851"/>
        <w:jc w:val="both"/>
        <w:outlineLvl w:val="2"/>
        <w:rPr>
          <w:rFonts w:ascii="Times New Roman" w:eastAsia="Times New Roman" w:hAnsi="Times New Roman" w:cs="Times New Roman"/>
          <w:b/>
          <w:sz w:val="24"/>
          <w:szCs w:val="24"/>
        </w:rPr>
      </w:pPr>
      <w:r>
        <w:rPr>
          <w:rFonts w:ascii="Times New Roman" w:hAnsi="Times New Roman"/>
          <w:b/>
          <w:sz w:val="24"/>
          <w:szCs w:val="24"/>
        </w:rPr>
        <w:t>3.2.3. Hindamisvahendid</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Kohtute tegevuse järelevalve ja hindamine aitab kindlaks teha puudused ja vajadused ning sellega parandada kohtusüsteemi kvaliteeti. Korrapärane hindamine võib suurendada kohtusüsteemi võimet reageerida praegustele ja tulevastele probleemidele. Piisavate IKT-vahenditega saab hallata kohtuasju reaalajas ja toetada üleriigilise standarditud kohtustatistika koostamist. Lisaks saab neid kasutada kuhjunud kohtuasjade haldamiseks ja automatiseeritud varajase hoiatamise süsteemides. Uuringud on väga olulised kohtusüsteemide toimimise hindamisel õigusala töötajate ja menetlusosaliste vaatenurgast. Kohtusüsteemide kvaliteedi parandamiseks on vajalik, et uuringute tulemustele järgneksid piisavad järelmeetmed.</w:t>
      </w:r>
      <w:bookmarkStart w:id="432" w:name="_Ref441218732"/>
    </w:p>
    <w:p>
      <w:pPr>
        <w:jc w:val="both"/>
        <w:rPr>
          <w:rFonts w:ascii="Times New Roman" w:eastAsia="Calibri" w:hAnsi="Times New Roman" w:cs="Times New Roman"/>
          <w:b/>
          <w:bCs/>
          <w:sz w:val="24"/>
          <w:szCs w:val="24"/>
        </w:rPr>
      </w:pPr>
      <w:r>
        <w:br w:type="page"/>
      </w:r>
    </w:p>
    <w:p>
      <w:pPr>
        <w:spacing w:before="240" w:after="120" w:line="240" w:lineRule="auto"/>
        <w:jc w:val="both"/>
        <w:rPr>
          <w:rFonts w:ascii="Times New Roman" w:eastAsia="Calibri" w:hAnsi="Times New Roman" w:cs="Times New Roman"/>
          <w:i/>
          <w:iCs/>
          <w:sz w:val="24"/>
          <w:szCs w:val="24"/>
        </w:rPr>
      </w:pPr>
      <w:r>
        <w:rPr>
          <w:rFonts w:ascii="Times New Roman" w:hAnsi="Times New Roman"/>
          <w:b/>
          <w:bCs/>
          <w:sz w:val="24"/>
          <w:szCs w:val="24"/>
        </w:rPr>
        <w:t>Joonis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sz w:val="24"/>
        </w:rPr>
        <w:t>40</w:t>
      </w:r>
      <w:r>
        <w:fldChar w:fldCharType="end"/>
      </w:r>
      <w:bookmarkEnd w:id="432"/>
      <w:r>
        <w:rPr>
          <w:rFonts w:ascii="Times New Roman" w:hAnsi="Times New Roman"/>
          <w:b/>
          <w:bCs/>
          <w:sz w:val="24"/>
          <w:szCs w:val="24"/>
        </w:rPr>
        <w:t>. IKT kättesaadavus kohtuasjade haldamiseks ja kohtu tegevust kajastava statistika kogumiseks, 2018(*)</w:t>
      </w:r>
      <w:r>
        <w:rPr>
          <w:rFonts w:ascii="Times New Roman" w:hAnsi="Times New Roman"/>
          <w:sz w:val="24"/>
          <w:szCs w:val="24"/>
        </w:rPr>
        <w:tab/>
      </w:r>
      <w:r>
        <w:br/>
      </w:r>
      <w:r>
        <w:rPr>
          <w:rFonts w:ascii="Times New Roman" w:hAnsi="Times New Roman"/>
          <w:i/>
          <w:iCs/>
          <w:sz w:val="24"/>
          <w:szCs w:val="24"/>
        </w:rPr>
        <w:t>(0 = võimalik 0 % kohtutes, 4 = võimalik 100 % kohtutes(</w:t>
      </w:r>
      <w:r>
        <w:rPr>
          <w:rFonts w:ascii="Times New Roman" w:eastAsia="Calibri" w:hAnsi="Times New Roman" w:cs="Times New Roman"/>
          <w:i/>
          <w:iCs/>
          <w:sz w:val="24"/>
          <w:szCs w:val="24"/>
          <w:vertAlign w:val="superscript"/>
        </w:rPr>
        <w:footnoteReference w:id="81"/>
      </w:r>
      <w:r>
        <w:rPr>
          <w:rFonts w:ascii="Times New Roman" w:hAnsi="Times New Roman"/>
          <w:i/>
          <w:iCs/>
          <w:sz w:val="24"/>
          <w:szCs w:val="24"/>
        </w:rPr>
        <w:t>))</w:t>
      </w:r>
      <w:r>
        <w:rPr>
          <w:rFonts w:ascii="Times New Roman" w:hAnsi="Times New Roman"/>
          <w:i/>
          <w:iCs/>
        </w:rPr>
        <w:t xml:space="preserve"> </w:t>
      </w:r>
      <w:r>
        <w:rPr>
          <w:rFonts w:ascii="Times New Roman" w:hAnsi="Times New Roman"/>
          <w:i/>
          <w:iCs/>
          <w:sz w:val="24"/>
          <w:szCs w:val="24"/>
        </w:rPr>
        <w:t>(allikas: CEPEJ uuring)</w:t>
      </w:r>
    </w:p>
    <w:p>
      <w:pPr>
        <w:keepNext/>
        <w:spacing w:after="0" w:line="240" w:lineRule="auto"/>
        <w:jc w:val="both"/>
        <w:rPr>
          <w:rFonts w:ascii="Times New Roman" w:eastAsia="Calibri" w:hAnsi="Times New Roman" w:cs="Times New Roman"/>
          <w:i/>
          <w:sz w:val="20"/>
        </w:rPr>
      </w:pPr>
      <w:r>
        <w:rPr>
          <w:lang w:val="en-GB" w:eastAsia="en-GB"/>
        </w:rPr>
        <w:drawing>
          <wp:inline distT="0" distB="0" distL="0" distR="0">
            <wp:extent cx="5977255" cy="1624559"/>
            <wp:effectExtent l="0" t="0" r="4445" b="0"/>
            <wp:docPr id="97307" name="Picture 97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77255" cy="1624559"/>
                    </a:xfrm>
                    <a:prstGeom prst="rect">
                      <a:avLst/>
                    </a:prstGeom>
                    <a:noFill/>
                    <a:ln>
                      <a:noFill/>
                    </a:ln>
                  </pic:spPr>
                </pic:pic>
              </a:graphicData>
            </a:graphic>
          </wp:inline>
        </w:drawing>
      </w:r>
    </w:p>
    <w:p>
      <w:pPr>
        <w:keepNext/>
        <w:spacing w:after="0" w:line="240" w:lineRule="auto"/>
        <w:jc w:val="both"/>
        <w:rPr>
          <w:rFonts w:ascii="Times New Roman" w:eastAsia="Calibri" w:hAnsi="Times New Roman" w:cs="Times New Roman"/>
          <w:i/>
          <w:sz w:val="20"/>
        </w:rPr>
      </w:pPr>
      <w:r>
        <w:rPr>
          <w:rFonts w:ascii="Times New Roman" w:hAnsi="Times New Roman"/>
          <w:i/>
          <w:sz w:val="20"/>
        </w:rPr>
        <w:t xml:space="preserve">(*) Uus metoodika, andmed ei ole eelmiste aastatega võrreldavad. </w:t>
      </w:r>
    </w:p>
    <w:p>
      <w:pPr>
        <w:keepNext/>
        <w:spacing w:before="240" w:after="120" w:line="240" w:lineRule="auto"/>
        <w:jc w:val="both"/>
        <w:rPr>
          <w:rFonts w:ascii="Times New Roman" w:eastAsia="Times New Roman" w:hAnsi="Times New Roman" w:cs="Times New Roman"/>
          <w:i/>
          <w:iCs/>
          <w:sz w:val="24"/>
          <w:szCs w:val="24"/>
        </w:rPr>
      </w:pPr>
      <w:bookmarkStart w:id="433" w:name="_Ref441218739"/>
      <w:r>
        <w:rPr>
          <w:rFonts w:ascii="Times New Roman" w:hAnsi="Times New Roman"/>
          <w:b/>
          <w:bCs/>
          <w:sz w:val="24"/>
          <w:szCs w:val="24"/>
        </w:rPr>
        <w:t>Joonis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sz w:val="24"/>
        </w:rPr>
        <w:t>41</w:t>
      </w:r>
      <w:r>
        <w:fldChar w:fldCharType="end"/>
      </w:r>
      <w:bookmarkEnd w:id="433"/>
      <w:r>
        <w:rPr>
          <w:rFonts w:ascii="Times New Roman" w:hAnsi="Times New Roman"/>
          <w:b/>
          <w:bCs/>
          <w:sz w:val="24"/>
          <w:szCs w:val="24"/>
        </w:rPr>
        <w:t>. Menetlusosaliste ja õigusala töötajate seas tehtud uuringute teemad, 2018(*)</w:t>
      </w:r>
      <w:r>
        <w:rPr>
          <w:rFonts w:ascii="Times New Roman" w:hAnsi="Times New Roman"/>
          <w:sz w:val="24"/>
          <w:szCs w:val="24"/>
        </w:rPr>
        <w:t xml:space="preserve"> </w:t>
      </w:r>
      <w:r>
        <w:rPr>
          <w:rFonts w:ascii="Times New Roman" w:hAnsi="Times New Roman"/>
          <w:i/>
          <w:iCs/>
          <w:sz w:val="24"/>
          <w:szCs w:val="24"/>
        </w:rPr>
        <w:t>(allikas: Euroopa Komisjon(</w:t>
      </w:r>
      <w:r>
        <w:rPr>
          <w:rFonts w:ascii="Times New Roman" w:eastAsia="Times New Roman" w:hAnsi="Times New Roman" w:cs="Times New Roman"/>
          <w:i/>
          <w:iCs/>
          <w:sz w:val="24"/>
          <w:szCs w:val="24"/>
          <w:vertAlign w:val="superscript"/>
        </w:rPr>
        <w:footnoteReference w:id="82"/>
      </w:r>
      <w:r>
        <w:rPr>
          <w:rFonts w:ascii="Times New Roman" w:hAnsi="Times New Roman"/>
          <w:i/>
          <w:iCs/>
          <w:sz w:val="24"/>
          <w:szCs w:val="24"/>
        </w:rPr>
        <w:t>))</w:t>
      </w:r>
    </w:p>
    <w:p>
      <w:pPr>
        <w:spacing w:after="0" w:line="240" w:lineRule="auto"/>
        <w:jc w:val="both"/>
        <w:rPr>
          <w:rFonts w:ascii="Times New Roman" w:eastAsia="Calibri" w:hAnsi="Times New Roman" w:cs="Times New Roman"/>
          <w:i/>
          <w:sz w:val="20"/>
        </w:rPr>
      </w:pPr>
      <w:r>
        <w:rPr>
          <w:lang w:val="en-GB" w:eastAsia="en-GB"/>
        </w:rPr>
        <w:drawing>
          <wp:inline distT="0" distB="0" distL="0" distR="0">
            <wp:extent cx="5977255" cy="3385049"/>
            <wp:effectExtent l="0" t="0" r="4445" b="6350"/>
            <wp:docPr id="97312" name="Picture 97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77255" cy="3385049"/>
                    </a:xfrm>
                    <a:prstGeom prst="rect">
                      <a:avLst/>
                    </a:prstGeom>
                    <a:noFill/>
                    <a:ln>
                      <a:noFill/>
                    </a:ln>
                  </pic:spPr>
                </pic:pic>
              </a:graphicData>
            </a:graphic>
          </wp:inline>
        </w:drawing>
      </w:r>
    </w:p>
    <w:p>
      <w:pPr>
        <w:spacing w:after="0" w:line="240" w:lineRule="auto"/>
        <w:jc w:val="both"/>
        <w:rPr>
          <w:rFonts w:ascii="Times New Roman" w:eastAsia="Calibri" w:hAnsi="Times New Roman" w:cs="Times New Roman"/>
          <w:bCs/>
          <w:i/>
          <w:sz w:val="20"/>
          <w:szCs w:val="20"/>
        </w:rPr>
      </w:pPr>
      <w:r>
        <w:rPr>
          <w:rFonts w:ascii="Times New Roman" w:hAnsi="Times New Roman"/>
          <w:i/>
          <w:sz w:val="20"/>
        </w:rPr>
        <w:t>(*)</w:t>
      </w:r>
      <w:r>
        <w:rPr>
          <w:rFonts w:ascii="Times New Roman" w:hAnsi="Times New Roman"/>
          <w:i/>
        </w:rPr>
        <w:t xml:space="preserve"> </w:t>
      </w:r>
      <w:r>
        <w:rPr>
          <w:rFonts w:ascii="Times New Roman" w:hAnsi="Times New Roman"/>
          <w:bCs/>
          <w:i/>
          <w:sz w:val="20"/>
          <w:szCs w:val="20"/>
        </w:rPr>
        <w:t>Liikmesriikidele anti iga märgitud uuringuteema eest üks punkt, olenemata sellest, kas uuring tehti riigi, piirkonna või kohtu tasandil. Kategooriasse „muud teemad“ kuuluvad: advokaatide hulgas tehtud uuringud teatavate kohtute toimimise kohta (</w:t>
      </w:r>
      <w:r>
        <w:rPr>
          <w:rFonts w:ascii="Times New Roman" w:hAnsi="Times New Roman"/>
          <w:b/>
          <w:bCs/>
          <w:i/>
          <w:sz w:val="20"/>
          <w:szCs w:val="20"/>
        </w:rPr>
        <w:t>Hispaania</w:t>
      </w:r>
      <w:r>
        <w:rPr>
          <w:rFonts w:ascii="Times New Roman" w:hAnsi="Times New Roman"/>
          <w:bCs/>
          <w:i/>
          <w:sz w:val="20"/>
          <w:szCs w:val="20"/>
        </w:rPr>
        <w:t xml:space="preserve">); teadlikkus IKT-meetmetest kasutajate juurdepääsu parandamise vahendina </w:t>
      </w:r>
      <w:r>
        <w:rPr>
          <w:rFonts w:ascii="Times New Roman" w:hAnsi="Times New Roman"/>
          <w:i/>
          <w:sz w:val="20"/>
          <w:szCs w:val="20"/>
        </w:rPr>
        <w:t>(</w:t>
      </w:r>
      <w:r>
        <w:rPr>
          <w:rFonts w:ascii="Times New Roman" w:hAnsi="Times New Roman"/>
          <w:b/>
          <w:i/>
          <w:sz w:val="20"/>
          <w:szCs w:val="20"/>
        </w:rPr>
        <w:t>Malta</w:t>
      </w:r>
      <w:r>
        <w:rPr>
          <w:rFonts w:ascii="Times New Roman" w:hAnsi="Times New Roman"/>
          <w:i/>
          <w:sz w:val="20"/>
          <w:szCs w:val="20"/>
        </w:rPr>
        <w:t>)</w:t>
      </w:r>
      <w:r>
        <w:rPr>
          <w:rFonts w:ascii="Times New Roman" w:hAnsi="Times New Roman"/>
          <w:bCs/>
          <w:i/>
          <w:sz w:val="20"/>
          <w:szCs w:val="20"/>
        </w:rPr>
        <w:t>; kohtute ressursid ja materiaalne olukord (</w:t>
      </w:r>
      <w:r>
        <w:rPr>
          <w:rFonts w:ascii="Times New Roman" w:hAnsi="Times New Roman"/>
          <w:b/>
          <w:bCs/>
          <w:i/>
          <w:sz w:val="20"/>
          <w:szCs w:val="20"/>
        </w:rPr>
        <w:t>Portugal</w:t>
      </w:r>
      <w:r>
        <w:rPr>
          <w:rFonts w:ascii="Times New Roman" w:hAnsi="Times New Roman"/>
          <w:bCs/>
          <w:i/>
          <w:sz w:val="20"/>
          <w:szCs w:val="20"/>
        </w:rPr>
        <w:t>); menetluse õiglust käsitleva projektiga seotud küsimused (</w:t>
      </w:r>
      <w:r>
        <w:rPr>
          <w:rFonts w:ascii="Times New Roman" w:hAnsi="Times New Roman"/>
          <w:b/>
          <w:bCs/>
          <w:i/>
          <w:sz w:val="20"/>
          <w:szCs w:val="20"/>
        </w:rPr>
        <w:t>Sloveenia</w:t>
      </w:r>
      <w:r>
        <w:rPr>
          <w:rFonts w:ascii="Times New Roman" w:hAnsi="Times New Roman"/>
          <w:bCs/>
          <w:i/>
          <w:sz w:val="20"/>
          <w:szCs w:val="20"/>
        </w:rPr>
        <w:t>), kohtute toimimise parandamise võimalused (</w:t>
      </w:r>
      <w:r>
        <w:rPr>
          <w:rFonts w:ascii="Times New Roman" w:hAnsi="Times New Roman"/>
          <w:b/>
          <w:bCs/>
          <w:i/>
          <w:sz w:val="20"/>
          <w:szCs w:val="20"/>
        </w:rPr>
        <w:t>Slovakkia</w:t>
      </w:r>
      <w:r>
        <w:rPr>
          <w:rFonts w:ascii="Times New Roman" w:hAnsi="Times New Roman"/>
          <w:bCs/>
          <w:i/>
          <w:sz w:val="20"/>
          <w:szCs w:val="20"/>
        </w:rPr>
        <w:t>); arusaam kohasest karistusest (</w:t>
      </w:r>
      <w:r>
        <w:rPr>
          <w:rFonts w:ascii="Times New Roman" w:hAnsi="Times New Roman"/>
          <w:b/>
          <w:bCs/>
          <w:i/>
          <w:sz w:val="20"/>
          <w:szCs w:val="20"/>
        </w:rPr>
        <w:t>Soome</w:t>
      </w:r>
      <w:r>
        <w:rPr>
          <w:rFonts w:ascii="Times New Roman" w:hAnsi="Times New Roman"/>
          <w:bCs/>
          <w:i/>
          <w:sz w:val="20"/>
          <w:szCs w:val="20"/>
        </w:rPr>
        <w:t>) ning õigusala töötajate ja menetlusosaliste rahulolu kohtusüsteemi pakutavate teenustega (</w:t>
      </w:r>
      <w:r>
        <w:rPr>
          <w:rFonts w:ascii="Times New Roman" w:hAnsi="Times New Roman"/>
          <w:b/>
          <w:bCs/>
          <w:i/>
          <w:sz w:val="20"/>
          <w:szCs w:val="20"/>
        </w:rPr>
        <w:t>Rootsi)</w:t>
      </w:r>
      <w:r>
        <w:rPr>
          <w:rFonts w:ascii="Times New Roman" w:hAnsi="Times New Roman"/>
          <w:bCs/>
          <w:i/>
          <w:sz w:val="20"/>
          <w:szCs w:val="20"/>
        </w:rPr>
        <w:t xml:space="preserve">. </w:t>
      </w:r>
      <w:r>
        <w:rPr>
          <w:rFonts w:ascii="Times New Roman" w:hAnsi="Times New Roman"/>
          <w:b/>
          <w:bCs/>
          <w:i/>
          <w:sz w:val="20"/>
          <w:szCs w:val="20"/>
        </w:rPr>
        <w:t xml:space="preserve">Saksamaal </w:t>
      </w:r>
      <w:r>
        <w:rPr>
          <w:rFonts w:ascii="Times New Roman" w:hAnsi="Times New Roman"/>
          <w:bCs/>
          <w:i/>
          <w:sz w:val="20"/>
          <w:szCs w:val="20"/>
        </w:rPr>
        <w:t xml:space="preserve">viidi liidumaade tasandil läbi mitu eri uuringut. </w:t>
      </w:r>
    </w:p>
    <w:p>
      <w:pPr>
        <w:spacing w:after="0" w:line="240" w:lineRule="auto"/>
        <w:jc w:val="both"/>
        <w:rPr>
          <w:rFonts w:ascii="Times New Roman" w:eastAsia="Calibri" w:hAnsi="Times New Roman" w:cs="Times New Roman"/>
          <w:bCs/>
          <w:i/>
          <w:sz w:val="20"/>
          <w:szCs w:val="20"/>
          <w:highlight w:val="yellow"/>
        </w:rPr>
      </w:pPr>
    </w:p>
    <w:p>
      <w:pPr>
        <w:keepNext/>
        <w:spacing w:before="240" w:after="120" w:line="240" w:lineRule="auto"/>
        <w:contextualSpacing/>
        <w:jc w:val="both"/>
        <w:rPr>
          <w:rFonts w:ascii="Times New Roman" w:eastAsia="Times New Roman" w:hAnsi="Times New Roman" w:cs="Times New Roman"/>
          <w:i/>
          <w:iCs/>
          <w:sz w:val="24"/>
          <w:szCs w:val="24"/>
        </w:rPr>
      </w:pPr>
      <w:bookmarkStart w:id="434" w:name="_Ref441218744"/>
      <w:bookmarkEnd w:id="434"/>
      <w:r>
        <w:rPr>
          <w:rFonts w:ascii="Times New Roman" w:hAnsi="Times New Roman"/>
          <w:b/>
          <w:bCs/>
          <w:sz w:val="24"/>
          <w:szCs w:val="24"/>
        </w:rPr>
        <w:t>Joonis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sz w:val="24"/>
        </w:rPr>
        <w:t>42</w:t>
      </w:r>
      <w:r>
        <w:fldChar w:fldCharType="end"/>
      </w:r>
      <w:r>
        <w:rPr>
          <w:rFonts w:ascii="Times New Roman" w:hAnsi="Times New Roman"/>
          <w:b/>
          <w:bCs/>
          <w:sz w:val="24"/>
          <w:szCs w:val="24"/>
        </w:rPr>
        <w:t>. Menetlusosaliste ja õigusala töötajate seas tehtud uuringute</w:t>
      </w:r>
      <w:r>
        <w:rPr>
          <w:rFonts w:ascii="Times New Roman" w:hAnsi="Times New Roman"/>
          <w:sz w:val="24"/>
          <w:szCs w:val="24"/>
        </w:rPr>
        <w:t xml:space="preserve"> </w:t>
      </w:r>
      <w:r>
        <w:rPr>
          <w:rFonts w:ascii="Times New Roman" w:hAnsi="Times New Roman"/>
          <w:b/>
          <w:bCs/>
          <w:sz w:val="24"/>
          <w:szCs w:val="24"/>
        </w:rPr>
        <w:t>järelmeetmed, 2018(*)</w:t>
      </w:r>
      <w:r>
        <w:rPr>
          <w:rFonts w:ascii="Times New Roman" w:hAnsi="Times New Roman"/>
        </w:rPr>
        <w:t xml:space="preserve"> </w:t>
      </w:r>
      <w:r>
        <w:rPr>
          <w:rFonts w:ascii="Times New Roman" w:hAnsi="Times New Roman"/>
          <w:i/>
          <w:iCs/>
        </w:rPr>
        <w:t>(allikas:</w:t>
      </w:r>
      <w:r>
        <w:rPr>
          <w:rFonts w:ascii="Times New Roman" w:hAnsi="Times New Roman"/>
          <w:i/>
          <w:iCs/>
          <w:sz w:val="24"/>
          <w:szCs w:val="24"/>
        </w:rPr>
        <w:t xml:space="preserve"> Euroopa Komisjon(</w:t>
      </w:r>
      <w:r>
        <w:rPr>
          <w:rFonts w:ascii="Times New Roman" w:eastAsia="Times New Roman" w:hAnsi="Times New Roman" w:cs="Times New Roman"/>
          <w:i/>
          <w:iCs/>
          <w:sz w:val="24"/>
          <w:szCs w:val="24"/>
          <w:vertAlign w:val="superscript"/>
        </w:rPr>
        <w:footnoteReference w:id="83"/>
      </w:r>
      <w:r>
        <w:rPr>
          <w:rFonts w:ascii="Times New Roman" w:hAnsi="Times New Roman"/>
          <w:i/>
          <w:iCs/>
          <w:sz w:val="24"/>
          <w:szCs w:val="24"/>
        </w:rPr>
        <w:t>))</w:t>
      </w:r>
      <w:bookmarkStart w:id="435" w:name="_Toc440017702"/>
      <w:bookmarkStart w:id="436" w:name="_Toc440018086"/>
      <w:bookmarkStart w:id="437" w:name="_Toc440033384"/>
      <w:bookmarkStart w:id="438" w:name="_Toc440035235"/>
      <w:bookmarkStart w:id="439" w:name="_Toc440036530"/>
      <w:bookmarkStart w:id="440" w:name="_Toc440042472"/>
      <w:bookmarkStart w:id="441" w:name="_Toc440291125"/>
      <w:bookmarkStart w:id="442" w:name="_Toc440294688"/>
      <w:bookmarkStart w:id="443" w:name="_Toc440295190"/>
      <w:bookmarkStart w:id="444" w:name="_Toc440296595"/>
      <w:bookmarkStart w:id="445" w:name="_Toc440625079"/>
      <w:bookmarkStart w:id="446" w:name="_Toc440626409"/>
      <w:bookmarkStart w:id="447" w:name="_Toc440628863"/>
      <w:bookmarkStart w:id="448" w:name="_Toc441571136"/>
      <w:bookmarkStart w:id="449" w:name="_Toc441581638"/>
      <w:bookmarkStart w:id="450" w:name="_Toc441585905"/>
      <w:bookmarkStart w:id="451" w:name="_Toc441595840"/>
      <w:bookmarkStart w:id="452" w:name="_Toc441596017"/>
      <w:bookmarkStart w:id="453" w:name="_Toc441748142"/>
      <w:bookmarkStart w:id="454" w:name="_Toc441755427"/>
      <w:bookmarkStart w:id="455" w:name="_Toc441756464"/>
      <w:bookmarkStart w:id="456" w:name="_Toc441757508"/>
      <w:bookmarkStart w:id="457" w:name="_Toc441766637"/>
      <w:bookmarkStart w:id="458" w:name="_Toc441766976"/>
    </w:p>
    <w:p>
      <w:pPr>
        <w:spacing w:after="0" w:line="240" w:lineRule="auto"/>
        <w:jc w:val="both"/>
        <w:rPr>
          <w:rFonts w:ascii="Times New Roman" w:eastAsia="Calibri" w:hAnsi="Times New Roman" w:cs="Times New Roman"/>
          <w:i/>
          <w:sz w:val="20"/>
        </w:rPr>
      </w:pPr>
      <w:bookmarkStart w:id="459" w:name="_Toc442187977"/>
      <w:bookmarkStart w:id="460" w:name="_Toc442262069"/>
      <w:bookmarkStart w:id="461" w:name="_Toc442362476"/>
      <w:bookmarkStart w:id="462" w:name="_Toc442374812"/>
      <w:bookmarkStart w:id="463" w:name="_Toc442425952"/>
      <w:bookmarkStart w:id="464" w:name="_Toc442453078"/>
      <w:bookmarkStart w:id="465" w:name="_Toc443484536"/>
      <w:bookmarkStart w:id="466" w:name="_Toc443484758"/>
      <w:bookmarkStart w:id="467" w:name="_Toc443509499"/>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Pr>
          <w:lang w:val="en-GB" w:eastAsia="en-GB"/>
        </w:rPr>
        <w:drawing>
          <wp:inline distT="0" distB="0" distL="0" distR="0">
            <wp:extent cx="5977255" cy="2710289"/>
            <wp:effectExtent l="0" t="0" r="4445" b="0"/>
            <wp:docPr id="97313" name="Picture 97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77255" cy="2710289"/>
                    </a:xfrm>
                    <a:prstGeom prst="rect">
                      <a:avLst/>
                    </a:prstGeom>
                    <a:noFill/>
                    <a:ln>
                      <a:noFill/>
                    </a:ln>
                  </pic:spPr>
                </pic:pic>
              </a:graphicData>
            </a:graphic>
          </wp:inline>
        </w:drawing>
      </w:r>
    </w:p>
    <w:p>
      <w:pPr>
        <w:spacing w:after="0" w:line="240" w:lineRule="auto"/>
        <w:jc w:val="both"/>
        <w:rPr>
          <w:rFonts w:ascii="Times New Roman" w:eastAsia="Calibri" w:hAnsi="Times New Roman" w:cs="Times New Roman"/>
          <w:b/>
          <w:sz w:val="24"/>
          <w:highlight w:val="yellow"/>
        </w:rPr>
      </w:pPr>
      <w:r>
        <w:rPr>
          <w:rFonts w:ascii="Times New Roman" w:hAnsi="Times New Roman"/>
          <w:i/>
          <w:sz w:val="20"/>
        </w:rPr>
        <w:t>(*) Liikmesriikidele anti iga järelmeetmete liigi eest üks punkt. Kategooriasse „muud konkreetsed järelmeetmed“ kuulusid kontroll (</w:t>
      </w:r>
      <w:r>
        <w:rPr>
          <w:rFonts w:ascii="Times New Roman" w:hAnsi="Times New Roman"/>
          <w:b/>
          <w:i/>
          <w:sz w:val="20"/>
        </w:rPr>
        <w:t>Hispaania</w:t>
      </w:r>
      <w:r>
        <w:rPr>
          <w:rFonts w:ascii="Times New Roman" w:hAnsi="Times New Roman"/>
          <w:i/>
          <w:sz w:val="20"/>
        </w:rPr>
        <w:t>); suunistena kasutamine sisekorra väljatöötamisel (</w:t>
      </w:r>
      <w:r>
        <w:rPr>
          <w:rFonts w:ascii="Times New Roman" w:hAnsi="Times New Roman"/>
          <w:b/>
          <w:i/>
          <w:sz w:val="20"/>
        </w:rPr>
        <w:t>Malta</w:t>
      </w:r>
      <w:r>
        <w:rPr>
          <w:rFonts w:ascii="Times New Roman" w:hAnsi="Times New Roman"/>
          <w:i/>
          <w:sz w:val="20"/>
        </w:rPr>
        <w:t>); üldsusele mõeldud teabe avaldamine (</w:t>
      </w:r>
      <w:r>
        <w:rPr>
          <w:rFonts w:ascii="Times New Roman" w:hAnsi="Times New Roman"/>
          <w:b/>
          <w:i/>
          <w:sz w:val="20"/>
        </w:rPr>
        <w:t>Sloveenia</w:t>
      </w:r>
      <w:r>
        <w:rPr>
          <w:rFonts w:ascii="Times New Roman" w:hAnsi="Times New Roman"/>
          <w:i/>
          <w:sz w:val="20"/>
        </w:rPr>
        <w:t>) ning kohtute enesehindamisaruanded (</w:t>
      </w:r>
      <w:r>
        <w:rPr>
          <w:rFonts w:ascii="Times New Roman" w:hAnsi="Times New Roman"/>
          <w:b/>
          <w:i/>
          <w:sz w:val="20"/>
        </w:rPr>
        <w:t>Slovakkia</w:t>
      </w:r>
      <w:r>
        <w:rPr>
          <w:rFonts w:ascii="Times New Roman" w:hAnsi="Times New Roman"/>
          <w:i/>
          <w:sz w:val="20"/>
        </w:rPr>
        <w:t>)</w:t>
      </w:r>
      <w:bookmarkStart w:id="468" w:name="_Toc446014828"/>
      <w:r>
        <w:rPr>
          <w:rFonts w:ascii="Times New Roman" w:hAnsi="Times New Roman"/>
          <w:i/>
          <w:sz w:val="20"/>
        </w:rPr>
        <w:t>.</w:t>
      </w:r>
    </w:p>
    <w:p>
      <w:pPr>
        <w:spacing w:before="240" w:after="120" w:line="240" w:lineRule="auto"/>
        <w:jc w:val="both"/>
        <w:rPr>
          <w:rFonts w:ascii="Times New Roman" w:eastAsia="Calibri" w:hAnsi="Times New Roman" w:cs="Times New Roman"/>
          <w:i/>
          <w:sz w:val="20"/>
        </w:rPr>
      </w:pPr>
      <w:r>
        <w:rPr>
          <w:rFonts w:ascii="Times New Roman" w:hAnsi="Times New Roman"/>
          <w:b/>
          <w:sz w:val="24"/>
        </w:rPr>
        <w:t>3.2.4. Kvaliteedinormid</w:t>
      </w:r>
      <w:bookmarkEnd w:id="468"/>
    </w:p>
    <w:p>
      <w:pPr>
        <w:spacing w:after="120" w:line="240" w:lineRule="auto"/>
        <w:jc w:val="both"/>
        <w:rPr>
          <w:rFonts w:ascii="Times New Roman" w:eastAsia="Calibri" w:hAnsi="Times New Roman" w:cs="Times New Roman"/>
          <w:sz w:val="24"/>
        </w:rPr>
      </w:pPr>
      <w:r>
        <w:rPr>
          <w:rFonts w:ascii="Times New Roman" w:hAnsi="Times New Roman"/>
          <w:sz w:val="24"/>
          <w:szCs w:val="24"/>
        </w:rPr>
        <w:t>Kvaliteedinormid või -nõuded võivad aidata parandada kohtusüsteemide kvaliteeti. Kui tulemustabeli eelmistes väljaannetes anti ülevaade ajaliste piirangute ja pooltele teabe andmisega seotud normidest, siis 2020. aasta ELi õigusemõistmise tulemustabelis keskendutakse ajalisi piiranguid, kohtuasjade kuhjumist ja ajakavu käsitlevatele normidele kui kohtutes kasutatavale haldusvahendile(</w:t>
      </w:r>
      <w:r>
        <w:rPr>
          <w:rFonts w:ascii="Times New Roman" w:eastAsia="Calibri" w:hAnsi="Times New Roman" w:cs="Times New Roman"/>
          <w:sz w:val="24"/>
          <w:szCs w:val="24"/>
          <w:vertAlign w:val="superscript"/>
        </w:rPr>
        <w:footnoteReference w:id="84"/>
      </w:r>
      <w:r>
        <w:rPr>
          <w:rFonts w:ascii="Times New Roman" w:hAnsi="Times New Roman"/>
          <w:sz w:val="24"/>
          <w:szCs w:val="24"/>
        </w:rPr>
        <w:t xml:space="preserve">). Joonisel 43 antakse ülevaade sellest, millised liikmesriigid kasutavad tähtaegu, ajakavu ja kohtuasjade kuhjumist käsitlevaid norme ning see sisaldab esimest korda teavet selliseid norme kasutavate õigusvaldkondade ja instantside kaupa. Tähtajad on kvantitatiivsed ajalised piirangud, nt maksimaalne päevade arv alates asja registreerimisest kuni esimese kohtuistungini. Kuhjunud kohtuasjad on kohtuasjad, mis on menetluses määratud ajast kauem. Ajakavad on mõõdetavad eesmärgid/tavad, millega näiteks määratakse kindlaks teatud hulk kohtuasju, mis tuleb kindla aja jooksul lõpule viia. </w:t>
      </w:r>
      <w:bookmarkStart w:id="469" w:name="_Ref441657918"/>
    </w:p>
    <w:bookmarkEnd w:id="469"/>
    <w:p>
      <w:pPr>
        <w:keepNext/>
        <w:spacing w:before="240" w:after="0" w:line="240" w:lineRule="auto"/>
        <w:rPr>
          <w:rFonts w:ascii="Times New Roman" w:eastAsia="Calibri" w:hAnsi="Times New Roman" w:cs="Times New Roman"/>
          <w:b/>
          <w:bCs/>
          <w:sz w:val="24"/>
          <w:szCs w:val="24"/>
          <w:highlight w:val="yellow"/>
        </w:rPr>
      </w:pPr>
      <w:r>
        <w:rPr>
          <w:rFonts w:ascii="Times New Roman" w:hAnsi="Times New Roman"/>
          <w:b/>
          <w:bCs/>
          <w:sz w:val="24"/>
          <w:szCs w:val="24"/>
        </w:rPr>
        <w:t>Joonis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sz w:val="24"/>
        </w:rPr>
        <w:t>43</w:t>
      </w:r>
      <w:r>
        <w:fldChar w:fldCharType="end"/>
      </w:r>
      <w:r>
        <w:rPr>
          <w:rFonts w:ascii="Times New Roman" w:hAnsi="Times New Roman"/>
          <w:b/>
          <w:bCs/>
          <w:sz w:val="24"/>
          <w:szCs w:val="24"/>
        </w:rPr>
        <w:t>. Ajaliste piirangutega seotud normide kasutamine, 2019(*)</w:t>
      </w:r>
      <w:r>
        <w:rPr>
          <w:rFonts w:ascii="Times New Roman" w:hAnsi="Times New Roman"/>
          <w:i/>
          <w:iCs/>
          <w:sz w:val="24"/>
          <w:szCs w:val="24"/>
        </w:rPr>
        <w:t xml:space="preserve"> (allikas: Euroopa Komisjon (</w:t>
      </w:r>
      <w:r>
        <w:rPr>
          <w:rFonts w:ascii="Times New Roman" w:eastAsia="Calibri" w:hAnsi="Times New Roman" w:cs="Times New Roman"/>
          <w:i/>
          <w:iCs/>
          <w:vertAlign w:val="superscript"/>
        </w:rPr>
        <w:footnoteReference w:id="85"/>
      </w:r>
      <w:r>
        <w:rPr>
          <w:rFonts w:ascii="Times New Roman" w:hAnsi="Times New Roman"/>
          <w:i/>
          <w:iCs/>
          <w:sz w:val="24"/>
          <w:szCs w:val="24"/>
        </w:rPr>
        <w:t>))</w:t>
      </w:r>
    </w:p>
    <w:p>
      <w:pPr>
        <w:keepNext/>
        <w:spacing w:after="0" w:line="240" w:lineRule="auto"/>
        <w:contextualSpacing/>
        <w:jc w:val="both"/>
        <w:rPr>
          <w:rFonts w:ascii="Times New Roman" w:eastAsia="Calibri" w:hAnsi="Times New Roman" w:cs="Times New Roman"/>
          <w:i/>
          <w:sz w:val="20"/>
          <w:szCs w:val="20"/>
        </w:rPr>
      </w:pPr>
      <w:r>
        <w:rPr>
          <w:lang w:val="en-GB" w:eastAsia="en-GB"/>
        </w:rPr>
        <w:drawing>
          <wp:inline distT="0" distB="0" distL="0" distR="0">
            <wp:extent cx="5977255" cy="2727374"/>
            <wp:effectExtent l="0" t="0" r="4445" b="0"/>
            <wp:docPr id="97314" name="Picture 97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77255" cy="2727374"/>
                    </a:xfrm>
                    <a:prstGeom prst="rect">
                      <a:avLst/>
                    </a:prstGeom>
                    <a:noFill/>
                    <a:ln>
                      <a:noFill/>
                    </a:ln>
                  </pic:spPr>
                </pic:pic>
              </a:graphicData>
            </a:graphic>
          </wp:inline>
        </w:drawing>
      </w:r>
    </w:p>
    <w:p>
      <w:pPr>
        <w:keepNext/>
        <w:spacing w:after="0" w:line="240" w:lineRule="auto"/>
        <w:contextualSpacing/>
        <w:jc w:val="both"/>
        <w:rPr>
          <w:rFonts w:ascii="Times New Roman" w:eastAsia="Calibri" w:hAnsi="Times New Roman" w:cs="Times New Roman"/>
          <w:i/>
          <w:sz w:val="20"/>
          <w:szCs w:val="20"/>
        </w:rPr>
      </w:pPr>
      <w:r>
        <w:rPr>
          <w:rFonts w:ascii="Times New Roman" w:hAnsi="Times New Roman"/>
          <w:i/>
          <w:sz w:val="20"/>
          <w:szCs w:val="20"/>
        </w:rPr>
        <w:t>(*) Liikmesriikidele anti iga astme (esimene, teine, viimane) puhul iga õigusvaldkonna (tsiviil-/kaubandus-, haldus- ja kriminaalasjad) eest üks punkt, kui norm on kindlaks määratud. Suurim võimalik punktide arv: 27 punkti.</w:t>
      </w:r>
      <w:r>
        <w:rPr>
          <w:rFonts w:ascii="Times New Roman" w:hAnsi="Times New Roman"/>
          <w:i/>
          <w:sz w:val="20"/>
        </w:rPr>
        <w:t xml:space="preserve"> Kui liikmesriigis on vaid kaks kohtuastet, on punktide andmisel kolmele astmele antud vastava olemasoleva kõrgema astme punktid ka puuduvale astmele. Liikmesriikides, kus nimetatud kahte õigusvaldkonda (tsiviil-/kaubandus- ja haldusasjad) ei eristata, anti samad punktid mõlemale valdkonnale.</w:t>
      </w:r>
      <w:r>
        <w:rPr>
          <w:rFonts w:ascii="Times New Roman" w:hAnsi="Times New Roman"/>
          <w:i/>
          <w:sz w:val="20"/>
          <w:szCs w:val="20"/>
        </w:rPr>
        <w:t xml:space="preserve"> </w:t>
      </w:r>
    </w:p>
    <w:p>
      <w:pPr>
        <w:spacing w:before="240" w:after="120" w:line="240" w:lineRule="auto"/>
        <w:contextualSpacing/>
        <w:jc w:val="both"/>
        <w:rPr>
          <w:rFonts w:ascii="Times New Roman Bold" w:eastAsia="Calibri" w:hAnsi="Times New Roman Bold" w:cs="Times New Roman"/>
          <w:i/>
          <w:spacing w:val="-6"/>
          <w:sz w:val="24"/>
        </w:rPr>
      </w:pPr>
    </w:p>
    <w:p>
      <w:pPr>
        <w:spacing w:before="240" w:after="120" w:line="240" w:lineRule="auto"/>
        <w:contextualSpacing/>
        <w:jc w:val="both"/>
        <w:rPr>
          <w:rFonts w:ascii="Times New Roman Bold" w:eastAsia="Calibri" w:hAnsi="Times New Roman Bold" w:cs="Times New Roman"/>
          <w:i/>
          <w:spacing w:val="-6"/>
          <w:sz w:val="24"/>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9"/>
      </w:tblGrid>
      <w:tr>
        <w:trPr>
          <w:trHeight w:val="839"/>
        </w:trPr>
        <w:tc>
          <w:tcPr>
            <w:tcW w:w="9729" w:type="dxa"/>
            <w:tcBorders>
              <w:bottom w:val="single" w:sz="4" w:space="0" w:color="auto"/>
            </w:tcBorders>
            <w:shd w:val="clear" w:color="auto" w:fill="auto"/>
          </w:tcPr>
          <w:p>
            <w:pPr>
              <w:pageBreakBefore/>
              <w:widowControl w:val="0"/>
              <w:tabs>
                <w:tab w:val="left" w:pos="856"/>
              </w:tabs>
              <w:spacing w:after="0" w:line="240" w:lineRule="auto"/>
              <w:ind w:left="856" w:hanging="856"/>
              <w:jc w:val="both"/>
              <w:outlineLvl w:val="2"/>
              <w:rPr>
                <w:rFonts w:ascii="Times New Roman" w:eastAsia="Times New Roman" w:hAnsi="Times New Roman" w:cs="Times New Roman"/>
                <w:b/>
                <w:sz w:val="24"/>
                <w:szCs w:val="24"/>
                <w:highlight w:val="yellow"/>
                <w:u w:val="single"/>
              </w:rPr>
            </w:pPr>
            <w:r>
              <w:br w:type="page"/>
            </w:r>
            <w:r>
              <w:rPr>
                <w:rFonts w:ascii="Times New Roman" w:hAnsi="Times New Roman"/>
                <w:b/>
                <w:sz w:val="24"/>
                <w:szCs w:val="24"/>
              </w:rPr>
              <w:t>3.2.5. Kokkuvõte kohtusüsteemide kvaliteedi kohta</w:t>
            </w:r>
          </w:p>
          <w:p>
            <w:pPr>
              <w:widowControl w:val="0"/>
              <w:spacing w:before="120" w:after="0" w:line="240" w:lineRule="auto"/>
              <w:jc w:val="both"/>
              <w:rPr>
                <w:rFonts w:ascii="Times New Roman" w:eastAsia="Calibri" w:hAnsi="Times New Roman" w:cs="Times New Roman"/>
                <w:sz w:val="24"/>
              </w:rPr>
            </w:pPr>
            <w:r>
              <w:rPr>
                <w:rFonts w:ascii="Times New Roman" w:hAnsi="Times New Roman"/>
                <w:sz w:val="24"/>
                <w:szCs w:val="24"/>
              </w:rPr>
              <w:t>Lihtne juurdepääs, piisavad ressursid, tulemuslikud hindamisvahendid ning asjakohased normid ja tavad on tegurid, mis aitavad tagada kohtusüsteemide kvaliteedi. Kodanikud ja ettevõtjad ootavad tulemuslikult kohtusüsteemilt kvaliteetseid otsuseid. 2020. aasta ELi õigusemõistmise tulemustabelis jätkatakse nende tegurite võrdleva uurimisega .</w:t>
            </w:r>
          </w:p>
          <w:p>
            <w:pPr>
              <w:widowControl w:val="0"/>
              <w:spacing w:before="120" w:after="60" w:line="240" w:lineRule="auto"/>
              <w:jc w:val="both"/>
              <w:rPr>
                <w:rFonts w:ascii="Times New Roman" w:eastAsia="Calibri" w:hAnsi="Times New Roman" w:cs="Times New Roman"/>
                <w:i/>
                <w:sz w:val="24"/>
              </w:rPr>
            </w:pPr>
            <w:r>
              <w:rPr>
                <w:rFonts w:ascii="Times New Roman" w:hAnsi="Times New Roman"/>
                <w:i/>
                <w:sz w:val="24"/>
              </w:rPr>
              <w:t>Juurdepääsetavus</w:t>
            </w:r>
          </w:p>
          <w:p>
            <w:pPr>
              <w:widowControl w:val="0"/>
              <w:spacing w:after="0" w:line="240" w:lineRule="auto"/>
              <w:jc w:val="both"/>
              <w:rPr>
                <w:rFonts w:ascii="Times New Roman" w:eastAsia="Calibri" w:hAnsi="Times New Roman" w:cs="Times New Roman"/>
                <w:bCs/>
                <w:iCs/>
                <w:sz w:val="24"/>
                <w:szCs w:val="24"/>
              </w:rPr>
            </w:pPr>
            <w:r>
              <w:rPr>
                <w:rFonts w:ascii="Times New Roman" w:hAnsi="Times New Roman"/>
                <w:bCs/>
                <w:iCs/>
                <w:sz w:val="24"/>
                <w:szCs w:val="24"/>
              </w:rPr>
              <w:t>Käesolevas väljaandes vaadeldakse taas hulka elemente, mis aitavad muuta kohtusüsteemi kodanikukesksemaks.</w:t>
            </w:r>
          </w:p>
          <w:p>
            <w:pPr>
              <w:widowControl w:val="0"/>
              <w:numPr>
                <w:ilvl w:val="0"/>
                <w:numId w:val="5"/>
              </w:numPr>
              <w:spacing w:after="6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Peaaegu kõik liikmesriigid annavad oma kohtusüsteemi kohta </w:t>
            </w:r>
            <w:r>
              <w:rPr>
                <w:rFonts w:ascii="Times New Roman" w:hAnsi="Times New Roman"/>
                <w:b/>
                <w:bCs/>
                <w:sz w:val="24"/>
                <w:szCs w:val="24"/>
              </w:rPr>
              <w:t>mõningast veebipõhist teavet</w:t>
            </w:r>
            <w:r>
              <w:rPr>
                <w:rFonts w:ascii="Times New Roman" w:hAnsi="Times New Roman"/>
                <w:sz w:val="24"/>
                <w:szCs w:val="24"/>
              </w:rPr>
              <w:t>. Muu hulgas on olemas kesksed veebiportaalid, kust leiab veebivormid, ja pakutakse interaktiivseid koolitusi seadustes sätestatud õiguste kohta (joonis 22). Erinevusi esineb pakutava teabe sisus ja selles, kuivõrd see vastab inimeste vajadustele. Näiteks vaid osas liikmesriikides (9) on inimestel võimalik veebisimulatsiooni abil välja selgitada, kas neil on õigus saada tasuta õigusabi. Teist keelt rääkivatele inimestele ning nägemis- või kuulmispuudega isikutele mõeldud teave on aga kättesaadav enamikus liikmesriikides.</w:t>
            </w:r>
          </w:p>
          <w:p>
            <w:pPr>
              <w:widowControl w:val="0"/>
              <w:numPr>
                <w:ilvl w:val="0"/>
                <w:numId w:val="5"/>
              </w:numPr>
              <w:spacing w:after="6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Juurdepääsul õigusemõistmisele on otsustava tähtsusega </w:t>
            </w:r>
            <w:r>
              <w:rPr>
                <w:rFonts w:ascii="Times New Roman" w:hAnsi="Times New Roman"/>
                <w:b/>
                <w:bCs/>
                <w:sz w:val="24"/>
                <w:szCs w:val="24"/>
              </w:rPr>
              <w:t>õigusabi kättesaadavus ja kohtulõivude suurus</w:t>
            </w:r>
            <w:r>
              <w:rPr>
                <w:rFonts w:ascii="Times New Roman" w:hAnsi="Times New Roman"/>
                <w:sz w:val="24"/>
                <w:szCs w:val="24"/>
              </w:rPr>
              <w:t>, eriti vaesuses elavate kodanike jaoks</w:t>
            </w:r>
            <w:r>
              <w:rPr>
                <w:rFonts w:ascii="Times New Roman" w:hAnsi="Times New Roman"/>
                <w:i/>
                <w:sz w:val="24"/>
                <w:szCs w:val="24"/>
              </w:rPr>
              <w:t>.</w:t>
            </w:r>
            <w:r>
              <w:rPr>
                <w:rFonts w:ascii="Times New Roman" w:hAnsi="Times New Roman"/>
                <w:sz w:val="24"/>
                <w:szCs w:val="24"/>
              </w:rPr>
              <w:t xml:space="preserve"> Joonisel 23 on näha, et tarbijad, kelle sissetulek jääb allapoole Eurostati vaesuspiiri, ei saa mõnes liikmesriigis tasuta õigusabi. Eelmise aastaga võrreldes on tasuta õigusabi kättesaadavus püsinud stabiilne. Sellegipoolest on tasuta õigusabi kättesaadavus mõnes liikmesriigis aastate jooksul halvenenud. Kohtulõivude tase (joonis 24) on püsinud 2016. aastast saadik suhteliselt stabiilne, ehkki kohtulõivude puhul on koormus väikeste nõuete puhul endiselt proportsionaalselt suurem. Tasuta õigusabi saamise keerukus koos suurte kohtulõivudega võib mõnes liikmesriigis vähendada puudustkannatavate inimeste võimalusi pääseda ligi õigusemõistmisele. </w:t>
            </w:r>
          </w:p>
          <w:p>
            <w:pPr>
              <w:widowControl w:val="0"/>
              <w:numPr>
                <w:ilvl w:val="0"/>
                <w:numId w:val="5"/>
              </w:numPr>
              <w:spacing w:after="6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2020. aasta ELi õigusemõistmise tulemustabel sisaldab esimest korda teavet ka </w:t>
            </w:r>
            <w:r>
              <w:rPr>
                <w:rFonts w:ascii="Times New Roman" w:hAnsi="Times New Roman"/>
                <w:b/>
                <w:bCs/>
                <w:sz w:val="24"/>
                <w:szCs w:val="24"/>
              </w:rPr>
              <w:t>kohtulõivude ja õigusabikulude hüvitamise kohta kaubandusasjades</w:t>
            </w:r>
            <w:r>
              <w:rPr>
                <w:rFonts w:ascii="Times New Roman" w:hAnsi="Times New Roman"/>
                <w:sz w:val="24"/>
                <w:szCs w:val="24"/>
              </w:rPr>
              <w:t>. Kohtulõivude tase kaubandusvaidlustes (joonis 25) on liikmesriigiti väga erinev (ulatudes 0,1 %st kuni 6 %ni nõude suurusest), kusjuures kohtulõive ei ole kehtestatud vaid kahes liikmesriigis. Joonisel 26 on esimest korda näidatud, millises ulatuses võidakse kaubandusasjades õigusabikulud võitnud poolele hüvitada. Õigusabikulude hüvitamisel kohtumenetluse etapis on suured erinevused nii seadusest tuleneva tasu süsteemi kasutavate kui ka mittekasutavate liikmesriikide vahel, samuti nende rühmade sees (eelkõige suurema ja väiksema seadusest tuleneva tasu süsteemi vahel). Peale selle oleneb õigusabikulude hüvitamine paljudes liikmesriikides kohtute äranägemisest. See, kui suures ulatuses süsteem õigusabikulusid hüvitab, võib hagi esitamise tõenäosust ja seetõttu ka üldist juurdepääsu õigusemõistmisele kas soodustada või pärssida.</w:t>
            </w:r>
          </w:p>
          <w:p>
            <w:pPr>
              <w:widowControl w:val="0"/>
              <w:numPr>
                <w:ilvl w:val="0"/>
                <w:numId w:val="5"/>
              </w:numPr>
              <w:spacing w:after="60" w:line="240" w:lineRule="auto"/>
              <w:jc w:val="both"/>
              <w:rPr>
                <w:rFonts w:ascii="Times New Roman" w:eastAsia="Times New Roman" w:hAnsi="Times New Roman" w:cs="Times New Roman"/>
                <w:sz w:val="20"/>
                <w:szCs w:val="24"/>
              </w:rPr>
            </w:pPr>
            <w:r>
              <w:rPr>
                <w:rFonts w:ascii="Times New Roman" w:hAnsi="Times New Roman"/>
                <w:b/>
                <w:bCs/>
                <w:sz w:val="24"/>
                <w:szCs w:val="24"/>
              </w:rPr>
              <w:t>Elektrooniliste vahendite kättesaadavus</w:t>
            </w:r>
            <w:r>
              <w:rPr>
                <w:rFonts w:ascii="Times New Roman" w:hAnsi="Times New Roman"/>
                <w:sz w:val="24"/>
                <w:szCs w:val="24"/>
              </w:rPr>
              <w:t xml:space="preserve"> kohtumenetluse ajal aitab lihtsustada juurdepääsu õigusemõistmisele ning vähendada viivitusi ja kulusid. Joonisel 27 on näha, et enam kui pooltes liikmesriikides puudub endiselt võimalus esitada nõudeid või kohtukutseid elektrooniliselt või see on võimalik üksnes piiratud ulatuses, nagu oli juba näha 2019. aasta ELi õigusemõistmise tulemustabelis. Endiselt püsivad suured erinevused selles, mil määral on võimalik kohtumenetlust veebis jälgida, ning ükski liikmesriik ei ole veel suutnud seda kõikides kohtutes ja kõikides õigusvaldkondades täielikult tagada. </w:t>
            </w:r>
          </w:p>
          <w:p>
            <w:pPr>
              <w:widowControl w:val="0"/>
              <w:numPr>
                <w:ilvl w:val="0"/>
                <w:numId w:val="5"/>
              </w:numPr>
              <w:spacing w:after="6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Varasemate aastatega võrreldes on </w:t>
            </w:r>
            <w:r>
              <w:rPr>
                <w:rFonts w:ascii="Times New Roman" w:hAnsi="Times New Roman"/>
                <w:b/>
                <w:bCs/>
                <w:sz w:val="24"/>
                <w:szCs w:val="24"/>
              </w:rPr>
              <w:t>veebipõhine juurdepääs kohtuotsustele</w:t>
            </w:r>
            <w:r>
              <w:rPr>
                <w:rFonts w:ascii="Times New Roman" w:hAnsi="Times New Roman"/>
                <w:sz w:val="24"/>
                <w:szCs w:val="24"/>
              </w:rPr>
              <w:t xml:space="preserve"> (joonis 28) jäänud stabiilseks, eelkõige kõrgeima astme kohtu otsuste avaldamisel: 19 liikmesriiki avaldavad kõik tsiviil-/kaubandus- ja haldusasjades tehtavad otsused ning sama palju liikmesriike avaldab ka kõrgeima astme kohtute kriminaalasjades tehtud otsused.</w:t>
            </w:r>
            <w:r>
              <w:rPr>
                <w:rFonts w:ascii="Times New Roman" w:hAnsi="Times New Roman"/>
                <w:b/>
                <w:sz w:val="24"/>
                <w:szCs w:val="24"/>
              </w:rPr>
              <w:t xml:space="preserve"> </w:t>
            </w:r>
            <w:r>
              <w:rPr>
                <w:rFonts w:ascii="Times New Roman" w:hAnsi="Times New Roman"/>
                <w:sz w:val="24"/>
                <w:szCs w:val="24"/>
              </w:rPr>
              <w:t xml:space="preserve">Need rõõmustavad näitajad julgustavad kõiki liikmesriike tegevust jätkuvalt parandama, sest kõrgeima kohtu otsustel on kohtupraktika ühtsuse tagamisel oluline roll. Madalamates kohtuastmetes on kõiki otsuseid avaldavate liikmesriikide arv endiselt oluliselt väiksem nii kriminaal ja tsiviil-/kaubandus- kui ka haldusotsuste puhul – näitaja on püsinud alates 2017. aastast samal tasemel. </w:t>
            </w:r>
          </w:p>
          <w:p>
            <w:pPr>
              <w:widowControl w:val="0"/>
              <w:numPr>
                <w:ilvl w:val="0"/>
                <w:numId w:val="5"/>
              </w:numPr>
              <w:spacing w:after="60" w:line="240" w:lineRule="auto"/>
              <w:jc w:val="both"/>
              <w:rPr>
                <w:rFonts w:ascii="Times New Roman" w:eastAsia="Times New Roman" w:hAnsi="Times New Roman" w:cs="Times New Roman"/>
                <w:b/>
                <w:sz w:val="24"/>
                <w:szCs w:val="24"/>
              </w:rPr>
            </w:pPr>
            <w:r>
              <w:rPr>
                <w:rFonts w:ascii="Times New Roman" w:hAnsi="Times New Roman"/>
                <w:sz w:val="24"/>
                <w:szCs w:val="24"/>
              </w:rPr>
              <w:t xml:space="preserve">2020. aasta ELi õigusemõistmise tulemustabel võimaldab põhjalikumalt analüüsida </w:t>
            </w:r>
            <w:r>
              <w:rPr>
                <w:rFonts w:ascii="Times New Roman" w:hAnsi="Times New Roman"/>
                <w:b/>
                <w:sz w:val="24"/>
                <w:szCs w:val="24"/>
              </w:rPr>
              <w:t>liikmesriikides kehtestatud korda, mis võib hõlbustada masinloetavate kohtuotsuste koostamist</w:t>
            </w:r>
            <w:r>
              <w:rPr>
                <w:rFonts w:ascii="Times New Roman" w:hAnsi="Times New Roman"/>
                <w:sz w:val="24"/>
                <w:szCs w:val="24"/>
              </w:rPr>
              <w:t xml:space="preserve"> (joonis 29). Kõikides liikmesriikides on tsiviil-/kaubandus-, haldus- ja kriminaalasjades kehtestatud vähemalt mingi kord. Liikmesriikide seas võib täheldada aga märkimisväärseid erinevusi. Ilmneb, et halduskohtud on kohtusüsteemis algoritmide kasutamist võimaldavate tegurite tagamisel suhteliselt kaugemale jõudnud. Nende kohtusüsteemide puhul, kus on kehtestatud kord, millega nõutakse otsuste koostamisel nende masinloetavust võimaldavate normide järgimist, on nähtavasti rohkem potentsiaali saavutada tulevikus paremaid tulemusi.</w:t>
            </w:r>
          </w:p>
          <w:p>
            <w:pPr>
              <w:widowControl w:val="0"/>
              <w:numPr>
                <w:ilvl w:val="0"/>
                <w:numId w:val="5"/>
              </w:numPr>
              <w:spacing w:after="60" w:line="240" w:lineRule="auto"/>
              <w:jc w:val="both"/>
              <w:rPr>
                <w:rFonts w:ascii="Times New Roman" w:eastAsia="Times New Roman" w:hAnsi="Times New Roman" w:cs="Times New Roman"/>
                <w:b/>
                <w:sz w:val="24"/>
                <w:szCs w:val="24"/>
              </w:rPr>
            </w:pPr>
            <w:r>
              <w:rPr>
                <w:rFonts w:ascii="Times New Roman" w:hAnsi="Times New Roman"/>
                <w:sz w:val="24"/>
                <w:szCs w:val="24"/>
              </w:rPr>
              <w:t xml:space="preserve">Varasemate aastatega võrreldes tuleb taas juurde selliseid liikmesriike, kus edendatakse </w:t>
            </w:r>
            <w:r>
              <w:rPr>
                <w:rFonts w:ascii="Times New Roman" w:hAnsi="Times New Roman"/>
                <w:b/>
                <w:bCs/>
                <w:sz w:val="24"/>
                <w:szCs w:val="24"/>
              </w:rPr>
              <w:t>vaidluste kohtuvälise lahendamise meetodite</w:t>
            </w:r>
            <w:r>
              <w:rPr>
                <w:rFonts w:ascii="Times New Roman" w:hAnsi="Times New Roman"/>
                <w:sz w:val="24"/>
                <w:szCs w:val="24"/>
              </w:rPr>
              <w:t xml:space="preserve"> (joonis 30) vabatahtlikku kasutamist eraõiguslikes vaidlustes. Selleks pakuti nende meetodite kasutamiseks eri õigusvaldkondades rohkem stiimuleid. Nüüd on teist aastat järjest tegeletud haldusvaidlustega, mistõttu on näha mõningast kasvu, sest praeguseks võimaldab vaidluste kohtuvälist lahendamist selles valdkonnas üle poole liikmesriikidest.</w:t>
            </w:r>
          </w:p>
          <w:p>
            <w:pPr>
              <w:widowControl w:val="0"/>
              <w:numPr>
                <w:ilvl w:val="0"/>
                <w:numId w:val="5"/>
              </w:numPr>
              <w:spacing w:after="60" w:line="240" w:lineRule="auto"/>
              <w:jc w:val="both"/>
              <w:rPr>
                <w:rFonts w:ascii="Times New Roman" w:eastAsia="Times New Roman" w:hAnsi="Times New Roman" w:cs="Times New Roman"/>
                <w:b/>
                <w:sz w:val="24"/>
                <w:szCs w:val="24"/>
              </w:rPr>
            </w:pPr>
            <w:r>
              <w:rPr>
                <w:rFonts w:ascii="Times New Roman" w:hAnsi="Times New Roman"/>
                <w:sz w:val="24"/>
                <w:szCs w:val="24"/>
              </w:rPr>
              <w:t xml:space="preserve">Esimest korda esitatakse 2020. aasta ELi õigusemõistmise tulemustabelis liikmesriikides </w:t>
            </w:r>
            <w:r>
              <w:rPr>
                <w:rFonts w:ascii="Times New Roman" w:hAnsi="Times New Roman"/>
                <w:b/>
                <w:bCs/>
                <w:sz w:val="24"/>
                <w:szCs w:val="24"/>
              </w:rPr>
              <w:t>lapsesõbraliku kohtusüsteemi</w:t>
            </w:r>
            <w:r>
              <w:rPr>
                <w:rFonts w:ascii="Times New Roman" w:hAnsi="Times New Roman"/>
                <w:sz w:val="24"/>
                <w:szCs w:val="24"/>
              </w:rPr>
              <w:t xml:space="preserve"> tagamiseks võetud meetmete terviklik ülevaade (joonis 31). Peaaegu kõikides liikmesriikides tehakse laste jaoks vähemalt mõned kohandused ja võetakse meetmeid ülekuulamise muutmiseks lapsesõbralikumaks (sealhulgas asutustes) ning laste praegu sagedase korduva ülekuulamise vältimiseks. Kuid ainult vähem kui pooltel liikmesriikidest on olemas spetsiaalsed lapsesõbralikud veebisaidid teabe jagamiseks kohtusüsteemi kohta.</w:t>
            </w:r>
          </w:p>
          <w:p>
            <w:pPr>
              <w:widowControl w:val="0"/>
              <w:spacing w:before="120" w:after="60" w:line="240" w:lineRule="auto"/>
              <w:jc w:val="both"/>
              <w:rPr>
                <w:rFonts w:ascii="Times New Roman" w:eastAsia="Calibri" w:hAnsi="Times New Roman" w:cs="Times New Roman"/>
                <w:i/>
                <w:sz w:val="24"/>
              </w:rPr>
            </w:pPr>
            <w:r>
              <w:rPr>
                <w:rFonts w:ascii="Times New Roman" w:hAnsi="Times New Roman"/>
                <w:i/>
                <w:sz w:val="24"/>
              </w:rPr>
              <w:t>Ressursid</w:t>
            </w:r>
          </w:p>
          <w:p>
            <w:pPr>
              <w:widowControl w:val="0"/>
              <w:spacing w:after="0" w:line="240" w:lineRule="auto"/>
              <w:ind w:left="-20"/>
              <w:jc w:val="both"/>
              <w:rPr>
                <w:rFonts w:ascii="Times New Roman" w:eastAsia="Calibri" w:hAnsi="Times New Roman" w:cs="Times New Roman"/>
              </w:rPr>
            </w:pPr>
            <w:r>
              <w:rPr>
                <w:rFonts w:ascii="Times New Roman" w:hAnsi="Times New Roman"/>
                <w:sz w:val="24"/>
              </w:rPr>
              <w:t>Selleks et liikmesriikide kohtusüsteemid oleksid kvaliteetsed, on tarvis piisavaid rahalisi vahendeid ja inimressursse, sealhulgas vajalikke investeeringuid füüsilisse ja tehnilisse taristusse, asjakohast põhi- ja täienduskoolitust ning kohtunike mitmekesisust, kaasaarvatud soolist tasakaalu. 2020. aasta ELi õigusemõistmise tulemustabelist on näha järgmine.</w:t>
            </w:r>
          </w:p>
          <w:p>
            <w:pPr>
              <w:widowControl w:val="0"/>
              <w:numPr>
                <w:ilvl w:val="0"/>
                <w:numId w:val="5"/>
              </w:numPr>
              <w:spacing w:before="120" w:after="0" w:line="240" w:lineRule="auto"/>
              <w:jc w:val="both"/>
              <w:rPr>
                <w:rFonts w:ascii="Times New Roman" w:eastAsia="Times New Roman" w:hAnsi="Times New Roman" w:cs="Times New Roman"/>
                <w:sz w:val="24"/>
                <w:szCs w:val="24"/>
              </w:rPr>
            </w:pPr>
            <w:r>
              <w:rPr>
                <w:rFonts w:ascii="Times New Roman" w:hAnsi="Times New Roman"/>
                <w:b/>
                <w:sz w:val="24"/>
                <w:szCs w:val="24"/>
              </w:rPr>
              <w:t>Rahaliste vahendite</w:t>
            </w:r>
            <w:r>
              <w:rPr>
                <w:rFonts w:ascii="Times New Roman" w:hAnsi="Times New Roman"/>
                <w:sz w:val="24"/>
                <w:szCs w:val="24"/>
              </w:rPr>
              <w:t xml:space="preserve"> kohta nähtub andmetest, et üldiselt olid valitsemissektori kogukulutused kohtutele liikmesriikides 2018. aastal endiselt suures osas stabiilsed, kusjuures liikmesriigiti esinevad olulised erinevused tegelikes summades, nii elaniku kohta kui ka osakaaluna SKPst, püsisid (joonised 32 ja 33). Peaaegu kõikides liikmesriikides suurendati 2018. aastal kulutusi elaniku kohta (võrreldes 2017. aastaga) ning enamikus suurendati ka kulutusi osakaaluna SKPst. </w:t>
            </w:r>
          </w:p>
          <w:p>
            <w:pPr>
              <w:widowControl w:val="0"/>
              <w:numPr>
                <w:ilvl w:val="0"/>
                <w:numId w:val="5"/>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Nagu 2019. aasta ELi õigusemõistmise tulemustabelis kajastatakse ka 2020. aasta tulemustabelis Eurostati kogutud andmete põhjal </w:t>
            </w:r>
            <w:r>
              <w:rPr>
                <w:rFonts w:ascii="Times New Roman" w:hAnsi="Times New Roman"/>
                <w:b/>
                <w:bCs/>
                <w:sz w:val="24"/>
                <w:szCs w:val="24"/>
              </w:rPr>
              <w:t>kogukulutuste jagunemist erinevate kategooriate vahel</w:t>
            </w:r>
            <w:r>
              <w:rPr>
                <w:rFonts w:ascii="Times New Roman" w:hAnsi="Times New Roman"/>
                <w:sz w:val="24"/>
                <w:szCs w:val="24"/>
              </w:rPr>
              <w:t xml:space="preserve">. Joonisel 34 on liikmesriigiti näha suured erinevused kulude jagunemises. Kui kohtunike ja kohtutöötajate palgad (sealhulgas sotsiaalkindlustusmaksed) moodustavad enamikus liikmesriikides ühelt poolt kuludest suurima osa, siis investeeringud põhivarasse, näiteks kohtuhoonetesse ja tarkvarasse, on üldiselt väga väikesed ning mõnes liikmesriigis puuduvad sootuks. Teisalt on tegevuskulud (nt hoonete üürimine, tasuta õigusabi ja muud kulumaterjalid) mõnes liikmesriigis oluliselt suuremad kui enamikus teistes. Jagunemine on püsinud aasta-aastalt suhteliselt stabiilne (joonis 34). </w:t>
            </w:r>
          </w:p>
          <w:p>
            <w:pPr>
              <w:widowControl w:val="0"/>
              <w:numPr>
                <w:ilvl w:val="0"/>
                <w:numId w:val="5"/>
              </w:numPr>
              <w:spacing w:before="120" w:after="0" w:line="240" w:lineRule="auto"/>
              <w:jc w:val="both"/>
              <w:rPr>
                <w:rFonts w:ascii="Times New Roman" w:eastAsia="Times New Roman" w:hAnsi="Times New Roman" w:cs="Times New Roman"/>
                <w:b/>
                <w:i/>
                <w:sz w:val="24"/>
                <w:szCs w:val="24"/>
              </w:rPr>
            </w:pPr>
            <w:r>
              <w:rPr>
                <w:rFonts w:ascii="Times New Roman" w:hAnsi="Times New Roman"/>
                <w:sz w:val="24"/>
                <w:szCs w:val="24"/>
              </w:rPr>
              <w:t xml:space="preserve"> </w:t>
            </w:r>
            <w:r>
              <w:rPr>
                <w:rFonts w:ascii="Times New Roman" w:hAnsi="Times New Roman"/>
                <w:b/>
                <w:sz w:val="24"/>
                <w:szCs w:val="24"/>
              </w:rPr>
              <w:t>Ülemkohtu</w:t>
            </w:r>
            <w:r>
              <w:rPr>
                <w:rFonts w:ascii="Times New Roman" w:hAnsi="Times New Roman"/>
                <w:sz w:val="24"/>
                <w:szCs w:val="24"/>
              </w:rPr>
              <w:t xml:space="preserve"> kohtunike hulgas on enamikus liikmesriikides </w:t>
            </w:r>
            <w:r>
              <w:rPr>
                <w:rFonts w:ascii="Times New Roman" w:hAnsi="Times New Roman"/>
                <w:b/>
                <w:sz w:val="24"/>
                <w:szCs w:val="24"/>
              </w:rPr>
              <w:t>naisi</w:t>
            </w:r>
            <w:r>
              <w:rPr>
                <w:rFonts w:ascii="Times New Roman" w:hAnsi="Times New Roman"/>
                <w:sz w:val="24"/>
                <w:szCs w:val="24"/>
              </w:rPr>
              <w:t xml:space="preserve"> endiselt alla 50 % (joonis 36). Kolme aasta jooksul (2017–2019) toimunud areng näitab, et liikmesriigiti on suundumused erinevad, kuid enamikus liikmesriikides on naiste osakaal ülemkohtutes 2010. aastast saadik kasvanud.</w:t>
            </w:r>
          </w:p>
          <w:p>
            <w:pPr>
              <w:widowControl w:val="0"/>
              <w:numPr>
                <w:ilvl w:val="0"/>
                <w:numId w:val="5"/>
              </w:numPr>
              <w:spacing w:before="120" w:after="120" w:line="240" w:lineRule="auto"/>
              <w:jc w:val="both"/>
              <w:rPr>
                <w:rFonts w:ascii="Times New Roman" w:eastAsia="Times New Roman" w:hAnsi="Times New Roman" w:cs="Times New Roman"/>
                <w:sz w:val="24"/>
                <w:szCs w:val="24"/>
              </w:rPr>
            </w:pPr>
            <w:r>
              <w:rPr>
                <w:rFonts w:ascii="Times New Roman" w:hAnsi="Times New Roman"/>
                <w:b/>
                <w:bCs/>
                <w:sz w:val="24"/>
                <w:szCs w:val="24"/>
              </w:rPr>
              <w:t>Kohtunike koolitamise</w:t>
            </w:r>
            <w:r>
              <w:rPr>
                <w:rFonts w:ascii="Times New Roman" w:hAnsi="Times New Roman"/>
                <w:bCs/>
                <w:sz w:val="24"/>
                <w:szCs w:val="24"/>
              </w:rPr>
              <w:t xml:space="preserve"> kohta võib öelda, et kui vähemalt mingit ametioskuste alast täienduskoolitust pakuvad peaaegu kõik liikmesriigid, siis väiksem arv liikmesriike pakub koolitust, mille raames käsitletakse digioskusi, kohtu haldamist ja kohtunikueetikat ning sellist koolitust saanud kohtunike osakaal püsib enamikus riikides madal (joonis 38). Haavatavasse rühma kuuluvate pooltega suhtlemise koolituste vallas paraneb olukord jätkuvalt, eelkõige nägemis- või kuulmispuudega isikute ning soolise vägivalla ohvrite ja varjupaigataotlejate osas (joonis 39). Ka teadlikkuse suurendamise ja desinformatsiooniga toimetuleku koolituste kättesaadavus on eelmise aastaga võrreldes paranenud.</w:t>
            </w:r>
          </w:p>
          <w:p>
            <w:pPr>
              <w:widowControl w:val="0"/>
              <w:spacing w:before="120" w:after="60" w:line="240" w:lineRule="auto"/>
              <w:jc w:val="both"/>
              <w:rPr>
                <w:rFonts w:ascii="Times New Roman" w:eastAsia="Calibri" w:hAnsi="Times New Roman" w:cs="Times New Roman"/>
                <w:i/>
                <w:sz w:val="24"/>
              </w:rPr>
            </w:pPr>
            <w:r>
              <w:rPr>
                <w:rFonts w:ascii="Times New Roman" w:hAnsi="Times New Roman"/>
                <w:i/>
                <w:sz w:val="24"/>
              </w:rPr>
              <w:t>Hindamisvahendid</w:t>
            </w:r>
          </w:p>
          <w:p>
            <w:pPr>
              <w:widowControl w:val="0"/>
              <w:numPr>
                <w:ilvl w:val="0"/>
                <w:numId w:val="5"/>
              </w:numPr>
              <w:spacing w:after="12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Ehkki enamik liikmesriike on täielikult rakendanud </w:t>
            </w:r>
            <w:r>
              <w:rPr>
                <w:rFonts w:ascii="Times New Roman" w:hAnsi="Times New Roman"/>
                <w:b/>
                <w:bCs/>
                <w:sz w:val="24"/>
                <w:szCs w:val="24"/>
              </w:rPr>
              <w:t>IKT-vahenditega kohtuasjade haldamise süsteemid</w:t>
            </w:r>
            <w:r>
              <w:rPr>
                <w:rFonts w:ascii="Times New Roman" w:hAnsi="Times New Roman"/>
                <w:sz w:val="24"/>
                <w:szCs w:val="24"/>
              </w:rPr>
              <w:t xml:space="preserve"> (väheste eranditega), on jätkuvalt puudusi kohtustatistika koostamise vahendite valdkonnas (joonis 40). Selliseid süsteeme kasutatakse eri otstarbel, sealhulgas statistika koostamiseks, ja neid tuleb kohtusüsteemis ühtselt rakendada. Mõnes liikmesriigis on olemas varajase hoiatamise süsteemid, et avastada tõrkeid või kohtuasja menetlemise nõuete rikkumisi, mis aitab leida õigel ajal lahendusi. Mõnes liikmesriigis ei ole ikka veel võimalik koguda andmeid üleriigiliselt kõikides õigusvaldkondades.</w:t>
            </w:r>
          </w:p>
          <w:p>
            <w:pPr>
              <w:widowControl w:val="0"/>
              <w:numPr>
                <w:ilvl w:val="0"/>
                <w:numId w:val="5"/>
              </w:numPr>
              <w:spacing w:after="120" w:line="240" w:lineRule="auto"/>
              <w:jc w:val="both"/>
              <w:rPr>
                <w:rFonts w:ascii="Times New Roman" w:eastAsia="Times New Roman" w:hAnsi="Times New Roman" w:cs="Times New Roman"/>
                <w:sz w:val="24"/>
                <w:szCs w:val="24"/>
              </w:rPr>
            </w:pPr>
            <w:r>
              <w:rPr>
                <w:rFonts w:ascii="Times New Roman" w:hAnsi="Times New Roman"/>
                <w:b/>
                <w:sz w:val="24"/>
                <w:szCs w:val="24"/>
              </w:rPr>
              <w:t>Uuringute tegemine</w:t>
            </w:r>
            <w:r>
              <w:rPr>
                <w:rFonts w:ascii="Times New Roman" w:hAnsi="Times New Roman"/>
                <w:sz w:val="24"/>
                <w:szCs w:val="24"/>
              </w:rPr>
              <w:t xml:space="preserve"> menetlusosaliste ja õigusala töötajate seas (joonis 41) on taas vähenenud ning üha suurem hulk liikmesriike on otsustanud uuringutest üldse loobuda. Siiski näib olevat erinevusi selles, millised riigid otsustasid uuringute tegemisest loobuda, mis viitab, et mõnikord tehakse uuringuid ainult üle aasta / mõne aasta järel. Uuringute korduvateks teemadeks jäid endiselt juurdepääsetavus, klienditeenindus, kohtuistungid ja -otsused ning ka üldine usaldus kohtusüsteemi vastu, kuid vaid vähestes liikmesriikides uuriti erivajadustega inimrühmade rahulolu või inimeste teadlikkust oma õigustest. Peaaegu kõik uuringuid teinud liikmesriigid tagasid ka järelmeetmete võtmise (joonis 42), ehkki järelmeetmete ulatus oli jätkuvalt väga erinev. Tulemusi kasutati tavaliselt aasta- või eriaruannetes ning paljudes liikmesriikides hindamise sisendina või õigusaktide muutmise vajaduse väljaselgitamiseks.</w:t>
            </w:r>
          </w:p>
          <w:p>
            <w:pPr>
              <w:widowControl w:val="0"/>
              <w:spacing w:before="120" w:after="60" w:line="240" w:lineRule="auto"/>
              <w:jc w:val="both"/>
              <w:rPr>
                <w:rFonts w:ascii="Times New Roman" w:eastAsia="Times New Roman" w:hAnsi="Times New Roman" w:cs="Times New Roman"/>
                <w:bCs/>
                <w:i/>
                <w:iCs/>
                <w:sz w:val="24"/>
                <w:szCs w:val="24"/>
              </w:rPr>
            </w:pPr>
            <w:r>
              <w:rPr>
                <w:rFonts w:ascii="Times New Roman" w:hAnsi="Times New Roman"/>
                <w:i/>
                <w:sz w:val="24"/>
                <w:szCs w:val="24"/>
              </w:rPr>
              <w:t>Kvaliteedinormid</w:t>
            </w:r>
          </w:p>
          <w:p>
            <w:pPr>
              <w:widowControl w:val="0"/>
              <w:spacing w:after="120" w:line="240" w:lineRule="auto"/>
              <w:jc w:val="both"/>
              <w:rPr>
                <w:rFonts w:ascii="Times New Roman" w:eastAsia="Calibri" w:hAnsi="Times New Roman" w:cs="Times New Roman"/>
                <w:b/>
                <w:sz w:val="24"/>
              </w:rPr>
            </w:pPr>
            <w:r>
              <w:rPr>
                <w:rFonts w:ascii="Times New Roman" w:hAnsi="Times New Roman"/>
                <w:sz w:val="24"/>
              </w:rPr>
              <w:t xml:space="preserve">Kvaliteedinormid või -nõuded võivad aidata parandada kohtusüsteemide kvaliteeti. ELi õigusemõistmise tulemustabeli käesolevas väljaandes jätkatakse selliste konkreetsete normide põhjalikumat uurimist, mille eesmärk on menetluste ajastuse parandamine, ning jaotatakse need täpsemalt kategooriatesse, võttes arvesse astet ja õigusvaldkonda, kus sellised normid kehtivad. </w:t>
            </w:r>
          </w:p>
          <w:p>
            <w:pPr>
              <w:pStyle w:val="ListParagraph"/>
              <w:widowControl w:val="0"/>
              <w:numPr>
                <w:ilvl w:val="0"/>
                <w:numId w:val="10"/>
              </w:numPr>
              <w:spacing w:after="120"/>
              <w:ind w:left="385"/>
              <w:rPr>
                <w:rFonts w:eastAsia="Calibri"/>
                <w:b w:val="0"/>
                <w:noProof/>
              </w:rPr>
            </w:pPr>
            <w:r>
              <w:rPr>
                <w:b w:val="0"/>
                <w:noProof/>
              </w:rPr>
              <w:t xml:space="preserve">Peaaegu kõik liikmesriigid on kehtestanud menetluse kestust käsitlevad nõuded, kuigi need ei ole alati samal määral välja arendatud kõikides astmetes ja kõikides õigusvaldkondades. Kõige levinumad on endiselt tähtaegu määravad normid (nt kindel aeg alates kohtuasja registreerimisest kuni esimese kohtuistungini), millega võrreldes on ajaliste raamistike normid (nt määratakse kindlaks teatud hulk kohtuasju, mis tuleb kindla aja jooksul lõpule viia) ja kuhjunud kohtuasjadega seotud normid vähem levinud (joonis 43). Teatud liikmesriigid, kus esineb tõsiseid probleeme tõhususega, selliseid nõudeid praegu siiski ei rakenda või rakendavad neid üksnes vähesel määral. </w:t>
            </w:r>
          </w:p>
        </w:tc>
      </w:tr>
    </w:tbl>
    <w:p>
      <w:pPr>
        <w:keepNext/>
        <w:spacing w:before="360" w:after="120" w:line="240" w:lineRule="auto"/>
        <w:jc w:val="both"/>
        <w:outlineLvl w:val="1"/>
        <w:rPr>
          <w:rFonts w:ascii="Times New Roman" w:eastAsia="Times New Roman" w:hAnsi="Times New Roman" w:cs="Times New Roman"/>
          <w:b/>
          <w:bCs/>
          <w:iCs/>
          <w:sz w:val="24"/>
          <w:szCs w:val="28"/>
        </w:rPr>
      </w:pPr>
    </w:p>
    <w:p>
      <w:pPr>
        <w:spacing w:line="240" w:lineRule="auto"/>
        <w:jc w:val="both"/>
        <w:rPr>
          <w:rFonts w:ascii="Times New Roman" w:eastAsia="Times New Roman" w:hAnsi="Times New Roman" w:cs="Times New Roman"/>
          <w:b/>
          <w:bCs/>
          <w:iCs/>
          <w:sz w:val="24"/>
          <w:szCs w:val="28"/>
        </w:rPr>
      </w:pPr>
      <w:r>
        <w:br w:type="page"/>
      </w:r>
    </w:p>
    <w:p>
      <w:pPr>
        <w:keepNext/>
        <w:spacing w:before="360" w:after="120" w:line="240" w:lineRule="auto"/>
        <w:jc w:val="both"/>
        <w:outlineLvl w:val="1"/>
        <w:rPr>
          <w:rFonts w:ascii="Times New Roman" w:eastAsia="Times New Roman" w:hAnsi="Times New Roman" w:cs="Times New Roman"/>
          <w:b/>
          <w:bCs/>
          <w:iCs/>
          <w:sz w:val="24"/>
          <w:szCs w:val="28"/>
        </w:rPr>
      </w:pPr>
      <w:r>
        <w:rPr>
          <w:rFonts w:ascii="Times New Roman" w:hAnsi="Times New Roman"/>
          <w:b/>
          <w:bCs/>
          <w:iCs/>
          <w:sz w:val="24"/>
          <w:szCs w:val="28"/>
        </w:rPr>
        <w:t>3.3. Sõltumatus</w:t>
      </w:r>
    </w:p>
    <w:p>
      <w:pPr>
        <w:spacing w:after="120" w:line="240" w:lineRule="auto"/>
        <w:jc w:val="both"/>
        <w:rPr>
          <w:rFonts w:ascii="Times New Roman" w:eastAsia="Calibri" w:hAnsi="Times New Roman" w:cs="Times New Roman"/>
          <w:color w:val="1D1D1D"/>
          <w:sz w:val="24"/>
          <w:szCs w:val="24"/>
          <w:highlight w:val="yellow"/>
        </w:rPr>
      </w:pPr>
      <w:r>
        <w:rPr>
          <w:rFonts w:ascii="Times New Roman" w:hAnsi="Times New Roman"/>
          <w:sz w:val="24"/>
          <w:szCs w:val="24"/>
        </w:rPr>
        <w:t>Kohtusüsteemi sõltumatus kohtuotsuste tegemise lahutamatu osana tuleneb Euroopa Liidu lepingu artiklis 19 osutatud tulemusliku õiguskaitse põhimõttest ja Euroopa Liidu põhiõiguste hartas (artikkel 47) sätestatud õigusest tõhusale õiguskaitsevahendile kohtus(</w:t>
      </w:r>
      <w:r>
        <w:rPr>
          <w:rFonts w:ascii="Times New Roman" w:eastAsia="Calibri" w:hAnsi="Times New Roman" w:cs="Times New Roman"/>
          <w:sz w:val="24"/>
          <w:szCs w:val="24"/>
          <w:vertAlign w:val="superscript"/>
        </w:rPr>
        <w:footnoteReference w:id="86"/>
      </w:r>
      <w:r>
        <w:rPr>
          <w:rFonts w:ascii="Times New Roman" w:hAnsi="Times New Roman"/>
          <w:sz w:val="24"/>
          <w:szCs w:val="24"/>
        </w:rPr>
        <w:t>). Nõue eeldab a) välist sõltumatust, kui asjaomane organ täidab oma ülesandeid täiesti iseseisvalt, olemata kellegagi hierarhilises või alluvussuhtes ja saamata kelleltki korraldusi või juhiseid, ning on seega kaitstud väljastpoolt tuleva sekkumise või surve eest, mis võib kahjustada selle organi liikmete otsustusvabadust ja mõjutada nende otsuseid, ning b) sisemine sõltumatus ja erapooletus, kui menetlusosalistega ja nende vastavate huvidega säilitatakse menetluse eset arvestades võrdne distants(</w:t>
      </w:r>
      <w:r>
        <w:rPr>
          <w:rStyle w:val="FootnoteReference"/>
          <w:rFonts w:ascii="Times New Roman" w:eastAsia="Calibri" w:hAnsi="Times New Roman" w:cs="Times New Roman"/>
          <w:sz w:val="24"/>
          <w:szCs w:val="24"/>
        </w:rPr>
        <w:footnoteReference w:id="87"/>
      </w:r>
      <w:r>
        <w:rPr>
          <w:rFonts w:ascii="Times New Roman" w:hAnsi="Times New Roman"/>
          <w:sz w:val="24"/>
          <w:szCs w:val="24"/>
        </w:rPr>
        <w:t>). Kohtute sõltumatus tagab kõigi liidu õigusega isikutele antud õiguste ja Euroopa Liidu lepingu artiklis 2 osutatud liikmesriikide ühiste väärtuste, eeskätt õigusriigi väärtuse kaitse(</w:t>
      </w:r>
      <w:r>
        <w:rPr>
          <w:rStyle w:val="FootnoteReference"/>
          <w:rFonts w:ascii="Times New Roman" w:eastAsia="Calibri" w:hAnsi="Times New Roman" w:cs="Times New Roman"/>
          <w:sz w:val="24"/>
          <w:szCs w:val="24"/>
        </w:rPr>
        <w:footnoteReference w:id="88"/>
      </w:r>
      <w:r>
        <w:rPr>
          <w:rFonts w:ascii="Times New Roman" w:hAnsi="Times New Roman"/>
          <w:sz w:val="24"/>
          <w:szCs w:val="24"/>
        </w:rPr>
        <w:t>). ELi õiguskorra säilimine on äärmiselt oluline kõigi kodanike ja ettevõtjate jaoks, kelle õigused ja vabadused on ELi õigusega kaitstud.</w:t>
      </w:r>
      <w:r>
        <w:rPr>
          <w:rFonts w:ascii="Times New Roman" w:hAnsi="Times New Roman"/>
          <w:color w:val="1D1D1D"/>
          <w:sz w:val="24"/>
          <w:szCs w:val="24"/>
        </w:rPr>
        <w:t xml:space="preserve"> </w:t>
      </w:r>
    </w:p>
    <w:p>
      <w:pPr>
        <w:spacing w:after="120" w:line="240" w:lineRule="auto"/>
        <w:jc w:val="both"/>
        <w:rPr>
          <w:rFonts w:ascii="Times New Roman" w:eastAsia="Calibri" w:hAnsi="Times New Roman" w:cs="Times New Roman"/>
          <w:sz w:val="24"/>
        </w:rPr>
      </w:pPr>
      <w:r>
        <w:rPr>
          <w:rFonts w:ascii="Times New Roman" w:hAnsi="Times New Roman"/>
          <w:color w:val="1D1D1D"/>
          <w:sz w:val="24"/>
          <w:szCs w:val="24"/>
        </w:rPr>
        <w:t xml:space="preserve">Kohtusüsteemi sõltumatuse tajumine edendab majanduskasvu ning sõltumatuse tajutav puudumine võib investeeringud eemale peletada. </w:t>
      </w:r>
      <w:r>
        <w:rPr>
          <w:rFonts w:ascii="Times New Roman" w:hAnsi="Times New Roman"/>
          <w:sz w:val="24"/>
          <w:szCs w:val="24"/>
        </w:rPr>
        <w:t xml:space="preserve">Lisaks mitmesugustest allikatest kogutud näitajatele kohtusüsteemi tajutava sõltumatuse kohta esitatakse 2020. aasta ELi õigusemõistmise tulemustabelis hulk näitajaid selle kohta, kuidas on kohtusüsteemid korraldatud kohtute sõltumatuse kaitsmiseks teatud olukordades, kus kohtute sõltumatus võib olla ohus. Lähtudes Euroopa kohtute haldamise nõukodade võrgustikult, Euroopa Liidu ülemkohtute esimeeste võrgustikult ning rahapesu ja terrorismi rahastamist käsitlevalt eksperdirühmalt saadud andmetest, esitatakse 2020. aasta ELi õigusemõistmise tulemustabelis ajakohastatud näitajaid, mis puudutavad kohtunike distsiplinaarmenetluste ja kohtute haldamise nõukodadesse kohtunikest liikmete määramisega seotud õiguslikke tagatisi, samuti kaks uut ülevaadet prokuröridega seotud distsiplinaarmenetluste kohta. </w:t>
      </w:r>
    </w:p>
    <w:p>
      <w:pPr>
        <w:spacing w:line="240" w:lineRule="auto"/>
        <w:rPr>
          <w:rFonts w:ascii="Times New Roman" w:eastAsia="Times New Roman" w:hAnsi="Times New Roman" w:cs="Times New Roman"/>
          <w:b/>
          <w:sz w:val="24"/>
          <w:szCs w:val="24"/>
        </w:rPr>
      </w:pPr>
      <w:bookmarkStart w:id="470" w:name="_Toc409530231"/>
      <w:bookmarkStart w:id="471" w:name="_Toc438545680"/>
      <w:bookmarkStart w:id="472" w:name="_Toc438548330"/>
      <w:bookmarkStart w:id="473" w:name="_Toc438548516"/>
      <w:bookmarkStart w:id="474" w:name="_Toc440017704"/>
      <w:bookmarkStart w:id="475" w:name="_Toc440018088"/>
      <w:bookmarkStart w:id="476" w:name="_Toc440033386"/>
      <w:bookmarkStart w:id="477" w:name="_Toc440035237"/>
      <w:bookmarkStart w:id="478" w:name="_Toc440036532"/>
      <w:bookmarkStart w:id="479" w:name="_Toc440042474"/>
      <w:bookmarkStart w:id="480" w:name="_Toc440291127"/>
      <w:bookmarkStart w:id="481" w:name="_Toc440294690"/>
      <w:bookmarkStart w:id="482" w:name="_Toc440295192"/>
      <w:bookmarkStart w:id="483" w:name="_Toc440296597"/>
      <w:bookmarkStart w:id="484" w:name="_Toc440625081"/>
      <w:bookmarkStart w:id="485" w:name="_Toc440626411"/>
      <w:bookmarkStart w:id="486" w:name="_Toc440628865"/>
      <w:bookmarkStart w:id="487" w:name="_Toc441571139"/>
      <w:bookmarkStart w:id="488" w:name="_Toc441581641"/>
      <w:bookmarkStart w:id="489" w:name="_Toc441585908"/>
      <w:bookmarkStart w:id="490" w:name="_Toc441595843"/>
      <w:bookmarkStart w:id="491" w:name="_Toc441596020"/>
      <w:bookmarkStart w:id="492" w:name="_Toc441748145"/>
      <w:bookmarkStart w:id="493" w:name="_Toc441755430"/>
      <w:bookmarkStart w:id="494" w:name="_Toc441756467"/>
      <w:bookmarkStart w:id="495" w:name="_Toc441757511"/>
      <w:bookmarkStart w:id="496" w:name="_Toc441766640"/>
      <w:bookmarkStart w:id="497" w:name="_Toc441766979"/>
      <w:bookmarkStart w:id="498" w:name="_Toc442187980"/>
      <w:bookmarkStart w:id="499" w:name="_Toc442262072"/>
      <w:bookmarkStart w:id="500" w:name="_Toc442362479"/>
      <w:bookmarkStart w:id="501" w:name="_Toc442374815"/>
      <w:bookmarkStart w:id="502" w:name="_Toc442425955"/>
      <w:bookmarkStart w:id="503" w:name="_Toc442453081"/>
      <w:bookmarkStart w:id="504" w:name="_Toc443484539"/>
      <w:bookmarkStart w:id="505" w:name="_Toc443484761"/>
      <w:bookmarkStart w:id="506" w:name="_Toc443509502"/>
      <w:bookmarkStart w:id="507" w:name="_Toc446014831"/>
      <w:r>
        <w:br w:type="page"/>
      </w:r>
    </w:p>
    <w:p>
      <w:pPr>
        <w:keepNext/>
        <w:tabs>
          <w:tab w:val="left" w:pos="850"/>
        </w:tabs>
        <w:spacing w:before="240" w:after="120" w:line="240" w:lineRule="auto"/>
        <w:ind w:left="850" w:hanging="850"/>
        <w:jc w:val="both"/>
        <w:outlineLvl w:val="2"/>
        <w:rPr>
          <w:rFonts w:ascii="Times New Roman" w:eastAsia="Times New Roman" w:hAnsi="Times New Roman" w:cs="Times New Roman"/>
          <w:b/>
          <w:sz w:val="24"/>
          <w:szCs w:val="24"/>
        </w:rPr>
      </w:pPr>
      <w:r>
        <w:rPr>
          <w:rFonts w:ascii="Times New Roman" w:hAnsi="Times New Roman"/>
          <w:b/>
          <w:sz w:val="24"/>
          <w:szCs w:val="24"/>
        </w:rPr>
        <w:t xml:space="preserve">3.3.1. </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Pr>
          <w:rFonts w:ascii="Times New Roman" w:hAnsi="Times New Roman"/>
          <w:b/>
          <w:sz w:val="24"/>
          <w:szCs w:val="24"/>
        </w:rPr>
        <w:t>Kohtute tajutav sõltumatus</w:t>
      </w:r>
    </w:p>
    <w:p>
      <w:pPr>
        <w:spacing w:before="240" w:after="120" w:line="240" w:lineRule="auto"/>
        <w:jc w:val="both"/>
        <w:rPr>
          <w:rFonts w:ascii="Times New Roman" w:eastAsia="Times New Roman" w:hAnsi="Times New Roman" w:cs="Times New Roman"/>
          <w:i/>
          <w:iCs/>
          <w:sz w:val="24"/>
          <w:szCs w:val="24"/>
        </w:rPr>
      </w:pPr>
      <w:bookmarkStart w:id="508" w:name="_Ref441845830"/>
      <w:r>
        <w:rPr>
          <w:rFonts w:ascii="Times New Roman" w:hAnsi="Times New Roman"/>
          <w:b/>
          <w:bCs/>
          <w:sz w:val="24"/>
          <w:szCs w:val="24"/>
        </w:rPr>
        <w:t>Joonis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sz w:val="24"/>
        </w:rPr>
        <w:t>44</w:t>
      </w:r>
      <w:r>
        <w:fldChar w:fldCharType="end"/>
      </w:r>
      <w:bookmarkEnd w:id="508"/>
      <w:r>
        <w:t>.</w:t>
      </w:r>
      <w:r>
        <w:rPr>
          <w:rFonts w:ascii="Times New Roman" w:hAnsi="Times New Roman"/>
          <w:b/>
          <w:bCs/>
          <w:sz w:val="24"/>
          <w:szCs w:val="24"/>
        </w:rPr>
        <w:t xml:space="preserve"> Üldsuse tajutav kohtute ja kohtunike sõltumatus</w:t>
      </w:r>
      <w:r>
        <w:rPr>
          <w:rFonts w:ascii="Times New Roman" w:hAnsi="Times New Roman"/>
          <w:sz w:val="24"/>
          <w:szCs w:val="24"/>
        </w:rPr>
        <w:t xml:space="preserve">(*) </w:t>
      </w:r>
      <w:r>
        <w:rPr>
          <w:rFonts w:ascii="Times New Roman" w:hAnsi="Times New Roman"/>
          <w:i/>
          <w:iCs/>
          <w:sz w:val="24"/>
          <w:szCs w:val="24"/>
        </w:rPr>
        <w:t>(allikas: Eurobaromeeter(</w:t>
      </w:r>
      <w:r>
        <w:rPr>
          <w:rFonts w:ascii="Times New Roman" w:eastAsia="Times New Roman" w:hAnsi="Times New Roman" w:cs="Times New Roman"/>
          <w:i/>
          <w:iCs/>
          <w:sz w:val="24"/>
          <w:szCs w:val="24"/>
          <w:vertAlign w:val="superscript"/>
        </w:rPr>
        <w:footnoteReference w:id="89"/>
      </w:r>
      <w:r>
        <w:rPr>
          <w:rFonts w:ascii="Times New Roman" w:hAnsi="Times New Roman"/>
          <w:i/>
          <w:iCs/>
          <w:sz w:val="24"/>
          <w:szCs w:val="24"/>
        </w:rPr>
        <w:t>); heledad värvid: 2016., 2018. ja 2019. aasta, tumedad värvid: 2020)</w:t>
      </w:r>
      <w:bookmarkStart w:id="509" w:name="_Ref441845836"/>
    </w:p>
    <w:p>
      <w:pPr>
        <w:spacing w:after="0" w:line="240" w:lineRule="auto"/>
        <w:jc w:val="both"/>
        <w:rPr>
          <w:rFonts w:ascii="Times New Roman" w:eastAsia="Calibri" w:hAnsi="Times New Roman" w:cs="Times New Roman"/>
          <w:i/>
          <w:sz w:val="20"/>
        </w:rPr>
      </w:pPr>
      <w:r>
        <w:rPr>
          <w:lang w:val="en-GB" w:eastAsia="en-GB"/>
        </w:rPr>
        <w:drawing>
          <wp:inline distT="0" distB="0" distL="0" distR="0">
            <wp:extent cx="5977255" cy="2693785"/>
            <wp:effectExtent l="0" t="0" r="4445" b="0"/>
            <wp:docPr id="97315" name="Picture 97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77255" cy="2693785"/>
                    </a:xfrm>
                    <a:prstGeom prst="rect">
                      <a:avLst/>
                    </a:prstGeom>
                    <a:noFill/>
                    <a:ln>
                      <a:noFill/>
                    </a:ln>
                  </pic:spPr>
                </pic:pic>
              </a:graphicData>
            </a:graphic>
          </wp:inline>
        </w:drawing>
      </w:r>
    </w:p>
    <w:p>
      <w:pPr>
        <w:spacing w:after="0" w:line="240" w:lineRule="auto"/>
        <w:jc w:val="both"/>
        <w:rPr>
          <w:rFonts w:ascii="Times New Roman" w:eastAsia="Calibri" w:hAnsi="Times New Roman" w:cs="Times New Roman"/>
          <w:sz w:val="28"/>
        </w:rPr>
      </w:pPr>
      <w:r>
        <w:rPr>
          <w:rFonts w:ascii="Times New Roman" w:hAnsi="Times New Roman"/>
          <w:i/>
          <w:sz w:val="20"/>
        </w:rPr>
        <w:t>(*) Liikmesriigid on järjestatud esmalt nende vastajate osakaalu järgi, kes märkisid, et kohtute ja kohtunike sõltumatus on väga suur või võrdlemisi suur (kogunäitaja „suur“). Kui kogunäitaja „suur“ osakaal on samasugune mitme liikmesriigi puhul, siis on nad järjestatud nende vastajate osakaalu järgi, kes märkisid, et kohtute ja kohtunike sõltumatus on võrdlemisi väike või väga väike (kogunäitaja „väike“). Kui nii kogunäitaja „suur“ kui ka kogunäitaja „väike“ osakaal on samasugune mitme liikmesriigi puhul, siis on nad järjestatud nende vastajate osakaalu järgi, kes märkisid, et kohtute ja kohtunike sõltumatus on väga suur. Kui kogunäitajate „suur“, „väike“ ja „väga suur“ osakaalud on samasugused mitme liikmesriigi puhul, siis on nad järjestatud nende vastajate osakaalu järgi, kes märkisid, et kohtute ja kohtunike sõltumatus on väga väike.</w:t>
      </w:r>
    </w:p>
    <w:p>
      <w:pPr>
        <w:spacing w:before="120" w:after="0" w:line="240" w:lineRule="auto"/>
        <w:jc w:val="both"/>
        <w:rPr>
          <w:rFonts w:ascii="Times New Roman" w:eastAsia="Calibri" w:hAnsi="Times New Roman" w:cs="Times New Roman"/>
          <w:sz w:val="24"/>
        </w:rPr>
      </w:pPr>
      <w:r>
        <w:rPr>
          <w:rFonts w:ascii="Times New Roman" w:hAnsi="Times New Roman"/>
          <w:sz w:val="24"/>
        </w:rPr>
        <w:t>Joonisel 45 on esitatud vastajate nimetatud peamised põhjused, miks tajutakse, et kohtud ja kohtunikud ei ole sõltumatud. Üldsuse hulgast pärit vastajad, kes andsid kohtusüsteemi sõltumatusele hinnangu „võrdlemisi väike“ või „väga väike“, said oma hinnangu selgitamiseks valida kolme põhjuse vahel. Liikmesriigid on esitatud samas järjekorras kui joonisel 44.</w:t>
      </w:r>
    </w:p>
    <w:p>
      <w:pPr>
        <w:keepNext/>
        <w:spacing w:before="240" w:after="120" w:line="240" w:lineRule="auto"/>
        <w:jc w:val="both"/>
        <w:rPr>
          <w:rFonts w:ascii="Times New Roman" w:eastAsia="Times New Roman" w:hAnsi="Times New Roman" w:cs="Times New Roman"/>
          <w:i/>
          <w:sz w:val="24"/>
        </w:rPr>
      </w:pPr>
      <w:r>
        <w:rPr>
          <w:rFonts w:ascii="Times New Roman" w:hAnsi="Times New Roman"/>
          <w:b/>
          <w:bCs/>
          <w:sz w:val="24"/>
          <w:szCs w:val="24"/>
        </w:rPr>
        <w:t>Joonis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sz w:val="24"/>
        </w:rPr>
        <w:t>45</w:t>
      </w:r>
      <w:r>
        <w:fldChar w:fldCharType="end"/>
      </w:r>
      <w:r>
        <w:t>.</w:t>
      </w:r>
      <w:r>
        <w:rPr>
          <w:rFonts w:ascii="Times New Roman" w:hAnsi="Times New Roman"/>
          <w:b/>
          <w:bCs/>
          <w:sz w:val="24"/>
          <w:szCs w:val="24"/>
        </w:rPr>
        <w:t xml:space="preserve"> Peamised põhjused, miks üldsus tajub sõltumatuse puudumist</w:t>
      </w:r>
      <w:r>
        <w:rPr>
          <w:rFonts w:ascii="Times New Roman" w:hAnsi="Times New Roman"/>
          <w:sz w:val="24"/>
          <w:szCs w:val="24"/>
        </w:rPr>
        <w:t xml:space="preserve"> </w:t>
      </w:r>
      <w:r>
        <w:rPr>
          <w:rFonts w:ascii="Times New Roman" w:hAnsi="Times New Roman"/>
          <w:i/>
          <w:iCs/>
          <w:sz w:val="24"/>
          <w:szCs w:val="24"/>
        </w:rPr>
        <w:t>(osakaal kõikidest vastajatest – kõrgem väärtus tähendab suuremat mõju) (allikas: Eurobaromeeter(</w:t>
      </w:r>
      <w:r>
        <w:rPr>
          <w:rFonts w:ascii="Times New Roman" w:eastAsia="Times New Roman" w:hAnsi="Times New Roman" w:cs="Times New Roman"/>
          <w:i/>
          <w:iCs/>
          <w:sz w:val="24"/>
          <w:szCs w:val="24"/>
          <w:vertAlign w:val="superscript"/>
        </w:rPr>
        <w:footnoteReference w:id="90"/>
      </w:r>
      <w:r>
        <w:rPr>
          <w:rFonts w:ascii="Times New Roman" w:hAnsi="Times New Roman"/>
          <w:i/>
          <w:iCs/>
          <w:sz w:val="24"/>
          <w:szCs w:val="24"/>
        </w:rPr>
        <w:t>))</w:t>
      </w:r>
    </w:p>
    <w:p>
      <w:pPr>
        <w:keepNext/>
        <w:spacing w:after="0" w:line="240" w:lineRule="auto"/>
        <w:jc w:val="both"/>
        <w:rPr>
          <w:rFonts w:ascii="Times New Roman" w:eastAsia="Times New Roman" w:hAnsi="Times New Roman" w:cs="Times New Roman"/>
          <w:i/>
          <w:sz w:val="24"/>
        </w:rPr>
      </w:pPr>
      <w:r>
        <w:rPr>
          <w:lang w:val="en-GB" w:eastAsia="en-GB"/>
        </w:rPr>
        <w:drawing>
          <wp:inline distT="0" distB="0" distL="0" distR="0">
            <wp:extent cx="5977255" cy="2371142"/>
            <wp:effectExtent l="0" t="0" r="4445" b="0"/>
            <wp:docPr id="97319" name="Picture 97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977255" cy="2371142"/>
                    </a:xfrm>
                    <a:prstGeom prst="rect">
                      <a:avLst/>
                    </a:prstGeom>
                    <a:noFill/>
                    <a:ln>
                      <a:noFill/>
                    </a:ln>
                  </pic:spPr>
                </pic:pic>
              </a:graphicData>
            </a:graphic>
          </wp:inline>
        </w:drawing>
      </w:r>
    </w:p>
    <w:p>
      <w:pPr>
        <w:spacing w:before="240" w:after="120" w:line="240" w:lineRule="auto"/>
        <w:jc w:val="both"/>
        <w:rPr>
          <w:rFonts w:ascii="Times New Roman" w:eastAsia="Times New Roman" w:hAnsi="Times New Roman" w:cs="Times New Roman"/>
          <w:i/>
          <w:iCs/>
          <w:sz w:val="24"/>
          <w:szCs w:val="24"/>
        </w:rPr>
      </w:pPr>
      <w:r>
        <w:rPr>
          <w:rFonts w:ascii="Times New Roman" w:hAnsi="Times New Roman"/>
          <w:b/>
          <w:bCs/>
          <w:sz w:val="24"/>
          <w:szCs w:val="24"/>
        </w:rPr>
        <w:t>Joonis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sz w:val="24"/>
        </w:rPr>
        <w:t>46</w:t>
      </w:r>
      <w:r>
        <w:fldChar w:fldCharType="end"/>
      </w:r>
      <w:bookmarkEnd w:id="509"/>
      <w:r>
        <w:t>.</w:t>
      </w:r>
      <w:r>
        <w:rPr>
          <w:rFonts w:ascii="Times New Roman" w:hAnsi="Times New Roman"/>
          <w:b/>
          <w:bCs/>
          <w:sz w:val="24"/>
          <w:szCs w:val="24"/>
        </w:rPr>
        <w:t xml:space="preserve"> Ettevõtjate tajutav kohtute ja kohtunike sõltumatus</w:t>
      </w:r>
      <w:r>
        <w:rPr>
          <w:rFonts w:ascii="Times New Roman" w:hAnsi="Times New Roman"/>
          <w:sz w:val="24"/>
          <w:szCs w:val="24"/>
        </w:rPr>
        <w:t xml:space="preserve">(*) </w:t>
      </w:r>
      <w:r>
        <w:rPr>
          <w:rFonts w:ascii="Times New Roman" w:hAnsi="Times New Roman"/>
          <w:i/>
          <w:iCs/>
          <w:sz w:val="24"/>
          <w:szCs w:val="24"/>
        </w:rPr>
        <w:t>(allikas: Eurobaromeeter(</w:t>
      </w:r>
      <w:r>
        <w:rPr>
          <w:rFonts w:ascii="Times New Roman" w:eastAsia="Times New Roman" w:hAnsi="Times New Roman" w:cs="Times New Roman"/>
          <w:i/>
          <w:iCs/>
          <w:sz w:val="24"/>
          <w:szCs w:val="24"/>
          <w:vertAlign w:val="superscript"/>
        </w:rPr>
        <w:footnoteReference w:id="91"/>
      </w:r>
      <w:r>
        <w:rPr>
          <w:rFonts w:ascii="Times New Roman" w:hAnsi="Times New Roman"/>
          <w:i/>
          <w:iCs/>
          <w:sz w:val="24"/>
          <w:szCs w:val="24"/>
        </w:rPr>
        <w:t>); heledad värvid: 2016., 2018. ja 2019. aasta, tumedad värvid: 2020)</w:t>
      </w:r>
    </w:p>
    <w:p>
      <w:pPr>
        <w:spacing w:after="0" w:line="240" w:lineRule="auto"/>
        <w:jc w:val="both"/>
        <w:rPr>
          <w:rFonts w:ascii="Times New Roman" w:eastAsia="Calibri" w:hAnsi="Times New Roman" w:cs="Times New Roman"/>
          <w:i/>
          <w:sz w:val="20"/>
        </w:rPr>
      </w:pPr>
      <w:bookmarkStart w:id="510" w:name="_Ref441845852"/>
      <w:r>
        <w:rPr>
          <w:lang w:val="en-GB" w:eastAsia="en-GB"/>
        </w:rPr>
        <w:drawing>
          <wp:inline distT="0" distB="0" distL="0" distR="0">
            <wp:extent cx="5977255" cy="2685304"/>
            <wp:effectExtent l="0" t="0" r="4445" b="1270"/>
            <wp:docPr id="97330" name="Picture 97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977255" cy="2685304"/>
                    </a:xfrm>
                    <a:prstGeom prst="rect">
                      <a:avLst/>
                    </a:prstGeom>
                    <a:noFill/>
                    <a:ln>
                      <a:noFill/>
                    </a:ln>
                  </pic:spPr>
                </pic:pic>
              </a:graphicData>
            </a:graphic>
          </wp:inline>
        </w:drawing>
      </w:r>
    </w:p>
    <w:p>
      <w:pPr>
        <w:spacing w:after="0" w:line="240" w:lineRule="auto"/>
        <w:jc w:val="both"/>
        <w:rPr>
          <w:rFonts w:ascii="Times New Roman" w:eastAsia="Calibri" w:hAnsi="Times New Roman" w:cs="Times New Roman"/>
          <w:sz w:val="28"/>
        </w:rPr>
      </w:pPr>
      <w:r>
        <w:rPr>
          <w:rFonts w:ascii="Times New Roman" w:hAnsi="Times New Roman"/>
          <w:i/>
          <w:sz w:val="20"/>
        </w:rPr>
        <w:t>(*) Liikmesriigid on järjestatud esmalt nende vastajate osakaalu järgi, kes märkisid, et kohtute ja kohtunike sõltumatus on väga suur või võrdlemisi suur (kogunäitaja „suur“). Kui kogunäitaja „suur“ osakaal on samasugune mitme liikmesriigi puhul, siis on nad järjestatud nende vastajate osakaalu järgi, kes märkisid, et kohtute ja kohtunike sõltumatus on võrdlemisi väike või väga väike (kogunäitaja „väike“). Kui nii kogunäitaja „suur“ kui ka kogunäitaja „väike“ osakaal on samasugune mitme liikmesriigi puhul, siis on nad järjestatud nende vastajate osakaalu järgi, kes märkisid, et kohtute ja kohtunike sõltumatus on väga suur. Kui kogunäitajate „suur“, „väike“ ja „väga suur“ osakaalud on samasugused mitme liikmesriigi puhul, siis on nad järjestatud nende vastajate osakaalu järgi, kes märkisid, et kohtute ja kohtunike sõltumatus on väga väike.</w:t>
      </w:r>
    </w:p>
    <w:p>
      <w:pPr>
        <w:spacing w:before="120" w:after="0" w:line="240" w:lineRule="auto"/>
        <w:jc w:val="both"/>
        <w:rPr>
          <w:rFonts w:ascii="Times New Roman" w:eastAsia="Calibri" w:hAnsi="Times New Roman" w:cs="Times New Roman"/>
          <w:sz w:val="24"/>
        </w:rPr>
      </w:pPr>
      <w:r>
        <w:rPr>
          <w:rFonts w:ascii="Times New Roman" w:hAnsi="Times New Roman"/>
          <w:sz w:val="24"/>
        </w:rPr>
        <w:t>Joonisel 47 on esitatud vastajate nimetatud peamised põhjused, miks tajutakse, et kohtud ja kohtunikud ei ole sõltumatud. Ettevõtjatest vastajad, kes andsid kohtusüsteemi sõltumatusele hinnangu „võrdlemisi väike“ või „väga väike“, said oma hinnangu selgitamiseks valida kolme põhjuse vahel. Liikmesriigid on esitatud samas järjekorras kui joonisel 46.</w:t>
      </w:r>
    </w:p>
    <w:p>
      <w:pPr>
        <w:keepNext/>
        <w:spacing w:before="120" w:after="0" w:line="240" w:lineRule="auto"/>
        <w:jc w:val="both"/>
        <w:rPr>
          <w:rFonts w:ascii="Times New Roman" w:eastAsia="Times New Roman" w:hAnsi="Times New Roman" w:cs="Times New Roman"/>
          <w:i/>
          <w:sz w:val="24"/>
        </w:rPr>
      </w:pPr>
      <w:r>
        <w:rPr>
          <w:rFonts w:ascii="Times New Roman" w:hAnsi="Times New Roman"/>
          <w:b/>
          <w:bCs/>
          <w:sz w:val="24"/>
          <w:szCs w:val="24"/>
        </w:rPr>
        <w:t>Joonis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sz w:val="24"/>
        </w:rPr>
        <w:t>47</w:t>
      </w:r>
      <w:r>
        <w:fldChar w:fldCharType="end"/>
      </w:r>
      <w:r>
        <w:t>.</w:t>
      </w:r>
      <w:r>
        <w:rPr>
          <w:rFonts w:ascii="Times New Roman" w:hAnsi="Times New Roman"/>
          <w:b/>
          <w:bCs/>
          <w:sz w:val="24"/>
          <w:szCs w:val="24"/>
        </w:rPr>
        <w:t xml:space="preserve"> Peamised põhjused, miks ettevõtjad tajuvad sõltumatuse puudumist</w:t>
      </w:r>
      <w:r>
        <w:rPr>
          <w:rFonts w:ascii="Times New Roman" w:hAnsi="Times New Roman"/>
          <w:sz w:val="24"/>
          <w:szCs w:val="24"/>
        </w:rPr>
        <w:t xml:space="preserve"> </w:t>
      </w:r>
      <w:r>
        <w:rPr>
          <w:rFonts w:ascii="Times New Roman" w:hAnsi="Times New Roman"/>
          <w:i/>
          <w:iCs/>
          <w:sz w:val="24"/>
          <w:szCs w:val="24"/>
        </w:rPr>
        <w:t>(osakaal kõikidest vastajatest – kõrgem väärtus tähendab suuremat mõju) (allikas: Eurobaromeeter(</w:t>
      </w:r>
      <w:r>
        <w:rPr>
          <w:rFonts w:ascii="Times New Roman" w:eastAsia="Times New Roman" w:hAnsi="Times New Roman" w:cs="Times New Roman"/>
          <w:i/>
          <w:iCs/>
          <w:sz w:val="24"/>
          <w:szCs w:val="24"/>
          <w:vertAlign w:val="superscript"/>
        </w:rPr>
        <w:footnoteReference w:id="92"/>
      </w:r>
      <w:r>
        <w:rPr>
          <w:rFonts w:ascii="Times New Roman" w:hAnsi="Times New Roman"/>
          <w:i/>
          <w:iCs/>
          <w:sz w:val="24"/>
          <w:szCs w:val="24"/>
        </w:rPr>
        <w:t>))</w:t>
      </w:r>
    </w:p>
    <w:p>
      <w:pPr>
        <w:spacing w:after="0" w:line="240" w:lineRule="auto"/>
        <w:jc w:val="both"/>
        <w:rPr>
          <w:rFonts w:ascii="Times New Roman" w:eastAsia="Times New Roman" w:hAnsi="Times New Roman" w:cs="Times New Roman"/>
          <w:b/>
          <w:bCs/>
          <w:sz w:val="24"/>
          <w:szCs w:val="24"/>
        </w:rPr>
      </w:pPr>
      <w:r>
        <w:rPr>
          <w:lang w:val="en-GB" w:eastAsia="en-GB"/>
        </w:rPr>
        <w:drawing>
          <wp:inline distT="0" distB="0" distL="0" distR="0">
            <wp:extent cx="5977255" cy="2637190"/>
            <wp:effectExtent l="0" t="0" r="4445" b="0"/>
            <wp:docPr id="97331" name="Picture 97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77255" cy="2637190"/>
                    </a:xfrm>
                    <a:prstGeom prst="rect">
                      <a:avLst/>
                    </a:prstGeom>
                    <a:noFill/>
                    <a:ln>
                      <a:noFill/>
                    </a:ln>
                  </pic:spPr>
                </pic:pic>
              </a:graphicData>
            </a:graphic>
          </wp:inline>
        </w:drawing>
      </w:r>
    </w:p>
    <w:p>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Joonis </w:t>
      </w:r>
      <w:r>
        <w:fldChar w:fldCharType="begin"/>
      </w:r>
      <w:r>
        <w:rPr>
          <w:rFonts w:ascii="Times New Roman" w:eastAsia="Calibri" w:hAnsi="Times New Roman" w:cs="Times New Roman"/>
          <w:b/>
          <w:sz w:val="24"/>
        </w:rPr>
        <w:instrText xml:space="preserve"> SEQ Figure \* ARABIC </w:instrText>
      </w:r>
      <w:r>
        <w:rPr>
          <w:rFonts w:ascii="Times New Roman" w:eastAsia="Calibri" w:hAnsi="Times New Roman" w:cs="Times New Roman"/>
          <w:b/>
          <w:sz w:val="24"/>
        </w:rPr>
        <w:fldChar w:fldCharType="separate"/>
      </w:r>
      <w:r>
        <w:rPr>
          <w:rFonts w:ascii="Times New Roman" w:eastAsia="Calibri" w:hAnsi="Times New Roman" w:cs="Times New Roman"/>
          <w:b/>
          <w:sz w:val="24"/>
        </w:rPr>
        <w:t>48</w:t>
      </w:r>
      <w:r>
        <w:fldChar w:fldCharType="end"/>
      </w:r>
      <w:bookmarkEnd w:id="510"/>
      <w:r>
        <w:t>.</w:t>
      </w:r>
      <w:r>
        <w:rPr>
          <w:rFonts w:ascii="Times New Roman" w:hAnsi="Times New Roman"/>
          <w:b/>
          <w:bCs/>
          <w:sz w:val="24"/>
          <w:szCs w:val="24"/>
        </w:rPr>
        <w:t xml:space="preserve"> Maailma Majandusfoorum: ettevõtjate tajutav kohtusüsteemi sõltumatus, 2010–2019</w:t>
      </w:r>
      <w:r>
        <w:rPr>
          <w:rFonts w:ascii="Times New Roman" w:hAnsi="Times New Roman"/>
          <w:sz w:val="24"/>
          <w:szCs w:val="24"/>
        </w:rPr>
        <w:t xml:space="preserve"> </w:t>
      </w:r>
      <w:r>
        <w:rPr>
          <w:rFonts w:ascii="Times New Roman" w:hAnsi="Times New Roman"/>
          <w:i/>
          <w:iCs/>
          <w:sz w:val="24"/>
          <w:szCs w:val="24"/>
        </w:rPr>
        <w:t xml:space="preserve">(tajumus – kõrgem väärtus tähendab paremat tajumist) (allikas: </w:t>
      </w:r>
      <w:r>
        <w:rPr>
          <w:rFonts w:ascii="Times New Roman" w:hAnsi="Times New Roman"/>
          <w:i/>
          <w:iCs/>
        </w:rPr>
        <w:t>Maailma Majandusfoorum</w:t>
      </w:r>
      <w:r>
        <w:rPr>
          <w:rFonts w:ascii="Times New Roman" w:hAnsi="Times New Roman"/>
        </w:rPr>
        <w:t>(</w:t>
      </w:r>
      <w:r>
        <w:rPr>
          <w:rFonts w:ascii="Times New Roman" w:eastAsia="Calibri" w:hAnsi="Times New Roman" w:cs="Times New Roman"/>
          <w:vertAlign w:val="superscript"/>
        </w:rPr>
        <w:footnoteReference w:id="93"/>
      </w:r>
      <w:r>
        <w:rPr>
          <w:rFonts w:ascii="Times New Roman" w:hAnsi="Times New Roman"/>
        </w:rPr>
        <w:t>))</w:t>
      </w:r>
    </w:p>
    <w:p>
      <w:pPr>
        <w:spacing w:after="0" w:line="240" w:lineRule="auto"/>
        <w:jc w:val="both"/>
        <w:rPr>
          <w:rFonts w:ascii="Times New Roman" w:eastAsia="Calibri" w:hAnsi="Times New Roman" w:cs="Times New Roman"/>
          <w:sz w:val="20"/>
          <w:szCs w:val="24"/>
        </w:rPr>
      </w:pPr>
      <w:r>
        <w:rPr>
          <w:lang w:val="en-GB" w:eastAsia="en-GB"/>
        </w:rPr>
        <w:drawing>
          <wp:inline distT="0" distB="0" distL="0" distR="0">
            <wp:extent cx="5977255" cy="2827476"/>
            <wp:effectExtent l="0" t="0" r="4445" b="0"/>
            <wp:docPr id="97332" name="Picture 97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977255" cy="2827476"/>
                    </a:xfrm>
                    <a:prstGeom prst="rect">
                      <a:avLst/>
                    </a:prstGeom>
                    <a:noFill/>
                    <a:ln>
                      <a:noFill/>
                    </a:ln>
                  </pic:spPr>
                </pic:pic>
              </a:graphicData>
            </a:graphic>
          </wp:inline>
        </w:drawing>
      </w:r>
    </w:p>
    <w:p>
      <w:pPr>
        <w:keepNext/>
        <w:pageBreakBefore/>
        <w:tabs>
          <w:tab w:val="left" w:pos="850"/>
        </w:tabs>
        <w:spacing w:before="240" w:after="120" w:line="240" w:lineRule="auto"/>
        <w:ind w:left="850" w:hanging="850"/>
        <w:jc w:val="both"/>
        <w:outlineLvl w:val="2"/>
        <w:rPr>
          <w:rFonts w:ascii="Times New Roman" w:eastAsia="Times New Roman" w:hAnsi="Times New Roman" w:cs="Times New Roman"/>
          <w:b/>
          <w:sz w:val="24"/>
          <w:szCs w:val="24"/>
        </w:rPr>
      </w:pPr>
      <w:bookmarkStart w:id="511" w:name="_Toc409530232"/>
      <w:bookmarkStart w:id="512" w:name="_Toc438545681"/>
      <w:bookmarkStart w:id="513" w:name="_Toc438548331"/>
      <w:bookmarkStart w:id="514" w:name="_Toc438548517"/>
      <w:bookmarkStart w:id="515" w:name="_Toc440017705"/>
      <w:bookmarkStart w:id="516" w:name="_Toc440018089"/>
      <w:bookmarkStart w:id="517" w:name="_Toc440033387"/>
      <w:bookmarkStart w:id="518" w:name="_Toc440035238"/>
      <w:bookmarkStart w:id="519" w:name="_Toc440036533"/>
      <w:bookmarkStart w:id="520" w:name="_Toc440042475"/>
      <w:bookmarkStart w:id="521" w:name="_Toc440291128"/>
      <w:bookmarkStart w:id="522" w:name="_Toc440294691"/>
      <w:bookmarkStart w:id="523" w:name="_Toc440295193"/>
      <w:bookmarkStart w:id="524" w:name="_Toc440296598"/>
      <w:bookmarkStart w:id="525" w:name="_Toc440625082"/>
      <w:bookmarkStart w:id="526" w:name="_Toc440626412"/>
      <w:bookmarkStart w:id="527" w:name="_Toc440628866"/>
      <w:bookmarkStart w:id="528" w:name="_Toc441571140"/>
      <w:bookmarkStart w:id="529" w:name="_Toc441581642"/>
      <w:bookmarkStart w:id="530" w:name="_Toc441585909"/>
      <w:bookmarkStart w:id="531" w:name="_Toc441595844"/>
      <w:bookmarkStart w:id="532" w:name="_Toc441596021"/>
      <w:bookmarkStart w:id="533" w:name="_Toc441748146"/>
      <w:bookmarkStart w:id="534" w:name="_Toc441755431"/>
      <w:bookmarkStart w:id="535" w:name="_Toc441756468"/>
      <w:bookmarkStart w:id="536" w:name="_Toc441757512"/>
      <w:bookmarkStart w:id="537" w:name="_Toc441766641"/>
      <w:bookmarkStart w:id="538" w:name="_Toc441766980"/>
      <w:bookmarkStart w:id="539" w:name="_Toc442187981"/>
      <w:bookmarkStart w:id="540" w:name="_Toc442262073"/>
      <w:bookmarkStart w:id="541" w:name="_Toc442362480"/>
      <w:bookmarkStart w:id="542" w:name="_Toc442374816"/>
      <w:bookmarkStart w:id="543" w:name="_Toc442425956"/>
      <w:bookmarkStart w:id="544" w:name="_Toc442453082"/>
      <w:bookmarkStart w:id="545" w:name="_Toc443484540"/>
      <w:bookmarkStart w:id="546" w:name="_Toc443484762"/>
      <w:bookmarkStart w:id="547" w:name="_Toc443509503"/>
      <w:bookmarkStart w:id="548" w:name="_Toc446014832"/>
      <w:r>
        <w:rPr>
          <w:rFonts w:ascii="Times New Roman" w:hAnsi="Times New Roman"/>
          <w:b/>
          <w:sz w:val="24"/>
          <w:szCs w:val="24"/>
        </w:rPr>
        <w:t>3.3.2. Struktuurne sõltumatus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rFonts w:ascii="Times New Roman" w:hAnsi="Times New Roman"/>
          <w:b/>
          <w:sz w:val="24"/>
          <w:szCs w:val="24"/>
        </w:rPr>
        <w:t xml:space="preserve"> </w:t>
      </w:r>
    </w:p>
    <w:p>
      <w:pPr>
        <w:spacing w:after="120" w:line="240" w:lineRule="auto"/>
        <w:jc w:val="both"/>
        <w:rPr>
          <w:rFonts w:ascii="Times New Roman" w:eastAsia="Times New Roman" w:hAnsi="Times New Roman" w:cs="Times New Roman"/>
          <w:sz w:val="24"/>
        </w:rPr>
      </w:pPr>
      <w:r>
        <w:rPr>
          <w:rFonts w:ascii="Times New Roman" w:hAnsi="Times New Roman"/>
          <w:sz w:val="24"/>
          <w:szCs w:val="24"/>
        </w:rPr>
        <w:t>Struktuurse sõltumatuse tagatised eeldavad selliste normide olemasolu, mis puudutavad eelkõige kohtu koosseisu ning ametisse nimetamist, ametiaega ning ka liikmete hääletamisest hoidumise, taandamise ja tagasikutsumise aluseid ning mis lubavad ümber lükata isiku põhjendatud kahtlusi selles suhtes, kas asjaomane kohus on väljaspool väliste tegurite haardeulatust, ja selles suhtes, kas asjaomane kohus on vastanduvaid huve arvestades neutraalne(</w:t>
      </w:r>
      <w:r>
        <w:rPr>
          <w:rFonts w:ascii="Times New Roman" w:eastAsia="Times New Roman" w:hAnsi="Times New Roman" w:cs="Times New Roman"/>
          <w:sz w:val="24"/>
          <w:szCs w:val="24"/>
          <w:vertAlign w:val="superscript"/>
        </w:rPr>
        <w:footnoteReference w:id="94"/>
      </w:r>
      <w:r>
        <w:rPr>
          <w:rFonts w:ascii="Times New Roman" w:hAnsi="Times New Roman"/>
          <w:sz w:val="24"/>
          <w:szCs w:val="24"/>
        </w:rPr>
        <w:t>). Need normid peavad eelkõige võimaldama välistada mitte ainult igasuguse otsese mõju juhiste kujul, vaid ka kaudsema mõju vormid, mis võivad asjaomaste kohtunike otsuseid mõjutada(</w:t>
      </w:r>
      <w:r>
        <w:rPr>
          <w:rStyle w:val="FootnoteReference"/>
          <w:rFonts w:ascii="Times New Roman" w:eastAsia="Times New Roman" w:hAnsi="Times New Roman" w:cs="Times New Roman"/>
          <w:sz w:val="24"/>
          <w:szCs w:val="24"/>
        </w:rPr>
        <w:footnoteReference w:id="95"/>
      </w:r>
      <w:r>
        <w:rPr>
          <w:rFonts w:ascii="Times New Roman" w:hAnsi="Times New Roman"/>
          <w:sz w:val="24"/>
          <w:szCs w:val="24"/>
        </w:rPr>
        <w:t>).</w:t>
      </w:r>
    </w:p>
    <w:p>
      <w:pPr>
        <w:spacing w:after="120" w:line="240" w:lineRule="auto"/>
        <w:jc w:val="both"/>
        <w:rPr>
          <w:rFonts w:ascii="Times New Roman" w:eastAsia="Times New Roman" w:hAnsi="Times New Roman" w:cs="Times New Roman"/>
          <w:sz w:val="24"/>
        </w:rPr>
      </w:pPr>
      <w:r>
        <w:rPr>
          <w:rFonts w:ascii="Times New Roman" w:hAnsi="Times New Roman"/>
          <w:sz w:val="24"/>
          <w:szCs w:val="24"/>
        </w:rPr>
        <w:t>Need on esitatud näiteks 2010. aasta Euroopa Nõukogu soovituses kohtunike</w:t>
      </w:r>
      <w:r>
        <w:rPr>
          <w:rFonts w:ascii="Times New Roman" w:hAnsi="Times New Roman"/>
          <w:i/>
          <w:iCs/>
          <w:sz w:val="24"/>
          <w:szCs w:val="24"/>
        </w:rPr>
        <w:t xml:space="preserve"> </w:t>
      </w:r>
      <w:r>
        <w:rPr>
          <w:rFonts w:ascii="Times New Roman" w:hAnsi="Times New Roman"/>
          <w:sz w:val="24"/>
          <w:szCs w:val="24"/>
        </w:rPr>
        <w:t>sõltumatuse, tulemuslikkuse ja vastutuse kohta(</w:t>
      </w:r>
      <w:r>
        <w:rPr>
          <w:rFonts w:ascii="Times New Roman" w:eastAsia="Calibri" w:hAnsi="Times New Roman" w:cs="Times New Roman"/>
          <w:sz w:val="24"/>
          <w:szCs w:val="24"/>
          <w:vertAlign w:val="superscript"/>
        </w:rPr>
        <w:footnoteReference w:id="96"/>
      </w:r>
      <w:r>
        <w:rPr>
          <w:rFonts w:ascii="Times New Roman" w:hAnsi="Times New Roman"/>
          <w:sz w:val="24"/>
          <w:szCs w:val="24"/>
        </w:rPr>
        <w:t>). 2020. aasta ELi õigusemõistmise tulemustabelis esitatakse rida näitajaid kohtusüsteemide korralduse kohta kohtute sõltumatuse kaitsmiseks.</w:t>
      </w:r>
    </w:p>
    <w:p>
      <w:pPr>
        <w:spacing w:after="120" w:line="240" w:lineRule="auto"/>
        <w:jc w:val="both"/>
        <w:rPr>
          <w:rFonts w:ascii="Times New Roman" w:eastAsia="Times New Roman" w:hAnsi="Times New Roman" w:cs="Times New Roman"/>
          <w:sz w:val="24"/>
          <w:szCs w:val="24"/>
        </w:rPr>
      </w:pPr>
      <w:r>
        <w:rPr>
          <w:rFonts w:ascii="Times New Roman" w:hAnsi="Times New Roman"/>
          <w:sz w:val="24"/>
          <w:szCs w:val="24"/>
        </w:rPr>
        <w:t>ELi õigusemõistmise tulemustabeli selles väljaandes esitatakse ajakohastatud näitajad, mis puudutavad kohtunike distsiplinaarmenetlustesse kaasatud organeid (joonised 49 ja 50) ning kohtute haldamise nõukodadesse kohtunikest liikmete nimetamist (joonised 51 ja 52)(</w:t>
      </w:r>
      <w:r>
        <w:rPr>
          <w:rFonts w:ascii="Times New Roman" w:eastAsia="Calibri" w:hAnsi="Times New Roman" w:cs="Times New Roman"/>
          <w:sz w:val="24"/>
          <w:szCs w:val="24"/>
          <w:vertAlign w:val="superscript"/>
        </w:rPr>
        <w:footnoteReference w:id="97"/>
      </w:r>
      <w:r>
        <w:rPr>
          <w:rFonts w:ascii="Times New Roman" w:hAnsi="Times New Roman"/>
          <w:sz w:val="24"/>
          <w:szCs w:val="24"/>
        </w:rPr>
        <w:t>). Samuti esitatakse 2020. aasta ELi õigusemõistmise tulemustabelis teave prokuröride distsiplinaarmenetlustega seotud organite ja ametite kohta (joonised 53 ja 54) ning ajakohastatud põhjalikum joonis prokuröridele konkreetsete asjade menetlemiseks antavate korralduste kohta (joonis 55)(</w:t>
      </w:r>
      <w:r>
        <w:rPr>
          <w:rFonts w:ascii="Times New Roman" w:eastAsia="Calibri" w:hAnsi="Times New Roman" w:cs="Times New Roman"/>
          <w:sz w:val="24"/>
          <w:szCs w:val="24"/>
          <w:vertAlign w:val="superscript"/>
        </w:rPr>
        <w:footnoteReference w:id="98"/>
      </w:r>
      <w:r>
        <w:rPr>
          <w:rFonts w:ascii="Times New Roman" w:hAnsi="Times New Roman"/>
          <w:sz w:val="24"/>
          <w:szCs w:val="24"/>
        </w:rPr>
        <w:t>). Joonistel on esitatud riiklikud raamistikud 2019. aasta detsembri seisuga.</w:t>
      </w:r>
    </w:p>
    <w:p>
      <w:pPr>
        <w:spacing w:after="120" w:line="240" w:lineRule="auto"/>
        <w:jc w:val="both"/>
        <w:rPr>
          <w:rFonts w:ascii="Times New Roman" w:eastAsia="Times New Roman" w:hAnsi="Times New Roman" w:cs="Times New Roman"/>
          <w:sz w:val="24"/>
          <w:szCs w:val="24"/>
        </w:rPr>
      </w:pPr>
      <w:r>
        <w:rPr>
          <w:rFonts w:ascii="Times New Roman" w:hAnsi="Times New Roman"/>
          <w:sz w:val="24"/>
        </w:rPr>
        <w:t>Tulemustabelis esitatud joonistega ei anta hinnangut ega kvantitatiivset teavet kaitsemeetmete tulemuslikkuse kohta. Nendega ei püüta kajastada kaitsemeetmete keerukust ega üksikasju. Suurem hulk kaitsemeetmeid ei taga iseenesest kohtusüsteemi tõhusust. Samuti tuleks märkida, et ka kohtusüsteemi sõltumatuse tagamisel on oluline rakendada strateegiaid ja tavasid, millega suurendatakse kohtute usaldusväärsust ja ennetatakse kohtutes korruptsiooni. Lõppkokkuvõttes eeldab kohtusüsteemi sõltumatuse tulemuslik kaitse aususe ja erapooletuse kultuuri, mille on omaks võtnud kohtunikud ja mida austab laiem ühiskond.</w:t>
      </w:r>
    </w:p>
    <w:p>
      <w:pPr>
        <w:spacing w:before="240" w:after="120" w:line="240" w:lineRule="auto"/>
        <w:jc w:val="both"/>
        <w:rPr>
          <w:rFonts w:ascii="Times New Roman" w:eastAsia="Calibri" w:hAnsi="Times New Roman" w:cs="Times New Roman"/>
          <w:i/>
          <w:sz w:val="24"/>
        </w:rPr>
      </w:pPr>
      <w:r>
        <w:rPr>
          <w:rFonts w:ascii="Times New Roman" w:hAnsi="Times New Roman"/>
          <w:sz w:val="24"/>
        </w:rPr>
        <w:t xml:space="preserve">– </w:t>
      </w:r>
      <w:r>
        <w:rPr>
          <w:rFonts w:ascii="Times New Roman" w:hAnsi="Times New Roman"/>
          <w:i/>
          <w:iCs/>
          <w:sz w:val="24"/>
        </w:rPr>
        <w:t>Kohtunike distsiplinaarmenetlustega seotud kaitsemeetmed</w:t>
      </w:r>
      <w:r>
        <w:rPr>
          <w:rFonts w:ascii="Times New Roman" w:hAnsi="Times New Roman"/>
          <w:sz w:val="24"/>
        </w:rPr>
        <w:t xml:space="preserve"> –</w:t>
      </w:r>
    </w:p>
    <w:p>
      <w:pPr>
        <w:spacing w:after="120" w:line="240" w:lineRule="auto"/>
        <w:jc w:val="both"/>
        <w:rPr>
          <w:rFonts w:ascii="Times New Roman" w:eastAsia="Times New Roman" w:hAnsi="Times New Roman" w:cs="Times New Roman"/>
          <w:sz w:val="24"/>
        </w:rPr>
      </w:pPr>
      <w:r>
        <w:rPr>
          <w:rFonts w:ascii="Times New Roman" w:hAnsi="Times New Roman"/>
          <w:sz w:val="24"/>
          <w:szCs w:val="24"/>
        </w:rPr>
        <w:t>Kohtunike distsiplinaarmenetluste puhul on tegemist kohtute sõltumatusega seotud delikaatseimate olukordadega. Euroopa Kohus on leidnud, et „distsiplinaarkorda reguleerivad õigusnormid [...] õigusemõistmise ülesannet täitvate isikute [puhul] pakuvad vajalikke tagatisi, et vältida mis tahes ohtu, et seda korda kasutatakse kohtulahendite sisu poliitilise kontrolli süsteemina“(</w:t>
      </w:r>
      <w:r>
        <w:rPr>
          <w:rFonts w:ascii="Times New Roman" w:eastAsia="Times New Roman" w:hAnsi="Times New Roman" w:cs="Times New Roman"/>
          <w:sz w:val="24"/>
          <w:szCs w:val="24"/>
          <w:vertAlign w:val="superscript"/>
        </w:rPr>
        <w:footnoteReference w:id="99"/>
      </w:r>
      <w:r>
        <w:rPr>
          <w:rFonts w:ascii="Times New Roman" w:hAnsi="Times New Roman"/>
          <w:sz w:val="24"/>
          <w:szCs w:val="24"/>
        </w:rPr>
        <w:t>). Nende tagatiste kogum, mis on Euroopa Kohtu seisukoha järgi kohtuvõimu sõltumatuse kaitse jaoks olulised, hõlmab norme, milles määratletakse eeskätt nii distsiplinaarsüütegude koosseis kui ka konkreetselt kohaldatavad karistused, norme, millega nähakse ette sõltumatu organi sekkumine vastavalt menetlusele, mis tagab täielikult harta artiklites 47 ja 48 sätestatud õigused, eelkõige kaitseõigused, ning norme, millega sätestatakse võimalus vaidlustada kohtus distsiplinaarorganite otsused(</w:t>
      </w:r>
      <w:r>
        <w:rPr>
          <w:rFonts w:ascii="Times New Roman" w:eastAsia="Times New Roman" w:hAnsi="Times New Roman" w:cs="Times New Roman"/>
          <w:sz w:val="24"/>
          <w:szCs w:val="24"/>
          <w:vertAlign w:val="superscript"/>
        </w:rPr>
        <w:footnoteReference w:id="100"/>
      </w:r>
      <w:r>
        <w:rPr>
          <w:rFonts w:ascii="Times New Roman" w:hAnsi="Times New Roman"/>
          <w:sz w:val="24"/>
          <w:szCs w:val="24"/>
        </w:rPr>
        <w:t>). Euroopa Kohtu sõnul annab „ELTL artikkel 267 siseriiklikule kohtule kõige suurema pädevuse asja saatmiseks Euroopa Kohtusse (---) menetluse mis tahes hetkel, mida ta loeb sobivaks“(</w:t>
      </w:r>
      <w:r>
        <w:rPr>
          <w:rFonts w:ascii="Times New Roman" w:eastAsia="Times New Roman" w:hAnsi="Times New Roman" w:cs="Times New Roman"/>
          <w:sz w:val="24"/>
          <w:szCs w:val="24"/>
          <w:vertAlign w:val="superscript"/>
        </w:rPr>
        <w:footnoteReference w:id="101"/>
      </w:r>
      <w:r>
        <w:rPr>
          <w:rFonts w:ascii="Times New Roman" w:hAnsi="Times New Roman"/>
          <w:sz w:val="24"/>
          <w:szCs w:val="24"/>
        </w:rPr>
        <w:t>). Euroopa Kohtu sõnul rikub mis tahes riiklik norm, millega kõnealust pädevust piiratakse, „et vältida [---] distsiplinaarkaristuse kandmist [---]“ „ELTL artikliga 267 liikmesriigi kohtutele antud õigusi ja järelikult kahjustab ka eelotsusetaotluste esitamise mehhanismi abil loodud Euroopa Kohtu ja siseriiklike kohtute koostöö tõhusust“(</w:t>
      </w:r>
      <w:r>
        <w:rPr>
          <w:rFonts w:ascii="Times New Roman" w:eastAsia="Times New Roman" w:hAnsi="Times New Roman" w:cs="Times New Roman"/>
          <w:sz w:val="24"/>
          <w:szCs w:val="24"/>
          <w:vertAlign w:val="superscript"/>
        </w:rPr>
        <w:footnoteReference w:id="102"/>
      </w:r>
      <w:r>
        <w:rPr>
          <w:rFonts w:ascii="Times New Roman" w:hAnsi="Times New Roman"/>
          <w:sz w:val="24"/>
          <w:szCs w:val="24"/>
        </w:rPr>
        <w:t>). Hiljem on kohus samuti märkinud, et „[k]ohtu sõltumatusega lahutamatult seotud tagatis on ka see, et kohtunike suhtes ei kohaldata distsiplinaarkaristusi, kui nad kasutavad [---] Euroopa Kohtule eelotsusetaotluse esitamise [pädevust] [---]“(</w:t>
      </w:r>
      <w:r>
        <w:rPr>
          <w:rFonts w:ascii="Times New Roman" w:eastAsia="Times New Roman" w:hAnsi="Times New Roman" w:cs="Times New Roman"/>
          <w:sz w:val="24"/>
          <w:szCs w:val="24"/>
          <w:vertAlign w:val="superscript"/>
        </w:rPr>
        <w:footnoteReference w:id="103"/>
      </w:r>
      <w:r>
        <w:rPr>
          <w:rFonts w:ascii="Times New Roman" w:hAnsi="Times New Roman"/>
          <w:sz w:val="24"/>
          <w:szCs w:val="24"/>
        </w:rPr>
        <w:t>).</w:t>
      </w:r>
    </w:p>
    <w:p>
      <w:pPr>
        <w:spacing w:after="120" w:line="240" w:lineRule="auto"/>
        <w:jc w:val="both"/>
        <w:rPr>
          <w:rFonts w:ascii="Times New Roman" w:eastAsia="Times New Roman" w:hAnsi="Times New Roman" w:cs="Times New Roman"/>
          <w:sz w:val="24"/>
          <w:highlight w:val="yellow"/>
        </w:rPr>
      </w:pPr>
      <w:r>
        <w:rPr>
          <w:rFonts w:ascii="Times New Roman" w:hAnsi="Times New Roman"/>
          <w:sz w:val="24"/>
          <w:szCs w:val="24"/>
        </w:rPr>
        <w:t>Euroopa Nõukogu normide kohaselt võib kohtunike suhtes alustada distsiplinaarmenetlust, kui kohtunikud ei täida oma ülesandeid tõhusalt ega nõuetekohaselt(</w:t>
      </w:r>
      <w:r>
        <w:rPr>
          <w:rFonts w:ascii="Times New Roman" w:eastAsia="Times New Roman" w:hAnsi="Times New Roman" w:cs="Times New Roman"/>
          <w:sz w:val="24"/>
          <w:szCs w:val="24"/>
          <w:vertAlign w:val="superscript"/>
        </w:rPr>
        <w:footnoteReference w:id="104"/>
      </w:r>
      <w:r>
        <w:rPr>
          <w:rFonts w:ascii="Times New Roman" w:hAnsi="Times New Roman"/>
          <w:sz w:val="24"/>
          <w:szCs w:val="24"/>
        </w:rPr>
        <w:t>). Õiguse tõlgendamine, asjaolude hindamine või tõendite kaalumine, mida kohtunikud teevad selleks, et kohtuasi lahendada, ei tohi tekitada tsiviil- ega distsiplinaarvastutust, välja arvatud kuritahtliku ja raske hooletuse korral(</w:t>
      </w:r>
      <w:r>
        <w:rPr>
          <w:rFonts w:ascii="Times New Roman" w:eastAsia="Times New Roman" w:hAnsi="Times New Roman" w:cs="Times New Roman"/>
          <w:sz w:val="24"/>
          <w:szCs w:val="24"/>
          <w:vertAlign w:val="superscript"/>
        </w:rPr>
        <w:footnoteReference w:id="105"/>
      </w:r>
      <w:r>
        <w:rPr>
          <w:rFonts w:ascii="Times New Roman" w:hAnsi="Times New Roman"/>
          <w:sz w:val="24"/>
          <w:szCs w:val="24"/>
        </w:rPr>
        <w:t>). Lisaks sellele peaks distsiplinaarmenetlusi kohtuna läbi viima sõltumatu organ ning tagatud peab olema õiglane menetlus. Kohtunikul, kelle suhtes on algatatud distsiplinaarmenetlus, peaks olema õigus tehtud otsust ja määratud karistust vaidlustada. Distsiplinaarkaristused peaksid olema proportsionaalsed(</w:t>
      </w:r>
      <w:r>
        <w:rPr>
          <w:rFonts w:ascii="Times New Roman" w:eastAsia="Times New Roman" w:hAnsi="Times New Roman" w:cs="Times New Roman"/>
          <w:sz w:val="24"/>
          <w:szCs w:val="24"/>
          <w:vertAlign w:val="superscript"/>
        </w:rPr>
        <w:footnoteReference w:id="106"/>
      </w:r>
      <w:r>
        <w:rPr>
          <w:rFonts w:ascii="Times New Roman" w:hAnsi="Times New Roman"/>
          <w:sz w:val="24"/>
          <w:szCs w:val="24"/>
        </w:rPr>
        <w:t>).</w:t>
      </w:r>
    </w:p>
    <w:p>
      <w:pPr>
        <w:spacing w:after="0" w:line="240" w:lineRule="auto"/>
        <w:jc w:val="both"/>
        <w:rPr>
          <w:rFonts w:ascii="Times New Roman" w:eastAsia="Times New Roman" w:hAnsi="Times New Roman" w:cs="Times New Roman"/>
          <w:sz w:val="24"/>
        </w:rPr>
      </w:pPr>
      <w:r>
        <w:rPr>
          <w:rFonts w:ascii="Times New Roman" w:hAnsi="Times New Roman"/>
          <w:sz w:val="24"/>
        </w:rPr>
        <w:t xml:space="preserve">Joonisel 49 antakse ajakohastatud ülevaade üldkohtunikele </w:t>
      </w:r>
      <w:r>
        <w:rPr>
          <w:rFonts w:ascii="Times New Roman" w:hAnsi="Times New Roman"/>
          <w:sz w:val="24"/>
          <w:szCs w:val="24"/>
        </w:rPr>
        <w:t>distsiplinaarkaristusi</w:t>
      </w:r>
      <w:r>
        <w:rPr>
          <w:rFonts w:ascii="Times New Roman" w:hAnsi="Times New Roman"/>
          <w:sz w:val="24"/>
        </w:rPr>
        <w:t xml:space="preserve"> määravatest organitest, milleks võivad olla a) tavalised sõltumatud organid, näiteks kohtud (ülemkohus, halduskohus või kohtu esimees) või kohtute haldamise nõukojad või b) muud organid, mille liikmed nimetab konkreetselt kohtunike distsiplinaarmenetluses </w:t>
      </w:r>
      <w:r>
        <w:rPr>
          <w:rFonts w:ascii="Times New Roman" w:hAnsi="Times New Roman"/>
          <w:sz w:val="24"/>
          <w:szCs w:val="24"/>
        </w:rPr>
        <w:t>otsuste</w:t>
      </w:r>
      <w:r>
        <w:rPr>
          <w:rFonts w:ascii="Times New Roman" w:hAnsi="Times New Roman"/>
          <w:sz w:val="24"/>
        </w:rPr>
        <w:t xml:space="preserve"> tegemiseks kohtute haldamise nõukoda, kohtunikud või täidesaatev võim.</w:t>
      </w:r>
    </w:p>
    <w:p>
      <w:pPr>
        <w:keepNext/>
        <w:spacing w:before="240" w:after="120" w:line="240" w:lineRule="auto"/>
        <w:jc w:val="both"/>
        <w:rPr>
          <w:rFonts w:ascii="Times New Roman" w:eastAsia="Times New Roman" w:hAnsi="Times New Roman" w:cs="Times New Roman"/>
          <w:i/>
          <w:iCs/>
          <w:sz w:val="24"/>
          <w:szCs w:val="24"/>
        </w:rPr>
      </w:pPr>
      <w:r>
        <w:rPr>
          <w:rFonts w:ascii="Times New Roman" w:hAnsi="Times New Roman"/>
          <w:b/>
          <w:sz w:val="24"/>
          <w:szCs w:val="24"/>
        </w:rPr>
        <w:t>Joonis </w:t>
      </w:r>
      <w:r>
        <w:fldChar w:fldCharType="begin"/>
      </w:r>
      <w:r>
        <w:rPr>
          <w:rFonts w:ascii="Times New Roman" w:eastAsia="Calibri" w:hAnsi="Times New Roman" w:cs="Times New Roman"/>
          <w:b/>
          <w:sz w:val="24"/>
          <w:szCs w:val="24"/>
        </w:rPr>
        <w:instrText xml:space="preserve"> SEQ Figure \* ARABIC </w:instrText>
      </w:r>
      <w:r>
        <w:rPr>
          <w:rFonts w:ascii="Times New Roman" w:eastAsia="Calibri" w:hAnsi="Times New Roman" w:cs="Times New Roman"/>
          <w:b/>
          <w:sz w:val="24"/>
          <w:szCs w:val="24"/>
        </w:rPr>
        <w:fldChar w:fldCharType="separate"/>
      </w:r>
      <w:r>
        <w:rPr>
          <w:rFonts w:ascii="Times New Roman" w:eastAsia="Calibri" w:hAnsi="Times New Roman" w:cs="Times New Roman"/>
          <w:b/>
          <w:sz w:val="24"/>
          <w:szCs w:val="24"/>
        </w:rPr>
        <w:t>49</w:t>
      </w:r>
      <w:r>
        <w:fldChar w:fldCharType="end"/>
      </w:r>
      <w:r>
        <w:t>.</w:t>
      </w:r>
      <w:r>
        <w:rPr>
          <w:rFonts w:ascii="Times New Roman" w:hAnsi="Times New Roman"/>
          <w:b/>
          <w:bCs/>
          <w:sz w:val="24"/>
          <w:szCs w:val="24"/>
        </w:rPr>
        <w:t xml:space="preserve"> Kohtunikele distsiplinaarkaristusi määrav organ</w:t>
      </w:r>
      <w:r>
        <w:rPr>
          <w:rFonts w:ascii="Times New Roman" w:hAnsi="Times New Roman"/>
          <w:sz w:val="24"/>
          <w:szCs w:val="24"/>
        </w:rPr>
        <w:t>(*)</w:t>
      </w:r>
      <w:r>
        <w:rPr>
          <w:rFonts w:ascii="Times New Roman" w:hAnsi="Times New Roman"/>
          <w:i/>
          <w:sz w:val="24"/>
          <w:szCs w:val="24"/>
        </w:rPr>
        <w:t>(</w:t>
      </w:r>
      <w:r>
        <w:rPr>
          <w:rFonts w:ascii="Times New Roman" w:eastAsia="Times New Roman" w:hAnsi="Times New Roman" w:cs="Times New Roman"/>
          <w:i/>
          <w:iCs/>
          <w:sz w:val="24"/>
          <w:szCs w:val="24"/>
          <w:vertAlign w:val="superscript"/>
        </w:rPr>
        <w:footnoteReference w:id="107"/>
      </w:r>
      <w:r>
        <w:rPr>
          <w:rFonts w:ascii="Times New Roman" w:hAnsi="Times New Roman"/>
          <w:i/>
          <w:iCs/>
          <w:sz w:val="24"/>
          <w:szCs w:val="24"/>
        </w:rPr>
        <w:t>)</w:t>
      </w:r>
    </w:p>
    <w:p>
      <w:pPr>
        <w:spacing w:after="0" w:line="240" w:lineRule="auto"/>
        <w:jc w:val="both"/>
        <w:rPr>
          <w:rFonts w:ascii="Times New Roman" w:eastAsia="Calibri" w:hAnsi="Times New Roman" w:cs="Times New Roman"/>
          <w:i/>
          <w:sz w:val="16"/>
          <w:szCs w:val="16"/>
        </w:rPr>
      </w:pPr>
      <w:r>
        <w:rPr>
          <w:lang w:val="en-GB" w:eastAsia="en-GB"/>
        </w:rPr>
        <w:drawing>
          <wp:inline distT="0" distB="0" distL="0" distR="0">
            <wp:extent cx="5977255" cy="1353341"/>
            <wp:effectExtent l="0" t="0" r="4445" b="0"/>
            <wp:docPr id="97333" name="Picture 97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77255" cy="1353341"/>
                    </a:xfrm>
                    <a:prstGeom prst="rect">
                      <a:avLst/>
                    </a:prstGeom>
                    <a:noFill/>
                    <a:ln>
                      <a:noFill/>
                    </a:ln>
                  </pic:spPr>
                </pic:pic>
              </a:graphicData>
            </a:graphic>
          </wp:inline>
        </w:drawing>
      </w:r>
      <w:r>
        <w:rPr>
          <w:rFonts w:ascii="Times New Roman" w:hAnsi="Times New Roman"/>
          <w:i/>
          <w:sz w:val="16"/>
          <w:szCs w:val="16"/>
        </w:rPr>
        <w:t xml:space="preserve">(*) </w:t>
      </w:r>
      <w:r>
        <w:rPr>
          <w:rFonts w:ascii="Times New Roman" w:hAnsi="Times New Roman"/>
          <w:b/>
          <w:bCs/>
          <w:i/>
          <w:sz w:val="16"/>
          <w:szCs w:val="16"/>
        </w:rPr>
        <w:t>Bulgaaria</w:t>
      </w:r>
      <w:r>
        <w:rPr>
          <w:rFonts w:ascii="Times New Roman" w:hAnsi="Times New Roman"/>
          <w:i/>
          <w:sz w:val="16"/>
          <w:szCs w:val="16"/>
        </w:rPr>
        <w:t>: kergemaid distsiplinaarkaristusi võib määrata kohtu esimees.</w:t>
      </w:r>
      <w:r>
        <w:rPr>
          <w:rFonts w:ascii="Times New Roman" w:hAnsi="Times New Roman"/>
          <w:i/>
          <w:sz w:val="15"/>
          <w:szCs w:val="15"/>
        </w:rPr>
        <w:t xml:space="preserve"> </w:t>
      </w:r>
      <w:r>
        <w:rPr>
          <w:rFonts w:ascii="Times New Roman" w:hAnsi="Times New Roman"/>
          <w:i/>
          <w:sz w:val="16"/>
          <w:szCs w:val="16"/>
        </w:rPr>
        <w:t xml:space="preserve">Mis tahes distsiplinaarmeetmeid käsitleva otsuse võib edasi kaevata kõrgeimasse halduskohtusse. </w:t>
      </w:r>
      <w:r>
        <w:rPr>
          <w:rFonts w:ascii="Times New Roman" w:hAnsi="Times New Roman"/>
          <w:b/>
          <w:i/>
          <w:sz w:val="16"/>
          <w:szCs w:val="16"/>
        </w:rPr>
        <w:t>Tšehhi:</w:t>
      </w:r>
      <w:r>
        <w:rPr>
          <w:rFonts w:ascii="Times New Roman" w:hAnsi="Times New Roman"/>
          <w:i/>
          <w:sz w:val="16"/>
          <w:szCs w:val="16"/>
        </w:rPr>
        <w:t xml:space="preserve"> distsiplinaarasju vaatavad läbi kõrgeima halduskohtu distsiplinaarkolleegiumid. Selle liikmete kohta teeb kohtunike nimekirja alusel ettepaneku kohtu esimees ja nad valitakse liisuheitmise teel. </w:t>
      </w:r>
      <w:r>
        <w:rPr>
          <w:rFonts w:ascii="Times New Roman" w:hAnsi="Times New Roman"/>
          <w:b/>
          <w:i/>
          <w:sz w:val="16"/>
          <w:szCs w:val="16"/>
        </w:rPr>
        <w:t>Taani:</w:t>
      </w:r>
      <w:r>
        <w:rPr>
          <w:rFonts w:ascii="Times New Roman" w:hAnsi="Times New Roman"/>
          <w:i/>
          <w:sz w:val="16"/>
          <w:szCs w:val="16"/>
        </w:rPr>
        <w:t xml:space="preserve"> distsiplinaarkaristusi määrab süüdistuste esitamise ja läbivaatamise kohus, kuhu kuulub viis liiget, kelle nimetab ametlikult ametisse justiitsminister, kuid kelle valivad vastavalt ülemkohus, üldkohus, kohtunike liit ning advokatuur lisaks väljapaistvatele teadlastele.</w:t>
      </w:r>
      <w:r>
        <w:rPr>
          <w:sz w:val="16"/>
          <w:szCs w:val="16"/>
        </w:rPr>
        <w:t xml:space="preserve"> </w:t>
      </w:r>
      <w:r>
        <w:rPr>
          <w:rFonts w:ascii="Times New Roman" w:hAnsi="Times New Roman"/>
          <w:i/>
          <w:sz w:val="16"/>
          <w:szCs w:val="16"/>
        </w:rPr>
        <w:t xml:space="preserve">Esimese astme kohtu esimees võib teha hoiatuse. </w:t>
      </w:r>
      <w:r>
        <w:rPr>
          <w:rFonts w:ascii="Times New Roman" w:hAnsi="Times New Roman"/>
          <w:b/>
          <w:i/>
          <w:sz w:val="16"/>
          <w:szCs w:val="16"/>
        </w:rPr>
        <w:t>Saksamaa:</w:t>
      </w:r>
      <w:r>
        <w:rPr>
          <w:rFonts w:ascii="Times New Roman" w:hAnsi="Times New Roman"/>
          <w:i/>
          <w:sz w:val="16"/>
          <w:szCs w:val="16"/>
        </w:rPr>
        <w:t xml:space="preserve"> distsiplinaarmeetmeid võivad ametlikus distsiplinaarmenetluses (vt föderaalkohtunike kohta Saksamaa kohtute seaduse paragrahv 63 ja vastav säte liidumaade tasandil) võtta teenistuskohtud (Dienstgericht des Bundes föderaalkohtunike suhtes ja Dienstgerichte der Länder liidumaade kohtunike suhtes), mis on üldkohtute juures asuvad erikolleegiumid. Nende kolleegiumide liikmed nimetatakse konkreetse kohtu (föderaalkohus või kõrgem piirkondlik üldkohus või piirkondlik üldkohus) kohtunike (Präsidium) poolt. Kergemaid distsiplinaarmeetmeid (näiteks noomitusi) võib distsiplinaarmäärusega (vt föderaalkohtunike kohta Saksamaa kohtute seaduse paragrahv 64 ja vastavad sätted liidumaade tasandil) määrata kohtu esimees või justiitsministeerium (nii liidumaade kui ka vabariigi tasandil). </w:t>
      </w:r>
      <w:r>
        <w:rPr>
          <w:rFonts w:ascii="Times New Roman" w:hAnsi="Times New Roman"/>
          <w:b/>
          <w:i/>
          <w:sz w:val="16"/>
          <w:szCs w:val="16"/>
        </w:rPr>
        <w:t>Eesti:</w:t>
      </w:r>
      <w:r>
        <w:rPr>
          <w:rFonts w:ascii="Times New Roman" w:hAnsi="Times New Roman"/>
          <w:i/>
          <w:sz w:val="16"/>
          <w:szCs w:val="16"/>
        </w:rPr>
        <w:t xml:space="preserve"> distsiplinaarasju vaatab läbi Riigikohtu ja kõigi Eesti kohtunike täiskogu nimetatud kohtunike distsiplinaarkolleegium. </w:t>
      </w:r>
      <w:r>
        <w:rPr>
          <w:rFonts w:ascii="Times New Roman" w:hAnsi="Times New Roman"/>
          <w:b/>
          <w:i/>
          <w:sz w:val="16"/>
          <w:szCs w:val="16"/>
        </w:rPr>
        <w:t>Iirimaa:</w:t>
      </w:r>
      <w:r>
        <w:rPr>
          <w:rFonts w:ascii="Times New Roman" w:hAnsi="Times New Roman"/>
          <w:i/>
          <w:sz w:val="16"/>
          <w:szCs w:val="16"/>
        </w:rPr>
        <w:t xml:space="preserve"> otsuse teeb kohtunike käitumist käsitlev komisjon, mille kutsub kokku kohtunike kolleegium ja kuhu kuulub kolm nende ametikaaslaste valitud kohtunikku, viis kohtute esimeest (oma ametivolitustest tulenevalt) ja viis valitsuse määratud koosseisuvälist liiget. Põhiseaduse kohaselt võib kohtuniku ametist tagandada kindlaksmääratud väärkäitumise või töövõimetuse tõttu ametist tagandamise otsustega, mille on heaks kiitnud parlamendi (Oireachtas) mõlemad kojad. </w:t>
      </w:r>
      <w:r>
        <w:rPr>
          <w:rFonts w:ascii="Times New Roman" w:hAnsi="Times New Roman"/>
          <w:b/>
          <w:i/>
          <w:sz w:val="16"/>
          <w:szCs w:val="16"/>
        </w:rPr>
        <w:t>Kreeka:</w:t>
      </w:r>
      <w:r>
        <w:rPr>
          <w:rFonts w:ascii="Times New Roman" w:hAnsi="Times New Roman"/>
          <w:i/>
          <w:sz w:val="16"/>
          <w:szCs w:val="16"/>
        </w:rPr>
        <w:t xml:space="preserve"> esimese ja teise astme kohtunike üle teevad distsiplinaarjärelevalvet kõrgema astme üldkohtunikest koosnevad nõukogud, mille liikmed valitakse liisuheitmise teel. Kõrgeimate kohtunike üle teeb distsiplinaarjärelevalvet kõrgeim distsiplinaarnõukogu. </w:t>
      </w:r>
      <w:r>
        <w:rPr>
          <w:rFonts w:ascii="Times New Roman" w:hAnsi="Times New Roman"/>
          <w:b/>
          <w:bCs/>
          <w:i/>
          <w:sz w:val="16"/>
          <w:szCs w:val="16"/>
        </w:rPr>
        <w:t>Itaalia</w:t>
      </w:r>
      <w:r>
        <w:rPr>
          <w:rFonts w:ascii="Times New Roman" w:hAnsi="Times New Roman"/>
          <w:i/>
          <w:sz w:val="16"/>
          <w:szCs w:val="16"/>
        </w:rPr>
        <w:t xml:space="preserve">: </w:t>
      </w:r>
      <w:r>
        <w:rPr>
          <w:rFonts w:ascii="Times New Roman" w:hAnsi="Times New Roman"/>
          <w:i/>
          <w:iCs/>
          <w:sz w:val="16"/>
          <w:szCs w:val="16"/>
        </w:rPr>
        <w:t>kohtute haldamise nõukoja distsiplinaarmeetmeid käsitlevaid otsuseid saab edasi kaevata ülemkohtusse.</w:t>
      </w:r>
      <w:r>
        <w:rPr>
          <w:rFonts w:ascii="Times New Roman" w:hAnsi="Times New Roman"/>
          <w:i/>
          <w:sz w:val="16"/>
          <w:szCs w:val="16"/>
        </w:rPr>
        <w:t xml:space="preserve"> </w:t>
      </w:r>
      <w:r>
        <w:rPr>
          <w:rFonts w:ascii="Times New Roman" w:hAnsi="Times New Roman"/>
          <w:b/>
          <w:i/>
          <w:sz w:val="16"/>
          <w:szCs w:val="16"/>
        </w:rPr>
        <w:t>Läti:</w:t>
      </w:r>
      <w:r>
        <w:rPr>
          <w:rFonts w:ascii="Times New Roman" w:hAnsi="Times New Roman"/>
          <w:i/>
          <w:sz w:val="16"/>
          <w:szCs w:val="16"/>
        </w:rPr>
        <w:t xml:space="preserve"> distsiplinaarasju vaatab läbi kohtunike distsiplinaarkomisjon, mille liikmed nimetab kohtunike üldkogu. </w:t>
      </w:r>
      <w:r>
        <w:rPr>
          <w:rFonts w:ascii="Times New Roman" w:hAnsi="Times New Roman"/>
          <w:b/>
          <w:i/>
          <w:sz w:val="16"/>
          <w:szCs w:val="16"/>
        </w:rPr>
        <w:t>Hispaania:</w:t>
      </w:r>
      <w:r>
        <w:rPr>
          <w:rFonts w:ascii="Times New Roman" w:hAnsi="Times New Roman"/>
          <w:i/>
          <w:sz w:val="16"/>
          <w:szCs w:val="16"/>
        </w:rPr>
        <w:t xml:space="preserve"> kergemate distsiplinaarrikkumiste kohta teeb otsuseid rikkumise toime pannud kohtuniku tööpiirkonna asjaomase kohtu juhtkolleegium (üldkohus, üleriigiline kohus ja ülemkohus ning kohtute alusseaduse artikli 421 lõike 1 punkti a kohaselt isegi ülemkohtu esimehed, riiklik kogu ja kõrgem kohus, kuhu rikkumise toime pannud kohtunik kuulub). </w:t>
      </w:r>
      <w:r>
        <w:rPr>
          <w:rFonts w:ascii="Times New Roman" w:hAnsi="Times New Roman"/>
          <w:b/>
          <w:i/>
          <w:sz w:val="16"/>
          <w:szCs w:val="16"/>
        </w:rPr>
        <w:t>Leedu:</w:t>
      </w:r>
      <w:r>
        <w:rPr>
          <w:rFonts w:ascii="Times New Roman" w:hAnsi="Times New Roman"/>
          <w:sz w:val="16"/>
          <w:szCs w:val="16"/>
        </w:rPr>
        <w:t xml:space="preserve"> </w:t>
      </w:r>
      <w:r>
        <w:rPr>
          <w:rFonts w:ascii="Times New Roman" w:hAnsi="Times New Roman"/>
          <w:i/>
          <w:sz w:val="16"/>
          <w:szCs w:val="16"/>
        </w:rPr>
        <w:t xml:space="preserve">esimeses astmes teeb otsuse kohtunike aukohus, mille liikmed ja eesistuja (kohtute haldamise nõukoja valitud kohtunik) on sätestatud kohtute haldamise nõukoja määrusega. Aukohtu kuus kohtunikust liiget valib ja nimetab kohtute haldamise nõukoda, kaks liiget nimetab vabariigi president ja kaks liiget parlamendi (seimi) esimees. Teises astmes teeb otsuse ülemkohus. </w:t>
      </w:r>
      <w:r>
        <w:rPr>
          <w:rFonts w:ascii="Times New Roman" w:hAnsi="Times New Roman"/>
          <w:b/>
          <w:i/>
          <w:sz w:val="16"/>
          <w:szCs w:val="16"/>
        </w:rPr>
        <w:t>Ungari:</w:t>
      </w:r>
      <w:r>
        <w:rPr>
          <w:rFonts w:ascii="Times New Roman" w:hAnsi="Times New Roman"/>
          <w:i/>
          <w:sz w:val="16"/>
          <w:szCs w:val="16"/>
        </w:rPr>
        <w:t xml:space="preserve"> distsiplinaarasju vaatab läbi riikliku kohtunõukoja nimetatud teenistuskohus. Kohtu esimees võib määrata leebeima karistuse (hoiatuse), mida on võimalik teenistuskohtus vaidlustada. </w:t>
      </w:r>
      <w:r>
        <w:rPr>
          <w:rFonts w:ascii="Times New Roman" w:hAnsi="Times New Roman"/>
          <w:b/>
          <w:i/>
          <w:sz w:val="16"/>
          <w:szCs w:val="16"/>
        </w:rPr>
        <w:t>Malta:</w:t>
      </w:r>
      <w:r>
        <w:rPr>
          <w:rFonts w:ascii="Times New Roman" w:hAnsi="Times New Roman"/>
          <w:i/>
          <w:sz w:val="16"/>
          <w:szCs w:val="16"/>
        </w:rPr>
        <w:t xml:space="preserve"> otsuse teeb õigusemõistmise komisjonile alluv kohtunike komitee. Komiteesse kuulub kolm oma ametikaaslaste poolt valitud kohtunikku. </w:t>
      </w:r>
      <w:r>
        <w:rPr>
          <w:rFonts w:ascii="Times New Roman" w:hAnsi="Times New Roman"/>
          <w:b/>
          <w:i/>
          <w:sz w:val="16"/>
          <w:szCs w:val="16"/>
        </w:rPr>
        <w:t>Poola:</w:t>
      </w:r>
      <w:r>
        <w:rPr>
          <w:rFonts w:ascii="Times New Roman" w:hAnsi="Times New Roman"/>
          <w:i/>
          <w:sz w:val="16"/>
          <w:szCs w:val="16"/>
        </w:rPr>
        <w:t xml:space="preserve"> distsiplinaarkohtunikud valib justiitsminister pärast kohtute haldamise riikliku nõukojaga peetud mittesiduvaid konsultatsioone. Ülemkohtu distsiplinaarkolleegiumi puhul, kellele tehti muu hulgas ülesandeks teha teises kohtuastmes otsused kohtunike distsiplinaarasjade kohta, leiti ülemkohtu kolme määrusega, millega rakendati Euroopa Kohtu 19. novembri 2019. aasta otsust, et see ei ole ELi õiguse tähenduses sõltumatu kohus. </w:t>
      </w:r>
      <w:r>
        <w:rPr>
          <w:rFonts w:ascii="Times New Roman" w:hAnsi="Times New Roman"/>
          <w:b/>
          <w:i/>
          <w:sz w:val="16"/>
          <w:szCs w:val="16"/>
        </w:rPr>
        <w:t>Sloveenia:</w:t>
      </w:r>
      <w:r>
        <w:rPr>
          <w:rFonts w:ascii="Times New Roman" w:hAnsi="Times New Roman"/>
          <w:i/>
          <w:sz w:val="16"/>
          <w:szCs w:val="16"/>
        </w:rPr>
        <w:t xml:space="preserve"> distsiplinaarkohtu nimetab kohtute haldamise nõukoda oma liikmete ja ülemkohtu pakutud kohtunike hulgast. </w:t>
      </w:r>
      <w:r>
        <w:rPr>
          <w:rFonts w:ascii="Times New Roman" w:hAnsi="Times New Roman"/>
          <w:b/>
          <w:i/>
          <w:sz w:val="16"/>
          <w:szCs w:val="16"/>
        </w:rPr>
        <w:t>Slovakkia:</w:t>
      </w:r>
      <w:r>
        <w:rPr>
          <w:rFonts w:ascii="Times New Roman" w:hAnsi="Times New Roman"/>
          <w:i/>
          <w:sz w:val="16"/>
          <w:szCs w:val="16"/>
        </w:rPr>
        <w:t xml:space="preserve"> esimese astme kohtute esimeestel on õigus teha distsiplinaarkaristusena kirjalik hoiatus. Distsiplinaarkolleegiumid nimetab kohtute haldamise nõukoda. Ülemkohtu esimehe ja aseesimehe suhtes on distsiplinaarmenetlust pädev läbi viima konstitutsioonikohus. </w:t>
      </w:r>
      <w:r>
        <w:rPr>
          <w:rFonts w:ascii="Times New Roman" w:hAnsi="Times New Roman"/>
          <w:b/>
          <w:i/>
          <w:sz w:val="16"/>
          <w:szCs w:val="16"/>
        </w:rPr>
        <w:t>Rootsi:</w:t>
      </w:r>
      <w:r>
        <w:rPr>
          <w:rFonts w:ascii="Times New Roman" w:hAnsi="Times New Roman"/>
          <w:i/>
          <w:sz w:val="16"/>
          <w:szCs w:val="16"/>
        </w:rPr>
        <w:t xml:space="preserve"> eluaegsena ametisse määratud kohtuniku võib ametist tagandada üksnes juhul, kui ta on toime pannud raske kuriteo või jätnud oma kohustused korduvalt täitmata, näidates sellega, et ei ole ilmselgelt võimeline ametikohuseid täitma. Kui otsuse kohtunik ametist tagandada on teinud muu organ peale kohtu (praktikas riiklik distsiplinaarsüütegude amet), võib asjaomane kohtunik pöörduda kohtu poole tehtud otsuse läbivaatamiseks. Kohtunik võib otsuse vaidlustada oma piirkonnakohtus või ametiühingu toel töökohtus esimese astme kohtuna.</w:t>
      </w:r>
    </w:p>
    <w:p>
      <w:pPr>
        <w:spacing w:before="120" w:after="120" w:line="240" w:lineRule="auto"/>
        <w:jc w:val="both"/>
        <w:rPr>
          <w:rFonts w:ascii="Times New Roman" w:eastAsia="Times New Roman" w:hAnsi="Times New Roman" w:cs="Times New Roman"/>
          <w:sz w:val="24"/>
        </w:rPr>
      </w:pPr>
      <w:r>
        <w:rPr>
          <w:rFonts w:ascii="Times New Roman" w:hAnsi="Times New Roman"/>
          <w:sz w:val="24"/>
        </w:rPr>
        <w:t>Joonisel 50 antakse ajakohastatud ülevaade kohtunike distsiplinaarasju ametlikult uurivatest uurimisorganitest. See ei hõlma kohtueelset menetlust, mida tehakse selleks, et otsustada, kas alustada ametlikku distsiplinaarmenetlust. Uurimisetapp on distsiplinaarmenetluse eriti delikaatne osa, mis võib mõjutada kohtunike sõltumatust. Uurimispädevus võib olla a) tavalistel sõltumatutel organitel, näiteks kohtute esimeestel või kohtute haldamise nõukodadel või b) muudel uurijatel, kelle kohtute haldamise nõukoda, kohtunikud või muud organid nimetavad kohtunike distsiplinaarmenetluses uurimise läbiviimiseks.</w:t>
      </w:r>
    </w:p>
    <w:p>
      <w:pPr>
        <w:keepNext/>
        <w:spacing w:before="240" w:after="120" w:line="240" w:lineRule="auto"/>
        <w:jc w:val="both"/>
        <w:rPr>
          <w:rFonts w:ascii="Times New Roman" w:eastAsia="Times New Roman" w:hAnsi="Times New Roman" w:cs="Times New Roman"/>
          <w:sz w:val="24"/>
          <w:szCs w:val="24"/>
        </w:rPr>
      </w:pPr>
      <w:r>
        <w:rPr>
          <w:rFonts w:ascii="Times New Roman" w:hAnsi="Times New Roman"/>
          <w:b/>
          <w:sz w:val="24"/>
          <w:szCs w:val="24"/>
        </w:rPr>
        <w:t>Joonis </w:t>
      </w:r>
      <w:r>
        <w:fldChar w:fldCharType="begin"/>
      </w:r>
      <w:r>
        <w:rPr>
          <w:rFonts w:ascii="Times New Roman" w:eastAsia="Calibri" w:hAnsi="Times New Roman" w:cs="Times New Roman"/>
          <w:b/>
          <w:sz w:val="24"/>
          <w:szCs w:val="24"/>
        </w:rPr>
        <w:instrText xml:space="preserve"> SEQ Figure \* ARABIC </w:instrText>
      </w:r>
      <w:r>
        <w:rPr>
          <w:rFonts w:ascii="Times New Roman" w:eastAsia="Calibri" w:hAnsi="Times New Roman" w:cs="Times New Roman"/>
          <w:b/>
          <w:sz w:val="24"/>
          <w:szCs w:val="24"/>
        </w:rPr>
        <w:fldChar w:fldCharType="separate"/>
      </w:r>
      <w:r>
        <w:rPr>
          <w:rFonts w:ascii="Times New Roman" w:eastAsia="Calibri" w:hAnsi="Times New Roman" w:cs="Times New Roman"/>
          <w:b/>
          <w:sz w:val="24"/>
          <w:szCs w:val="24"/>
        </w:rPr>
        <w:t>50</w:t>
      </w:r>
      <w:r>
        <w:fldChar w:fldCharType="end"/>
      </w:r>
      <w:r>
        <w:t>.</w:t>
      </w:r>
      <w:r>
        <w:rPr>
          <w:rFonts w:ascii="Times New Roman" w:hAnsi="Times New Roman"/>
          <w:b/>
          <w:bCs/>
          <w:sz w:val="24"/>
          <w:szCs w:val="24"/>
        </w:rPr>
        <w:t xml:space="preserve"> Kohtunike ametlike distsiplinaarmenetluste eest vastutav uurija</w:t>
      </w:r>
      <w:r>
        <w:rPr>
          <w:rFonts w:ascii="Times New Roman" w:hAnsi="Times New Roman"/>
          <w:sz w:val="24"/>
          <w:szCs w:val="24"/>
        </w:rPr>
        <w:t>(*)(</w:t>
      </w:r>
      <w:r>
        <w:rPr>
          <w:rFonts w:ascii="Times New Roman" w:eastAsia="Times New Roman" w:hAnsi="Times New Roman" w:cs="Times New Roman"/>
          <w:sz w:val="24"/>
          <w:szCs w:val="24"/>
          <w:vertAlign w:val="superscript"/>
        </w:rPr>
        <w:footnoteReference w:id="108"/>
      </w:r>
      <w:r>
        <w:rPr>
          <w:rFonts w:ascii="Times New Roman" w:hAnsi="Times New Roman"/>
          <w:sz w:val="24"/>
          <w:szCs w:val="24"/>
        </w:rPr>
        <w:t>)</w:t>
      </w:r>
    </w:p>
    <w:p>
      <w:pPr>
        <w:spacing w:after="0" w:line="240" w:lineRule="auto"/>
        <w:jc w:val="both"/>
        <w:rPr>
          <w:lang w:eastAsia="et-EE"/>
        </w:rPr>
      </w:pPr>
      <w:r>
        <w:rPr>
          <w:lang w:val="en-GB" w:eastAsia="en-GB"/>
        </w:rPr>
        <w:drawing>
          <wp:inline distT="0" distB="0" distL="0" distR="0">
            <wp:extent cx="5977255" cy="1297286"/>
            <wp:effectExtent l="0" t="0" r="4445" b="0"/>
            <wp:docPr id="97334" name="Picture 97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977255" cy="1297286"/>
                    </a:xfrm>
                    <a:prstGeom prst="rect">
                      <a:avLst/>
                    </a:prstGeom>
                    <a:noFill/>
                    <a:ln>
                      <a:noFill/>
                    </a:ln>
                  </pic:spPr>
                </pic:pic>
              </a:graphicData>
            </a:graphic>
          </wp:inline>
        </w:drawing>
      </w:r>
    </w:p>
    <w:p>
      <w:pPr>
        <w:spacing w:after="0" w:line="240" w:lineRule="auto"/>
        <w:jc w:val="both"/>
        <w:rPr>
          <w:rFonts w:ascii="Times New Roman" w:eastAsia="Times New Roman" w:hAnsi="Times New Roman" w:cs="Times New Roman"/>
          <w:sz w:val="24"/>
          <w:szCs w:val="24"/>
        </w:rPr>
      </w:pPr>
      <w:r>
        <w:rPr>
          <w:rFonts w:ascii="Times New Roman" w:hAnsi="Times New Roman"/>
          <w:i/>
          <w:sz w:val="18"/>
          <w:szCs w:val="18"/>
        </w:rPr>
        <w:t xml:space="preserve">(*) </w:t>
      </w:r>
      <w:r>
        <w:rPr>
          <w:rFonts w:ascii="Times New Roman" w:hAnsi="Times New Roman"/>
          <w:b/>
          <w:i/>
          <w:sz w:val="18"/>
          <w:szCs w:val="18"/>
        </w:rPr>
        <w:t>Bulgaaria:</w:t>
      </w:r>
      <w:r>
        <w:rPr>
          <w:rFonts w:ascii="Times New Roman" w:hAnsi="Times New Roman"/>
          <w:i/>
          <w:sz w:val="18"/>
          <w:szCs w:val="18"/>
        </w:rPr>
        <w:t xml:space="preserve"> distsiplinaarasju uurib kohtu vastav haldusjuht [asjaolude puhul, mis võivad viia noomituse tegemiseni] või Bulgaaria kõrgema kohtute nõukoja kohtunike kolleegium (distsiplinaarkolleegium). Kõrgemate kohtute nõukoja inspektsioon teostab järelevalvet, mille alusel ta võib teha ettepanekuid distsiplinaarmenetluste algatamiseks. </w:t>
      </w:r>
      <w:r>
        <w:rPr>
          <w:rFonts w:ascii="Times New Roman" w:hAnsi="Times New Roman"/>
          <w:b/>
          <w:i/>
          <w:sz w:val="18"/>
          <w:szCs w:val="18"/>
        </w:rPr>
        <w:t>Tšehhi:</w:t>
      </w:r>
      <w:r>
        <w:rPr>
          <w:rFonts w:ascii="Times New Roman" w:hAnsi="Times New Roman"/>
          <w:i/>
          <w:sz w:val="18"/>
          <w:szCs w:val="18"/>
        </w:rPr>
        <w:t xml:space="preserve"> distsiplinaarmenetluse algatamise ettepaneku koostamiseks võib esialgseid uurimistoiminguid teha ka justiitsminister, kes üldjuhul konsulteerib selle kohtu esimehega, kus asjaomane kohtunik töötab.</w:t>
      </w:r>
      <w:r>
        <w:rPr>
          <w:rFonts w:ascii="Times New Roman" w:hAnsi="Times New Roman"/>
          <w:i/>
          <w:color w:val="000000" w:themeColor="text1"/>
          <w:sz w:val="18"/>
          <w:szCs w:val="18"/>
        </w:rPr>
        <w:t xml:space="preserve"> </w:t>
      </w:r>
      <w:r>
        <w:rPr>
          <w:rFonts w:ascii="Times New Roman" w:hAnsi="Times New Roman"/>
          <w:b/>
          <w:i/>
          <w:color w:val="000000" w:themeColor="text1"/>
          <w:sz w:val="18"/>
          <w:szCs w:val="18"/>
        </w:rPr>
        <w:t>Taani:</w:t>
      </w:r>
      <w:r>
        <w:rPr>
          <w:rFonts w:ascii="Times New Roman" w:hAnsi="Times New Roman"/>
          <w:i/>
          <w:color w:val="000000" w:themeColor="text1"/>
          <w:sz w:val="18"/>
          <w:szCs w:val="18"/>
        </w:rPr>
        <w:t xml:space="preserve"> igaüks võib esitada kaebuse süüdistuste esitamise ja läbivaatamise kohtule, mille asukohaks ja haldajaks on ülemkohus. Kohus teeb otsuse pärast mõlema poole ärakuulamist. Distsiplinaarasju võib uurida ka prokuratuuri juht. </w:t>
      </w:r>
      <w:r>
        <w:rPr>
          <w:rFonts w:ascii="Times New Roman" w:hAnsi="Times New Roman"/>
          <w:b/>
          <w:i/>
          <w:color w:val="000000" w:themeColor="text1"/>
          <w:sz w:val="18"/>
          <w:szCs w:val="18"/>
        </w:rPr>
        <w:t>Saksamaa:</w:t>
      </w:r>
      <w:r>
        <w:rPr>
          <w:rFonts w:ascii="Times New Roman" w:hAnsi="Times New Roman"/>
          <w:i/>
          <w:color w:val="000000" w:themeColor="text1"/>
          <w:sz w:val="18"/>
          <w:szCs w:val="18"/>
        </w:rPr>
        <w:t xml:space="preserve"> ametlik eeluurimisetapp puudub. Distsiplinaarasjades, mis puudutavad kergemaid distsiplinaarmeetmeid, näiteks noomitusi, hindavad asjaolusid kohtu esimees ja kõrgeim teenistusorgan (tavaliselt justiitsministeerium, nii liidumaade kui ka föderaalsel tasandil). Kõrgeim teenistusorgan otsustab, kas alustada kohtulikku distsiplinaarmenetlust. Kohtuliku distsiplinaarmenetluse korral teostab ametlikku uurimist kohus.</w:t>
      </w:r>
      <w:r>
        <w:rPr>
          <w:rFonts w:ascii="Times New Roman" w:hAnsi="Times New Roman"/>
          <w:i/>
          <w:color w:val="943634" w:themeColor="accent2" w:themeShade="BF"/>
          <w:sz w:val="18"/>
          <w:szCs w:val="18"/>
        </w:rPr>
        <w:t xml:space="preserve"> </w:t>
      </w:r>
      <w:r>
        <w:rPr>
          <w:rFonts w:ascii="Times New Roman" w:hAnsi="Times New Roman"/>
          <w:b/>
          <w:i/>
          <w:sz w:val="18"/>
          <w:szCs w:val="18"/>
        </w:rPr>
        <w:t>Eesti:</w:t>
      </w:r>
      <w:r>
        <w:rPr>
          <w:rFonts w:ascii="Times New Roman" w:hAnsi="Times New Roman"/>
          <w:i/>
          <w:sz w:val="18"/>
          <w:szCs w:val="18"/>
        </w:rPr>
        <w:t xml:space="preserve"> distsiplinaarasja võib uurida kohtu esimees või õiguskantsler. </w:t>
      </w:r>
      <w:r>
        <w:rPr>
          <w:rFonts w:ascii="Times New Roman" w:hAnsi="Times New Roman"/>
          <w:b/>
          <w:i/>
          <w:sz w:val="18"/>
          <w:szCs w:val="18"/>
        </w:rPr>
        <w:t>Iirimaa:</w:t>
      </w:r>
      <w:r>
        <w:rPr>
          <w:rFonts w:ascii="Times New Roman" w:hAnsi="Times New Roman"/>
          <w:i/>
          <w:sz w:val="18"/>
          <w:szCs w:val="18"/>
        </w:rPr>
        <w:t xml:space="preserve"> kohtunikud ei allu ühelegi distsiplinaarorganile ning nende suhtes ei kehti ükski distsiplinaarkord peale põhiseadusega ettenähtu. Selle järgi võib kohtuniku ametist tagandada kindlaksmääratud väärkäitumise või töövõimetuse tõttu ametist tagandamise otsustega, mille on heaks kiitnud parlamendi (Oireachtas) mõlemad kojad. </w:t>
      </w:r>
      <w:r>
        <w:rPr>
          <w:rFonts w:ascii="Times New Roman" w:hAnsi="Times New Roman"/>
          <w:b/>
          <w:i/>
          <w:sz w:val="18"/>
          <w:szCs w:val="18"/>
        </w:rPr>
        <w:t>Kreeka:</w:t>
      </w:r>
      <w:r>
        <w:rPr>
          <w:rFonts w:ascii="Times New Roman" w:hAnsi="Times New Roman"/>
          <w:i/>
          <w:sz w:val="18"/>
          <w:szCs w:val="18"/>
        </w:rPr>
        <w:t xml:space="preserve"> tsiviil- ja kriminaalkohtute puhul kohtunike uurimisorgan, mille liikmed valitakse kohtunike hulgast liisuheitmise teel. Halduskohtute puhul valitakse uurija liisuheitmise teel riiginõukogu liikmete hulgast. </w:t>
      </w:r>
      <w:r>
        <w:rPr>
          <w:rFonts w:ascii="Times New Roman" w:hAnsi="Times New Roman"/>
          <w:b/>
          <w:i/>
          <w:sz w:val="18"/>
          <w:szCs w:val="18"/>
        </w:rPr>
        <w:t>Hispaania:</w:t>
      </w:r>
      <w:r>
        <w:rPr>
          <w:rFonts w:ascii="Times New Roman" w:hAnsi="Times New Roman"/>
          <w:i/>
          <w:sz w:val="18"/>
          <w:szCs w:val="18"/>
        </w:rPr>
        <w:t xml:space="preserve"> distsiplinaarasja menetleja nimetatakse kohtunike üldnõukogu poolt. Distsiplinaarasja menetleja valitakse ülemkohtu kohtunike ja üle 25aastase õigusalase staažiga üldkohtunike seast ning oma mandaadi jooksul tegeleb ta üksnes distsiplinaarasja menetlemisega. </w:t>
      </w:r>
      <w:r>
        <w:rPr>
          <w:rFonts w:ascii="Times New Roman" w:hAnsi="Times New Roman"/>
          <w:b/>
          <w:i/>
          <w:sz w:val="18"/>
          <w:szCs w:val="18"/>
        </w:rPr>
        <w:t>Prantsusmaa:</w:t>
      </w:r>
      <w:r>
        <w:rPr>
          <w:rFonts w:ascii="Times New Roman" w:hAnsi="Times New Roman"/>
          <w:i/>
          <w:sz w:val="18"/>
          <w:szCs w:val="18"/>
        </w:rPr>
        <w:t xml:space="preserve"> kohtute haldamise nõukoja esimees valib asjaomase uurimise jaoks üks või kaks kohtute haldamise nõukoja liiget. Enne juhtumi nõukojale esitamist võib ministeerium nõuda aruande esitamist kohtunike uurimisorganile. </w:t>
      </w:r>
      <w:r>
        <w:rPr>
          <w:rFonts w:ascii="Times New Roman" w:hAnsi="Times New Roman"/>
          <w:b/>
          <w:i/>
          <w:sz w:val="18"/>
          <w:szCs w:val="18"/>
        </w:rPr>
        <w:t>Itaalia:</w:t>
      </w:r>
      <w:r>
        <w:rPr>
          <w:rFonts w:ascii="Times New Roman" w:hAnsi="Times New Roman"/>
          <w:i/>
          <w:sz w:val="18"/>
          <w:szCs w:val="18"/>
        </w:rPr>
        <w:t xml:space="preserve"> uurimisõigus on ülemkohtu peaprokuröril.</w:t>
      </w:r>
      <w:r>
        <w:t xml:space="preserve"> </w:t>
      </w:r>
      <w:r>
        <w:rPr>
          <w:rFonts w:ascii="Times New Roman" w:hAnsi="Times New Roman"/>
          <w:i/>
          <w:sz w:val="18"/>
          <w:szCs w:val="18"/>
        </w:rPr>
        <w:t xml:space="preserve">Haldusmenetluse õigus on justiitsministeeriumi peainspektsioonil. </w:t>
      </w:r>
      <w:r>
        <w:rPr>
          <w:rFonts w:ascii="Times New Roman" w:hAnsi="Times New Roman"/>
          <w:b/>
          <w:i/>
          <w:sz w:val="18"/>
          <w:szCs w:val="18"/>
        </w:rPr>
        <w:t>Küpros:</w:t>
      </w:r>
      <w:r>
        <w:rPr>
          <w:rFonts w:ascii="Times New Roman" w:hAnsi="Times New Roman"/>
          <w:i/>
          <w:sz w:val="18"/>
          <w:szCs w:val="18"/>
        </w:rPr>
        <w:t xml:space="preserve"> distsiplinaarasju uurib ülemkohtu nimetatud eeluurimiskohtunik. </w:t>
      </w:r>
      <w:r>
        <w:rPr>
          <w:rFonts w:ascii="Times New Roman" w:hAnsi="Times New Roman"/>
          <w:b/>
          <w:i/>
          <w:sz w:val="18"/>
          <w:szCs w:val="18"/>
        </w:rPr>
        <w:t>Läti:</w:t>
      </w:r>
      <w:r>
        <w:rPr>
          <w:rFonts w:ascii="Times New Roman" w:hAnsi="Times New Roman"/>
          <w:i/>
          <w:sz w:val="18"/>
          <w:szCs w:val="18"/>
        </w:rPr>
        <w:t xml:space="preserve"> distsiplinaarasju uurib kohtunike distsiplinaarkomisjon. </w:t>
      </w:r>
      <w:r>
        <w:rPr>
          <w:rFonts w:ascii="Times New Roman" w:hAnsi="Times New Roman"/>
          <w:b/>
          <w:i/>
          <w:sz w:val="18"/>
          <w:szCs w:val="18"/>
        </w:rPr>
        <w:t>Ungari:</w:t>
      </w:r>
      <w:r>
        <w:rPr>
          <w:rFonts w:ascii="Times New Roman" w:hAnsi="Times New Roman"/>
          <w:i/>
          <w:sz w:val="18"/>
          <w:szCs w:val="18"/>
        </w:rPr>
        <w:t xml:space="preserve"> distsiplinaarasju uurib teenistuskohtu (distsiplinaarkohus) nimetatud distsiplinaarvolinik. </w:t>
      </w:r>
      <w:r>
        <w:rPr>
          <w:rFonts w:ascii="Times New Roman" w:hAnsi="Times New Roman"/>
          <w:b/>
          <w:i/>
          <w:sz w:val="18"/>
          <w:szCs w:val="18"/>
        </w:rPr>
        <w:t>Leedu:</w:t>
      </w:r>
      <w:r>
        <w:rPr>
          <w:rFonts w:ascii="Times New Roman" w:hAnsi="Times New Roman"/>
          <w:i/>
          <w:sz w:val="18"/>
          <w:szCs w:val="18"/>
        </w:rPr>
        <w:t xml:space="preserve"> distsiplinaarasju uurib kohtunike eetika- ja distsiplinaarkomisjon, mille liikmed ja eesistuja (kelle valib kohtute haldamise nõukoda) on määratud kohtute haldamise nõukoja otsusega ning kuhu kuulub neli kohtute haldamise nõukoja nimetatud kohtunikku, kaks vabariigi presidendi nimetatud liiget ja üks parlamendi (seimi) esimehe nimetatud liige. Kohtunike eetika- ja distsiplinaarkomisjoni eesistuja võib asja uurimise ja uurimistulemuste esitamise delegeerida selle kohtu esimehele, kus kohtunik töötab, või kõrgema kohtu esimehele. </w:t>
      </w:r>
      <w:r>
        <w:rPr>
          <w:rFonts w:ascii="Times New Roman" w:hAnsi="Times New Roman"/>
          <w:b/>
          <w:i/>
          <w:sz w:val="18"/>
          <w:szCs w:val="18"/>
        </w:rPr>
        <w:t>Malta:</w:t>
      </w:r>
      <w:r>
        <w:rPr>
          <w:rFonts w:ascii="Times New Roman" w:hAnsi="Times New Roman"/>
          <w:i/>
          <w:sz w:val="18"/>
          <w:szCs w:val="18"/>
        </w:rPr>
        <w:t xml:space="preserve"> distsiplinaarasju uurib kohtunike komitee. </w:t>
      </w:r>
      <w:r>
        <w:rPr>
          <w:rFonts w:ascii="Times New Roman" w:hAnsi="Times New Roman"/>
          <w:b/>
          <w:i/>
          <w:sz w:val="18"/>
          <w:szCs w:val="18"/>
        </w:rPr>
        <w:t>Madalmaad:</w:t>
      </w:r>
      <w:r>
        <w:rPr>
          <w:rFonts w:ascii="Times New Roman" w:hAnsi="Times New Roman"/>
          <w:i/>
          <w:sz w:val="18"/>
          <w:szCs w:val="18"/>
        </w:rPr>
        <w:t xml:space="preserve"> distsiplinaarasju uurib peaprokurör. </w:t>
      </w:r>
      <w:r>
        <w:rPr>
          <w:rFonts w:ascii="Times New Roman" w:hAnsi="Times New Roman"/>
          <w:b/>
          <w:i/>
          <w:sz w:val="18"/>
          <w:szCs w:val="18"/>
        </w:rPr>
        <w:t xml:space="preserve">Poola: </w:t>
      </w:r>
      <w:r>
        <w:rPr>
          <w:rFonts w:ascii="Times New Roman" w:hAnsi="Times New Roman"/>
          <w:i/>
          <w:sz w:val="18"/>
          <w:szCs w:val="18"/>
        </w:rPr>
        <w:t xml:space="preserve">üldkohtute kohtunike distsiplinaarasjade uurimiseks nimetab justiitsminister distsiplinaarametniku ja tema kaks asetäitjat (nemad omakorda nimetavad oma asetäitjad kohtunike hulgast). Justiitsminister võib üle võtta mis tahes distsiplinaarasja uurimise, nimetades selleks justiitsministri ajutise distsiplinaarametniku. </w:t>
      </w:r>
      <w:r>
        <w:rPr>
          <w:rFonts w:ascii="Times New Roman" w:hAnsi="Times New Roman"/>
          <w:b/>
          <w:i/>
          <w:sz w:val="18"/>
          <w:szCs w:val="18"/>
        </w:rPr>
        <w:t>Portugal:</w:t>
      </w:r>
      <w:r>
        <w:rPr>
          <w:rFonts w:ascii="Times New Roman" w:hAnsi="Times New Roman"/>
          <w:i/>
          <w:sz w:val="18"/>
          <w:szCs w:val="18"/>
        </w:rPr>
        <w:t xml:space="preserve"> kohtunike nõukogu nimetab kohtunike uurimisorgani, mis uurib distsiplinaarasju. </w:t>
      </w:r>
      <w:r>
        <w:rPr>
          <w:rFonts w:ascii="Times New Roman" w:hAnsi="Times New Roman"/>
          <w:b/>
          <w:bCs/>
          <w:i/>
          <w:sz w:val="18"/>
          <w:szCs w:val="18"/>
        </w:rPr>
        <w:t>Rumeenia</w:t>
      </w:r>
      <w:r>
        <w:rPr>
          <w:rFonts w:ascii="Times New Roman" w:hAnsi="Times New Roman"/>
          <w:i/>
          <w:sz w:val="18"/>
          <w:szCs w:val="18"/>
        </w:rPr>
        <w:t xml:space="preserve">: distsiplinaarasju uurib kohtunike uurimisorgan. </w:t>
      </w:r>
      <w:r>
        <w:rPr>
          <w:rFonts w:ascii="Times New Roman" w:hAnsi="Times New Roman"/>
          <w:b/>
          <w:i/>
          <w:sz w:val="18"/>
          <w:szCs w:val="18"/>
        </w:rPr>
        <w:t>Sloveenia:</w:t>
      </w:r>
      <w:r>
        <w:rPr>
          <w:rFonts w:ascii="Times New Roman" w:hAnsi="Times New Roman"/>
          <w:i/>
          <w:sz w:val="18"/>
          <w:szCs w:val="18"/>
        </w:rPr>
        <w:t xml:space="preserve"> kohtute haldamise nõukoda nimetab distsiplinaarasjade uurimiseks distsiplinaarasjade prokuröri ülemkohtu pakutud kandidaatide hulgast. </w:t>
      </w:r>
      <w:r>
        <w:rPr>
          <w:rFonts w:ascii="Times New Roman" w:hAnsi="Times New Roman"/>
          <w:b/>
          <w:i/>
          <w:sz w:val="18"/>
          <w:szCs w:val="18"/>
        </w:rPr>
        <w:t>Slovakkia:</w:t>
      </w:r>
      <w:r>
        <w:rPr>
          <w:rFonts w:ascii="Times New Roman" w:hAnsi="Times New Roman"/>
          <w:i/>
          <w:sz w:val="18"/>
          <w:szCs w:val="18"/>
        </w:rPr>
        <w:t xml:space="preserve"> distsiplinaarasju uurib kohtute haldamise nõukoja nimetatud distsiplinaarkolleegium. </w:t>
      </w:r>
      <w:r>
        <w:rPr>
          <w:rFonts w:ascii="Times New Roman" w:hAnsi="Times New Roman"/>
          <w:b/>
          <w:i/>
          <w:sz w:val="18"/>
          <w:szCs w:val="18"/>
        </w:rPr>
        <w:t>Rootsi:</w:t>
      </w:r>
      <w:r>
        <w:rPr>
          <w:rFonts w:ascii="Times New Roman" w:hAnsi="Times New Roman"/>
          <w:i/>
          <w:sz w:val="18"/>
          <w:szCs w:val="18"/>
        </w:rPr>
        <w:t xml:space="preserve"> ametikohustuste raske rikkumise asjades tegutsevad prokuröridena parlamentaarsed ombudsmanid ja õiguskantsler.</w:t>
      </w:r>
    </w:p>
    <w:p>
      <w:pPr>
        <w:spacing w:before="240" w:after="120" w:line="240" w:lineRule="auto"/>
        <w:jc w:val="both"/>
        <w:rPr>
          <w:rFonts w:ascii="Times New Roman" w:eastAsia="Calibri" w:hAnsi="Times New Roman" w:cs="Times New Roman"/>
          <w:i/>
          <w:sz w:val="24"/>
        </w:rPr>
      </w:pPr>
      <w:r>
        <w:rPr>
          <w:rFonts w:ascii="Times New Roman" w:hAnsi="Times New Roman"/>
          <w:i/>
        </w:rPr>
        <w:t>– Kohtute haldamise nõukoja kohtunikest liikmete nimetamisel kohaldatavad kaitsemeetmed –</w:t>
      </w:r>
    </w:p>
    <w:p>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Kohtute haldamise nõukodadel on kohtusüsteemi sõltumatuse tagamisel väga tähtis roll. Liikmesriigid peavad ise sisse seadma oma kohtusüsteemi, sealhulgas otsustama, kas luua kohtute haldamise nõukoda või mitte. Väljakujunenud Euroopa normide, eelkõige soovituse CM/Rec(2010)12 kohaselt peaks aga vähemalt pool kohtute haldamise nõukodade liikmetest olema kohtunikud, kelle on valinud nende ametikaaslased kõikidelt kohtutasanditelt, järgides põhimõtet, et kohtunike seas peaks valitsema mitmekesisus(</w:t>
      </w:r>
      <w:r>
        <w:rPr>
          <w:rFonts w:ascii="Times New Roman" w:eastAsia="Times New Roman" w:hAnsi="Times New Roman" w:cs="Times New Roman"/>
          <w:sz w:val="24"/>
          <w:szCs w:val="24"/>
          <w:vertAlign w:val="superscript"/>
        </w:rPr>
        <w:footnoteReference w:id="109"/>
      </w:r>
      <w:r>
        <w:rPr>
          <w:rFonts w:ascii="Times New Roman" w:hAnsi="Times New Roman"/>
          <w:sz w:val="24"/>
          <w:szCs w:val="24"/>
        </w:rPr>
        <w:t xml:space="preserve">). Järgmisel joonisel on näha, kas kohtud osalevad kohtute haldamise nõukodade kohtunikest liikmete nimetamises. </w:t>
      </w:r>
    </w:p>
    <w:p>
      <w:pPr>
        <w:spacing w:before="240" w:after="120" w:line="240" w:lineRule="auto"/>
        <w:jc w:val="both"/>
        <w:rPr>
          <w:rFonts w:ascii="Times New Roman" w:eastAsia="Times New Roman" w:hAnsi="Times New Roman" w:cs="Times New Roman"/>
          <w:b/>
          <w:sz w:val="24"/>
          <w:szCs w:val="24"/>
        </w:rPr>
      </w:pPr>
      <w:r>
        <w:rPr>
          <w:rFonts w:ascii="Times New Roman" w:hAnsi="Times New Roman"/>
          <w:b/>
          <w:bCs/>
          <w:sz w:val="24"/>
          <w:szCs w:val="24"/>
        </w:rPr>
        <w:t>Joonis </w:t>
      </w:r>
      <w:r>
        <w:fldChar w:fldCharType="begin"/>
      </w:r>
      <w:r>
        <w:rPr>
          <w:rFonts w:ascii="Times New Roman" w:eastAsia="Calibri" w:hAnsi="Times New Roman" w:cs="Times New Roman"/>
          <w:b/>
          <w:sz w:val="24"/>
          <w:szCs w:val="24"/>
        </w:rPr>
        <w:instrText xml:space="preserve"> SEQ Figure \* ARABIC </w:instrText>
      </w:r>
      <w:r>
        <w:rPr>
          <w:rFonts w:ascii="Times New Roman" w:eastAsia="Calibri" w:hAnsi="Times New Roman" w:cs="Times New Roman"/>
          <w:b/>
          <w:sz w:val="24"/>
          <w:szCs w:val="24"/>
        </w:rPr>
        <w:fldChar w:fldCharType="separate"/>
      </w:r>
      <w:r>
        <w:rPr>
          <w:rFonts w:ascii="Times New Roman" w:eastAsia="Calibri" w:hAnsi="Times New Roman" w:cs="Times New Roman"/>
          <w:b/>
          <w:sz w:val="24"/>
          <w:szCs w:val="24"/>
        </w:rPr>
        <w:t>51</w:t>
      </w:r>
      <w:r>
        <w:fldChar w:fldCharType="end"/>
      </w:r>
      <w:r>
        <w:t>.</w:t>
      </w:r>
      <w:r>
        <w:rPr>
          <w:rFonts w:ascii="Times New Roman" w:hAnsi="Times New Roman"/>
          <w:b/>
          <w:bCs/>
          <w:sz w:val="24"/>
          <w:szCs w:val="24"/>
        </w:rPr>
        <w:t xml:space="preserve"> Kohtunikest liikmete nimetamine kohtute haldamise nõukodadesse: kohtute kaasamine</w:t>
      </w:r>
      <w:r>
        <w:rPr>
          <w:rFonts w:ascii="Times New Roman" w:hAnsi="Times New Roman"/>
          <w:sz w:val="24"/>
          <w:szCs w:val="24"/>
        </w:rPr>
        <w:t>(*) (</w:t>
      </w:r>
      <w:r>
        <w:rPr>
          <w:rFonts w:ascii="Times New Roman" w:eastAsia="Times New Roman" w:hAnsi="Times New Roman" w:cs="Times New Roman"/>
          <w:sz w:val="24"/>
          <w:szCs w:val="24"/>
          <w:vertAlign w:val="superscript"/>
        </w:rPr>
        <w:footnoteReference w:id="110"/>
      </w:r>
      <w:r>
        <w:rPr>
          <w:rFonts w:ascii="Times New Roman" w:hAnsi="Times New Roman"/>
          <w:sz w:val="24"/>
          <w:szCs w:val="24"/>
        </w:rPr>
        <w:t>)</w:t>
      </w:r>
    </w:p>
    <w:p>
      <w:pPr>
        <w:spacing w:after="0" w:line="240" w:lineRule="auto"/>
        <w:jc w:val="both"/>
        <w:rPr>
          <w:rFonts w:ascii="Times New Roman" w:hAnsi="Times New Roman"/>
          <w:i/>
          <w:sz w:val="20"/>
        </w:rPr>
      </w:pPr>
      <w:r>
        <w:rPr>
          <w:lang w:val="en-GB" w:eastAsia="en-GB"/>
        </w:rPr>
        <w:drawing>
          <wp:inline distT="0" distB="0" distL="0" distR="0">
            <wp:extent cx="5977255" cy="1606614"/>
            <wp:effectExtent l="0" t="0" r="4445" b="0"/>
            <wp:docPr id="97336" name="Picture 97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977255" cy="1606614"/>
                    </a:xfrm>
                    <a:prstGeom prst="rect">
                      <a:avLst/>
                    </a:prstGeom>
                    <a:noFill/>
                    <a:ln>
                      <a:noFill/>
                    </a:ln>
                  </pic:spPr>
                </pic:pic>
              </a:graphicData>
            </a:graphic>
          </wp:inline>
        </w:drawing>
      </w:r>
    </w:p>
    <w:p>
      <w:pPr>
        <w:spacing w:after="0" w:line="240" w:lineRule="auto"/>
        <w:jc w:val="both"/>
        <w:rPr>
          <w:rFonts w:ascii="Times New Roman" w:eastAsia="Times New Roman" w:hAnsi="Times New Roman" w:cs="Times New Roman"/>
          <w:sz w:val="24"/>
        </w:rPr>
      </w:pPr>
      <w:r>
        <w:rPr>
          <w:rFonts w:ascii="Times New Roman" w:hAnsi="Times New Roman"/>
          <w:i/>
          <w:sz w:val="20"/>
        </w:rPr>
        <w:t xml:space="preserve">(*) Liikmesriigid on esitatud nende originaalkeelsete geograafiliste nimede tähestikulises järjekorras. Joonisel on esitatud riiklikud raamistikud 2019. aasta detsembri seisuga. </w:t>
      </w:r>
      <w:r>
        <w:rPr>
          <w:rFonts w:ascii="Times New Roman" w:hAnsi="Times New Roman"/>
          <w:b/>
          <w:i/>
          <w:sz w:val="20"/>
        </w:rPr>
        <w:t>Taani:</w:t>
      </w:r>
      <w:r>
        <w:rPr>
          <w:rFonts w:ascii="Times New Roman" w:hAnsi="Times New Roman"/>
          <w:i/>
          <w:sz w:val="20"/>
        </w:rPr>
        <w:t xml:space="preserve"> kohtunikud valivad nõukodade kohtunikest liikmed. Kõik liikmed nimetab ametlikult ametisse justiitsminister. </w:t>
      </w:r>
      <w:r>
        <w:rPr>
          <w:rFonts w:ascii="Times New Roman" w:hAnsi="Times New Roman"/>
          <w:b/>
          <w:i/>
          <w:sz w:val="20"/>
        </w:rPr>
        <w:t>Kreeka:</w:t>
      </w:r>
      <w:r>
        <w:rPr>
          <w:rFonts w:ascii="Times New Roman" w:hAnsi="Times New Roman"/>
          <w:i/>
          <w:sz w:val="20"/>
        </w:rPr>
        <w:t xml:space="preserve"> kohtunikest liikmed valitakse liisuheitmise teel. </w:t>
      </w:r>
      <w:r>
        <w:rPr>
          <w:rFonts w:ascii="Times New Roman" w:hAnsi="Times New Roman"/>
          <w:b/>
          <w:i/>
          <w:sz w:val="20"/>
        </w:rPr>
        <w:t>Hispaania:</w:t>
      </w:r>
      <w:r>
        <w:rPr>
          <w:rFonts w:ascii="Times New Roman" w:hAnsi="Times New Roman"/>
          <w:i/>
          <w:sz w:val="20"/>
        </w:rPr>
        <w:t xml:space="preserve"> kohtunikest liikmed nimetab parlament – nõukoda edastab parlamendile nimekirja kandidaatidest, kes on saanud kohtunike liidu või vähemalt 25 kohtuniku toetuse. </w:t>
      </w:r>
      <w:r>
        <w:rPr>
          <w:rFonts w:ascii="Times New Roman" w:hAnsi="Times New Roman"/>
          <w:b/>
          <w:i/>
          <w:sz w:val="20"/>
        </w:rPr>
        <w:t>Madalmaad:</w:t>
      </w:r>
      <w:r>
        <w:rPr>
          <w:rFonts w:ascii="Times New Roman" w:hAnsi="Times New Roman"/>
          <w:i/>
          <w:sz w:val="20"/>
        </w:rPr>
        <w:t xml:space="preserve"> kohtunikud valivad kohtunikest liikmed. Liikmed nimetatakse nõukoja ettepanekul, mis põhineb muu hulgas (peamiselt kohtunikest ja kohtutöötajatest koosneva) valikukomisjoni nõuannetel. Kõik nõukoja liikmed nimetatakse ametlikult ametisse kuningliku dekreediga – haldusaktiga, mis ei jäta täidesaatvale võimule mingit kaalutlusõigust. </w:t>
      </w:r>
      <w:r>
        <w:rPr>
          <w:rFonts w:ascii="Times New Roman" w:hAnsi="Times New Roman"/>
          <w:b/>
          <w:i/>
          <w:sz w:val="20"/>
        </w:rPr>
        <w:t>Poola:</w:t>
      </w:r>
      <w:r>
        <w:rPr>
          <w:rFonts w:ascii="Times New Roman" w:hAnsi="Times New Roman"/>
          <w:i/>
          <w:sz w:val="20"/>
        </w:rPr>
        <w:t xml:space="preserve"> kohtunikest liikmekandidaatide esitajaks on vähemalt 2 000 kodanikust või 25 kohtunikust koosnevad rühmad. Kandidaatide seast valivad parlamendirühmad välja kuni üheksa kandidaati. Parlamendi alamkoja (seimi) komisjon koostab neist lõpliku nimekirja, kuhu kuulub 15 kandidaati, kelle seim ametisse nimetab. </w:t>
      </w:r>
      <w:r>
        <w:rPr>
          <w:rFonts w:ascii="Times New Roman" w:hAnsi="Times New Roman"/>
          <w:b/>
          <w:i/>
          <w:sz w:val="20"/>
        </w:rPr>
        <w:t>Rumeenia:</w:t>
      </w:r>
      <w:r>
        <w:rPr>
          <w:rFonts w:ascii="Times New Roman" w:hAnsi="Times New Roman"/>
          <w:i/>
          <w:sz w:val="20"/>
        </w:rPr>
        <w:t xml:space="preserve"> kampaania ja kohtunikest liikmete valimise korraldab kohtunike kõrgem kogu. Pärast valituks osutunud kohtunikest liikmete lõpliku nimekirja kinnitamist kinnitab senat selle tervikuna. Senat võib keelduda nimekirja kinnitamisest üksnes juhul, kui nõukoja liikmete valimise menetluses on rikutud seadust ja see rikkumine on mõjutanud valimistulemust. Senatil ei ole kandidaatide valiku osas kaalutlusõigust. </w:t>
      </w:r>
    </w:p>
    <w:p>
      <w:pPr>
        <w:spacing w:before="120" w:after="120" w:line="240" w:lineRule="auto"/>
        <w:jc w:val="both"/>
        <w:rPr>
          <w:rFonts w:ascii="Arial" w:hAnsi="Arial" w:cs="Arial"/>
          <w:sz w:val="23"/>
          <w:szCs w:val="23"/>
        </w:rPr>
      </w:pPr>
      <w:r>
        <w:rPr>
          <w:rFonts w:ascii="Times New Roman" w:hAnsi="Times New Roman"/>
          <w:sz w:val="24"/>
        </w:rPr>
        <w:t>Joonisel on näha kohtute haldamise nõukodade(</w:t>
      </w:r>
      <w:r>
        <w:rPr>
          <w:rStyle w:val="FootnoteReference"/>
          <w:rFonts w:ascii="Times New Roman" w:eastAsia="Times New Roman" w:hAnsi="Times New Roman" w:cs="Times New Roman"/>
          <w:sz w:val="24"/>
        </w:rPr>
        <w:footnoteReference w:id="111"/>
      </w:r>
      <w:r>
        <w:rPr>
          <w:rFonts w:ascii="Times New Roman" w:hAnsi="Times New Roman"/>
          <w:sz w:val="24"/>
        </w:rPr>
        <w:t>) koosseis liikmete ametisse nimetamise protsessist lähtudes. Eelkõige on näha, kas nõukodade liikmed on nende ametikaaslaste pakutud ja valitud kohtunikud/prokurörid, täidesaatva võimu või seadusandja nimetatud liikmed või muude organite ja ametite nimetatud liikmed. Vähemalt pooled kohtunike nõukogude liikmetest peaksid olema kohtunikud, kelle on valinud nende ametikaaslased kohtu kõikidelt tasanditelt, järgides põhimõtet, et kohtunike seas peaks valitsema mitmekesisus(</w:t>
      </w:r>
      <w:r>
        <w:rPr>
          <w:rStyle w:val="FootnoteReference"/>
          <w:rFonts w:ascii="Times New Roman" w:eastAsia="Times New Roman" w:hAnsi="Times New Roman" w:cs="Times New Roman"/>
          <w:sz w:val="24"/>
        </w:rPr>
        <w:footnoteReference w:id="112"/>
      </w:r>
      <w:r>
        <w:rPr>
          <w:rFonts w:ascii="Times New Roman" w:hAnsi="Times New Roman"/>
          <w:sz w:val="24"/>
        </w:rPr>
        <w:t xml:space="preserve">). Joonisel on esitatud kohtute haldamise nõukodade tegelik koosseis ja sellega ei hinnata nende toimimise tõhusust. </w:t>
      </w:r>
    </w:p>
    <w:p>
      <w:pPr>
        <w:keepNext/>
        <w:spacing w:before="240" w:after="120" w:line="240" w:lineRule="auto"/>
        <w:jc w:val="both"/>
        <w:rPr>
          <w:rFonts w:ascii="Times New Roman" w:eastAsia="Times New Roman" w:hAnsi="Times New Roman" w:cs="Times New Roman"/>
          <w:b/>
          <w:bCs/>
          <w:sz w:val="24"/>
          <w:szCs w:val="24"/>
        </w:rPr>
      </w:pPr>
      <w:r>
        <w:rPr>
          <w:rFonts w:ascii="Times New Roman" w:hAnsi="Times New Roman"/>
          <w:b/>
          <w:sz w:val="24"/>
          <w:szCs w:val="24"/>
        </w:rPr>
        <w:t>Joonis </w:t>
      </w:r>
      <w:r>
        <w:fldChar w:fldCharType="begin"/>
      </w:r>
      <w:r>
        <w:rPr>
          <w:rFonts w:ascii="Times New Roman" w:eastAsia="Calibri" w:hAnsi="Times New Roman" w:cs="Times New Roman"/>
          <w:b/>
          <w:sz w:val="24"/>
          <w:szCs w:val="24"/>
        </w:rPr>
        <w:instrText xml:space="preserve"> SEQ Figure \* ARABIC </w:instrText>
      </w:r>
      <w:r>
        <w:rPr>
          <w:rFonts w:ascii="Times New Roman" w:eastAsia="Calibri" w:hAnsi="Times New Roman" w:cs="Times New Roman"/>
          <w:b/>
          <w:sz w:val="24"/>
          <w:szCs w:val="24"/>
        </w:rPr>
        <w:fldChar w:fldCharType="separate"/>
      </w:r>
      <w:r>
        <w:rPr>
          <w:rFonts w:ascii="Times New Roman" w:eastAsia="Calibri" w:hAnsi="Times New Roman" w:cs="Times New Roman"/>
          <w:b/>
          <w:sz w:val="24"/>
          <w:szCs w:val="24"/>
        </w:rPr>
        <w:t>52</w:t>
      </w:r>
      <w:r>
        <w:fldChar w:fldCharType="end"/>
      </w:r>
      <w:r>
        <w:t>.</w:t>
      </w:r>
      <w:r>
        <w:rPr>
          <w:rFonts w:ascii="Times New Roman" w:hAnsi="Times New Roman"/>
          <w:b/>
          <w:bCs/>
          <w:sz w:val="24"/>
          <w:szCs w:val="24"/>
        </w:rPr>
        <w:t xml:space="preserve"> Kohtute haldamise nõukodade koosseis liikmete ametisse nimetamise protsessist lähtudes(*)</w:t>
      </w:r>
    </w:p>
    <w:p>
      <w:pPr>
        <w:spacing w:after="0" w:line="240" w:lineRule="auto"/>
        <w:jc w:val="both"/>
      </w:pPr>
      <w:r>
        <w:rPr>
          <w:lang w:val="en-GB" w:eastAsia="en-GB"/>
        </w:rPr>
        <w:drawing>
          <wp:inline distT="0" distB="0" distL="0" distR="0">
            <wp:extent cx="5977255" cy="1872615"/>
            <wp:effectExtent l="0" t="0" r="4445" b="0"/>
            <wp:docPr id="97345" name="Picture 97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5977255" cy="1872615"/>
                    </a:xfrm>
                    <a:prstGeom prst="rect">
                      <a:avLst/>
                    </a:prstGeom>
                  </pic:spPr>
                </pic:pic>
              </a:graphicData>
            </a:graphic>
          </wp:inline>
        </w:drawing>
      </w:r>
    </w:p>
    <w:p>
      <w:pPr>
        <w:spacing w:after="0" w:line="240" w:lineRule="auto"/>
        <w:jc w:val="right"/>
      </w:pPr>
      <w:r>
        <w:rPr>
          <w:lang w:val="en-GB" w:eastAsia="en-GB"/>
        </w:rPr>
        <w:drawing>
          <wp:inline distT="0" distB="0" distL="0" distR="0">
            <wp:extent cx="5977255" cy="425450"/>
            <wp:effectExtent l="0" t="0" r="4445" b="0"/>
            <wp:docPr id="97346" name="Picture 97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5977255" cy="425450"/>
                    </a:xfrm>
                    <a:prstGeom prst="rect">
                      <a:avLst/>
                    </a:prstGeom>
                  </pic:spPr>
                </pic:pic>
              </a:graphicData>
            </a:graphic>
          </wp:inline>
        </w:drawing>
      </w:r>
      <w:r>
        <w:rPr>
          <w:lang w:val="en-GB" w:eastAsia="en-GB"/>
        </w:rPr>
        <w:drawing>
          <wp:inline distT="0" distB="0" distL="0" distR="0">
            <wp:extent cx="5977255" cy="943610"/>
            <wp:effectExtent l="0" t="0" r="4445" b="8890"/>
            <wp:docPr id="97348" name="Picture 97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5977255" cy="943610"/>
                    </a:xfrm>
                    <a:prstGeom prst="rect">
                      <a:avLst/>
                    </a:prstGeom>
                  </pic:spPr>
                </pic:pic>
              </a:graphicData>
            </a:graphic>
          </wp:inline>
        </w:drawing>
      </w:r>
    </w:p>
    <w:p>
      <w:pPr>
        <w:spacing w:after="0" w:line="240" w:lineRule="auto"/>
        <w:jc w:val="both"/>
        <w:rPr>
          <w:rFonts w:ascii="Times New Roman" w:eastAsia="Calibri" w:hAnsi="Times New Roman" w:cs="Times New Roman"/>
          <w:i/>
        </w:rPr>
      </w:pPr>
      <w:r>
        <w:rPr>
          <w:rFonts w:ascii="Times New Roman" w:hAnsi="Times New Roman"/>
          <w:i/>
          <w:sz w:val="16"/>
          <w:szCs w:val="18"/>
        </w:rPr>
        <w:t xml:space="preserve">(*) </w:t>
      </w:r>
      <w:r>
        <w:rPr>
          <w:rFonts w:ascii="Times New Roman" w:hAnsi="Times New Roman"/>
          <w:b/>
          <w:bCs/>
          <w:i/>
          <w:sz w:val="16"/>
          <w:szCs w:val="18"/>
        </w:rPr>
        <w:t>Belgia</w:t>
      </w:r>
      <w:r>
        <w:rPr>
          <w:rFonts w:ascii="Times New Roman" w:hAnsi="Times New Roman"/>
          <w:i/>
          <w:sz w:val="16"/>
          <w:szCs w:val="18"/>
        </w:rPr>
        <w:t xml:space="preserve">: kohtu liikmed on kas kohtunikud või prokurörid; </w:t>
      </w:r>
      <w:r>
        <w:rPr>
          <w:rFonts w:ascii="Times New Roman" w:hAnsi="Times New Roman"/>
          <w:b/>
          <w:i/>
          <w:sz w:val="16"/>
          <w:szCs w:val="18"/>
        </w:rPr>
        <w:t>Bulgaaria:</w:t>
      </w:r>
      <w:r>
        <w:rPr>
          <w:rFonts w:ascii="Times New Roman" w:hAnsi="Times New Roman"/>
          <w:i/>
          <w:sz w:val="16"/>
          <w:szCs w:val="18"/>
        </w:rPr>
        <w:t xml:space="preserve"> kõrgem kohtute nõukoda koosneb kohtunike kolleegiumist (14 liiget, nende seas ülemkohtu ja kõrgema halduskohtu esimees, kuus otse kohtunike valitud liiget ja kuus riikliku assamblee valitud liiget) ja prokuröride kolleegiumist (11 liiget, nende seas peaprokurör, neli otse prokuröride valitud liiget, üks otse uurijate valitud liige ja viis riikliku assamblee valitud liiget); </w:t>
      </w:r>
      <w:r>
        <w:rPr>
          <w:rFonts w:ascii="Times New Roman" w:hAnsi="Times New Roman"/>
          <w:b/>
          <w:i/>
          <w:sz w:val="16"/>
          <w:szCs w:val="18"/>
        </w:rPr>
        <w:t>Taani:</w:t>
      </w:r>
      <w:r>
        <w:rPr>
          <w:rFonts w:ascii="Times New Roman" w:hAnsi="Times New Roman"/>
          <w:i/>
          <w:sz w:val="16"/>
          <w:szCs w:val="18"/>
        </w:rPr>
        <w:t xml:space="preserve"> Taanis määrab kõik riikliku kohtuadministratsiooni liikmed ametlikult ametisse justiitsminister; kategooria „ametisse määratud / nimetatud teiste organite/asutuste poolt“ hõlmab kahte kohtuesindajat (ametisse nimetanud haldustöötajate liit ja politseiliit). Lisaks tegutseb kohtunike ametisse määramise nõukogu, kes valmistab ette kohtunike ametisse nimetamise ettepanekuid (pooled selle liikmetest on ametikaaslaste valitud kohtunikud); </w:t>
      </w:r>
      <w:r>
        <w:rPr>
          <w:rFonts w:ascii="Times New Roman" w:hAnsi="Times New Roman"/>
          <w:b/>
          <w:i/>
          <w:sz w:val="16"/>
          <w:szCs w:val="18"/>
        </w:rPr>
        <w:t>Iirimaa:</w:t>
      </w:r>
      <w:r>
        <w:rPr>
          <w:rFonts w:ascii="Times New Roman" w:hAnsi="Times New Roman"/>
          <w:i/>
          <w:sz w:val="16"/>
          <w:szCs w:val="18"/>
        </w:rPr>
        <w:t xml:space="preserve"> joonis kajastab kohtuteenistuse (Euroopa kohtute haldamise nõukodade võrgustiku liikme) koosseisu vastavalt 2019. aasta detsembri alguses kehtinud raamistikule. 17. detsembril 2019 asutati vastavalt 2019. aasta kohtute nõukoja seadusele ametlikult uus kohtute nõukoda. Kõiki Iirimaa kohtunikke kaasava kohtute nõukoja esimene täiskogu istung toimus 7. veebruaril 2020. </w:t>
      </w:r>
      <w:r>
        <w:rPr>
          <w:rFonts w:ascii="Times New Roman" w:hAnsi="Times New Roman"/>
          <w:b/>
          <w:i/>
          <w:sz w:val="16"/>
          <w:szCs w:val="18"/>
        </w:rPr>
        <w:t>Hispaania:</w:t>
      </w:r>
      <w:r>
        <w:rPr>
          <w:rFonts w:ascii="Times New Roman" w:hAnsi="Times New Roman"/>
          <w:i/>
          <w:sz w:val="16"/>
          <w:szCs w:val="18"/>
        </w:rPr>
        <w:t xml:space="preserve"> kohtutest pärit nõukoja liikmed määrab ametisse parlament – nõukogu edastab parlamendile nende kandidaatide nimekirja, kes on saanud kohtunike liidu või vähemalt 25 kohtuniku toetuse; </w:t>
      </w:r>
      <w:r>
        <w:rPr>
          <w:rFonts w:ascii="Times New Roman" w:hAnsi="Times New Roman"/>
          <w:b/>
          <w:i/>
          <w:sz w:val="16"/>
          <w:szCs w:val="18"/>
        </w:rPr>
        <w:t>Kreeka (tsiviil- ja kriminaalkohus):</w:t>
      </w:r>
      <w:r>
        <w:rPr>
          <w:rFonts w:ascii="Times New Roman" w:hAnsi="Times New Roman"/>
          <w:i/>
          <w:sz w:val="16"/>
          <w:szCs w:val="18"/>
        </w:rPr>
        <w:t xml:space="preserve"> nõukojal on kokku 11/15 liiget, kellest 7/11 on kohtunikud. Kohtunikud ja prokurörid valitakse liisuheitmise teel. </w:t>
      </w:r>
      <w:r>
        <w:rPr>
          <w:rFonts w:ascii="Times New Roman" w:hAnsi="Times New Roman"/>
          <w:b/>
          <w:i/>
          <w:sz w:val="16"/>
          <w:szCs w:val="18"/>
        </w:rPr>
        <w:t>Kreeka (halduskohus):</w:t>
      </w:r>
      <w:r>
        <w:rPr>
          <w:rFonts w:ascii="Times New Roman" w:hAnsi="Times New Roman"/>
          <w:i/>
          <w:sz w:val="16"/>
          <w:szCs w:val="18"/>
        </w:rPr>
        <w:t xml:space="preserve"> nõukojal on kokku 11/15 liiget, kellest 10/14 on kohtunikud, kes valitakse liisuheitmise teel. </w:t>
      </w:r>
      <w:r>
        <w:rPr>
          <w:rFonts w:ascii="Times New Roman" w:hAnsi="Times New Roman"/>
          <w:b/>
          <w:bCs/>
          <w:i/>
          <w:sz w:val="16"/>
          <w:szCs w:val="18"/>
        </w:rPr>
        <w:t>Prantsusmaa:</w:t>
      </w:r>
      <w:r>
        <w:rPr>
          <w:rFonts w:ascii="Times New Roman" w:hAnsi="Times New Roman"/>
          <w:i/>
          <w:sz w:val="16"/>
          <w:szCs w:val="18"/>
        </w:rPr>
        <w:t xml:space="preserve"> nõukojal on kaks koosseisu – ühel on jurisdiktsioon tegutsevate kohtunike, teisel prokuröride suhtes; nõukotta kuulub üks Conseil d’Etat’ (riiginõukogu) liige, kelle on valinud Conseil d’Etat’ üldkogu; </w:t>
      </w:r>
      <w:r>
        <w:rPr>
          <w:rFonts w:ascii="Times New Roman" w:hAnsi="Times New Roman"/>
          <w:b/>
          <w:i/>
          <w:sz w:val="16"/>
          <w:szCs w:val="18"/>
        </w:rPr>
        <w:t>Itaalia-CSM:</w:t>
      </w:r>
      <w:r>
        <w:rPr>
          <w:rFonts w:ascii="Times New Roman" w:hAnsi="Times New Roman"/>
          <w:i/>
          <w:sz w:val="16"/>
          <w:szCs w:val="18"/>
        </w:rPr>
        <w:t xml:space="preserve"> Consiglio Superiore della Magistratura (hõlmab tsiviil- ja kriminaalkohtuid ning prokuratuuri); põhiseaduse kohaselt on selle liikmed ametikohustustest tulenevalt vabariigi president, ülemkohtu esimees ja ülemkohtu peaprokurör. </w:t>
      </w:r>
      <w:r>
        <w:rPr>
          <w:rFonts w:ascii="Times New Roman" w:hAnsi="Times New Roman"/>
          <w:b/>
          <w:i/>
          <w:sz w:val="16"/>
          <w:szCs w:val="18"/>
        </w:rPr>
        <w:t>Itaalia-CPGA:</w:t>
      </w:r>
      <w:r>
        <w:rPr>
          <w:rFonts w:ascii="Times New Roman" w:hAnsi="Times New Roman"/>
          <w:i/>
          <w:sz w:val="16"/>
          <w:szCs w:val="18"/>
        </w:rPr>
        <w:t xml:space="preserve"> Consiglio di presidenza della giustizia amministrativa (hõlmab halduskohtuid); </w:t>
      </w:r>
      <w:r>
        <w:rPr>
          <w:rFonts w:ascii="Times New Roman" w:hAnsi="Times New Roman"/>
          <w:b/>
          <w:i/>
          <w:sz w:val="16"/>
          <w:szCs w:val="18"/>
        </w:rPr>
        <w:t>Malta:</w:t>
      </w:r>
      <w:r>
        <w:rPr>
          <w:rFonts w:ascii="Times New Roman" w:hAnsi="Times New Roman"/>
          <w:i/>
          <w:sz w:val="16"/>
          <w:szCs w:val="18"/>
        </w:rPr>
        <w:t xml:space="preserve"> opositsiooni juht määrab ühe koosseisuvälise liikme. </w:t>
      </w:r>
      <w:r>
        <w:rPr>
          <w:rFonts w:ascii="Times New Roman" w:hAnsi="Times New Roman"/>
          <w:b/>
          <w:i/>
          <w:sz w:val="16"/>
          <w:szCs w:val="18"/>
        </w:rPr>
        <w:t>Madalmaad:</w:t>
      </w:r>
      <w:r>
        <w:rPr>
          <w:rFonts w:ascii="Times New Roman" w:hAnsi="Times New Roman"/>
          <w:i/>
          <w:sz w:val="16"/>
          <w:szCs w:val="18"/>
        </w:rPr>
        <w:t xml:space="preserve"> liikmed määratakse julgeoleku- ja justiitsministri ettepaneku alusel ametlikult ametisse kuningliku dekreediga. </w:t>
      </w:r>
      <w:r>
        <w:rPr>
          <w:rFonts w:ascii="Times New Roman" w:hAnsi="Times New Roman"/>
          <w:b/>
          <w:i/>
          <w:sz w:val="16"/>
          <w:szCs w:val="18"/>
        </w:rPr>
        <w:t>Poola:</w:t>
      </w:r>
      <w:r>
        <w:rPr>
          <w:rFonts w:ascii="Times New Roman" w:hAnsi="Times New Roman"/>
          <w:i/>
          <w:sz w:val="16"/>
          <w:szCs w:val="18"/>
        </w:rPr>
        <w:t xml:space="preserve"> kohtunikest liikmekandidaatide esitajaks on vähemalt 2 000 kodanikust või 25 kohtunikust koosnevad rühmad. Kandidaatide seast valivad parlamendirühmad välja kuni üheksa kandidaati. Parlamendi alamkoja (seimi) komisjon koostab neist lõpliku nimekirja, kuhu kuulub 15 kandidaati, kelle seim ametisse nimetab. 23. jaanuaril 2020 leidis ülemkohus, rakendades Euroopa Kohtu eelotsust liidetud kohtuasjades C-585/18, C-624/18 ja C-625/18, et nõukoja praegune koosseis ei ole täidesaatvast ja seadusandlikust võimust sõltumatu ning selle taotlusel ametisse määratud kohtunikud ei saa otsuseid teha. 17. septembril 2018 otsustas Euroopa kohtute haldamise nõukodade võrgustiku erakorraline üldkogu kohtute haldamise riikliku nõukoja liikmesuse peatada, kuivõrd see ei vastanud enam Euroopa kohtute haldamise nõukodade võrgustiku nõuetele, et see oleks täidesaatvast ja seadusandlikust võimust sõltumatu viisil, mis tagaks Poola kohtuvõimu sõltumatuse. </w:t>
      </w:r>
      <w:r>
        <w:rPr>
          <w:rFonts w:ascii="Times New Roman" w:hAnsi="Times New Roman"/>
          <w:b/>
          <w:i/>
          <w:sz w:val="16"/>
          <w:szCs w:val="18"/>
        </w:rPr>
        <w:t>Portugal:</w:t>
      </w:r>
      <w:r>
        <w:rPr>
          <w:rFonts w:ascii="Times New Roman" w:hAnsi="Times New Roman"/>
          <w:i/>
          <w:sz w:val="16"/>
          <w:szCs w:val="18"/>
        </w:rPr>
        <w:t xml:space="preserve"> joonisel viidatakse Conselho Superior da Magistratura koosseisule. Peale selle tegutsevad ka haldus- ja maksukohtute kõrgem nõukogu (Conselho Superior dos Tribunais Administrativos e Fiscais) ja riigiprokuratuuri kõrgeim nõukogu (Conselho Superior do Ministério Público). </w:t>
      </w:r>
      <w:r>
        <w:rPr>
          <w:rFonts w:ascii="Times New Roman" w:hAnsi="Times New Roman"/>
          <w:b/>
          <w:i/>
          <w:sz w:val="16"/>
          <w:szCs w:val="18"/>
        </w:rPr>
        <w:t>Rumeenia:</w:t>
      </w:r>
      <w:r>
        <w:rPr>
          <w:rFonts w:ascii="Times New Roman" w:hAnsi="Times New Roman"/>
          <w:i/>
          <w:sz w:val="16"/>
          <w:szCs w:val="18"/>
        </w:rPr>
        <w:t xml:space="preserve"> valitud kohtunikud kinnitab ametisse senat; </w:t>
      </w:r>
      <w:r>
        <w:rPr>
          <w:rFonts w:ascii="Times New Roman" w:hAnsi="Times New Roman"/>
          <w:b/>
          <w:i/>
          <w:sz w:val="16"/>
          <w:szCs w:val="18"/>
        </w:rPr>
        <w:t>Sloveenia:</w:t>
      </w:r>
      <w:r>
        <w:rPr>
          <w:rFonts w:ascii="Times New Roman" w:hAnsi="Times New Roman"/>
          <w:i/>
          <w:sz w:val="16"/>
          <w:szCs w:val="18"/>
        </w:rPr>
        <w:t xml:space="preserve"> liikmed, kes ei ole kohtunikud, valib riiklik assamblee vabariigi presidendi ettepaneku alusel.</w:t>
      </w:r>
    </w:p>
    <w:p>
      <w:pPr>
        <w:keepNext/>
        <w:spacing w:before="240" w:after="120" w:line="240" w:lineRule="auto"/>
        <w:jc w:val="both"/>
        <w:rPr>
          <w:rFonts w:ascii="Times New Roman" w:eastAsia="Calibri" w:hAnsi="Times New Roman" w:cs="Times New Roman"/>
          <w:i/>
          <w:sz w:val="24"/>
        </w:rPr>
      </w:pPr>
      <w:r>
        <w:rPr>
          <w:rFonts w:ascii="Times New Roman" w:hAnsi="Times New Roman"/>
          <w:i/>
          <w:sz w:val="24"/>
        </w:rPr>
        <w:t xml:space="preserve"> </w:t>
      </w:r>
      <w:r>
        <w:rPr>
          <w:rFonts w:ascii="Times New Roman" w:hAnsi="Times New Roman"/>
          <w:i/>
        </w:rPr>
        <w:t>– ELi liikmesriikide prokuratuuride toimimisega seotud kaitsemeetmed –</w:t>
      </w:r>
    </w:p>
    <w:p>
      <w:pPr>
        <w:spacing w:after="120" w:line="240" w:lineRule="auto"/>
        <w:jc w:val="both"/>
        <w:rPr>
          <w:rFonts w:ascii="Times New Roman" w:eastAsia="Times New Roman" w:hAnsi="Times New Roman" w:cs="Times New Roman"/>
          <w:sz w:val="24"/>
          <w:szCs w:val="24"/>
        </w:rPr>
      </w:pPr>
      <w:r>
        <w:rPr>
          <w:rFonts w:ascii="Times New Roman" w:hAnsi="Times New Roman"/>
          <w:sz w:val="24"/>
          <w:szCs w:val="24"/>
        </w:rPr>
        <w:t>Prokuratuuridel on kriminaalõiguse süsteemides ja liikmesriikide vahel kriminaalasjades tehtavas koostöös oluline roll. Liikmesriikide prokuratuuride nõuetekohane toimimine on otsustava tähtsusega tulemuslikus võitluses kuritegevusega, sealhulgas majandus- ja finantskuritegevusega, nagu rahapesu ja korruptsioon. Euroopa vahistamismääruse kohta tehtud raamotsust(</w:t>
      </w:r>
      <w:r>
        <w:rPr>
          <w:rFonts w:ascii="Times New Roman" w:eastAsia="Times New Roman" w:hAnsi="Times New Roman" w:cs="Times New Roman"/>
          <w:sz w:val="24"/>
          <w:szCs w:val="24"/>
          <w:vertAlign w:val="superscript"/>
        </w:rPr>
        <w:footnoteReference w:id="113"/>
      </w:r>
      <w:r>
        <w:rPr>
          <w:rFonts w:ascii="Times New Roman" w:hAnsi="Times New Roman"/>
          <w:sz w:val="24"/>
          <w:szCs w:val="24"/>
        </w:rPr>
        <w:t>) käsitleva Euroopa Kohtu kohtupraktika järgi saab prokuratuuri pidada Euroopa vahistamismäärust andvaks liikmesriigi õigusasutuseks alati, kui see tegutseb sõltumatult, kui puudub oht, et ta saab otseselt või kaudselt individuaalseid korraldusi või juhiseid näiteks selliselt täitevvõimu esindajalt nagu justiitsminister(</w:t>
      </w:r>
      <w:r>
        <w:rPr>
          <w:rFonts w:ascii="Times New Roman" w:eastAsia="Times New Roman" w:hAnsi="Times New Roman" w:cs="Times New Roman"/>
          <w:sz w:val="24"/>
          <w:szCs w:val="24"/>
          <w:vertAlign w:val="superscript"/>
        </w:rPr>
        <w:footnoteReference w:id="114"/>
      </w:r>
      <w:r>
        <w:rPr>
          <w:rFonts w:ascii="Times New Roman" w:hAnsi="Times New Roman"/>
          <w:sz w:val="24"/>
          <w:szCs w:val="24"/>
        </w:rPr>
        <w:t xml:space="preserve">). </w:t>
      </w:r>
    </w:p>
    <w:p>
      <w:pPr>
        <w:spacing w:after="120" w:line="240" w:lineRule="auto"/>
        <w:jc w:val="both"/>
        <w:rPr>
          <w:rFonts w:ascii="Times New Roman" w:eastAsia="Times New Roman" w:hAnsi="Times New Roman" w:cs="Times New Roman"/>
          <w:sz w:val="24"/>
          <w:highlight w:val="yellow"/>
        </w:rPr>
      </w:pPr>
      <w:r>
        <w:rPr>
          <w:rFonts w:ascii="Times New Roman" w:hAnsi="Times New Roman"/>
          <w:sz w:val="24"/>
          <w:szCs w:val="24"/>
        </w:rPr>
        <w:t>Liikmesriikide prokuratuuride korraldus on liidu eri paigus erinev ning puudub kõiki liikmesriike hõlmav ühtne mudel. Üldjuhul eelistatakse siiski pigem sõltumatut prokuratuuri kui prokuratuuri, mis allub täidesaatvale võimule või on sellega seotud(</w:t>
      </w:r>
      <w:r>
        <w:rPr>
          <w:rFonts w:ascii="Times New Roman" w:eastAsia="Times New Roman" w:hAnsi="Times New Roman" w:cs="Times New Roman"/>
          <w:sz w:val="24"/>
          <w:szCs w:val="24"/>
          <w:vertAlign w:val="superscript"/>
        </w:rPr>
        <w:footnoteReference w:id="115"/>
      </w:r>
      <w:r>
        <w:rPr>
          <w:rFonts w:ascii="Times New Roman" w:hAnsi="Times New Roman"/>
          <w:sz w:val="24"/>
          <w:szCs w:val="24"/>
        </w:rPr>
        <w:t>). Euroopa prokuröride konsultatiivkomitee sõnul võib prokuratuuri suurem sõltumatus ja autonoomia koos selle aruandluskohustusega olla tulemuslikus võitluses korruptsiooni ja rahapesu ning sellega seotud majandus- ja finantskuritegevusega õigusriigi põhimõtte järgimise lisatagatis(</w:t>
      </w:r>
      <w:r>
        <w:rPr>
          <w:rStyle w:val="FootnoteReference"/>
          <w:rFonts w:ascii="Times New Roman" w:eastAsia="Times New Roman" w:hAnsi="Times New Roman" w:cs="Times New Roman"/>
          <w:iCs/>
          <w:sz w:val="24"/>
          <w:szCs w:val="24"/>
        </w:rPr>
        <w:footnoteReference w:id="116"/>
      </w:r>
      <w:r>
        <w:rPr>
          <w:rFonts w:ascii="Times New Roman" w:hAnsi="Times New Roman"/>
          <w:sz w:val="24"/>
          <w:szCs w:val="24"/>
        </w:rPr>
        <w:t>). Hoolimata sellest, milline on liikmesriigi kohtusüsteemi mudel või millised on selle aluseks olevad õigustraditsioonid, peavad liikmesriigid Euroopa normide järgi võtma tulemuslikke meetmeid kandmaks hoolt selle eest, et prokuröridele on tagatud oma kohustuste ja ülesannete täitmiseks piisavad õiguslikud ja korralduslikud tingimused(</w:t>
      </w:r>
      <w:r>
        <w:rPr>
          <w:rFonts w:ascii="Times New Roman" w:eastAsia="Times New Roman" w:hAnsi="Times New Roman" w:cs="Times New Roman"/>
          <w:sz w:val="24"/>
          <w:szCs w:val="24"/>
          <w:vertAlign w:val="superscript"/>
        </w:rPr>
        <w:footnoteReference w:id="117"/>
      </w:r>
      <w:r>
        <w:rPr>
          <w:rFonts w:ascii="Times New Roman" w:hAnsi="Times New Roman"/>
          <w:sz w:val="24"/>
          <w:szCs w:val="24"/>
        </w:rPr>
        <w:t>) ning nad saavad teha oma tööd ilma põhjendamatu sekkumiseta(</w:t>
      </w:r>
      <w:r>
        <w:rPr>
          <w:rFonts w:ascii="Times New Roman" w:eastAsia="Times New Roman" w:hAnsi="Times New Roman" w:cs="Times New Roman"/>
          <w:sz w:val="24"/>
          <w:szCs w:val="24"/>
          <w:vertAlign w:val="superscript"/>
        </w:rPr>
        <w:footnoteReference w:id="118"/>
      </w:r>
      <w:r>
        <w:rPr>
          <w:rFonts w:ascii="Times New Roman" w:hAnsi="Times New Roman"/>
          <w:sz w:val="24"/>
          <w:szCs w:val="24"/>
        </w:rPr>
        <w:t>). Esmajoones peavad valitsuse antavad üldised juhised, näiteks kriminaalpoliitika kohta, olema kirjalikud ja nõuetekohaselt avaldatud(</w:t>
      </w:r>
      <w:r>
        <w:rPr>
          <w:rFonts w:ascii="Times New Roman" w:eastAsia="Times New Roman" w:hAnsi="Times New Roman" w:cs="Times New Roman"/>
          <w:sz w:val="24"/>
          <w:szCs w:val="24"/>
          <w:vertAlign w:val="superscript"/>
        </w:rPr>
        <w:footnoteReference w:id="119"/>
      </w:r>
      <w:r>
        <w:rPr>
          <w:rFonts w:ascii="Times New Roman" w:hAnsi="Times New Roman"/>
          <w:sz w:val="24"/>
          <w:szCs w:val="24"/>
        </w:rPr>
        <w:t>). Kui valitsusel on õigus anda juhiseid konkreetse asja menetlemiseks, peavad selliste juhistega kaasnema piisavad tagatised(</w:t>
      </w:r>
      <w:r>
        <w:rPr>
          <w:rFonts w:ascii="Times New Roman" w:eastAsia="Times New Roman" w:hAnsi="Times New Roman" w:cs="Times New Roman"/>
          <w:sz w:val="24"/>
          <w:szCs w:val="24"/>
          <w:vertAlign w:val="superscript"/>
        </w:rPr>
        <w:footnoteReference w:id="120"/>
      </w:r>
      <w:r>
        <w:rPr>
          <w:rFonts w:ascii="Times New Roman" w:hAnsi="Times New Roman"/>
          <w:sz w:val="24"/>
          <w:szCs w:val="24"/>
        </w:rPr>
        <w:t>). Euroopa Nõukogu ministrite komitee 2000. aasta soovituse kohaselt peaksid olema keelatud korraldused mingis asjas süüdistust mitte esitada(</w:t>
      </w:r>
      <w:r>
        <w:rPr>
          <w:rFonts w:ascii="Times New Roman" w:eastAsia="Times New Roman" w:hAnsi="Times New Roman" w:cs="Times New Roman"/>
          <w:sz w:val="24"/>
          <w:szCs w:val="24"/>
          <w:vertAlign w:val="superscript"/>
        </w:rPr>
        <w:footnoteReference w:id="121"/>
      </w:r>
      <w:r>
        <w:rPr>
          <w:rFonts w:ascii="Times New Roman" w:hAnsi="Times New Roman"/>
          <w:sz w:val="24"/>
          <w:szCs w:val="24"/>
        </w:rPr>
        <w:t>). Huvitatud isikutel (sh kuriteoohvritel) peaks olema võimalik vaidlustada prokuratuuri otsus teatud asjas süüdistust mitte esitada(</w:t>
      </w:r>
      <w:r>
        <w:rPr>
          <w:rFonts w:ascii="Times New Roman" w:eastAsia="Times New Roman" w:hAnsi="Times New Roman" w:cs="Times New Roman"/>
          <w:sz w:val="24"/>
          <w:szCs w:val="24"/>
          <w:vertAlign w:val="superscript"/>
        </w:rPr>
        <w:footnoteReference w:id="122"/>
      </w:r>
      <w:r>
        <w:rPr>
          <w:rFonts w:ascii="Times New Roman" w:hAnsi="Times New Roman"/>
          <w:sz w:val="24"/>
          <w:szCs w:val="24"/>
        </w:rPr>
        <w:t>).</w:t>
      </w:r>
    </w:p>
    <w:p>
      <w:pPr>
        <w:spacing w:before="240" w:after="0" w:line="240" w:lineRule="auto"/>
        <w:jc w:val="both"/>
        <w:rPr>
          <w:rFonts w:ascii="Times New Roman" w:eastAsia="Times New Roman" w:hAnsi="Times New Roman" w:cs="Times New Roman"/>
          <w:sz w:val="24"/>
          <w:szCs w:val="24"/>
        </w:rPr>
      </w:pPr>
      <w:r>
        <w:rPr>
          <w:rFonts w:ascii="Times New Roman" w:hAnsi="Times New Roman"/>
          <w:sz w:val="24"/>
          <w:szCs w:val="24"/>
        </w:rPr>
        <w:t>Järgmistel joonistel on esitatud faktiline ülevaade prokuratuuride suhtes kohaldatava raamistiku teatavatest aspektidest ning sellega ei hinnata prokuratuuride toimimise tõhusust, mis nõuab kvalitatiivset hindamist, milles võetakse arvesse iga liikmesriigi konkreetseid olusid.</w:t>
      </w:r>
    </w:p>
    <w:p>
      <w:pPr>
        <w:spacing w:before="240" w:after="0" w:line="240" w:lineRule="auto"/>
        <w:jc w:val="both"/>
        <w:rPr>
          <w:rFonts w:ascii="Times New Roman" w:eastAsia="Times New Roman" w:hAnsi="Times New Roman" w:cs="Times New Roman"/>
          <w:sz w:val="24"/>
          <w:szCs w:val="24"/>
        </w:rPr>
      </w:pPr>
      <w:r>
        <w:rPr>
          <w:rFonts w:ascii="Times New Roman" w:hAnsi="Times New Roman"/>
          <w:sz w:val="24"/>
          <w:szCs w:val="24"/>
        </w:rPr>
        <w:t>Joonisel 53 antakse ülevaade asutustest, kes teevad otsuseid põhiastme prokuröride distsiplinaarkaristuste kohta. Need võivad olla kas a) sõltumatud asutused, nagu kohtud või kohtute haldamise nõukojad või prokuratuurinõukogud, või b) muud organid või ametid, nagu peaprokurör või juhtivprokurör, sõltumatud organid, prokuröre ühendavad eriorganid või justiitsminister. Kui joonise all olevas selgituses ei ole öeldud teisiti, saab ameti otsust prokuröri suhtes võetavate distsiplinaarmeetmete kohta edasi kaevata(</w:t>
      </w:r>
      <w:r>
        <w:rPr>
          <w:rFonts w:ascii="Times New Roman" w:eastAsia="Times New Roman" w:hAnsi="Times New Roman" w:cs="Times New Roman"/>
          <w:sz w:val="24"/>
          <w:szCs w:val="24"/>
          <w:vertAlign w:val="superscript"/>
        </w:rPr>
        <w:footnoteReference w:id="123"/>
      </w:r>
      <w:r>
        <w:rPr>
          <w:rFonts w:ascii="Times New Roman" w:hAnsi="Times New Roman"/>
          <w:sz w:val="24"/>
          <w:szCs w:val="24"/>
        </w:rPr>
        <w:t>).</w:t>
      </w:r>
    </w:p>
    <w:p>
      <w:pPr>
        <w:spacing w:before="240" w:after="120" w:line="240" w:lineRule="auto"/>
        <w:jc w:val="both"/>
        <w:rPr>
          <w:rFonts w:ascii="Times New Roman" w:eastAsia="Times New Roman" w:hAnsi="Times New Roman" w:cs="Times New Roman"/>
          <w:b/>
          <w:bCs/>
          <w:sz w:val="20"/>
          <w:szCs w:val="20"/>
        </w:rPr>
      </w:pPr>
      <w:r>
        <w:rPr>
          <w:rFonts w:ascii="Times New Roman" w:hAnsi="Times New Roman"/>
          <w:b/>
          <w:bCs/>
          <w:sz w:val="24"/>
          <w:szCs w:val="24"/>
        </w:rPr>
        <w:t>Joonis </w:t>
      </w:r>
      <w:r>
        <w:fldChar w:fldCharType="begin"/>
      </w:r>
      <w:r>
        <w:rPr>
          <w:rFonts w:ascii="Times New Roman" w:eastAsia="Calibri" w:hAnsi="Times New Roman" w:cs="Times New Roman"/>
          <w:b/>
          <w:sz w:val="24"/>
          <w:szCs w:val="24"/>
        </w:rPr>
        <w:instrText xml:space="preserve"> SEQ Figure \* ARABIC </w:instrText>
      </w:r>
      <w:r>
        <w:rPr>
          <w:rFonts w:ascii="Times New Roman" w:eastAsia="Calibri" w:hAnsi="Times New Roman" w:cs="Times New Roman"/>
          <w:b/>
          <w:sz w:val="24"/>
          <w:szCs w:val="24"/>
        </w:rPr>
        <w:fldChar w:fldCharType="separate"/>
      </w:r>
      <w:r>
        <w:rPr>
          <w:rFonts w:ascii="Times New Roman" w:eastAsia="Calibri" w:hAnsi="Times New Roman" w:cs="Times New Roman"/>
          <w:b/>
          <w:sz w:val="24"/>
          <w:szCs w:val="24"/>
        </w:rPr>
        <w:t>53</w:t>
      </w:r>
      <w:r>
        <w:fldChar w:fldCharType="end"/>
      </w:r>
      <w:r>
        <w:t>.</w:t>
      </w:r>
      <w:r>
        <w:rPr>
          <w:rFonts w:ascii="Times New Roman" w:hAnsi="Times New Roman"/>
          <w:b/>
          <w:bCs/>
          <w:sz w:val="24"/>
          <w:szCs w:val="24"/>
        </w:rPr>
        <w:t xml:space="preserve"> Prokuröridele distsiplinaarkaristusi määrav organ(*)</w:t>
      </w:r>
      <w:r>
        <w:rPr>
          <w:rFonts w:ascii="Times New Roman" w:hAnsi="Times New Roman"/>
          <w:bCs/>
          <w:sz w:val="24"/>
          <w:szCs w:val="24"/>
        </w:rPr>
        <w:t xml:space="preserve"> </w:t>
      </w:r>
      <w:r>
        <w:rPr>
          <w:rFonts w:ascii="Times New Roman" w:hAnsi="Times New Roman"/>
          <w:bCs/>
          <w:i/>
          <w:sz w:val="24"/>
          <w:szCs w:val="24"/>
        </w:rPr>
        <w:t>(allikas: Euroopa Komisjon ning rahapesu ja terrorismi rahastamist käsitlev eksperdirühm)</w:t>
      </w:r>
    </w:p>
    <w:p>
      <w:pPr>
        <w:spacing w:after="0" w:line="240" w:lineRule="auto"/>
        <w:jc w:val="both"/>
        <w:rPr>
          <w:rFonts w:ascii="Times New Roman" w:hAnsi="Times New Roman" w:cs="Times New Roman"/>
          <w:i/>
          <w:sz w:val="15"/>
          <w:szCs w:val="15"/>
        </w:rPr>
      </w:pPr>
      <w:r>
        <w:rPr>
          <w:lang w:val="en-GB" w:eastAsia="en-GB"/>
        </w:rPr>
        <w:drawing>
          <wp:inline distT="0" distB="0" distL="0" distR="0">
            <wp:extent cx="5977255" cy="2017009"/>
            <wp:effectExtent l="0" t="0" r="4445" b="2540"/>
            <wp:docPr id="97338" name="Picture 97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977255" cy="2017009"/>
                    </a:xfrm>
                    <a:prstGeom prst="rect">
                      <a:avLst/>
                    </a:prstGeom>
                    <a:noFill/>
                    <a:ln>
                      <a:noFill/>
                    </a:ln>
                  </pic:spPr>
                </pic:pic>
              </a:graphicData>
            </a:graphic>
          </wp:inline>
        </w:drawing>
      </w:r>
    </w:p>
    <w:p>
      <w:pPr>
        <w:spacing w:after="0" w:line="240" w:lineRule="auto"/>
        <w:jc w:val="both"/>
        <w:rPr>
          <w:rFonts w:ascii="Times New Roman" w:hAnsi="Times New Roman" w:cs="Times New Roman"/>
          <w:i/>
          <w:sz w:val="15"/>
          <w:szCs w:val="15"/>
        </w:rPr>
      </w:pPr>
      <w:r>
        <w:rPr>
          <w:rFonts w:ascii="Times New Roman" w:hAnsi="Times New Roman"/>
          <w:i/>
          <w:sz w:val="15"/>
          <w:szCs w:val="15"/>
        </w:rPr>
        <w:t xml:space="preserve">(*) </w:t>
      </w:r>
      <w:r>
        <w:rPr>
          <w:rFonts w:ascii="Times New Roman" w:hAnsi="Times New Roman"/>
          <w:b/>
          <w:bCs/>
          <w:i/>
          <w:sz w:val="15"/>
          <w:szCs w:val="15"/>
        </w:rPr>
        <w:t>Belgia</w:t>
      </w:r>
      <w:r>
        <w:rPr>
          <w:rFonts w:ascii="Times New Roman" w:hAnsi="Times New Roman"/>
          <w:i/>
          <w:sz w:val="15"/>
          <w:szCs w:val="15"/>
        </w:rPr>
        <w:t xml:space="preserve">: juhtivprokuröril (prokuratuuri juhil) on õigus määrata väiksemaid distsiplinaarkaristusi, samal ajal kui suuremaid karistusi määrab esimese astme distsiplinaarkohus. Distsiplinaarmeetmeid käsitlevaid otsuseid saab vastavasse apellatsioonikohtusse edasi kaevata. </w:t>
      </w:r>
      <w:r>
        <w:rPr>
          <w:rFonts w:ascii="Times New Roman" w:hAnsi="Times New Roman"/>
          <w:b/>
          <w:bCs/>
          <w:i/>
          <w:sz w:val="15"/>
          <w:szCs w:val="15"/>
        </w:rPr>
        <w:t>Bulgaaria</w:t>
      </w:r>
      <w:r>
        <w:rPr>
          <w:rFonts w:ascii="Times New Roman" w:hAnsi="Times New Roman"/>
          <w:i/>
          <w:sz w:val="15"/>
          <w:szCs w:val="15"/>
        </w:rPr>
        <w:t xml:space="preserve">: kõrgema kohtute nõukoja prokuröride kolleegiumisse kuuluvad peaprokurör, neli prokuröride valitud liiget, üks uurimiskohtunike valitud liige ja viis riikliku assamblee valitud liiget. Kolleegiumi distsiplinaarmeetmeid käsitleva otsuse võib edasi kaevata kõrgeimasse halduskohtusse. Prokuratuuri haldusjuht võib määrata vaid noomituse, teavitades sellest karistusest prokuröride kolleegiumi, kes võib karistuse kinnitada või tühistada. </w:t>
      </w:r>
      <w:r>
        <w:rPr>
          <w:rFonts w:ascii="Times New Roman" w:hAnsi="Times New Roman"/>
          <w:b/>
          <w:bCs/>
          <w:i/>
          <w:sz w:val="15"/>
          <w:szCs w:val="15"/>
        </w:rPr>
        <w:t>Tšehhi</w:t>
      </w:r>
      <w:r>
        <w:rPr>
          <w:rFonts w:ascii="Times New Roman" w:hAnsi="Times New Roman"/>
          <w:i/>
          <w:sz w:val="15"/>
          <w:szCs w:val="15"/>
        </w:rPr>
        <w:t xml:space="preserve">: distsiplinaarasju vaatab läbi kõrgeima halduskohtu distsiplinaarkolleegium. Kolleegiumi kuulub kaks kohtunikku (kõrgeima halduskohtu kohtunik ja ülemkohtu kohtunik), kaks prokuröri, advokaat ja muu õiguseriala esindaja. Kolleegiumi liikmed valib kõrgeima halduskohtu esimees liisuheitmise teel eri õiguserialade esindajate (kõrgeim halduskohus, ülemkohtu esimees, peaprokurör, advokatuuri esimees ja õigusõppeasutuste dekaanid) esitatud kandidaatide nimekirjadest. Distsiplinaarkolleegiumi otsust edasi kaevata ei saa. </w:t>
      </w:r>
      <w:r>
        <w:rPr>
          <w:rFonts w:ascii="Times New Roman" w:hAnsi="Times New Roman"/>
          <w:b/>
          <w:bCs/>
          <w:i/>
          <w:sz w:val="15"/>
          <w:szCs w:val="15"/>
        </w:rPr>
        <w:t>Taani</w:t>
      </w:r>
      <w:r>
        <w:rPr>
          <w:rFonts w:ascii="Times New Roman" w:hAnsi="Times New Roman"/>
          <w:i/>
          <w:sz w:val="15"/>
          <w:szCs w:val="15"/>
        </w:rPr>
        <w:t>: Taani justiitsministeeriumil on õigus määrata prokuröridele konkreetseid distsiplinaarmeetmeid. Kuid praktikas volitab justiitsministeerium prokuratuuri tegelema prokuröridele määratavate distsiplinaarmeetmetega. Kõiki prokuratuuri distsiplinaarmeetmeid käsitlevaid otsuseid on võimalik justiitsministeeriumisse edasi kaevata. Justiitsministeeriumi määratud distsiplinaarmeetmeid on võimalik edasi kaevata ning prokurör võib kaebuse esitada parlamentaarsele ombudsmanile.</w:t>
      </w:r>
      <w:r>
        <w:rPr>
          <w:rFonts w:ascii="Times New Roman" w:hAnsi="Times New Roman"/>
          <w:b/>
          <w:i/>
          <w:sz w:val="15"/>
          <w:szCs w:val="15"/>
        </w:rPr>
        <w:t xml:space="preserve"> </w:t>
      </w:r>
      <w:r>
        <w:rPr>
          <w:rFonts w:ascii="Times New Roman" w:hAnsi="Times New Roman"/>
          <w:b/>
          <w:bCs/>
          <w:i/>
          <w:sz w:val="15"/>
          <w:szCs w:val="15"/>
        </w:rPr>
        <w:t>Saksamaa</w:t>
      </w:r>
      <w:r>
        <w:rPr>
          <w:rFonts w:ascii="Times New Roman" w:hAnsi="Times New Roman"/>
          <w:i/>
          <w:sz w:val="15"/>
          <w:szCs w:val="15"/>
        </w:rPr>
        <w:t xml:space="preserve">: juhtivprokurör võib määrata kergema distsiplinaarmeetme. Kuivõrd liidumaade pädevuses on reguleerida riigiametnike distsiplinaarseadust, on liidumaade seadustes mitmesuguseid erijooni. </w:t>
      </w:r>
      <w:r>
        <w:rPr>
          <w:rFonts w:ascii="Times New Roman" w:hAnsi="Times New Roman"/>
          <w:b/>
          <w:bCs/>
          <w:i/>
          <w:sz w:val="15"/>
          <w:szCs w:val="15"/>
        </w:rPr>
        <w:t>Eesti</w:t>
      </w:r>
      <w:r>
        <w:rPr>
          <w:rFonts w:ascii="Times New Roman" w:hAnsi="Times New Roman"/>
          <w:i/>
          <w:sz w:val="15"/>
          <w:szCs w:val="15"/>
        </w:rPr>
        <w:t xml:space="preserve">: peaprokurör määrab distsiplinaarmeetmed, sealhulgas vallandamise prokuröride distsiplinaarkomitee ettepaneku alusel. Distsiplinaarmeetmeid käsitlevaid otsuseid saab halduskohtusse edasi kaevata. </w:t>
      </w:r>
      <w:r>
        <w:rPr>
          <w:rFonts w:ascii="Times New Roman" w:hAnsi="Times New Roman"/>
          <w:b/>
          <w:bCs/>
          <w:i/>
          <w:sz w:val="15"/>
          <w:szCs w:val="15"/>
        </w:rPr>
        <w:t>Iirimaa</w:t>
      </w:r>
      <w:r>
        <w:rPr>
          <w:rFonts w:ascii="Times New Roman" w:hAnsi="Times New Roman"/>
          <w:i/>
          <w:sz w:val="15"/>
          <w:szCs w:val="15"/>
        </w:rPr>
        <w:t xml:space="preserve">: riigiprokuratuuri asedirektor määrab distsiplinaarmeetmed põhiastme prokuröride puhul. Enne distsiplinaarotsuse tegemist võib asjaomase juhi soovituse distsiplinaarmeetme vastuvõtmise kohta edasi kaevata välisesse distsiplinaarkaebuste ametisse. </w:t>
      </w:r>
      <w:r>
        <w:rPr>
          <w:rFonts w:ascii="Times New Roman" w:hAnsi="Times New Roman"/>
          <w:b/>
          <w:bCs/>
          <w:i/>
          <w:sz w:val="15"/>
          <w:szCs w:val="15"/>
        </w:rPr>
        <w:t>Kreeka</w:t>
      </w:r>
      <w:r>
        <w:rPr>
          <w:rFonts w:ascii="Times New Roman" w:hAnsi="Times New Roman"/>
          <w:i/>
          <w:sz w:val="15"/>
          <w:szCs w:val="15"/>
        </w:rPr>
        <w:t xml:space="preserve">: apellatsioonikohtu viieliikmelised distsiplinaarnõukogud vastutavad peamiselt distsiplinaarrikkumiste arutamise eest ja kõikide distsiplinaarkaristuste määramise eest prokuröridele, välja arvatud ametist vabastamine, mille suhtes teeb otsuse ülemkohtu täiskogu. Viieliikmeliste distsiplinaarnõukogude otsused saab edasi kaevata ülemkohtu seitsmeliikmelisse distsiplinaarkogusse. </w:t>
      </w:r>
      <w:r>
        <w:rPr>
          <w:rFonts w:ascii="Times New Roman" w:hAnsi="Times New Roman"/>
          <w:b/>
          <w:bCs/>
          <w:i/>
          <w:sz w:val="15"/>
          <w:szCs w:val="15"/>
        </w:rPr>
        <w:t>Hispaania</w:t>
      </w:r>
      <w:r>
        <w:rPr>
          <w:rFonts w:ascii="Times New Roman" w:hAnsi="Times New Roman"/>
          <w:i/>
          <w:sz w:val="15"/>
          <w:szCs w:val="15"/>
        </w:rPr>
        <w:t xml:space="preserve">: prokuratuuri eri organite peaprokurörid määravad distsiplinaarmeetmed, mida saab edasi kaevata Consejo Fiscal’ile. Sellesse organisse kuuluvad peaprokurör, peaprokuröri asetäitja, peainspektor ja veel kuus prokuröri. Selle otsuseid saab edasi kaevata Audiencia Nacional’ile. </w:t>
      </w:r>
      <w:r>
        <w:rPr>
          <w:rFonts w:ascii="Times New Roman" w:hAnsi="Times New Roman"/>
          <w:b/>
          <w:bCs/>
          <w:i/>
          <w:sz w:val="15"/>
          <w:szCs w:val="15"/>
        </w:rPr>
        <w:t>Prantsusmaa</w:t>
      </w:r>
      <w:r>
        <w:rPr>
          <w:rFonts w:ascii="Times New Roman" w:hAnsi="Times New Roman"/>
          <w:i/>
          <w:sz w:val="15"/>
          <w:szCs w:val="15"/>
        </w:rPr>
        <w:t xml:space="preserve">: kui Conseil Supérieur de la Magistrature on väljastanud mittesiduva arvamuse, otsustab meetme üle justiitsministeerium. Distsiplinaarmeetmeid käsitlevaid otsuseid on võimalik edasi kaevata riiginõukogule (Conseil d'Etat). </w:t>
      </w:r>
      <w:r>
        <w:rPr>
          <w:rFonts w:ascii="Times New Roman" w:hAnsi="Times New Roman"/>
          <w:b/>
          <w:i/>
          <w:sz w:val="15"/>
          <w:szCs w:val="15"/>
        </w:rPr>
        <w:t>Horvaatia:</w:t>
      </w:r>
      <w:r>
        <w:rPr>
          <w:rFonts w:ascii="Times New Roman" w:hAnsi="Times New Roman"/>
          <w:i/>
          <w:sz w:val="15"/>
          <w:szCs w:val="15"/>
        </w:rPr>
        <w:t xml:space="preserve"> prokuröride nõukogu määrab distsiplinaarmeetmeid, mida on võimalik läbi vaadata halduskohtutes. </w:t>
      </w:r>
      <w:r>
        <w:rPr>
          <w:rFonts w:ascii="Times New Roman" w:hAnsi="Times New Roman"/>
          <w:b/>
          <w:bCs/>
          <w:i/>
          <w:sz w:val="15"/>
          <w:szCs w:val="15"/>
        </w:rPr>
        <w:t>Itaalia</w:t>
      </w:r>
      <w:r>
        <w:rPr>
          <w:rFonts w:ascii="Times New Roman" w:hAnsi="Times New Roman"/>
          <w:i/>
          <w:sz w:val="15"/>
          <w:szCs w:val="15"/>
        </w:rPr>
        <w:t xml:space="preserve">: kohtute haldamise nõukoja distsiplinaarmeetmeid käsitlevaid otsuseid saab edasi kaevata ülemkohtusse. </w:t>
      </w:r>
      <w:r>
        <w:rPr>
          <w:rFonts w:ascii="Times New Roman" w:hAnsi="Times New Roman"/>
          <w:b/>
          <w:bCs/>
          <w:i/>
          <w:sz w:val="15"/>
          <w:szCs w:val="15"/>
        </w:rPr>
        <w:t>Küpros</w:t>
      </w:r>
      <w:r>
        <w:rPr>
          <w:rFonts w:ascii="Times New Roman" w:hAnsi="Times New Roman"/>
          <w:i/>
          <w:sz w:val="15"/>
          <w:szCs w:val="15"/>
        </w:rPr>
        <w:t xml:space="preserve">: distsiplinaarmeetmeid määrab avaliku teenistuse komisjon – põhiseaduslik organ, kuhu kuulub viis liiget, kelle vabariigi president on ametisse määranud kuueks aastaks. Distsiplinaarmeetmeid käsitlevaid otsuseid on võimalik edasi kaevata halduskohtusse ja seejärel ülemkohtusse. </w:t>
      </w:r>
      <w:r>
        <w:rPr>
          <w:rFonts w:ascii="Times New Roman" w:hAnsi="Times New Roman"/>
          <w:b/>
          <w:bCs/>
          <w:i/>
          <w:sz w:val="15"/>
          <w:szCs w:val="15"/>
        </w:rPr>
        <w:t>Läti</w:t>
      </w:r>
      <w:r>
        <w:rPr>
          <w:rFonts w:ascii="Times New Roman" w:hAnsi="Times New Roman"/>
          <w:i/>
          <w:sz w:val="15"/>
          <w:szCs w:val="15"/>
        </w:rPr>
        <w:t xml:space="preserve">: prokurörile võib distsiplinaarmeetme määrata peaprokurör. Juhtivprokurörid võivad teha nende alluvusse kuuluvatele prokuröridele märkuse või noomituse. Tõsisema rikkumise korral võib juhtivprokurör esitada peaprokurörile ettepaneku kohaldada muud distsiplinaarmeedet. Juhtprokuröri distsiplinaarmeetmeid käsitlevaid otsuseid on võimalik edasi kaevata peaprokurörile. Peaprokuröri distsiplinaarmeetmeid käsitlevaid otsuseid saab edasi kaevata distsiplinaarkohtusse. </w:t>
      </w:r>
      <w:r>
        <w:rPr>
          <w:rFonts w:ascii="Times New Roman" w:hAnsi="Times New Roman"/>
          <w:b/>
          <w:bCs/>
          <w:i/>
          <w:sz w:val="15"/>
          <w:szCs w:val="15"/>
        </w:rPr>
        <w:t>Leedu</w:t>
      </w:r>
      <w:r>
        <w:rPr>
          <w:rFonts w:ascii="Times New Roman" w:hAnsi="Times New Roman"/>
          <w:i/>
          <w:sz w:val="15"/>
          <w:szCs w:val="15"/>
        </w:rPr>
        <w:t xml:space="preserve">: distsiplinaarmeetmeid määrab peaprokurör. Distsiplinaarmeetmeid käsitlevaid otsuseid saab halduskohtusse edasi kaevata. </w:t>
      </w:r>
      <w:r>
        <w:rPr>
          <w:rFonts w:ascii="Times New Roman" w:hAnsi="Times New Roman"/>
          <w:b/>
          <w:bCs/>
          <w:i/>
          <w:sz w:val="15"/>
          <w:szCs w:val="15"/>
        </w:rPr>
        <w:t>Luksemburg</w:t>
      </w:r>
      <w:r>
        <w:rPr>
          <w:rFonts w:ascii="Times New Roman" w:hAnsi="Times New Roman"/>
          <w:i/>
          <w:sz w:val="15"/>
          <w:szCs w:val="15"/>
        </w:rPr>
        <w:t xml:space="preserve">: distsiplinaarmeetmeid määrab peaprokurör. </w:t>
      </w:r>
      <w:r>
        <w:rPr>
          <w:rFonts w:ascii="Times New Roman" w:hAnsi="Times New Roman"/>
          <w:b/>
          <w:bCs/>
          <w:i/>
          <w:sz w:val="15"/>
          <w:szCs w:val="15"/>
        </w:rPr>
        <w:t>Ungari</w:t>
      </w:r>
      <w:r>
        <w:rPr>
          <w:rFonts w:ascii="Times New Roman" w:hAnsi="Times New Roman"/>
          <w:i/>
          <w:sz w:val="15"/>
          <w:szCs w:val="15"/>
        </w:rPr>
        <w:t xml:space="preserve">: peaprokurör otsustab meetmete üle, millega tühistatakse kiitus, viiakse madalamale palgaastmele või ametikohale või vabastatakse ametist. Üksuse juht (juhtivprokurör) võib määrata oma alluvuses töötavale prokurörile kergemaid meetmeid (noomitus, märkus). Distsiplinaarmeetmeid käsitlevaid otsuseid saab töökohtusse edasi kaevata. </w:t>
      </w:r>
      <w:r>
        <w:rPr>
          <w:rFonts w:ascii="Times New Roman" w:hAnsi="Times New Roman"/>
          <w:b/>
          <w:bCs/>
          <w:i/>
          <w:sz w:val="15"/>
          <w:szCs w:val="15"/>
        </w:rPr>
        <w:t>Malta</w:t>
      </w:r>
      <w:r>
        <w:rPr>
          <w:rFonts w:ascii="Times New Roman" w:hAnsi="Times New Roman"/>
          <w:i/>
          <w:sz w:val="15"/>
          <w:szCs w:val="15"/>
        </w:rPr>
        <w:t xml:space="preserve">: advokaatide ja advokaadiabide komiteesse kuulub komisjoni poolt õigusemõistmiseks määratud advokaat, peaprokuröri määratud advokaat ja kolm advokaadiabide kolleegiumi määratud advokaadiabi. Komitee võib määrata rahatrahvi, väljastada hoiatuse ja anda prokurörile soovitusi. Komitee võib paluda komisjonil soovitada peaministril teha Malta presidendile ettepanek prokuröri ametivolitused peatada või ta ametist vabastada. Komitee võetud meetmed võib õigusemõistmise komisjonile edasi kaevata. </w:t>
      </w:r>
      <w:r>
        <w:rPr>
          <w:rFonts w:ascii="Times New Roman" w:hAnsi="Times New Roman"/>
          <w:b/>
          <w:bCs/>
          <w:i/>
          <w:sz w:val="15"/>
          <w:szCs w:val="15"/>
        </w:rPr>
        <w:t>Madalmaad</w:t>
      </w:r>
      <w:r>
        <w:rPr>
          <w:rFonts w:ascii="Times New Roman" w:hAnsi="Times New Roman"/>
          <w:i/>
          <w:sz w:val="15"/>
          <w:szCs w:val="15"/>
        </w:rPr>
        <w:t xml:space="preserve">: kõrgemalseisev prokurör võib määrata teatavad kergemad meetmed (kirjalik noomitus, aastapuhkuse vähendamine, lisatöötunnid). Justiitsminister võib otsustada üleviimise ilma nõusolekuta, ajutise kõrvaldamise, rahatrahvi ja palgaga seotud meetmed pärast seda, kui kõrgemalseisev prokurör on selle meetme kohta ettepaneku teinud või nõu andnud. Valitsusel on õigus prokurör ametist vabastada pärast seda, kui kõrgemalseisev prokurör on teinud ametist vabastamise ettepaneku või andnud sellekohast nõu. Distsiplinaarmeetmeid käsitlevaid otsuseid on võimalik edasi kaevata Centrale Raad van Beroep’ile. </w:t>
      </w:r>
      <w:r>
        <w:rPr>
          <w:rFonts w:ascii="Times New Roman" w:hAnsi="Times New Roman"/>
          <w:b/>
          <w:bCs/>
          <w:i/>
          <w:sz w:val="15"/>
          <w:szCs w:val="15"/>
        </w:rPr>
        <w:t>Austria</w:t>
      </w:r>
      <w:r>
        <w:rPr>
          <w:rFonts w:ascii="Times New Roman" w:hAnsi="Times New Roman"/>
          <w:i/>
          <w:sz w:val="15"/>
          <w:szCs w:val="15"/>
        </w:rPr>
        <w:t xml:space="preserve">: distsiplinaarmeetmeid määrab kohtu erikolleegium. </w:t>
      </w:r>
      <w:r>
        <w:rPr>
          <w:rFonts w:ascii="Times New Roman" w:hAnsi="Times New Roman"/>
          <w:b/>
          <w:bCs/>
          <w:i/>
          <w:sz w:val="15"/>
          <w:szCs w:val="15"/>
        </w:rPr>
        <w:t>Poola</w:t>
      </w:r>
      <w:r>
        <w:rPr>
          <w:rFonts w:ascii="Times New Roman" w:hAnsi="Times New Roman"/>
          <w:i/>
          <w:sz w:val="15"/>
          <w:szCs w:val="15"/>
        </w:rPr>
        <w:t xml:space="preserve">: esimeses kohtuastmes määrab distsiplinaarmeetmed üldiselt peaprokuratuuri juures tegutsev distsiplinaarorgan, kuhu kuulub kolm prokuröride kogu määratud prokuröri. Need meetmed võib edasi kaevata ülemkohtu distsiplinaarkolleegiumile, mis tegutseb teatud juhtudel esimese astme otsustusorganina. Teise astme kohtuna tegutsedes kuulub kolleegiumi kaks distsiplinaarkolleegiumi kohtunikku ja üks koosseisuväline kohtunik. Prokuröri, kellele on kaks korda määratud muu karistus kui noomitus, võib peaprokurör (kes on ühtlasi justiitsminister) ametist vabastada uue distsiplinaarsüüteo toimepanemise korral (mida ei tuvasta distsiplinaarkohus ja ilma peaprokuröri otsuse edasikaebamise võimaluseta). </w:t>
      </w:r>
      <w:r>
        <w:rPr>
          <w:rFonts w:ascii="Times New Roman" w:hAnsi="Times New Roman"/>
          <w:b/>
          <w:bCs/>
          <w:i/>
          <w:sz w:val="15"/>
          <w:szCs w:val="15"/>
        </w:rPr>
        <w:t>Portugal</w:t>
      </w:r>
      <w:r>
        <w:rPr>
          <w:rFonts w:ascii="Times New Roman" w:hAnsi="Times New Roman"/>
          <w:i/>
          <w:sz w:val="15"/>
          <w:szCs w:val="15"/>
        </w:rPr>
        <w:t xml:space="preserve">: distsiplinaarmeetmed määrab prokuratuuri kõrgeima nõukogu distsiplinaarosakond. Selle otsuseid on võimalik edasi kaevata prokuratuuri kõrgeima nõukogu täiskogule ning seejärel kõrgeimasse halduskohtusse. </w:t>
      </w:r>
      <w:r>
        <w:rPr>
          <w:rFonts w:ascii="Times New Roman" w:hAnsi="Times New Roman"/>
          <w:b/>
          <w:bCs/>
          <w:i/>
          <w:sz w:val="15"/>
          <w:szCs w:val="15"/>
        </w:rPr>
        <w:t>Rumeenia</w:t>
      </w:r>
      <w:r>
        <w:rPr>
          <w:rFonts w:ascii="Times New Roman" w:hAnsi="Times New Roman"/>
          <w:i/>
          <w:sz w:val="15"/>
          <w:szCs w:val="15"/>
        </w:rPr>
        <w:t xml:space="preserve">: distsiplinaarmeetmeid määrab kohtunike kõrgeim kogu. Distsiplinaarmeetmeid käsitlevaid otsuseid saab ülemkohtusse edasi kaevata. </w:t>
      </w:r>
      <w:r>
        <w:rPr>
          <w:rFonts w:ascii="Times New Roman" w:hAnsi="Times New Roman"/>
          <w:b/>
          <w:i/>
          <w:sz w:val="15"/>
          <w:szCs w:val="15"/>
        </w:rPr>
        <w:t xml:space="preserve">Sloveenia: </w:t>
      </w:r>
      <w:r>
        <w:rPr>
          <w:rFonts w:ascii="Times New Roman" w:hAnsi="Times New Roman"/>
          <w:i/>
          <w:sz w:val="15"/>
          <w:szCs w:val="15"/>
        </w:rPr>
        <w:t xml:space="preserve">distsiplinaarkaristuste üle otsustab distsiplinaarkohus, mille on ametisse nimetanud prokuratuurinõukogu. Esimese astme distsiplinaarkohtusse kuulub kuus peaprokuröri pakutud riigiprokuröri ja kolm kohtunike esimese astme distsiplinaarkohtu esimehe pakutud kohtunikku selle kohtu liikmete seast. Teise astme distsiplinaarkohtusse kuulub kuus liiget, kelle on ametisse nimetanud prokuratuurinõukogu: esimees, aseesimees ja kaksliiget, kelle on pakkunud kohtunike teise astme distsiplinaarkohtu esimees kõnealuse kohtu liikmeste seast; kaks peaprokuröri pakutud kõrgemat riigiprokuröri. </w:t>
      </w:r>
      <w:r>
        <w:rPr>
          <w:rFonts w:ascii="Times New Roman" w:hAnsi="Times New Roman"/>
          <w:b/>
          <w:bCs/>
          <w:i/>
          <w:sz w:val="15"/>
          <w:szCs w:val="15"/>
        </w:rPr>
        <w:t>Slovakkia</w:t>
      </w:r>
      <w:r>
        <w:rPr>
          <w:rFonts w:ascii="Times New Roman" w:hAnsi="Times New Roman"/>
          <w:i/>
          <w:sz w:val="15"/>
          <w:szCs w:val="15"/>
        </w:rPr>
        <w:t xml:space="preserve">: distsiplinaarmeetmeid määrab kolmest prokurörist koosnev distsiplinaarkogu, kelle on prokuratuurinõukogu pakutud vähemalt 40 inimesest koosneva andmebaasi põhjal ametisse nimetanud peaprokurör. Otsuseid võib edasi kaevata peaprokuratuuri distsiplinaarnõukogusse, kuhu kuulub viis prokuröri, kelle on prokuratuurinõukogu pakutud isikute andmebaasi alusel ametisse nimetanud peaprokurör. Distsiplinaarnõukogu otsuseid võib edasi kaevata piirkonnakohtutesse. </w:t>
      </w:r>
      <w:r>
        <w:rPr>
          <w:rFonts w:ascii="Times New Roman" w:hAnsi="Times New Roman"/>
          <w:b/>
          <w:bCs/>
          <w:i/>
          <w:sz w:val="15"/>
          <w:szCs w:val="15"/>
        </w:rPr>
        <w:t>Soome</w:t>
      </w:r>
      <w:r>
        <w:rPr>
          <w:rFonts w:ascii="Times New Roman" w:hAnsi="Times New Roman"/>
          <w:i/>
          <w:sz w:val="15"/>
          <w:szCs w:val="15"/>
        </w:rPr>
        <w:t>: distsiplinaarmeetmeid määrab peaprokurör. Distsiplinaarmeetmeid käsitlevaid otsuseid saab edasi kaevata halduskohtusse.</w:t>
      </w:r>
    </w:p>
    <w:p>
      <w:pPr>
        <w:spacing w:before="120" w:after="0" w:line="240" w:lineRule="auto"/>
        <w:jc w:val="both"/>
        <w:rPr>
          <w:rFonts w:ascii="Times New Roman" w:hAnsi="Times New Roman" w:cs="Times New Roman"/>
          <w:sz w:val="23"/>
          <w:szCs w:val="23"/>
        </w:rPr>
      </w:pPr>
      <w:r>
        <w:rPr>
          <w:rFonts w:ascii="Times New Roman" w:hAnsi="Times New Roman"/>
          <w:sz w:val="23"/>
          <w:szCs w:val="23"/>
        </w:rPr>
        <w:t>Joonisel 54 antakse ülevaade prokuröride distsiplinaarasju uurivatest uurimisorganitest. Kui joonise allmärkuses ei ole öeldud teisiti, ei hõlma see kohtueelset menetlust, mida tehakse selleks, et otsustada, kas alustada ametlikku distsiplinaarmenetlust. Uurimisetapp on distsiplinaarmenetluse oluline osa, mis võib mõjutada prokuratuuri iseseisvust. Uurimisvolitusi on võimalik kasutada kas a) tavalistel sõltumatutel ametiasutustel, nagu kohus või kohtute või prokuratuuri haldamise nõukoda, või b) peaprokuröril või juhtivprokuröril või c) muudel organitel.</w:t>
      </w:r>
    </w:p>
    <w:p>
      <w:pPr>
        <w:spacing w:before="240" w:after="120" w:line="240" w:lineRule="auto"/>
        <w:jc w:val="both"/>
        <w:rPr>
          <w:rFonts w:ascii="Times New Roman" w:eastAsia="Times New Roman" w:hAnsi="Times New Roman" w:cs="Times New Roman"/>
          <w:bCs/>
          <w:sz w:val="20"/>
          <w:szCs w:val="20"/>
        </w:rPr>
      </w:pPr>
      <w:r>
        <w:rPr>
          <w:rFonts w:ascii="Times New Roman" w:hAnsi="Times New Roman"/>
          <w:b/>
          <w:bCs/>
          <w:sz w:val="24"/>
          <w:szCs w:val="24"/>
        </w:rPr>
        <w:t>Joonis </w:t>
      </w:r>
      <w:r>
        <w:fldChar w:fldCharType="begin"/>
      </w:r>
      <w:r>
        <w:rPr>
          <w:rFonts w:ascii="Times New Roman" w:eastAsia="Calibri" w:hAnsi="Times New Roman" w:cs="Times New Roman"/>
          <w:b/>
          <w:sz w:val="24"/>
          <w:szCs w:val="24"/>
        </w:rPr>
        <w:instrText xml:space="preserve"> SEQ Figure \* ARABIC </w:instrText>
      </w:r>
      <w:r>
        <w:rPr>
          <w:rFonts w:ascii="Times New Roman" w:eastAsia="Calibri" w:hAnsi="Times New Roman" w:cs="Times New Roman"/>
          <w:b/>
          <w:sz w:val="24"/>
          <w:szCs w:val="24"/>
        </w:rPr>
        <w:fldChar w:fldCharType="separate"/>
      </w:r>
      <w:r>
        <w:rPr>
          <w:rFonts w:ascii="Times New Roman" w:eastAsia="Calibri" w:hAnsi="Times New Roman" w:cs="Times New Roman"/>
          <w:b/>
          <w:sz w:val="24"/>
          <w:szCs w:val="24"/>
        </w:rPr>
        <w:t>54</w:t>
      </w:r>
      <w:r>
        <w:fldChar w:fldCharType="end"/>
      </w:r>
      <w:r>
        <w:t>.</w:t>
      </w:r>
      <w:r>
        <w:rPr>
          <w:rFonts w:ascii="Times New Roman" w:hAnsi="Times New Roman"/>
          <w:b/>
          <w:bCs/>
          <w:sz w:val="24"/>
          <w:szCs w:val="24"/>
        </w:rPr>
        <w:t xml:space="preserve"> Prokuröride ametlike distsiplinaarmenetluste eest vastutav uurija(*)</w:t>
      </w:r>
      <w:r>
        <w:rPr>
          <w:rFonts w:ascii="Times New Roman" w:hAnsi="Times New Roman"/>
          <w:bCs/>
          <w:sz w:val="24"/>
          <w:szCs w:val="24"/>
        </w:rPr>
        <w:t xml:space="preserve"> </w:t>
      </w:r>
      <w:r>
        <w:rPr>
          <w:rFonts w:ascii="Times New Roman" w:hAnsi="Times New Roman"/>
          <w:bCs/>
          <w:i/>
          <w:sz w:val="24"/>
          <w:szCs w:val="24"/>
        </w:rPr>
        <w:t>(allikas: Euroopa Komisjon ning rahapesu ja terrorismi rahastamist käsitlev eksperdirühm)</w:t>
      </w:r>
      <w:bookmarkStart w:id="549" w:name="_Toc442362481"/>
      <w:bookmarkStart w:id="550" w:name="_Toc442374817"/>
      <w:bookmarkStart w:id="551" w:name="_Toc442425957"/>
      <w:bookmarkStart w:id="552" w:name="_Toc442453083"/>
      <w:bookmarkStart w:id="553" w:name="_Toc443484542"/>
      <w:bookmarkStart w:id="554" w:name="_Toc443484764"/>
      <w:bookmarkStart w:id="555" w:name="_Toc443509505"/>
      <w:bookmarkStart w:id="556" w:name="_Toc446014834"/>
      <w:bookmarkStart w:id="557" w:name="_Toc441755432"/>
      <w:bookmarkStart w:id="558" w:name="_Toc441756469"/>
      <w:bookmarkStart w:id="559" w:name="_Toc441757513"/>
      <w:bookmarkStart w:id="560" w:name="_Toc441766642"/>
      <w:bookmarkStart w:id="561" w:name="_Toc441766981"/>
      <w:bookmarkStart w:id="562" w:name="_Toc442187982"/>
      <w:bookmarkStart w:id="563" w:name="_Toc442262074"/>
      <w:r>
        <w:rPr>
          <w:rFonts w:ascii="Times New Roman" w:hAnsi="Times New Roman"/>
          <w:bCs/>
          <w:i/>
          <w:sz w:val="24"/>
          <w:szCs w:val="24"/>
        </w:rPr>
        <w:t xml:space="preserve"> </w:t>
      </w:r>
    </w:p>
    <w:p>
      <w:pPr>
        <w:spacing w:after="0" w:line="240" w:lineRule="auto"/>
        <w:jc w:val="both"/>
        <w:rPr>
          <w:rFonts w:ascii="Times New Roman" w:hAnsi="Times New Roman" w:cs="Times New Roman"/>
          <w:i/>
          <w:sz w:val="15"/>
          <w:szCs w:val="15"/>
        </w:rPr>
      </w:pPr>
      <w:r>
        <w:rPr>
          <w:lang w:val="en-GB" w:eastAsia="en-GB"/>
        </w:rPr>
        <w:drawing>
          <wp:inline distT="0" distB="0" distL="0" distR="0">
            <wp:extent cx="5977255" cy="1697184"/>
            <wp:effectExtent l="0" t="0" r="4445" b="0"/>
            <wp:docPr id="97339" name="Picture 97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977255" cy="1697184"/>
                    </a:xfrm>
                    <a:prstGeom prst="rect">
                      <a:avLst/>
                    </a:prstGeom>
                    <a:noFill/>
                    <a:ln>
                      <a:noFill/>
                    </a:ln>
                  </pic:spPr>
                </pic:pic>
              </a:graphicData>
            </a:graphic>
          </wp:inline>
        </w:drawing>
      </w:r>
    </w:p>
    <w:p>
      <w:pPr>
        <w:spacing w:after="0" w:line="240" w:lineRule="auto"/>
        <w:jc w:val="both"/>
        <w:rPr>
          <w:rFonts w:ascii="Times New Roman" w:hAnsi="Times New Roman" w:cs="Times New Roman"/>
          <w:i/>
          <w:sz w:val="15"/>
          <w:szCs w:val="15"/>
        </w:rPr>
      </w:pPr>
      <w:r>
        <w:rPr>
          <w:rFonts w:ascii="Times New Roman" w:hAnsi="Times New Roman"/>
          <w:i/>
          <w:sz w:val="15"/>
          <w:szCs w:val="15"/>
        </w:rPr>
        <w:t xml:space="preserve">(*) </w:t>
      </w:r>
      <w:r>
        <w:rPr>
          <w:rFonts w:ascii="Times New Roman" w:hAnsi="Times New Roman"/>
          <w:b/>
          <w:bCs/>
          <w:i/>
          <w:sz w:val="15"/>
          <w:szCs w:val="15"/>
        </w:rPr>
        <w:t>Belgia</w:t>
      </w:r>
      <w:r>
        <w:rPr>
          <w:rFonts w:ascii="Times New Roman" w:hAnsi="Times New Roman"/>
          <w:i/>
          <w:sz w:val="15"/>
          <w:szCs w:val="15"/>
        </w:rPr>
        <w:t xml:space="preserve">: distsiplinaarasju uurib kõrgemalseisev prokurör. </w:t>
      </w:r>
      <w:r>
        <w:rPr>
          <w:rFonts w:ascii="Times New Roman" w:hAnsi="Times New Roman"/>
          <w:b/>
          <w:bCs/>
          <w:i/>
          <w:sz w:val="15"/>
          <w:szCs w:val="15"/>
        </w:rPr>
        <w:t>Bulgaaria</w:t>
      </w:r>
      <w:r>
        <w:rPr>
          <w:rFonts w:ascii="Times New Roman" w:hAnsi="Times New Roman"/>
          <w:i/>
          <w:sz w:val="15"/>
          <w:szCs w:val="15"/>
        </w:rPr>
        <w:t xml:space="preserve">: noomituse korral uurib distsiplinaarasja prokuröri haldusjuht. Kõikide muude karistuste puhul uurib distsiplinaarasja kolmeliikmeline distsiplinaarkolleegium, mille valib kõrgema kohtute nõukoja prokuröride kolleegium oma liikmete seast. Kõrgema kohtute nõukoja prokuröride kolleegiumisse kuuluvad peaprokurör, neli prokuröride valitud liiget, üks uurimiskohtunike valitud liige ja viis riikliku assamblee valitud liiget. Kõrgemate kohtute nõukoja inspektsioon teeb järelevalvet, mille alusel ta võib teha ettepanekuid distsiplinaarmenetluste algatamiseks. </w:t>
      </w:r>
      <w:r>
        <w:rPr>
          <w:rFonts w:ascii="Times New Roman" w:hAnsi="Times New Roman"/>
          <w:b/>
          <w:bCs/>
          <w:i/>
          <w:sz w:val="15"/>
          <w:szCs w:val="15"/>
        </w:rPr>
        <w:t>Tšehhi</w:t>
      </w:r>
      <w:r>
        <w:rPr>
          <w:rFonts w:ascii="Times New Roman" w:hAnsi="Times New Roman"/>
          <w:i/>
          <w:sz w:val="15"/>
          <w:szCs w:val="15"/>
        </w:rPr>
        <w:t xml:space="preserve">: prokuröri distsiplinaarasja toimikuga võivad tutvuda ja prokurörilt selgitust küsida peaprokurör ja juhtiv peaprokurör. </w:t>
      </w:r>
      <w:r>
        <w:rPr>
          <w:rFonts w:ascii="Times New Roman" w:hAnsi="Times New Roman"/>
          <w:b/>
          <w:bCs/>
          <w:i/>
          <w:sz w:val="15"/>
          <w:szCs w:val="15"/>
        </w:rPr>
        <w:t>Taani</w:t>
      </w:r>
      <w:r>
        <w:rPr>
          <w:rFonts w:ascii="Times New Roman" w:hAnsi="Times New Roman"/>
          <w:i/>
          <w:sz w:val="15"/>
          <w:szCs w:val="15"/>
        </w:rPr>
        <w:t xml:space="preserve">: distsiplinaarasju uurib prokuratuur. </w:t>
      </w:r>
      <w:r>
        <w:rPr>
          <w:rFonts w:ascii="Times New Roman" w:hAnsi="Times New Roman"/>
          <w:b/>
          <w:bCs/>
          <w:i/>
          <w:sz w:val="15"/>
          <w:szCs w:val="15"/>
        </w:rPr>
        <w:t>Saksamaa</w:t>
      </w:r>
      <w:r>
        <w:rPr>
          <w:rFonts w:ascii="Times New Roman" w:hAnsi="Times New Roman"/>
          <w:i/>
          <w:sz w:val="15"/>
          <w:szCs w:val="15"/>
        </w:rPr>
        <w:t xml:space="preserve">: distsiplinaarmenetluse algatamise prokuröri vastu otsustab prokuratuuri juht ja tema juhib ka menetlust. Kuivõrd liidumaade pädevuses on reguleerida riigiametnike distsiplinaarseadust, on liidumaade seadustes mitmesuguseid erijooni. </w:t>
      </w:r>
      <w:r>
        <w:rPr>
          <w:rFonts w:ascii="Times New Roman" w:hAnsi="Times New Roman"/>
          <w:b/>
          <w:bCs/>
          <w:i/>
          <w:sz w:val="15"/>
          <w:szCs w:val="15"/>
        </w:rPr>
        <w:t>Eesti</w:t>
      </w:r>
      <w:r>
        <w:rPr>
          <w:rFonts w:ascii="Times New Roman" w:hAnsi="Times New Roman"/>
          <w:i/>
          <w:sz w:val="15"/>
          <w:szCs w:val="15"/>
        </w:rPr>
        <w:t xml:space="preserve">: distsiplinaarasju uurib kõrgemalseisev prokurör või peaprokurör olenevalt sellest, kes distsiplinaarmenetluse algatas. Samuti võib ta teha tõendite kogumise ja ütluste võtmise ülesandeks teisele prokurörile, kes ei ole distsiplinaarkomisjoni liige ega prokurör, kelle vastu menetlus algatati ega viimase alluv. Distsiplinaarasja uurib prokuröride distsiplinaarkomisjon, kuhu kuulub kaks peaprokuratuuri prokuröri, kaks ringkonnaprokuratuuri prokuröri ja üks kohtunik. </w:t>
      </w:r>
      <w:r>
        <w:rPr>
          <w:rFonts w:ascii="Times New Roman" w:hAnsi="Times New Roman"/>
          <w:b/>
          <w:bCs/>
          <w:i/>
          <w:sz w:val="15"/>
          <w:szCs w:val="15"/>
        </w:rPr>
        <w:t>Iirimaa</w:t>
      </w:r>
      <w:r>
        <w:rPr>
          <w:rFonts w:ascii="Times New Roman" w:hAnsi="Times New Roman"/>
          <w:i/>
          <w:sz w:val="15"/>
          <w:szCs w:val="15"/>
        </w:rPr>
        <w:t xml:space="preserve">: distsiplinaarasju uurib kõrgemalseisev prokurör. Kui asjaolud on keerukad või kahtlustatav rikkumine on tõsine, korraldab personaliosakond uurimise. </w:t>
      </w:r>
      <w:r>
        <w:rPr>
          <w:rFonts w:ascii="Times New Roman" w:hAnsi="Times New Roman"/>
          <w:b/>
          <w:bCs/>
          <w:i/>
          <w:sz w:val="15"/>
          <w:szCs w:val="15"/>
        </w:rPr>
        <w:t>Kreeka</w:t>
      </w:r>
      <w:r>
        <w:rPr>
          <w:rFonts w:ascii="Times New Roman" w:hAnsi="Times New Roman"/>
          <w:i/>
          <w:sz w:val="15"/>
          <w:szCs w:val="15"/>
        </w:rPr>
        <w:t xml:space="preserve">: distsiplinaarasju uurib kõrgemalseisev prokurör. </w:t>
      </w:r>
      <w:r>
        <w:rPr>
          <w:rFonts w:ascii="Times New Roman" w:hAnsi="Times New Roman"/>
          <w:b/>
          <w:bCs/>
          <w:i/>
          <w:sz w:val="15"/>
          <w:szCs w:val="15"/>
        </w:rPr>
        <w:t>Hispaania</w:t>
      </w:r>
      <w:r>
        <w:rPr>
          <w:rFonts w:ascii="Times New Roman" w:hAnsi="Times New Roman"/>
          <w:i/>
          <w:sz w:val="15"/>
          <w:szCs w:val="15"/>
        </w:rPr>
        <w:t xml:space="preserve">: distsiplinaarasju uurib kõrgemalseisev prokurör. </w:t>
      </w:r>
      <w:r>
        <w:rPr>
          <w:rFonts w:ascii="Times New Roman" w:hAnsi="Times New Roman"/>
          <w:b/>
          <w:bCs/>
          <w:i/>
          <w:sz w:val="15"/>
          <w:szCs w:val="15"/>
        </w:rPr>
        <w:t>Prantsusmaa</w:t>
      </w:r>
      <w:r>
        <w:rPr>
          <w:rFonts w:ascii="Times New Roman" w:hAnsi="Times New Roman"/>
          <w:i/>
          <w:sz w:val="15"/>
          <w:szCs w:val="15"/>
        </w:rPr>
        <w:t xml:space="preserve">: pärast haldusuurimist võib justiitsminister otsustada lasta Conseil Supérieur de la Magistrature’il distsiplinaarasja uurida. </w:t>
      </w:r>
      <w:r>
        <w:rPr>
          <w:rFonts w:ascii="Times New Roman" w:hAnsi="Times New Roman"/>
          <w:b/>
          <w:i/>
          <w:sz w:val="15"/>
          <w:szCs w:val="15"/>
        </w:rPr>
        <w:t>Horvaatia:</w:t>
      </w:r>
      <w:r>
        <w:rPr>
          <w:rFonts w:ascii="Times New Roman" w:hAnsi="Times New Roman"/>
          <w:i/>
          <w:sz w:val="15"/>
          <w:szCs w:val="15"/>
        </w:rPr>
        <w:t xml:space="preserve"> distsiplinaarasju uurib juhtivprokurör. </w:t>
      </w:r>
      <w:r>
        <w:rPr>
          <w:rFonts w:ascii="Times New Roman" w:hAnsi="Times New Roman"/>
          <w:b/>
          <w:bCs/>
          <w:i/>
          <w:sz w:val="15"/>
          <w:szCs w:val="15"/>
        </w:rPr>
        <w:t>Itaalia</w:t>
      </w:r>
      <w:r>
        <w:rPr>
          <w:rFonts w:ascii="Times New Roman" w:hAnsi="Times New Roman"/>
          <w:i/>
          <w:sz w:val="15"/>
          <w:szCs w:val="15"/>
        </w:rPr>
        <w:t xml:space="preserve">: uurimisõigus on ülemkohtu peaprokuröril. Haldusuurimise õigus on justiitsministeeriumi peainspektsioonil. </w:t>
      </w:r>
      <w:r>
        <w:rPr>
          <w:rFonts w:ascii="Times New Roman" w:hAnsi="Times New Roman"/>
          <w:b/>
          <w:bCs/>
          <w:i/>
          <w:sz w:val="15"/>
          <w:szCs w:val="15"/>
        </w:rPr>
        <w:t>Küpros</w:t>
      </w:r>
      <w:r>
        <w:rPr>
          <w:rFonts w:ascii="Times New Roman" w:hAnsi="Times New Roman"/>
          <w:i/>
          <w:sz w:val="15"/>
          <w:szCs w:val="15"/>
        </w:rPr>
        <w:t xml:space="preserve">: peaprokurör määrab ühe või mitu asjaomasest ametnikust kõrgema astme ametnikku, kes uurivad distsiplinaarasja ja koostavad aruande. Seejärel otsustab peaprokurör tõendite alusel, kas saata asi edasi avaliku teenistuse komisjonile. </w:t>
      </w:r>
      <w:r>
        <w:rPr>
          <w:rFonts w:ascii="Times New Roman" w:hAnsi="Times New Roman"/>
          <w:b/>
          <w:bCs/>
          <w:i/>
          <w:sz w:val="15"/>
          <w:szCs w:val="15"/>
        </w:rPr>
        <w:t>Läti</w:t>
      </w:r>
      <w:r>
        <w:rPr>
          <w:rFonts w:ascii="Times New Roman" w:hAnsi="Times New Roman"/>
          <w:i/>
          <w:sz w:val="15"/>
          <w:szCs w:val="15"/>
        </w:rPr>
        <w:t xml:space="preserve">: distsiplinaarkaristuse kohaldamise õigusega ametnik (peaprokurör või juhtivprokurörid) vaatab läbi kõik laekunud materjalid ja küsib prokurörilt selgitust ning korraldab vajaduse korral distsiplinaarrikkumise asjaolu uurimise. Distsiplinaarasja uurib kas peaprokuratuuri prokurör või juhtivprokurörid. </w:t>
      </w:r>
      <w:r>
        <w:rPr>
          <w:rFonts w:ascii="Times New Roman" w:hAnsi="Times New Roman"/>
          <w:b/>
          <w:bCs/>
          <w:i/>
          <w:sz w:val="15"/>
          <w:szCs w:val="15"/>
        </w:rPr>
        <w:t>Leedu</w:t>
      </w:r>
      <w:r>
        <w:rPr>
          <w:rFonts w:ascii="Times New Roman" w:hAnsi="Times New Roman"/>
          <w:i/>
          <w:sz w:val="15"/>
          <w:szCs w:val="15"/>
        </w:rPr>
        <w:t xml:space="preserve">: peaprokuratuuri sisejuurdlusüksus või peaprokuröri korralduse kohaselt kokkukutsutud ametlik uurimiskomisjon. </w:t>
      </w:r>
      <w:r>
        <w:rPr>
          <w:rFonts w:ascii="Times New Roman" w:hAnsi="Times New Roman"/>
          <w:b/>
          <w:bCs/>
          <w:i/>
          <w:sz w:val="15"/>
          <w:szCs w:val="15"/>
        </w:rPr>
        <w:t>Luksemburg</w:t>
      </w:r>
      <w:r>
        <w:rPr>
          <w:rFonts w:ascii="Times New Roman" w:hAnsi="Times New Roman"/>
          <w:i/>
          <w:sz w:val="15"/>
          <w:szCs w:val="15"/>
        </w:rPr>
        <w:t xml:space="preserve">: distsiplinaarasju uurib ülemkohtu kolleegium. </w:t>
      </w:r>
      <w:r>
        <w:rPr>
          <w:rFonts w:ascii="Times New Roman" w:hAnsi="Times New Roman"/>
          <w:b/>
          <w:bCs/>
          <w:i/>
          <w:sz w:val="15"/>
          <w:szCs w:val="15"/>
        </w:rPr>
        <w:t>Ungari</w:t>
      </w:r>
      <w:r>
        <w:rPr>
          <w:rFonts w:ascii="Times New Roman" w:hAnsi="Times New Roman"/>
          <w:i/>
          <w:sz w:val="15"/>
          <w:szCs w:val="15"/>
        </w:rPr>
        <w:t xml:space="preserve">: distsiplinaarasja uuriv distsiplinaarvolinik on prokurör, kelle määrab asjaga tegelema uurimise all oleva prokuröri üksuse juht (juhtivprokurör). </w:t>
      </w:r>
      <w:r>
        <w:rPr>
          <w:rFonts w:ascii="Times New Roman" w:hAnsi="Times New Roman"/>
          <w:b/>
          <w:bCs/>
          <w:i/>
          <w:sz w:val="15"/>
          <w:szCs w:val="15"/>
        </w:rPr>
        <w:t>Malta</w:t>
      </w:r>
      <w:r>
        <w:rPr>
          <w:rFonts w:ascii="Times New Roman" w:hAnsi="Times New Roman"/>
          <w:i/>
          <w:sz w:val="15"/>
          <w:szCs w:val="15"/>
        </w:rPr>
        <w:t xml:space="preserve">: distsiplinaarasju uurib advokaatide ja advokaadiabide komitee. Sellesse organisse kuulub komisjoni poolt õigusemõistmiseks määratud advokaat, peaprokuröri määratud advokaat ja kolm advokaadiabide kolleegiumi määratud advokaadiabi. </w:t>
      </w:r>
      <w:r>
        <w:rPr>
          <w:rFonts w:ascii="Times New Roman" w:hAnsi="Times New Roman"/>
          <w:b/>
          <w:bCs/>
          <w:i/>
          <w:sz w:val="15"/>
          <w:szCs w:val="15"/>
        </w:rPr>
        <w:t>Madalmaad</w:t>
      </w:r>
      <w:r>
        <w:rPr>
          <w:rFonts w:ascii="Times New Roman" w:hAnsi="Times New Roman"/>
          <w:i/>
          <w:sz w:val="15"/>
          <w:szCs w:val="15"/>
        </w:rPr>
        <w:t>: distsiplinaarasju uurib kõrgemalseisev prokurör.</w:t>
      </w:r>
      <w:r>
        <w:rPr>
          <w:sz w:val="15"/>
          <w:szCs w:val="15"/>
        </w:rPr>
        <w:t xml:space="preserve"> </w:t>
      </w:r>
      <w:r>
        <w:rPr>
          <w:rFonts w:ascii="Times New Roman" w:hAnsi="Times New Roman"/>
          <w:b/>
          <w:bCs/>
          <w:i/>
          <w:sz w:val="15"/>
          <w:szCs w:val="15"/>
        </w:rPr>
        <w:t>Austria</w:t>
      </w:r>
      <w:r>
        <w:rPr>
          <w:rFonts w:ascii="Times New Roman" w:hAnsi="Times New Roman"/>
          <w:i/>
          <w:sz w:val="15"/>
          <w:szCs w:val="15"/>
        </w:rPr>
        <w:t xml:space="preserve">: distsiplinaarasju uurib kohtu erikolleegium. </w:t>
      </w:r>
      <w:r>
        <w:rPr>
          <w:rFonts w:ascii="Times New Roman" w:hAnsi="Times New Roman"/>
          <w:b/>
          <w:i/>
          <w:sz w:val="15"/>
          <w:szCs w:val="15"/>
        </w:rPr>
        <w:t>Poola:</w:t>
      </w:r>
      <w:r>
        <w:rPr>
          <w:rFonts w:ascii="Times New Roman" w:hAnsi="Times New Roman"/>
          <w:i/>
          <w:sz w:val="15"/>
          <w:szCs w:val="15"/>
        </w:rPr>
        <w:t xml:space="preserve"> distsiplinaarasju uurib distsiplinaarametnik, kelle määrab sellist ülesannet täitma peaprokurör (kes on ühtlasi justiitsminister). Justiitsminister võib ajutiselt määrata prokuröri justiitsministri distsiplinaarametnikuks, kellel on volitused võtta üle mis tahes pooleliolev distsiplinaaruurimine või algatada distsiplinaaruurimine või -menetlus. </w:t>
      </w:r>
      <w:r>
        <w:rPr>
          <w:rFonts w:ascii="Times New Roman" w:hAnsi="Times New Roman"/>
          <w:b/>
          <w:bCs/>
          <w:i/>
          <w:sz w:val="15"/>
          <w:szCs w:val="15"/>
        </w:rPr>
        <w:t>Portugal</w:t>
      </w:r>
      <w:r>
        <w:rPr>
          <w:rFonts w:ascii="Times New Roman" w:hAnsi="Times New Roman"/>
          <w:i/>
          <w:sz w:val="15"/>
          <w:szCs w:val="15"/>
        </w:rPr>
        <w:t xml:space="preserve">: distsiplinaarasju uurib riigiprokuröride inspektsioon. Organisse kuuluvad riigiprokuratuuri kõrgeima nõukogu määratud prokurörid. </w:t>
      </w:r>
      <w:r>
        <w:rPr>
          <w:rFonts w:ascii="Times New Roman" w:hAnsi="Times New Roman"/>
          <w:b/>
          <w:bCs/>
          <w:i/>
          <w:sz w:val="15"/>
          <w:szCs w:val="15"/>
        </w:rPr>
        <w:t>Rumeenia</w:t>
      </w:r>
      <w:r>
        <w:rPr>
          <w:rFonts w:ascii="Times New Roman" w:hAnsi="Times New Roman"/>
          <w:i/>
          <w:sz w:val="15"/>
          <w:szCs w:val="15"/>
        </w:rPr>
        <w:t xml:space="preserve">: kohtunike uurimisorgan kuulub kohtunike kõrgeima kogu haldusalasse. Prokuröre puudutavaid distsiplinaarmeetmeid uurivasse üksusesse kuulub 13 prokuröri, kelle määrab konkursi järel kohtunike uurimisorgani peainspektor. </w:t>
      </w:r>
      <w:r>
        <w:rPr>
          <w:rFonts w:ascii="Times New Roman" w:hAnsi="Times New Roman"/>
          <w:b/>
          <w:i/>
          <w:sz w:val="15"/>
          <w:szCs w:val="15"/>
        </w:rPr>
        <w:t>Sloveenia:</w:t>
      </w:r>
      <w:r>
        <w:rPr>
          <w:rFonts w:ascii="Times New Roman" w:hAnsi="Times New Roman"/>
          <w:i/>
          <w:sz w:val="15"/>
          <w:szCs w:val="15"/>
        </w:rPr>
        <w:t xml:space="preserve"> distsiplinaarasju uurivad distsiplinaarprokurör ja tema asetäitja, kes on kõrgemad riigiprokurörid, kelle on nende nõusolekul ametisse määranud prokuratuurinõukogu peaprokuröri ettepanekul. </w:t>
      </w:r>
      <w:r>
        <w:rPr>
          <w:rFonts w:ascii="Times New Roman" w:hAnsi="Times New Roman"/>
          <w:b/>
          <w:bCs/>
          <w:i/>
          <w:sz w:val="15"/>
          <w:szCs w:val="15"/>
        </w:rPr>
        <w:t>Slovakkia</w:t>
      </w:r>
      <w:r>
        <w:rPr>
          <w:rFonts w:ascii="Times New Roman" w:hAnsi="Times New Roman"/>
          <w:i/>
          <w:sz w:val="15"/>
          <w:szCs w:val="15"/>
        </w:rPr>
        <w:t xml:space="preserve">: kolmest prokurörist koosnev distsiplinaarkogu, kelle on prokuratuurinõukogu pakutud vähemalt 40 inimesest koosneva andmebaasi põhjal ametisse nimetanud peaprokurör. </w:t>
      </w:r>
      <w:r>
        <w:rPr>
          <w:rFonts w:ascii="Times New Roman" w:hAnsi="Times New Roman"/>
          <w:b/>
          <w:bCs/>
          <w:i/>
          <w:sz w:val="15"/>
          <w:szCs w:val="15"/>
        </w:rPr>
        <w:t>Soome</w:t>
      </w:r>
      <w:r>
        <w:rPr>
          <w:rFonts w:ascii="Times New Roman" w:hAnsi="Times New Roman"/>
          <w:i/>
          <w:sz w:val="15"/>
          <w:szCs w:val="15"/>
        </w:rPr>
        <w:t xml:space="preserve">: distsiplinaarasju uurib peaprokurör. </w:t>
      </w:r>
      <w:r>
        <w:rPr>
          <w:rFonts w:ascii="Times New Roman" w:hAnsi="Times New Roman"/>
          <w:b/>
          <w:bCs/>
          <w:i/>
          <w:sz w:val="15"/>
          <w:szCs w:val="15"/>
        </w:rPr>
        <w:t>Rootsi</w:t>
      </w:r>
      <w:r>
        <w:rPr>
          <w:rFonts w:ascii="Times New Roman" w:hAnsi="Times New Roman"/>
          <w:i/>
          <w:sz w:val="15"/>
          <w:szCs w:val="15"/>
        </w:rPr>
        <w:t>: distsiplinaarasju uurib Rootsi prokuratuur.</w:t>
      </w:r>
    </w:p>
    <w:p>
      <w:pPr>
        <w:spacing w:before="60" w:after="0" w:line="240" w:lineRule="auto"/>
        <w:jc w:val="both"/>
        <w:rPr>
          <w:rFonts w:ascii="Times New Roman" w:eastAsia="Times New Roman" w:hAnsi="Times New Roman" w:cs="Times New Roman"/>
          <w:b/>
          <w:bCs/>
          <w:sz w:val="24"/>
          <w:szCs w:val="24"/>
        </w:rPr>
      </w:pPr>
      <w:r>
        <w:rPr>
          <w:rFonts w:ascii="Times New Roman" w:hAnsi="Times New Roman"/>
          <w:sz w:val="24"/>
          <w:szCs w:val="24"/>
        </w:rPr>
        <w:t>Joonisel 55 on näidatud, millistes liikmesriikides on kas peaprokuröril või justiitsministril õigus anda prokuröridele konkreetsete asjade menetlemiseks korraldusi (korraldusi andev asutus), ja esitatud kaitsemeetmed, mis on kehtestatud üksikjuhtumi puhul selliste korralduste andmise tarvis. Joonisel esitatud kaitsemeetmete asemel(</w:t>
      </w:r>
      <w:r>
        <w:rPr>
          <w:rStyle w:val="FootnoteReference"/>
          <w:rFonts w:ascii="Times New Roman" w:eastAsia="Times New Roman" w:hAnsi="Times New Roman" w:cs="Times New Roman"/>
          <w:sz w:val="24"/>
          <w:szCs w:val="24"/>
        </w:rPr>
        <w:footnoteReference w:id="124"/>
      </w:r>
      <w:r>
        <w:rPr>
          <w:rFonts w:ascii="Times New Roman" w:hAnsi="Times New Roman"/>
          <w:sz w:val="24"/>
          <w:szCs w:val="24"/>
        </w:rPr>
        <w:t>) võivad olla kehtestatud muud kaitsemeetmed. Riikides, kus seaduse kohaselt on lubatud justiitsministri juhised, võib olla, et neid volitusi on kasutatud või kasutatakse praktikas harva (vt selgitust joonise all).</w:t>
      </w:r>
    </w:p>
    <w:p>
      <w:pPr>
        <w:spacing w:before="240" w:after="120" w:line="240" w:lineRule="auto"/>
        <w:jc w:val="both"/>
        <w:rPr>
          <w:rFonts w:ascii="Times New Roman" w:eastAsia="Times New Roman" w:hAnsi="Times New Roman" w:cs="Times New Roman"/>
          <w:bCs/>
          <w:i/>
          <w:sz w:val="24"/>
          <w:szCs w:val="24"/>
        </w:rPr>
      </w:pPr>
      <w:r>
        <w:rPr>
          <w:rFonts w:ascii="Times New Roman" w:hAnsi="Times New Roman"/>
          <w:b/>
          <w:sz w:val="24"/>
          <w:szCs w:val="24"/>
        </w:rPr>
        <w:t>Joonis </w:t>
      </w:r>
      <w:r>
        <w:rPr>
          <w:rFonts w:ascii="Times New Roman" w:hAnsi="Times New Roman" w:cs="Times New Roman"/>
          <w:sz w:val="24"/>
          <w:szCs w:val="24"/>
        </w:rPr>
        <w:fldChar w:fldCharType="begin"/>
      </w:r>
      <w:r>
        <w:rPr>
          <w:rFonts w:ascii="Times New Roman" w:eastAsia="Calibri" w:hAnsi="Times New Roman" w:cs="Times New Roman"/>
          <w:b/>
          <w:sz w:val="24"/>
          <w:szCs w:val="24"/>
        </w:rPr>
        <w:instrText xml:space="preserve"> SEQ Figure \* ARABIC </w:instrText>
      </w:r>
      <w:r>
        <w:rPr>
          <w:rFonts w:ascii="Times New Roman" w:eastAsia="Calibri" w:hAnsi="Times New Roman" w:cs="Times New Roman"/>
          <w:b/>
          <w:sz w:val="24"/>
          <w:szCs w:val="24"/>
        </w:rPr>
        <w:fldChar w:fldCharType="separate"/>
      </w:r>
      <w:r>
        <w:rPr>
          <w:rFonts w:ascii="Times New Roman" w:eastAsia="Calibri" w:hAnsi="Times New Roman" w:cs="Times New Roman"/>
          <w:b/>
          <w:sz w:val="24"/>
          <w:szCs w:val="24"/>
        </w:rPr>
        <w:t>55</w:t>
      </w:r>
      <w:r>
        <w:rPr>
          <w:rFonts w:ascii="Times New Roman" w:hAnsi="Times New Roman" w:cs="Times New Roman"/>
          <w:sz w:val="24"/>
          <w:szCs w:val="24"/>
        </w:rPr>
        <w:fldChar w:fldCharType="end"/>
      </w:r>
      <w:r>
        <w:t>.</w:t>
      </w:r>
      <w:r>
        <w:rPr>
          <w:rFonts w:ascii="Times New Roman" w:hAnsi="Times New Roman"/>
          <w:b/>
          <w:bCs/>
          <w:sz w:val="24"/>
          <w:szCs w:val="24"/>
        </w:rPr>
        <w:t xml:space="preserve"> Korraldused prokuröridele konkreetsete asjade menetlemiseks: juhiseid andev asutus ja kaitsemeetmed(*) </w:t>
      </w:r>
      <w:r>
        <w:rPr>
          <w:rFonts w:ascii="Times New Roman" w:hAnsi="Times New Roman"/>
          <w:bCs/>
          <w:i/>
          <w:sz w:val="24"/>
          <w:szCs w:val="24"/>
        </w:rPr>
        <w:t>(allikas: Euroopa Komisjon ning rahapesu ja terrorismi rahastamist käsitlev eksperdirühm)</w:t>
      </w:r>
    </w:p>
    <w:p>
      <w:pPr>
        <w:spacing w:after="0" w:line="240" w:lineRule="auto"/>
        <w:jc w:val="both"/>
        <w:rPr>
          <w:rFonts w:ascii="Times New Roman" w:eastAsia="Times New Roman" w:hAnsi="Times New Roman" w:cs="Times New Roman"/>
          <w:i/>
          <w:sz w:val="24"/>
          <w:szCs w:val="24"/>
        </w:rPr>
      </w:pPr>
      <w:r>
        <w:rPr>
          <w:lang w:val="en-GB" w:eastAsia="en-GB"/>
        </w:rPr>
        <w:drawing>
          <wp:inline distT="0" distB="0" distL="0" distR="0">
            <wp:extent cx="5977255" cy="1656080"/>
            <wp:effectExtent l="0" t="0" r="4445" b="1270"/>
            <wp:docPr id="97344" name="Picture 97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5977255" cy="1656080"/>
                    </a:xfrm>
                    <a:prstGeom prst="rect">
                      <a:avLst/>
                    </a:prstGeom>
                  </pic:spPr>
                </pic:pic>
              </a:graphicData>
            </a:graphic>
          </wp:inline>
        </w:drawing>
      </w:r>
      <w:r>
        <w:rPr>
          <w:rFonts w:ascii="Times New Roman" w:hAnsi="Times New Roman"/>
          <w:sz w:val="24"/>
          <w:szCs w:val="16"/>
        </w:rPr>
        <w:t>Asutus, kes võib anda prokuröridele üksikjuhtumite puhul juhiseid:</w:t>
      </w:r>
    </w:p>
    <w:p>
      <w:pPr>
        <w:spacing w:after="0" w:line="240" w:lineRule="auto"/>
        <w:jc w:val="both"/>
        <w:rPr>
          <w:rFonts w:ascii="Times New Roman" w:hAnsi="Times New Roman" w:cs="Times New Roman"/>
          <w:sz w:val="18"/>
          <w:szCs w:val="16"/>
        </w:rPr>
      </w:pPr>
      <w:r>
        <w:rPr>
          <w:sz w:val="16"/>
          <w:szCs w:val="16"/>
          <w:lang w:val="en-GB" w:eastAsia="en-GB"/>
        </w:rPr>
        <w:drawing>
          <wp:inline distT="0" distB="0" distL="0" distR="0">
            <wp:extent cx="3755985" cy="407830"/>
            <wp:effectExtent l="0" t="0" r="0" b="0"/>
            <wp:docPr id="97342" name="Picture 97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4080201" cy="443034"/>
                    </a:xfrm>
                    <a:prstGeom prst="rect">
                      <a:avLst/>
                    </a:prstGeom>
                  </pic:spPr>
                </pic:pic>
              </a:graphicData>
            </a:graphic>
          </wp:inline>
        </w:drawing>
      </w:r>
    </w:p>
    <w:p>
      <w:pPr>
        <w:spacing w:before="120" w:after="0" w:line="240" w:lineRule="auto"/>
        <w:jc w:val="both"/>
        <w:rPr>
          <w:rFonts w:ascii="Times New Roman" w:hAnsi="Times New Roman" w:cs="Times New Roman"/>
          <w:sz w:val="24"/>
          <w:szCs w:val="16"/>
        </w:rPr>
      </w:pPr>
      <w:r>
        <w:rPr>
          <w:rFonts w:ascii="Times New Roman" w:hAnsi="Times New Roman"/>
          <w:sz w:val="24"/>
          <w:szCs w:val="16"/>
        </w:rPr>
        <w:t>Valitud kaitsemeetmed juhuks, kui üksikjuhtumi puhul antakse juhiseid:</w:t>
      </w:r>
    </w:p>
    <w:p>
      <w:pPr>
        <w:spacing w:after="0" w:line="240" w:lineRule="auto"/>
        <w:jc w:val="both"/>
        <w:rPr>
          <w:rFonts w:ascii="Times New Roman" w:hAnsi="Times New Roman" w:cs="Times New Roman"/>
          <w:sz w:val="18"/>
          <w:szCs w:val="16"/>
        </w:rPr>
      </w:pPr>
      <w:r>
        <w:rPr>
          <w:lang w:val="en-GB" w:eastAsia="en-GB"/>
        </w:rPr>
        <w:drawing>
          <wp:inline distT="0" distB="0" distL="0" distR="0">
            <wp:extent cx="3621314" cy="671331"/>
            <wp:effectExtent l="0" t="0" r="0" b="0"/>
            <wp:docPr id="97343" name="Picture 97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3866952" cy="716868"/>
                    </a:xfrm>
                    <a:prstGeom prst="rect">
                      <a:avLst/>
                    </a:prstGeom>
                  </pic:spPr>
                </pic:pic>
              </a:graphicData>
            </a:graphic>
          </wp:inline>
        </w:drawing>
      </w:r>
    </w:p>
    <w:p>
      <w:pPr>
        <w:spacing w:after="0" w:line="240" w:lineRule="auto"/>
        <w:jc w:val="both"/>
        <w:rPr>
          <w:rFonts w:ascii="Times New Roman" w:hAnsi="Times New Roman" w:cs="Times New Roman"/>
          <w:i/>
          <w:sz w:val="18"/>
          <w:szCs w:val="15"/>
        </w:rPr>
      </w:pPr>
      <w:r>
        <w:rPr>
          <w:rFonts w:ascii="Times New Roman" w:hAnsi="Times New Roman"/>
          <w:i/>
          <w:sz w:val="18"/>
          <w:szCs w:val="15"/>
        </w:rPr>
        <w:t xml:space="preserve">(*) </w:t>
      </w:r>
      <w:r>
        <w:rPr>
          <w:rFonts w:ascii="Times New Roman" w:hAnsi="Times New Roman"/>
          <w:b/>
          <w:bCs/>
          <w:i/>
          <w:sz w:val="18"/>
          <w:szCs w:val="15"/>
        </w:rPr>
        <w:t>Belgia</w:t>
      </w:r>
      <w:r>
        <w:rPr>
          <w:rFonts w:ascii="Times New Roman" w:hAnsi="Times New Roman"/>
          <w:i/>
          <w:sz w:val="18"/>
          <w:szCs w:val="15"/>
        </w:rPr>
        <w:t xml:space="preserve">: justiitsministril on õigus anda korraldusi konkreetsete asjade menetlemiseks (õigus kohustada asja menetlema on sätestatud kriminaalmenetluse seadustiku artiklis 364 ja põhiseaduse artikli 151 lõikes 1). Juhised lisatakse distsiplinaarasja toimikule, kuid pooled tutvuvad sellega olenevalt määrusest ja asja etapist. </w:t>
      </w:r>
      <w:r>
        <w:rPr>
          <w:rFonts w:ascii="Times New Roman" w:hAnsi="Times New Roman"/>
          <w:b/>
          <w:i/>
          <w:sz w:val="18"/>
          <w:szCs w:val="15"/>
        </w:rPr>
        <w:t>Bulgaaria:</w:t>
      </w:r>
      <w:r>
        <w:rPr>
          <w:rFonts w:ascii="Times New Roman" w:hAnsi="Times New Roman"/>
          <w:i/>
          <w:sz w:val="18"/>
          <w:szCs w:val="15"/>
        </w:rPr>
        <w:t xml:space="preserve"> edasikaebamine on võimalik, välja arvatud peaprokuröri toimingute puhul. </w:t>
      </w:r>
      <w:r>
        <w:rPr>
          <w:rFonts w:ascii="Times New Roman" w:hAnsi="Times New Roman"/>
          <w:b/>
          <w:i/>
          <w:sz w:val="18"/>
          <w:szCs w:val="15"/>
        </w:rPr>
        <w:t>Tšehhi:</w:t>
      </w:r>
      <w:r>
        <w:rPr>
          <w:rFonts w:ascii="Times New Roman" w:hAnsi="Times New Roman"/>
          <w:i/>
          <w:sz w:val="18"/>
          <w:szCs w:val="15"/>
        </w:rPr>
        <w:t xml:space="preserve"> peaprokuröril on õigus anda kõrgematele prokuratuuridele korraldusi konkreetse asja menetlemiseks vaid peaprokuratuuri piires. </w:t>
      </w:r>
      <w:r>
        <w:rPr>
          <w:rFonts w:ascii="Times New Roman" w:hAnsi="Times New Roman"/>
          <w:b/>
          <w:bCs/>
          <w:i/>
          <w:sz w:val="18"/>
          <w:szCs w:val="15"/>
        </w:rPr>
        <w:t>Saksamaa</w:t>
      </w:r>
      <w:r>
        <w:rPr>
          <w:rFonts w:ascii="Times New Roman" w:hAnsi="Times New Roman"/>
          <w:i/>
          <w:sz w:val="18"/>
          <w:szCs w:val="15"/>
        </w:rPr>
        <w:t xml:space="preserve">: #: kaitsemeetmed erinevad olenevalt föderaal- või liidumaa tasandist. Liitvabariigi peaprokurör on ainus prokurör föderaaltasandil, kelle üle peab järelevalvet ja kellele annavad juhiseid liitvabariigi justiits- ja tarbijakaitseminister, ning Saksamaa 16 liidumaa prokuröride üle peavad järelevalvet ja neile annavad juhiseid nende vastavate liidumaade justiitsministeeriumid. Järelevalve ja juhiste andmise õigus hõlmab õigust anda asjaomasele peaprokurörile juhiseid, kuid see on piiratud seaduslikkuse põhimõttega (st kohustusliku kohtu alla andmise põhimõttega). Korraldusi konkreetsete asjade menetlemiseks antakse väga harva. Näiteks tegid föderaalministeerium ja Saksimaa valitsusparteid avalduse, et ei kavatse oma juhiste andmise õigust kasutada. Tüüringi ministeerium lubas mitte anda üksikjuhtumite puhul juhiseid, Nordrhein-Westfaleni ministeerium ja Alam-Saksi valitsus lubasid anda individuaalseid juhiseid ainult erandlikel juhtudel. Föderaalseadusi kehtestatud ei ole, kuid kehtivad teatavad liidumaade seadused ning föderaal- ja liidumaade määrused ning suunised, milles sätestatakse juhiste andmise eeskirjad. Näiteks peavad föderaalministeeriumi ja Nordrhein-Westfaleni ja Tüüringi juhised olema kirjalikud, Tüüringis tuleb esitada ka põhjendus, Alam-Saksimaal peavad olema juhised kirjalikus vormis, kui kokkuleppele ei jõuta, ning Schleswig-Holsteinis tuleb need dokumenteerida kirjalikult ja teatada nendest parlamendi presidendile. Föderaal- ja liidumaa tasandil on kõrgema ametniku juhised siduvad vaid prokuröri sisemise töösuhte piires ning juhiseid rikkuvad toimingud on siiski kehtivad. Kuna prokurör on kohustatud seadusi järgima, peab ta keelduma ebaseaduslike juhiste järgimisest. Ta võib vastuväiteid esitada ja lasta juhised temast järgmise kõrgema astme ametnikul läbi vaadata. Kui juhis kinnitatakse, aga prokuröril on endiselt kahtlusi selle seaduslikkuse suhtes, võib ta taotleda läbivaatamist järgmise kõrgema astme ametnikult. Kui juhis jällegi kinnitatakse, peab prokurör juhist järgima ja ta ei riku oma kohustusi, kui juhis on ebaseaduslik. Siiski ei tohi prokurörid erandina täita juhiseid, kui sellised toimingud kujutaksid endast kuritegu, väärtegu või kahjustaksid inimväärikust. Puudub konkreetne õiguskaitsevahend, millega kohustataks kohut juhised läbi vaatama. Siiski võib kohus juhiste seaduslikkuse läbi vaadata distsiplinaarmenetluse käigus prokuröride vastu, nt kui on vaja otsustada, kas juhiste täitmatajätmisega rikutakse ametikohustusi. </w:t>
      </w:r>
      <w:r>
        <w:rPr>
          <w:rFonts w:ascii="Times New Roman" w:hAnsi="Times New Roman"/>
          <w:b/>
          <w:i/>
          <w:sz w:val="18"/>
          <w:szCs w:val="15"/>
        </w:rPr>
        <w:t>Taani:</w:t>
      </w:r>
      <w:r>
        <w:rPr>
          <w:rFonts w:ascii="Times New Roman" w:hAnsi="Times New Roman"/>
          <w:i/>
          <w:sz w:val="18"/>
          <w:szCs w:val="15"/>
        </w:rPr>
        <w:t xml:space="preserve"> justiitsministril on õigus anda juhiseid konkreetsete asjade menetlemiseks (õigusemõistmise seadus, artikli 98 lõige 3). Eri justiitsministrid on seda võimalust kasutanud aga väga vastumeelselt ning selliseid juhiseid ei ole antud 1990ndatest aastatest saadik. Juhis(t)est tuleb kirjalikult teavitada Taani parlamendi esimeest (õigusemõistmise seaduse artikli 98 lõige 3). Piirkonnaprokurörid võivad läbi vaadata politseiringkondade otsuseid ja riigiprokuratuuri direktor võib läbi vaadata piirkonnaprokuröride otsuseid. </w:t>
      </w:r>
      <w:r>
        <w:rPr>
          <w:rFonts w:ascii="Times New Roman" w:hAnsi="Times New Roman"/>
          <w:b/>
          <w:i/>
          <w:sz w:val="18"/>
          <w:szCs w:val="15"/>
        </w:rPr>
        <w:t>Iirimaa:</w:t>
      </w:r>
      <w:r>
        <w:rPr>
          <w:rFonts w:ascii="Times New Roman" w:hAnsi="Times New Roman"/>
          <w:i/>
          <w:sz w:val="18"/>
          <w:szCs w:val="15"/>
        </w:rPr>
        <w:t xml:space="preserve"> ei ole täpsustatud süüdistuse esitamise 1974. aasta seaduse artiklis 4.1. </w:t>
      </w:r>
      <w:r>
        <w:rPr>
          <w:rFonts w:ascii="Times New Roman" w:hAnsi="Times New Roman"/>
          <w:b/>
          <w:i/>
          <w:sz w:val="18"/>
          <w:szCs w:val="15"/>
        </w:rPr>
        <w:t>Hispaania:</w:t>
      </w:r>
      <w:r>
        <w:rPr>
          <w:rFonts w:ascii="Times New Roman" w:hAnsi="Times New Roman"/>
          <w:i/>
          <w:sz w:val="18"/>
          <w:szCs w:val="15"/>
        </w:rPr>
        <w:t xml:space="preserve"> peaprokurör kehtestab prokuratuuri teenistusülesannete ja funktsioonide täitmiseks kohase sisekorra ja asjaomased juhised, mis võivad olla üldised või puudutada konkreetseid asju. </w:t>
      </w:r>
      <w:r>
        <w:rPr>
          <w:rFonts w:ascii="Times New Roman" w:hAnsi="Times New Roman"/>
          <w:b/>
          <w:i/>
          <w:sz w:val="18"/>
          <w:szCs w:val="15"/>
        </w:rPr>
        <w:t>Leedu:</w:t>
      </w:r>
      <w:r>
        <w:rPr>
          <w:rFonts w:ascii="Times New Roman" w:hAnsi="Times New Roman"/>
          <w:i/>
          <w:sz w:val="18"/>
          <w:szCs w:val="15"/>
        </w:rPr>
        <w:t xml:space="preserve"> peaprokuröri juhised võib kohtusse edasi kaevata. Peaprokurör ei saa anda juhiseid, milline otsus tuleks teha. </w:t>
      </w:r>
      <w:r>
        <w:rPr>
          <w:rFonts w:ascii="Times New Roman" w:hAnsi="Times New Roman"/>
          <w:b/>
          <w:i/>
          <w:sz w:val="18"/>
          <w:szCs w:val="15"/>
        </w:rPr>
        <w:t>Luksemburg:</w:t>
      </w:r>
      <w:r>
        <w:rPr>
          <w:rFonts w:ascii="Times New Roman" w:hAnsi="Times New Roman"/>
          <w:i/>
          <w:sz w:val="18"/>
          <w:szCs w:val="15"/>
        </w:rPr>
        <w:t xml:space="preserve"> peaprokurör ja justiitsminister võivad anda prokuratuuridele juhiseid konkreetses kohtuasjas süüdistuse esitamiseks (kuid ei saa anda korraldust jätta süüdistus esitamata). Selliseid juhiseid ei ole justiitsminister aga enam kui 20 aasta jooksul andnud. Seadustest ei tulene nõuet, mis kohustaks selliste korralduste andmisel pidama nõu mõne prokuröriga või küsima peaprokuröri arvamust. </w:t>
      </w:r>
      <w:r>
        <w:rPr>
          <w:rFonts w:ascii="Times New Roman" w:hAnsi="Times New Roman"/>
          <w:b/>
          <w:i/>
          <w:sz w:val="18"/>
          <w:szCs w:val="15"/>
        </w:rPr>
        <w:t>Horvaatia:</w:t>
      </w:r>
      <w:r>
        <w:rPr>
          <w:rFonts w:ascii="Times New Roman" w:hAnsi="Times New Roman"/>
          <w:i/>
          <w:sz w:val="18"/>
          <w:szCs w:val="15"/>
        </w:rPr>
        <w:t xml:space="preserve"> peaprokuröri juhiste seaduslikkuse, tulemuslikkuse jms võib läbi vaadata. </w:t>
      </w:r>
      <w:r>
        <w:rPr>
          <w:rFonts w:ascii="Times New Roman" w:hAnsi="Times New Roman"/>
          <w:b/>
          <w:bCs/>
          <w:i/>
          <w:sz w:val="18"/>
          <w:szCs w:val="15"/>
        </w:rPr>
        <w:t>Ungari</w:t>
      </w:r>
      <w:r>
        <w:rPr>
          <w:rFonts w:ascii="Times New Roman" w:hAnsi="Times New Roman"/>
          <w:i/>
          <w:sz w:val="18"/>
          <w:szCs w:val="15"/>
        </w:rPr>
        <w:t xml:space="preserve">: peaprokuröri, prokuröride ja muude prokuratuuritöötajate ja prokuröriameti 2011. aasta seaduse CLXIV artikli 53 kohaselt võib prokurör taotleda peaprokurörilt konkreetse asja menetlemiseks saadud korralduse kirjalikku kinnitust. Prokurör võib korraldusest selgesõnaliselt keelduda, kui see kujutaks endast süü- või väärtegu või seaks prokuröri ohtu ning kui prokurör ei nõustu korraldusega, võib ta taotleda asja üleandmist teisele prokurörile ning sellist taotlust ei saa tagasi lükata. </w:t>
      </w:r>
      <w:r>
        <w:rPr>
          <w:rFonts w:ascii="Times New Roman" w:hAnsi="Times New Roman"/>
          <w:b/>
          <w:i/>
          <w:sz w:val="18"/>
          <w:szCs w:val="15"/>
        </w:rPr>
        <w:t>Malta:</w:t>
      </w:r>
      <w:r>
        <w:rPr>
          <w:rFonts w:ascii="Times New Roman" w:hAnsi="Times New Roman"/>
          <w:i/>
          <w:sz w:val="18"/>
          <w:szCs w:val="15"/>
        </w:rPr>
        <w:t xml:space="preserve"> seoses küsimusega konkreetsete prokuröride rolli kohta võrreldes peaprokuröri rolliga tuleb öelda, et Malta põhiseadusega luuakse peaprokuratuur. Samuti antakse talle põhiseadusega õigused ja kohustused ning tagatakse ametikoha püsimine vastavalt põhiseaduse artiklites 91 ja 97 sätestatule. Vastavalt Malta seaduste 90. peatükile (peaprokuröri korraldus) palkab peaprokurör enda ametiülesannetes ja kohustustes esindamiseks seaduse kohaselt ametnikke. Sellised ametnikud esindavad peaprokuröri tema ametiülesannetes ja kaalutlusõiguses. Peaprokuröri tema ametiülesannetes esindades on ametnikud seadusega sama moodi kaitstud. Seepärast ei anta prokuröridele Malta seaduse kohaselt eraldi tagatisi, sest oma ametiülesannetes esindavad nad seaduse kohaselt peaprokuröri ennast ja sellistes ametiülesannetes on nad kaitstud sama moodi, nagu seadus kaitseb peaprokuröri ennast. </w:t>
      </w:r>
      <w:r>
        <w:rPr>
          <w:rFonts w:ascii="Times New Roman" w:hAnsi="Times New Roman"/>
          <w:b/>
          <w:i/>
          <w:sz w:val="18"/>
          <w:szCs w:val="15"/>
        </w:rPr>
        <w:t xml:space="preserve">Madalmaad: </w:t>
      </w:r>
      <w:r>
        <w:rPr>
          <w:rFonts w:ascii="Times New Roman" w:hAnsi="Times New Roman"/>
          <w:i/>
          <w:sz w:val="18"/>
          <w:szCs w:val="15"/>
        </w:rPr>
        <w:t xml:space="preserve">justiitsminister võib anda prokuratuurile korralduse mingit asja menetleda või mitte menetleda, kuid ta peab eelnevalt hankima peaprokuratuuri nõukogult (College van procureurs-generaal) kavandatud korralduse kohta kirjaliku põhjendatud arvamuse. Kui tegemist on korraldusega asja mitte menetleda, tuleb sellest teavitada parlamenti. Seni on seda aga juhtunud vaid ühel korral enam kui 20 aastat tagasi. Peaprokuröri korralduste kohta konkreetsete asjade menetlemiseks ei ole kehtestatud erinõudeid. Peaprokuröri kolleegium võib anda prokurörile konkreetse juhtumi puhul juhiseid. Organis on kolm kuni viis liiget ning see teeb otsuse häälteenamusega, kui kohal on vähemalt kolm liiget. Juhtumite puhuks, mille korral kolleegium annab konkreetse juhtumi asjus juhiseid, ei ole konkreetseid kaitsemeetmeid kehtestatud. </w:t>
      </w:r>
      <w:r>
        <w:rPr>
          <w:rFonts w:ascii="Times New Roman" w:hAnsi="Times New Roman"/>
          <w:b/>
          <w:i/>
          <w:sz w:val="18"/>
          <w:szCs w:val="15"/>
        </w:rPr>
        <w:t>Austria:</w:t>
      </w:r>
      <w:r>
        <w:rPr>
          <w:rFonts w:ascii="Times New Roman" w:hAnsi="Times New Roman"/>
          <w:i/>
          <w:sz w:val="18"/>
          <w:szCs w:val="15"/>
        </w:rPr>
        <w:t xml:space="preserve"> justiitsministril on õigus anda korraldusi konkreetsete asjade menetlemiseks, kui peaprokuratuuri juures asutatud sõltumatu organ (Weisungsrat) on andnud mittesiduva arvamuse. Justiitsminister peab kord aastas andma parlamendile aru kõikidest üksikjuhtumite puhul antud juhistest, kui asjaomased distsiplinaarasjad on lahendatud, sealhulgas Weisungsrati arvamuse mittejärgimise põhjendused, kui see on asjakohane (prokuratuuriseaduse paragrahvi 29a lõige 3). Ajavahemikul 2012–2017 teatati konkreetsete asjade menetlemise puhul antud 54 korraldusest (Weisungsbericht 2018). </w:t>
      </w:r>
      <w:r>
        <w:rPr>
          <w:rFonts w:ascii="Times New Roman" w:hAnsi="Times New Roman"/>
          <w:b/>
          <w:i/>
          <w:sz w:val="18"/>
          <w:szCs w:val="15"/>
        </w:rPr>
        <w:t>Poola:</w:t>
      </w:r>
      <w:r>
        <w:rPr>
          <w:rFonts w:ascii="Times New Roman" w:hAnsi="Times New Roman"/>
          <w:i/>
          <w:sz w:val="18"/>
          <w:szCs w:val="15"/>
        </w:rPr>
        <w:t xml:space="preserve"> peaprokurör on ühtlasi justiitsminister. Kui prokurör ei nõustu konkreetse asja menetlemiseks antud juhisega, saab ta taotleda juhise muutmist või enda kõrvaldamist toimingu menetlemisest või distsiplinaarasjas osalemisest. Kõrvaldamisotsuse teeb lõpuks prokurör, kes on korralduse andnud prokuröri vahetu juht. </w:t>
      </w:r>
      <w:r>
        <w:rPr>
          <w:rFonts w:ascii="Times New Roman" w:hAnsi="Times New Roman"/>
          <w:b/>
          <w:i/>
          <w:sz w:val="18"/>
          <w:szCs w:val="15"/>
        </w:rPr>
        <w:t xml:space="preserve">Slovakkia: </w:t>
      </w:r>
      <w:r>
        <w:rPr>
          <w:rFonts w:ascii="Times New Roman" w:hAnsi="Times New Roman"/>
          <w:i/>
          <w:sz w:val="18"/>
          <w:szCs w:val="15"/>
        </w:rPr>
        <w:t>konkreetsete asjade menetlemiseks antud juhised lisatakse distsiplinaarasja toimikule, nii et teistel pooltel on võimalik nendega tutvuda ja esitada märkused vaid eritingimustel.</w:t>
      </w:r>
    </w:p>
    <w:p>
      <w:pPr>
        <w:jc w:val="both"/>
      </w:pPr>
      <w:r>
        <w:br w:type="page"/>
      </w:r>
    </w:p>
    <w:tbl>
      <w:tblPr>
        <w:tblW w:w="0" w:type="auto"/>
        <w:tblInd w:w="-10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29"/>
      </w:tblGrid>
      <w:tr>
        <w:trPr>
          <w:trHeight w:val="345"/>
        </w:trPr>
        <w:tc>
          <w:tcPr>
            <w:tcW w:w="9729" w:type="dxa"/>
            <w:shd w:val="clear" w:color="auto" w:fill="auto"/>
          </w:tcPr>
          <w:p>
            <w:pPr>
              <w:widowControl w:val="0"/>
              <w:tabs>
                <w:tab w:val="left" w:pos="850"/>
              </w:tabs>
              <w:spacing w:before="120" w:after="40" w:line="240" w:lineRule="auto"/>
              <w:ind w:left="850" w:hanging="850"/>
              <w:jc w:val="both"/>
              <w:outlineLvl w:val="2"/>
              <w:rPr>
                <w:rFonts w:ascii="Times New Roman" w:eastAsia="Times New Roman" w:hAnsi="Times New Roman" w:cs="Times New Roman"/>
                <w:b/>
                <w:sz w:val="24"/>
                <w:szCs w:val="24"/>
                <w:u w:val="single"/>
              </w:rPr>
            </w:pPr>
            <w:r>
              <w:rPr>
                <w:rFonts w:ascii="Times New Roman" w:hAnsi="Times New Roman"/>
                <w:b/>
                <w:sz w:val="24"/>
                <w:szCs w:val="24"/>
              </w:rPr>
              <w:t>3.3.3. Kokkuvõte kohtusüsteemi sõltumatuse kohta</w:t>
            </w:r>
            <w:bookmarkEnd w:id="549"/>
            <w:bookmarkEnd w:id="550"/>
            <w:bookmarkEnd w:id="551"/>
            <w:bookmarkEnd w:id="552"/>
            <w:bookmarkEnd w:id="553"/>
            <w:bookmarkEnd w:id="554"/>
            <w:bookmarkEnd w:id="555"/>
            <w:bookmarkEnd w:id="556"/>
          </w:p>
          <w:p>
            <w:pPr>
              <w:widowControl w:val="0"/>
              <w:spacing w:before="60" w:after="120" w:line="240" w:lineRule="auto"/>
              <w:contextualSpacing/>
              <w:jc w:val="both"/>
              <w:rPr>
                <w:rFonts w:ascii="Times New Roman" w:eastAsia="Times New Roman" w:hAnsi="Times New Roman" w:cs="Times New Roman"/>
                <w:sz w:val="24"/>
              </w:rPr>
            </w:pPr>
            <w:r>
              <w:rPr>
                <w:rFonts w:ascii="Times New Roman" w:hAnsi="Times New Roman"/>
                <w:sz w:val="24"/>
                <w:szCs w:val="24"/>
              </w:rPr>
              <w:t xml:space="preserve">Sõltumatus on üks tulemusliku kohtusüsteemi põhielemente. See on ülioluline õigusriigi põhimõtte kaitsmisel, õiglase kohtumenetluste tagamisel ning selleks, et kodanikel ja ettevõtjatel säiliks usaldus õigussüsteemi vastu. Seepärast peab kohtureformi puhul alati järgima õigusriigi põhimõtet ja see peab olema kooskõlas kohtusüsteemi sõltumatust käsitlevate Euroopa normidega. </w:t>
            </w:r>
            <w:r>
              <w:rPr>
                <w:rFonts w:ascii="Times New Roman" w:hAnsi="Times New Roman"/>
                <w:sz w:val="24"/>
                <w:szCs w:val="24"/>
                <w:shd w:val="clear" w:color="auto" w:fill="FFFFFF" w:themeFill="background1"/>
              </w:rPr>
              <w:t xml:space="preserve">Tulemustabelis on näha, millised muutused on toimunud selles, kuidas üldsus ja ettevõtjad tajuvad kohtusüsteemi sõltumatust. </w:t>
            </w:r>
            <w:r>
              <w:rPr>
                <w:rFonts w:ascii="Times New Roman" w:hAnsi="Times New Roman"/>
                <w:sz w:val="24"/>
                <w:szCs w:val="24"/>
              </w:rPr>
              <w:t xml:space="preserve">Tulemustabelis on esitatud ka teatavad valiknäitajaid, mis puudutavad kohtunike ja prokuröride distsiplinaarmenetlusse kaasatud organite ja prokuratuuridega seotud õiguslikke kaitsemeetmeid. Struktuursed näitajad ei võimalda iseenesest teha järeldusi liikmesriikide kohtute sõltumatuse kohta, kuid neid saab niisuguse analüüsi tegemisel kasutada lähtekohana. </w:t>
            </w:r>
          </w:p>
          <w:p>
            <w:pPr>
              <w:widowControl w:val="0"/>
              <w:numPr>
                <w:ilvl w:val="0"/>
                <w:numId w:val="8"/>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2020. aasta tulemustabelis tutvustatakse üldsusele (Eurobaromeeter) ja ettevõtjatele (Eurobaromeeter ja Maailma Majandusfoorum) suunatud uuringute põhjal, kuidas on muutunud kohtusüsteemi </w:t>
            </w:r>
            <w:r>
              <w:rPr>
                <w:rFonts w:ascii="Times New Roman" w:hAnsi="Times New Roman"/>
                <w:b/>
                <w:sz w:val="24"/>
                <w:szCs w:val="24"/>
              </w:rPr>
              <w:t>tajutav sõltumatus</w:t>
            </w:r>
            <w:r>
              <w:rPr>
                <w:rFonts w:ascii="Times New Roman" w:hAnsi="Times New Roman"/>
                <w:sz w:val="24"/>
                <w:szCs w:val="24"/>
              </w:rPr>
              <w:t>.</w:t>
            </w:r>
          </w:p>
          <w:p>
            <w:pPr>
              <w:widowControl w:val="0"/>
              <w:numPr>
                <w:ilvl w:val="1"/>
                <w:numId w:val="8"/>
              </w:numPr>
              <w:spacing w:before="6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Üldjuhul on kõikide uuringute </w:t>
            </w:r>
            <w:r>
              <w:rPr>
                <w:rFonts w:ascii="Times New Roman" w:hAnsi="Times New Roman"/>
                <w:i/>
                <w:iCs/>
                <w:sz w:val="24"/>
                <w:szCs w:val="24"/>
              </w:rPr>
              <w:t>tulemused sarnased</w:t>
            </w:r>
            <w:r>
              <w:rPr>
                <w:rFonts w:ascii="Times New Roman" w:hAnsi="Times New Roman"/>
                <w:sz w:val="24"/>
                <w:szCs w:val="24"/>
              </w:rPr>
              <w:t>, eriti nende kahe liikmesriikide rühma puhul, kus kohtusüsteemi tajutav sõltumatus on väikseim ja suurim.</w:t>
            </w:r>
          </w:p>
          <w:p>
            <w:pPr>
              <w:widowControl w:val="0"/>
              <w:numPr>
                <w:ilvl w:val="1"/>
                <w:numId w:val="8"/>
              </w:numPr>
              <w:spacing w:before="6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Kaheksandat korda korraldatud Maailma Majandusfoorumi uuringust (joonis 48) on näha, et 2010. aastaga võrreldes on sõltumatus ettevõtjate meelest </w:t>
            </w:r>
            <w:r>
              <w:rPr>
                <w:rFonts w:ascii="Times New Roman" w:hAnsi="Times New Roman"/>
                <w:i/>
                <w:sz w:val="24"/>
                <w:szCs w:val="24"/>
              </w:rPr>
              <w:t>paranenud</w:t>
            </w:r>
            <w:r>
              <w:rPr>
                <w:rFonts w:ascii="Times New Roman" w:hAnsi="Times New Roman"/>
                <w:sz w:val="24"/>
                <w:szCs w:val="24"/>
              </w:rPr>
              <w:t xml:space="preserve"> või </w:t>
            </w:r>
            <w:r>
              <w:rPr>
                <w:rFonts w:ascii="Times New Roman" w:hAnsi="Times New Roman"/>
                <w:i/>
                <w:sz w:val="24"/>
                <w:szCs w:val="24"/>
              </w:rPr>
              <w:t>püsinud stabiilne</w:t>
            </w:r>
            <w:r>
              <w:rPr>
                <w:rFonts w:ascii="Times New Roman" w:hAnsi="Times New Roman"/>
                <w:sz w:val="24"/>
                <w:szCs w:val="24"/>
              </w:rPr>
              <w:t xml:space="preserve"> umbes kahes kolmandikus liikmesriikides. Ka nende liikmesriikide puhul, kus on konkreetseid probleeme,(</w:t>
            </w:r>
            <w:r>
              <w:rPr>
                <w:rFonts w:ascii="Times New Roman" w:eastAsia="Times New Roman" w:hAnsi="Times New Roman" w:cs="Times New Roman"/>
                <w:sz w:val="24"/>
                <w:szCs w:val="24"/>
                <w:vertAlign w:val="superscript"/>
              </w:rPr>
              <w:footnoteReference w:id="125"/>
            </w:r>
            <w:r>
              <w:rPr>
                <w:rFonts w:ascii="Times New Roman" w:hAnsi="Times New Roman"/>
                <w:sz w:val="24"/>
                <w:szCs w:val="24"/>
              </w:rPr>
              <w:t xml:space="preserve">) on kohtute tajutav sõltumatus üheksa-aastase perioodi jooksul </w:t>
            </w:r>
            <w:r>
              <w:rPr>
                <w:rFonts w:ascii="Times New Roman" w:hAnsi="Times New Roman"/>
                <w:i/>
                <w:sz w:val="24"/>
                <w:szCs w:val="24"/>
              </w:rPr>
              <w:t>paranenud</w:t>
            </w:r>
            <w:r>
              <w:rPr>
                <w:rFonts w:ascii="Times New Roman" w:hAnsi="Times New Roman"/>
                <w:sz w:val="24"/>
                <w:szCs w:val="24"/>
              </w:rPr>
              <w:t xml:space="preserve"> või </w:t>
            </w:r>
            <w:r>
              <w:rPr>
                <w:rFonts w:ascii="Times New Roman" w:hAnsi="Times New Roman"/>
                <w:i/>
                <w:sz w:val="24"/>
                <w:szCs w:val="24"/>
              </w:rPr>
              <w:t>püsinud stabiilne</w:t>
            </w:r>
            <w:r>
              <w:rPr>
                <w:rFonts w:ascii="Times New Roman" w:hAnsi="Times New Roman"/>
                <w:sz w:val="24"/>
                <w:szCs w:val="24"/>
              </w:rPr>
              <w:t xml:space="preserve"> peaaegu kolme viiendiku riikide puhul. </w:t>
            </w:r>
          </w:p>
          <w:p>
            <w:pPr>
              <w:widowControl w:val="0"/>
              <w:numPr>
                <w:ilvl w:val="1"/>
                <w:numId w:val="8"/>
              </w:numPr>
              <w:spacing w:before="6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Viiendat korda üldsuse hulgas tehtud Eurobaromeetri uuringust (joonis 44) on näha, et 2016. aastaga võrreldes on kohtute tajutav sõltumatus </w:t>
            </w:r>
            <w:r>
              <w:rPr>
                <w:rFonts w:ascii="Times New Roman" w:hAnsi="Times New Roman"/>
                <w:i/>
                <w:sz w:val="24"/>
                <w:szCs w:val="24"/>
              </w:rPr>
              <w:t>paranenud</w:t>
            </w:r>
            <w:r>
              <w:rPr>
                <w:rFonts w:ascii="Times New Roman" w:hAnsi="Times New Roman"/>
                <w:sz w:val="24"/>
                <w:szCs w:val="24"/>
              </w:rPr>
              <w:t xml:space="preserve"> umbes kahes kolmandikus liikmesriikides. Üldsuse meelest on kohtute sõltumatus viie aasta jooksul </w:t>
            </w:r>
            <w:r>
              <w:rPr>
                <w:rFonts w:ascii="Times New Roman" w:hAnsi="Times New Roman"/>
                <w:i/>
                <w:sz w:val="24"/>
                <w:szCs w:val="24"/>
              </w:rPr>
              <w:t>paranenud</w:t>
            </w:r>
            <w:r>
              <w:rPr>
                <w:rFonts w:ascii="Times New Roman" w:hAnsi="Times New Roman"/>
                <w:sz w:val="24"/>
                <w:szCs w:val="24"/>
              </w:rPr>
              <w:t xml:space="preserve"> enam kui kahes kolmandikus neist liikmesriikidest, kus esineb konkreetseid probleeme. Võrreldes möödunud aastaga aga on üldsuse meelest kohtute sõltumatus </w:t>
            </w:r>
            <w:r>
              <w:rPr>
                <w:rFonts w:ascii="Times New Roman" w:hAnsi="Times New Roman"/>
                <w:i/>
                <w:sz w:val="24"/>
                <w:szCs w:val="24"/>
              </w:rPr>
              <w:t>vähenenud</w:t>
            </w:r>
            <w:r>
              <w:rPr>
                <w:rFonts w:ascii="Times New Roman" w:hAnsi="Times New Roman"/>
                <w:sz w:val="24"/>
                <w:szCs w:val="24"/>
              </w:rPr>
              <w:t xml:space="preserve"> ligikaudu kahes viiendikus kõikidest liikmesriikidest ning umbes pooltes liikmesriikidest, kus esineb konkreetseid probleeme, ja mõnes liikmesriigis püsib tajutava sõltumatuse tase eriti madal. </w:t>
            </w:r>
          </w:p>
          <w:p>
            <w:pPr>
              <w:widowControl w:val="0"/>
              <w:numPr>
                <w:ilvl w:val="1"/>
                <w:numId w:val="8"/>
              </w:numPr>
              <w:spacing w:before="6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Viiendat korda ettevõtjate hulgas korraldatud Eurobaromeetri uuringust (joonis 46) on näha, et tajutav kohtute sõltumatus on </w:t>
            </w:r>
            <w:r>
              <w:rPr>
                <w:rFonts w:ascii="Times New Roman" w:hAnsi="Times New Roman"/>
                <w:i/>
                <w:sz w:val="24"/>
                <w:szCs w:val="24"/>
              </w:rPr>
              <w:t>paranenud</w:t>
            </w:r>
            <w:r>
              <w:rPr>
                <w:rFonts w:ascii="Times New Roman" w:hAnsi="Times New Roman"/>
                <w:sz w:val="24"/>
                <w:szCs w:val="24"/>
              </w:rPr>
              <w:t xml:space="preserve"> enam kui pooltes liikmesriikides nii võrreldes 2016. aastaga kui ka umbes kolmes viiendikus liikmesriikides võrreldes möödunud aastaga (möödunud aastaga võrreldes ligikaudu kolmes viiendikus nendest liikmesriikidest, kus esineb konkreetseid probleeme, ja enam kui kahes kolmandikus teistest liikmesriikidest). Siiski on mitmes liikmesriigis tajutava sõltumatuse tase eriti madal. </w:t>
            </w:r>
          </w:p>
          <w:p>
            <w:pPr>
              <w:widowControl w:val="0"/>
              <w:numPr>
                <w:ilvl w:val="1"/>
                <w:numId w:val="8"/>
              </w:numPr>
              <w:spacing w:before="60" w:after="0" w:line="240" w:lineRule="auto"/>
              <w:jc w:val="both"/>
              <w:rPr>
                <w:rFonts w:ascii="Times New Roman" w:eastAsia="Times New Roman" w:hAnsi="Times New Roman" w:cs="Times New Roman"/>
                <w:sz w:val="24"/>
                <w:szCs w:val="24"/>
              </w:rPr>
            </w:pPr>
            <w:r>
              <w:rPr>
                <w:rFonts w:ascii="Times New Roman" w:hAnsi="Times New Roman"/>
                <w:sz w:val="24"/>
                <w:szCs w:val="24"/>
              </w:rPr>
              <w:t>Kohtute ja kohtunike sõltumatuse puudumise tajumise põhjusena nimetati kõige sagedamini valitsuse ja poliitikute sekkumist või survet, sellele järgnes majanduslikke või muid erihuve esindavate rühmade surve. Võrreldes varasemate aastatega püsivad mõlemad põhjused mitmes liikmesriigis, kus kohtute tajutavat sõltumatust peetakse väga madalaks (joonised 45 ja 47).</w:t>
            </w:r>
          </w:p>
          <w:p>
            <w:pPr>
              <w:widowControl w:val="0"/>
              <w:numPr>
                <w:ilvl w:val="1"/>
                <w:numId w:val="8"/>
              </w:numPr>
              <w:spacing w:before="6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Põhjuste seas, miks kohtuid ja kohtunikke peetakse sõltumatuks, nimetas pea neli viiendikku ettevõtjatest ja üldsusest (vastavalt 43 ja 44 % kõikidest vastajatest) </w:t>
            </w:r>
            <w:r>
              <w:rPr>
                <w:rFonts w:ascii="Times New Roman" w:hAnsi="Times New Roman"/>
                <w:i/>
                <w:iCs/>
                <w:sz w:val="24"/>
                <w:szCs w:val="24"/>
              </w:rPr>
              <w:t>kohtuniku staatusest ja ametikohast tulenevaid tagatisi</w:t>
            </w:r>
            <w:r>
              <w:rPr>
                <w:rFonts w:ascii="Times New Roman" w:hAnsi="Times New Roman"/>
                <w:sz w:val="24"/>
                <w:szCs w:val="24"/>
              </w:rPr>
              <w:t>.</w:t>
            </w:r>
          </w:p>
          <w:p>
            <w:pPr>
              <w:widowControl w:val="0"/>
              <w:numPr>
                <w:ilvl w:val="0"/>
                <w:numId w:val="8"/>
              </w:numPr>
              <w:spacing w:before="60" w:after="0" w:line="240" w:lineRule="auto"/>
              <w:jc w:val="both"/>
              <w:rPr>
                <w:rFonts w:ascii="Times New Roman" w:eastAsia="Times New Roman" w:hAnsi="Times New Roman" w:cs="Times New Roman"/>
                <w:sz w:val="24"/>
                <w:szCs w:val="24"/>
              </w:rPr>
            </w:pPr>
            <w:r>
              <w:rPr>
                <w:rFonts w:ascii="Times New Roman" w:hAnsi="Times New Roman"/>
                <w:sz w:val="24"/>
                <w:szCs w:val="24"/>
              </w:rPr>
              <w:t>2020. aasta ELi õigusemõistmise tulemustabelis antakse ajakohastatud ülevaade kohtunike suhtes alustatud menetlustega tegelevatest distsiplinaarorganitest, samuti kohtute, täidesaatva võimu ja parlamendi pädevusest kohtute haldamise nõukodade kohtunikest liikmete valimisel ning mõni ülevaade seoses prokuratuuridega:</w:t>
            </w:r>
          </w:p>
          <w:p>
            <w:pPr>
              <w:widowControl w:val="0"/>
              <w:numPr>
                <w:ilvl w:val="0"/>
                <w:numId w:val="8"/>
              </w:numPr>
              <w:spacing w:before="60" w:after="12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Joonisel 49 antakse ajakohastatud ülevaade </w:t>
            </w:r>
            <w:r>
              <w:rPr>
                <w:rFonts w:ascii="Times New Roman" w:hAnsi="Times New Roman"/>
                <w:b/>
                <w:sz w:val="24"/>
                <w:szCs w:val="24"/>
              </w:rPr>
              <w:t>kohtunike distsiplinaarmenetlusi</w:t>
            </w:r>
            <w:r>
              <w:rPr>
                <w:rFonts w:ascii="Times New Roman" w:hAnsi="Times New Roman"/>
                <w:sz w:val="24"/>
                <w:szCs w:val="24"/>
              </w:rPr>
              <w:t xml:space="preserve"> juhtivatest organitest. Valdavas osas liikmesriikidest teeb distsiplinaarkaristuste kohta otsuseid sõltumatu organ, näiteks kohus (ülemkohus, halduskohus või kohtu esimees) või kohtute haldamise nõukoda, kuid mõnes liikmesriigis on selleks erikohus, mille distsiplinaarmenetlustes osalevad liikmed on selleks eraldi valitud või nimetatud (see ülesanne lasub kohtute haldamise nõukojal, kohtunikel või ühes liikmesriigis justiitsministril).</w:t>
            </w:r>
          </w:p>
          <w:p>
            <w:pPr>
              <w:widowControl w:val="0"/>
              <w:numPr>
                <w:ilvl w:val="0"/>
                <w:numId w:val="8"/>
              </w:numPr>
              <w:spacing w:before="60" w:after="12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Joonisel 50 antakse ajakohastatud ülevaade </w:t>
            </w:r>
            <w:r>
              <w:rPr>
                <w:rFonts w:ascii="Times New Roman" w:hAnsi="Times New Roman"/>
                <w:b/>
                <w:bCs/>
                <w:sz w:val="24"/>
                <w:szCs w:val="24"/>
              </w:rPr>
              <w:t>uurimisorganitest, kes juhivad kohtunike suhtes alustatud distsiplinaarasjade uurimist</w:t>
            </w:r>
            <w:r>
              <w:rPr>
                <w:rFonts w:ascii="Times New Roman" w:hAnsi="Times New Roman"/>
                <w:sz w:val="24"/>
                <w:szCs w:val="24"/>
              </w:rPr>
              <w:t>. Enamikus liikmesriikides on selleks kohtu esimees või kohtute haldamise nõukoda. Mõnes liikmesriigis valivad konkreetse uurija kohtunikud või kohtute haldamise nõukoda, ühes aga liikmesriigis justiitsminister.</w:t>
            </w:r>
          </w:p>
          <w:p>
            <w:pPr>
              <w:widowControl w:val="0"/>
              <w:numPr>
                <w:ilvl w:val="0"/>
                <w:numId w:val="8"/>
              </w:numPr>
              <w:spacing w:before="60" w:after="12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Joonisel 51 ja 52 on esitatud ajakohastatud ülevaade kohtute osalemisest </w:t>
            </w:r>
            <w:r>
              <w:rPr>
                <w:rFonts w:ascii="Times New Roman" w:hAnsi="Times New Roman"/>
                <w:b/>
                <w:bCs/>
                <w:sz w:val="24"/>
                <w:szCs w:val="24"/>
              </w:rPr>
              <w:t>kohtunikest liikmete nimetamisel kohtute haldamise nõukodadesse</w:t>
            </w:r>
            <w:r>
              <w:rPr>
                <w:rFonts w:ascii="Times New Roman" w:hAnsi="Times New Roman"/>
                <w:sz w:val="24"/>
                <w:szCs w:val="24"/>
              </w:rPr>
              <w:t xml:space="preserve"> ja </w:t>
            </w:r>
            <w:r>
              <w:rPr>
                <w:rFonts w:ascii="Times New Roman" w:hAnsi="Times New Roman"/>
                <w:b/>
                <w:bCs/>
                <w:sz w:val="24"/>
                <w:szCs w:val="24"/>
              </w:rPr>
              <w:t>kohtute haldamise nõukodade koosseisust</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Liikmesriigid võivad ise otsustada oma õigussüsteemi korralduse, sealhulgas selle üle, kas luua kohtute haldamise nõukoda või mitte. Ent kui liikmesriik on kohtute haldamise nõukoja loonud, tuleb kooskõlas Euroopa normidega tagada selle sõltumatus. Peaaegu kõikides liikmesriikides on nõukodade kohtunikest liikmete kandidaatide esitajad ja valijad või selekteerijad kohtunikud.</w:t>
            </w:r>
          </w:p>
          <w:p>
            <w:pPr>
              <w:widowControl w:val="0"/>
              <w:numPr>
                <w:ilvl w:val="0"/>
                <w:numId w:val="8"/>
              </w:numPr>
              <w:spacing w:before="60" w:after="12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Joonisel 53 ja 54 esitatakse ülevaade </w:t>
            </w:r>
            <w:r>
              <w:rPr>
                <w:rFonts w:ascii="Times New Roman" w:hAnsi="Times New Roman"/>
                <w:b/>
                <w:bCs/>
                <w:sz w:val="24"/>
                <w:szCs w:val="24"/>
              </w:rPr>
              <w:t>kohtunike suhtes alustatud menetlustega tegelevatest distsiplinaarorganitest</w:t>
            </w:r>
            <w:r>
              <w:rPr>
                <w:rFonts w:ascii="Times New Roman" w:hAnsi="Times New Roman"/>
                <w:sz w:val="24"/>
                <w:szCs w:val="24"/>
              </w:rPr>
              <w:t xml:space="preserve">. Joonisel 55 esitatakse ajakohastatud ja üksikasjalikum ülevaade, millised organid võivad anda </w:t>
            </w:r>
            <w:r>
              <w:rPr>
                <w:rFonts w:ascii="Times New Roman" w:hAnsi="Times New Roman"/>
                <w:b/>
                <w:bCs/>
                <w:sz w:val="24"/>
                <w:szCs w:val="24"/>
              </w:rPr>
              <w:t xml:space="preserve">prokuröridele konkreetsete asjade menetlemiseks </w:t>
            </w:r>
            <w:r>
              <w:rPr>
                <w:rFonts w:ascii="Times New Roman" w:hAnsi="Times New Roman"/>
                <w:sz w:val="24"/>
                <w:szCs w:val="24"/>
              </w:rPr>
              <w:t>juhiseid, samuti esitatakse mõned kaitsemeetmed, mis on kehtestatud üksikjuhtumi puhul.</w:t>
            </w:r>
          </w:p>
        </w:tc>
      </w:tr>
    </w:tbl>
    <w:p>
      <w:pPr>
        <w:keepNext/>
        <w:tabs>
          <w:tab w:val="left" w:pos="850"/>
        </w:tabs>
        <w:spacing w:before="240" w:after="120" w:line="240" w:lineRule="auto"/>
        <w:ind w:left="850" w:hanging="850"/>
        <w:jc w:val="both"/>
        <w:outlineLvl w:val="0"/>
        <w:rPr>
          <w:rFonts w:ascii="Times New Roman" w:eastAsia="Times New Roman" w:hAnsi="Times New Roman" w:cs="Times New Roman"/>
          <w:b/>
          <w:smallCaps/>
          <w:sz w:val="24"/>
          <w:szCs w:val="24"/>
        </w:rPr>
      </w:pPr>
      <w:bookmarkStart w:id="564" w:name="_Toc440291129"/>
      <w:bookmarkStart w:id="565" w:name="_Toc440294692"/>
      <w:bookmarkStart w:id="566" w:name="_Toc440295194"/>
      <w:bookmarkStart w:id="567" w:name="_Toc440296599"/>
      <w:bookmarkStart w:id="568" w:name="_Toc440625083"/>
      <w:bookmarkStart w:id="569" w:name="_Toc440626413"/>
      <w:bookmarkStart w:id="570" w:name="_Toc440628867"/>
      <w:bookmarkStart w:id="571" w:name="_Toc441571141"/>
      <w:bookmarkStart w:id="572" w:name="_Toc441581643"/>
      <w:bookmarkStart w:id="573" w:name="_Toc441585910"/>
      <w:bookmarkStart w:id="574" w:name="_Toc441595845"/>
      <w:bookmarkStart w:id="575" w:name="_Toc441596022"/>
      <w:bookmarkStart w:id="576" w:name="_Toc441748147"/>
      <w:bookmarkStart w:id="577" w:name="_Toc441755433"/>
      <w:bookmarkStart w:id="578" w:name="_Toc441756470"/>
      <w:bookmarkStart w:id="579" w:name="_Toc441757514"/>
      <w:bookmarkStart w:id="580" w:name="_Toc441766643"/>
      <w:bookmarkStart w:id="581" w:name="_Toc441766982"/>
      <w:bookmarkStart w:id="582" w:name="_Toc442187983"/>
      <w:bookmarkStart w:id="583" w:name="_Toc442262075"/>
      <w:bookmarkStart w:id="584" w:name="_Toc442362482"/>
      <w:bookmarkStart w:id="585" w:name="_Toc442374818"/>
      <w:bookmarkStart w:id="586" w:name="_Toc442425958"/>
      <w:bookmarkStart w:id="587" w:name="_Toc442453084"/>
      <w:bookmarkEnd w:id="557"/>
      <w:bookmarkEnd w:id="558"/>
      <w:bookmarkEnd w:id="559"/>
      <w:bookmarkEnd w:id="560"/>
      <w:bookmarkEnd w:id="561"/>
      <w:bookmarkEnd w:id="562"/>
      <w:bookmarkEnd w:id="563"/>
      <w:r>
        <w:tab/>
      </w:r>
      <w:bookmarkStart w:id="588" w:name="_Toc409512293"/>
      <w:bookmarkStart w:id="589" w:name="_Toc409530234"/>
      <w:bookmarkStart w:id="590" w:name="_Toc438545683"/>
      <w:bookmarkStart w:id="591" w:name="_Toc438548333"/>
      <w:bookmarkStart w:id="592" w:name="_Toc438548519"/>
      <w:bookmarkStart w:id="593" w:name="_Toc440017707"/>
      <w:bookmarkStart w:id="594" w:name="_Toc440018091"/>
      <w:bookmarkStart w:id="595" w:name="_Toc440033389"/>
      <w:bookmarkStart w:id="596" w:name="_Toc440035240"/>
      <w:bookmarkStart w:id="597" w:name="_Toc440036535"/>
      <w:bookmarkStart w:id="598" w:name="_Toc440042477"/>
      <w:bookmarkStart w:id="599" w:name="_Toc443484543"/>
      <w:bookmarkStart w:id="600" w:name="_Toc443484765"/>
      <w:bookmarkStart w:id="601" w:name="_Toc443509506"/>
      <w:bookmarkStart w:id="602" w:name="_Toc446014835"/>
      <w:r>
        <w:rPr>
          <w:rFonts w:ascii="Times New Roman" w:hAnsi="Times New Roman"/>
          <w:b/>
          <w:smallCaps/>
          <w:sz w:val="24"/>
          <w:szCs w:val="24"/>
        </w:rPr>
        <w:t>4.</w:t>
      </w:r>
      <w:r>
        <w:tab/>
      </w:r>
      <w:r>
        <w:rPr>
          <w:rFonts w:ascii="Times New Roman" w:hAnsi="Times New Roman"/>
          <w:b/>
          <w:smallCaps/>
          <w:sz w:val="24"/>
          <w:szCs w:val="24"/>
        </w:rPr>
        <w:t>JÄRELDUSED</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spacing w:after="12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2020. aasta ELi õigusemõistmise tulemustabel näitab kohtusüsteemide tulemuslikkuse jätkuvat paranemist suuremas osas liikmesriikides. Probleemiks on sellegipoolest endiselt see, kuidas tagada kodanike täielik usaldus nende liikmesriikide õigussüsteemide vastu, kus kohtunike staatuse ja ametiga kaasnevad tagatised ja seega kohtunike sõltumatus võivad olla ohus. </w:t>
      </w:r>
    </w:p>
    <w:p>
      <w:pPr>
        <w:spacing w:after="120" w:line="240" w:lineRule="auto"/>
        <w:jc w:val="both"/>
        <w:rPr>
          <w:rFonts w:ascii="Times New Roman" w:eastAsia="Times New Roman" w:hAnsi="Times New Roman" w:cs="Times New Roman"/>
          <w:sz w:val="24"/>
          <w:szCs w:val="24"/>
        </w:rPr>
      </w:pPr>
      <w:r>
        <w:rPr>
          <w:rFonts w:ascii="Times New Roman" w:hAnsi="Times New Roman"/>
          <w:sz w:val="24"/>
          <w:szCs w:val="24"/>
        </w:rPr>
        <w:t>ELi õigusemõistmise tulemustabelis esitatakse objektiivne ja võrreldav teave liikmesriikide kohtusüsteemide sõltumatuse, kvaliteedi ja tõhususe kohta ning selles viidatakse Euroopa poolaastale, samuti asjaolule, et see on üks eelseisva õigusriiki käsitleva aruande allikaid. Nagu on öeldud teatises „Õigusriigi edasine tugevdamine liidus. Hetkeseis ja võimalikud edasised sammud“, arendatakse ELi õigusemõistmise tulemustabelit edasi asjaomastes õigusriigi põhimõttega seotud valdkondades.</w:t>
      </w:r>
    </w:p>
    <w:sectPr>
      <w:headerReference w:type="even" r:id="rId78"/>
      <w:headerReference w:type="default" r:id="rId79"/>
      <w:footerReference w:type="even" r:id="rId80"/>
      <w:footerReference w:type="default" r:id="rId81"/>
      <w:headerReference w:type="first" r:id="rId82"/>
      <w:footerReference w:type="first" r:id="rId83"/>
      <w:pgSz w:w="11907" w:h="16839"/>
      <w:pgMar w:top="1134" w:right="1247" w:bottom="1134" w:left="1247" w:header="709" w:footer="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p>
    <w:pPr>
      <w:pStyle w:val="Footer"/>
      <w:rPr>
        <w:rFonts w:ascii="Times New Roman" w:hAnsi="Times New Roman" w:cs="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before="60"/>
        <w:ind w:left="567" w:hanging="567"/>
      </w:pPr>
      <w:r>
        <w:rPr>
          <w:rStyle w:val="FootnoteReference"/>
        </w:rPr>
        <w:footnoteRef/>
      </w:r>
      <w:r>
        <w:t xml:space="preserve"> </w:t>
      </w:r>
      <w:r>
        <w:tab/>
        <w:t xml:space="preserve">Vt komisjoni teatis Euroopa Parlamendile, nõukogule, Euroopa Majandus- ja Sotsiaalkomiteele ning Regioonide Komiteele „Ühtse turu tõkete tuvastamine ja kõrvaldamine“, COM(2020)93 ja sellega seotud dokument SWD(2020)54. </w:t>
      </w:r>
    </w:p>
  </w:footnote>
  <w:footnote w:id="3">
    <w:p>
      <w:pPr>
        <w:pStyle w:val="FootnoteText"/>
        <w:spacing w:before="60"/>
        <w:ind w:left="567" w:hanging="567"/>
        <w:rPr>
          <w:highlight w:val="yellow"/>
        </w:rPr>
      </w:pPr>
      <w:r>
        <w:rPr>
          <w:rStyle w:val="FootnoteReference"/>
        </w:rPr>
        <w:footnoteRef/>
      </w:r>
      <w:r>
        <w:rPr>
          <w:vertAlign w:val="superscript"/>
        </w:rPr>
        <w:t xml:space="preserve"> </w:t>
      </w:r>
      <w:r>
        <w:tab/>
        <w:t>Nt Euroopa Parlamendi 29. mai 2018. aasta resolutsioon 2017. aasta ELi õigusemõistmise tulemustabeli kohta (P8_TA(2018)0216).</w:t>
      </w:r>
    </w:p>
  </w:footnote>
  <w:footnote w:id="4">
    <w:p>
      <w:pPr>
        <w:pStyle w:val="FootnoteText"/>
        <w:spacing w:before="60"/>
        <w:ind w:left="567" w:hanging="567"/>
      </w:pPr>
      <w:r>
        <w:rPr>
          <w:rStyle w:val="FootnoteReference"/>
        </w:rPr>
        <w:footnoteRef/>
      </w:r>
      <w:r>
        <w:t xml:space="preserve"> </w:t>
      </w:r>
      <w:r>
        <w:tab/>
        <w:t xml:space="preserve">Ajavahemiku lühendamiseks võetakse 2020. aasta ELi õigusemõistmise tulemustabelis CEPEJ andmete lähteaastaks 2012. aasta, samal ajal kui 2019. aasta väljaandes kasutati 2010. aasta andmeid. </w:t>
      </w:r>
    </w:p>
  </w:footnote>
  <w:footnote w:id="5">
    <w:p>
      <w:pPr>
        <w:pStyle w:val="FootnoteText"/>
        <w:spacing w:before="60"/>
        <w:ind w:left="567" w:hanging="567"/>
        <w:rPr>
          <w:highlight w:val="yellow"/>
        </w:rPr>
      </w:pPr>
      <w:r>
        <w:rPr>
          <w:rStyle w:val="FootnoteReference"/>
        </w:rPr>
        <w:footnoteRef/>
      </w:r>
      <w:r>
        <w:tab/>
        <w:t xml:space="preserve">Kättesaadav aadressil </w:t>
      </w:r>
      <w:hyperlink r:id="rId1" w:history="1">
        <w:r>
          <w:rPr>
            <w:rStyle w:val="Hyperlink"/>
          </w:rPr>
          <w:t>https://ec.europa.eu/info/strategy/justice-and-fundamental-rights/effective-justice/eu-justice-scoreboard_et</w:t>
        </w:r>
      </w:hyperlink>
      <w:r>
        <w:t>.</w:t>
      </w:r>
    </w:p>
  </w:footnote>
  <w:footnote w:id="6">
    <w:p>
      <w:pPr>
        <w:pStyle w:val="FootnoteText"/>
        <w:spacing w:before="60"/>
        <w:ind w:left="567" w:hanging="567"/>
      </w:pPr>
      <w:r>
        <w:rPr>
          <w:rStyle w:val="FootnoteReference"/>
        </w:rPr>
        <w:footnoteRef/>
      </w:r>
      <w:r>
        <w:t xml:space="preserve"> </w:t>
      </w:r>
      <w:r>
        <w:tab/>
        <w:t>Ühel joonisel (48) kasutatakse endiselt 2010. aasta andmeid, sest mõnes liikmesriigis viidi ülemaailmse konkurentsivõime aruande uuring tajutava sõltumatuse kohta ellu aastatel 2010, 2011 või 2012.</w:t>
      </w:r>
    </w:p>
  </w:footnote>
  <w:footnote w:id="7">
    <w:p>
      <w:pPr>
        <w:pStyle w:val="FootnoteText"/>
        <w:spacing w:before="60"/>
        <w:ind w:left="567" w:hanging="567"/>
        <w:rPr>
          <w:highlight w:val="yellow"/>
        </w:rPr>
      </w:pPr>
      <w:r>
        <w:rPr>
          <w:rStyle w:val="FootnoteReference"/>
        </w:rPr>
        <w:footnoteRef/>
      </w:r>
      <w:r>
        <w:rPr>
          <w:vertAlign w:val="superscript"/>
        </w:rPr>
        <w:t xml:space="preserve"> </w:t>
      </w:r>
      <w:r>
        <w:tab/>
        <w:t>ELi õigusemõistmise tulemustabeli koostamiseks ja selleks, et edendada kohtusüsteemide tulemuslikkuse parimate tavade vahetamist, palus komisjon liikmesriikidel määrata kaks kontaktisikut (ühe kohtunike seast ja teise justiitsministeeriumist). Nendest kontaktisikutest koosnev mitteametlik rühm koguneb korrapäraselt.</w:t>
      </w:r>
    </w:p>
  </w:footnote>
  <w:footnote w:id="8">
    <w:p>
      <w:pPr>
        <w:pStyle w:val="FootnoteText"/>
        <w:spacing w:before="60"/>
        <w:ind w:left="567" w:hanging="567"/>
      </w:pPr>
      <w:r>
        <w:rPr>
          <w:rStyle w:val="FootnoteReference"/>
        </w:rPr>
        <w:footnoteRef/>
      </w:r>
      <w:r>
        <w:tab/>
        <w:t xml:space="preserve">Euroopa kohtute haldamise nõukodade võrgustik ühendab liikmesriikide ametiasutusi, mis on lahutatud täidesaatvast ja seadusandlikust võimust ning toetavad kohtuid õigusemõistmise sõltumatuse tagamisel: </w:t>
      </w:r>
      <w:hyperlink r:id="rId2" w:history="1">
        <w:r>
          <w:rPr>
            <w:rStyle w:val="Hyperlink"/>
          </w:rPr>
          <w:t>https://www.encj.eu/</w:t>
        </w:r>
      </w:hyperlink>
      <w:r>
        <w:t>.</w:t>
      </w:r>
    </w:p>
  </w:footnote>
  <w:footnote w:id="9">
    <w:p>
      <w:pPr>
        <w:pStyle w:val="FootnoteText"/>
        <w:spacing w:before="60"/>
        <w:ind w:left="567" w:hanging="567"/>
      </w:pPr>
      <w:r>
        <w:rPr>
          <w:rStyle w:val="FootnoteReference"/>
        </w:rPr>
        <w:footnoteRef/>
      </w:r>
      <w:r>
        <w:t xml:space="preserve"> </w:t>
      </w:r>
      <w:r>
        <w:tab/>
        <w:t xml:space="preserve">Euroopa Liidu ülemkohtute esimeeste võrgustiku kaudu saavad Euroopa institutsioonid küsida ülemkohtutelt arvamust ning lähendada ülemkohtuid ja Euroopa institutsioone arutelude soodustamise ja mõttevahetuse kaudu: </w:t>
      </w:r>
      <w:hyperlink r:id="rId3" w:history="1">
        <w:r>
          <w:rPr>
            <w:rStyle w:val="Hyperlink"/>
          </w:rPr>
          <w:t>http://network-presidents.eu/</w:t>
        </w:r>
      </w:hyperlink>
      <w:r>
        <w:t>.</w:t>
      </w:r>
    </w:p>
  </w:footnote>
  <w:footnote w:id="10">
    <w:p>
      <w:pPr>
        <w:pStyle w:val="FootnoteText"/>
        <w:spacing w:before="60"/>
        <w:ind w:left="567" w:hanging="567"/>
        <w:rPr>
          <w:highlight w:val="yellow"/>
        </w:rPr>
      </w:pPr>
      <w:r>
        <w:rPr>
          <w:rStyle w:val="FootnoteReference"/>
        </w:rPr>
        <w:footnoteRef/>
      </w:r>
      <w:r>
        <w:tab/>
        <w:t xml:space="preserve">Euroopa Liidu Riiginõukogude ja Kõrgemate Halduskohtute Ühendusse kuuluvad Euroopa Liidu Kohus ja kõikide ELi liikmesriikide riiginõukogud või kõrgeimad halduskohtud: </w:t>
      </w:r>
      <w:hyperlink r:id="rId4" w:history="1">
        <w:r>
          <w:rPr>
            <w:rStyle w:val="Hyperlink"/>
          </w:rPr>
          <w:t>http://www.juradmin.eu/index.php/en/</w:t>
        </w:r>
      </w:hyperlink>
      <w:r>
        <w:t>.</w:t>
      </w:r>
    </w:p>
  </w:footnote>
  <w:footnote w:id="11">
    <w:p>
      <w:pPr>
        <w:pStyle w:val="FootnoteText"/>
        <w:spacing w:before="60"/>
        <w:ind w:left="567" w:hanging="567"/>
      </w:pPr>
      <w:r>
        <w:rPr>
          <w:rStyle w:val="FootnoteReference"/>
        </w:rPr>
        <w:footnoteRef/>
      </w:r>
      <w:r>
        <w:tab/>
        <w:t xml:space="preserve">Euroopa konkurentsivõrgustik on loodud keskkonnana, kus liikmesriikide konkurentsiasutused saavad pidada arutelusid ja teha koostööd ELi toimimise lepingu artiklite 101 ja 102 kohaldamise korral. Euroopa konkurentsivõrgustik on raamistik, millele tugineb nõukogu määrusega (EÜ) nr 1/2003 ette nähtud tiheda koostöö mehhanism. Selle võrgustiku kaudu teevad komisjon ja kõikide ELi liikmesriikide riiklikud konkurentsiasutused omavahel koostööd: </w:t>
      </w:r>
      <w:hyperlink r:id="rId5" w:history="1">
        <w:r>
          <w:rPr>
            <w:rStyle w:val="Hyperlink"/>
          </w:rPr>
          <w:t>http://ec.europa.eu/competition/ecn/index_en.html</w:t>
        </w:r>
      </w:hyperlink>
      <w:r>
        <w:t>.</w:t>
      </w:r>
    </w:p>
  </w:footnote>
  <w:footnote w:id="12">
    <w:p>
      <w:pPr>
        <w:pStyle w:val="FootnoteText"/>
        <w:spacing w:before="60"/>
        <w:ind w:left="567" w:hanging="567"/>
      </w:pPr>
      <w:r>
        <w:rPr>
          <w:rStyle w:val="FootnoteReference"/>
        </w:rPr>
        <w:footnoteRef/>
      </w:r>
      <w:r>
        <w:tab/>
        <w:t xml:space="preserve">Sidekomiteesse kuuluvad ELi liikmesriikide esindajad. Komitee põhiülesanne on avaldada arvamust nende komisjoni kavandatavate meetmete kohta, mida komisjon soovib kehtestada seoses digitaalse turuga: </w:t>
      </w:r>
      <w:hyperlink r:id="rId6" w:history="1">
        <w:r>
          <w:rPr>
            <w:rStyle w:val="Hyperlink"/>
          </w:rPr>
          <w:t>https://ec.europa.eu/digital-single-market/en/communications-committee</w:t>
        </w:r>
      </w:hyperlink>
      <w:r>
        <w:t>.</w:t>
      </w:r>
    </w:p>
  </w:footnote>
  <w:footnote w:id="13">
    <w:p>
      <w:pPr>
        <w:pStyle w:val="FootnoteText"/>
        <w:spacing w:before="60"/>
        <w:ind w:left="567" w:hanging="567"/>
      </w:pPr>
      <w:r>
        <w:rPr>
          <w:rStyle w:val="FootnoteReference"/>
        </w:rPr>
        <w:footnoteRef/>
      </w:r>
      <w:r>
        <w:tab/>
        <w:t xml:space="preserve">Intellektuaalomandiga seotud õigusrikkumiste Euroopa vaatluskeskus on ekspertide ja valdkonda tundvate sidusrühmade võrgustik. Sellesse kuuluvad avaliku ja erasektori esindajad, kes teevad töörühmades aktiivselt koostööd: </w:t>
      </w:r>
      <w:hyperlink r:id="rId7" w:history="1">
        <w:r>
          <w:rPr>
            <w:rStyle w:val="Hyperlink"/>
          </w:rPr>
          <w:t>https://euipo.europa.eu/ohimportal/et/web/observatory/home</w:t>
        </w:r>
      </w:hyperlink>
      <w:r>
        <w:t xml:space="preserve">. </w:t>
      </w:r>
    </w:p>
  </w:footnote>
  <w:footnote w:id="14">
    <w:p>
      <w:pPr>
        <w:pStyle w:val="FootnoteText"/>
        <w:spacing w:before="60"/>
        <w:ind w:left="567" w:hanging="567"/>
      </w:pPr>
      <w:r>
        <w:rPr>
          <w:rStyle w:val="FootnoteReference"/>
        </w:rPr>
        <w:footnoteRef/>
      </w:r>
      <w:r>
        <w:tab/>
        <w:t xml:space="preserve">Tarbijakaitsealase koostöö võrgustikku kuuluvad ELi ja EMP riikides ELi tarbijakaitsealaste õigusaktide täitmise järelevalve eest vastutavad liikmesriikide ametiasutused: </w:t>
      </w:r>
      <w:hyperlink r:id="rId8" w:history="1">
        <w:r>
          <w:rPr>
            <w:rStyle w:val="Hyperlink"/>
          </w:rPr>
          <w:t>http://ec.europa.eu/internal_market/scoreboard/performance_by_governance_tool/consumer_protection_cooperation_network/index_en.htm</w:t>
        </w:r>
      </w:hyperlink>
      <w:r>
        <w:t xml:space="preserve">. </w:t>
      </w:r>
    </w:p>
  </w:footnote>
  <w:footnote w:id="15">
    <w:p>
      <w:pPr>
        <w:pStyle w:val="FootnoteText"/>
        <w:spacing w:before="60"/>
        <w:ind w:left="567" w:hanging="567"/>
      </w:pPr>
      <w:r>
        <w:rPr>
          <w:rStyle w:val="FootnoteReference"/>
        </w:rPr>
        <w:footnoteRef/>
      </w:r>
      <w:r>
        <w:rPr>
          <w:vertAlign w:val="superscript"/>
        </w:rPr>
        <w:t xml:space="preserve"> </w:t>
      </w:r>
      <w:r>
        <w:tab/>
        <w:t xml:space="preserve">Rahapesu ja terrorismi rahastamist käsitlev eksperdirühm tuleb korrapäraselt kokku, et vahetada arvamusi ning aidata komisjonil kujundada poliitikat ja koostada uusi rahapesu ja terrorismi rahastamist puudutavaid õigusakte: </w:t>
      </w:r>
      <w:hyperlink r:id="rId9" w:history="1">
        <w:r>
          <w:rPr>
            <w:rStyle w:val="Hyperlink"/>
          </w:rPr>
          <w:t>http://ec.europa.eu/justice/civil/financial-crime/index_en.htm</w:t>
        </w:r>
      </w:hyperlink>
      <w:r>
        <w:t>.</w:t>
      </w:r>
    </w:p>
  </w:footnote>
  <w:footnote w:id="16">
    <w:p>
      <w:pPr>
        <w:pStyle w:val="FootnoteText"/>
        <w:spacing w:before="60"/>
        <w:ind w:left="567" w:hanging="567"/>
      </w:pPr>
      <w:r>
        <w:rPr>
          <w:rStyle w:val="FootnoteReference"/>
        </w:rPr>
        <w:footnoteRef/>
      </w:r>
      <w:r>
        <w:tab/>
        <w:t xml:space="preserve">Eurostat on ELi statistikaamet: </w:t>
      </w:r>
      <w:hyperlink r:id="rId10" w:history="1">
        <w:r>
          <w:rPr>
            <w:rStyle w:val="Hyperlink"/>
          </w:rPr>
          <w:t>http://ec.europa.eu/eurostat/about/overview</w:t>
        </w:r>
      </w:hyperlink>
      <w:r>
        <w:t>.</w:t>
      </w:r>
    </w:p>
  </w:footnote>
  <w:footnote w:id="17">
    <w:p>
      <w:pPr>
        <w:pStyle w:val="FootnoteText"/>
        <w:spacing w:before="60"/>
        <w:ind w:left="567" w:hanging="567"/>
      </w:pPr>
      <w:r>
        <w:rPr>
          <w:rStyle w:val="FootnoteReference"/>
        </w:rPr>
        <w:footnoteRef/>
      </w:r>
      <w:r>
        <w:tab/>
        <w:t xml:space="preserve">Euroopa õigusalase koolituse võrgustik on Euroopa kohtusüsteemis koolituse pakkumise ja teadmiste vahetamise peamine platvorm ja edendaja. Selle raames töötatakse välja koolitusstandardid ja õppekavad, kooskõlastatakse õigusalase koolituse vahetusi ja programme, jagatakse koolitusalaseid eksperditeadmisi ning edendatakse ELi õigusalase koolituse institutsioonide vahelist koostööd. Võrgustikul on 34 liiget, kes esindavad nii ELi riike kui ka ELi riigiüleseid organisatsioone. </w:t>
      </w:r>
      <w:hyperlink r:id="rId11" w:history="1">
        <w:r>
          <w:rPr>
            <w:rStyle w:val="Hyperlink"/>
          </w:rPr>
          <w:t>http://www.ejtn.eu/</w:t>
        </w:r>
      </w:hyperlink>
    </w:p>
  </w:footnote>
  <w:footnote w:id="18">
    <w:p>
      <w:pPr>
        <w:pStyle w:val="FootnoteText"/>
        <w:spacing w:before="60"/>
        <w:ind w:left="567" w:hanging="567"/>
      </w:pPr>
      <w:r>
        <w:rPr>
          <w:rStyle w:val="FootnoteReference"/>
        </w:rPr>
        <w:footnoteRef/>
      </w:r>
      <w:r>
        <w:tab/>
        <w:t xml:space="preserve">Maailma Majandusfoorum on avaliku ja erasektori koostöö jaoks loodud rahvusvaheline organisatsioon, mille liikmeteks on äriühingud: </w:t>
      </w:r>
      <w:hyperlink r:id="rId12" w:history="1">
        <w:r>
          <w:rPr>
            <w:rStyle w:val="Hyperlink"/>
          </w:rPr>
          <w:t>https://www.weforum.org/</w:t>
        </w:r>
      </w:hyperlink>
      <w:r>
        <w:t>.</w:t>
      </w:r>
    </w:p>
  </w:footnote>
  <w:footnote w:id="19">
    <w:p>
      <w:pPr>
        <w:pStyle w:val="FootnoteText"/>
        <w:spacing w:before="60"/>
        <w:ind w:left="567" w:hanging="567"/>
      </w:pPr>
      <w:r>
        <w:rPr>
          <w:rStyle w:val="FootnoteReference"/>
        </w:rPr>
        <w:footnoteRef/>
      </w:r>
      <w:r>
        <w:t xml:space="preserve"> </w:t>
      </w:r>
      <w:r>
        <w:tab/>
        <w:t xml:space="preserve">Euroopa poolaasta 2020 raames esitas nõukogu komisjoni ettepaneku alusel kohtusüsteemiga seotud riigipõhised soovitused kaheksale liikmesriigile (Horvaatia, Itaalia, Küpros, Ungari, Malta, Poola, Portugal ja Slovakkia). Lisaks riigipõhiste soovituste ettepaneku saanud liikmesriikidele on veel kaheksal liikmesriigil (Belgia, Bulgaaria, Iirimaa, Kreeka, Hispaania, Läti, Rumeenia ja Sloveenia) vaja lahendada konkreetseid kohtusüsteemi (sealhulgas õigusriigi põhimõtet ja õigusemõistmise sõltumatust) puudutavaid probleeme. Komisjon jälgib nende olukorda Euroopa poolaasta raames. Neid probleeme on kajastatud kavandatavate riigipõhiste soovituste põhjendustes ja kõnealuste liikmesriikide kohta koostatud riigiaruannetes. Kõige viimased, 26. veebruaril 2020 avaldatud riigiaruanded puudutavad 2020. aastat ja need on kättesaadavad aadressil </w:t>
      </w:r>
      <w:hyperlink r:id="rId13" w:history="1">
        <w:r>
          <w:rPr>
            <w:rStyle w:val="Hyperlink"/>
          </w:rPr>
          <w:t>https://ec.europa.eu/info/publications/2020-european-semester-country-reports_et</w:t>
        </w:r>
      </w:hyperlink>
      <w:r>
        <w:t>.</w:t>
      </w:r>
    </w:p>
  </w:footnote>
  <w:footnote w:id="20">
    <w:p>
      <w:pPr>
        <w:pStyle w:val="FootnoteText"/>
        <w:spacing w:before="60"/>
        <w:ind w:left="567" w:hanging="567"/>
      </w:pPr>
      <w:r>
        <w:rPr>
          <w:rStyle w:val="FootnoteReference"/>
        </w:rPr>
        <w:footnoteRef/>
      </w:r>
      <w:r>
        <w:rPr>
          <w:vertAlign w:val="superscript"/>
        </w:rPr>
        <w:t xml:space="preserve"> </w:t>
      </w:r>
      <w:r>
        <w:tab/>
        <w:t>„Europe: Europe Hitting its Stride“, Regional Economic Outlook, november 2017, IMF,</w:t>
      </w:r>
      <w:r>
        <w:rPr>
          <w:i/>
          <w:iCs/>
        </w:rPr>
        <w:t xml:space="preserve"> </w:t>
      </w:r>
      <w:r>
        <w:t xml:space="preserve">lk xviii, lk 40, 70; kättesaadav aadressil </w:t>
      </w:r>
      <w:hyperlink r:id="rId14" w:history="1">
        <w:r>
          <w:rPr>
            <w:rStyle w:val="Hyperlink"/>
          </w:rPr>
          <w:t>https://www.imf.org/~/media/Files/Publications/REO/EUR/2017/November/eur-booked-print.ashx?la=en</w:t>
        </w:r>
      </w:hyperlink>
      <w:r>
        <w:t xml:space="preserve">. </w:t>
      </w:r>
    </w:p>
  </w:footnote>
  <w:footnote w:id="21">
    <w:p>
      <w:pPr>
        <w:pStyle w:val="FootnoteText"/>
        <w:spacing w:before="60"/>
        <w:ind w:left="567" w:hanging="567"/>
        <w:rPr>
          <w:highlight w:val="yellow"/>
        </w:rPr>
      </w:pPr>
      <w:r>
        <w:rPr>
          <w:rStyle w:val="FootnoteReference"/>
        </w:rPr>
        <w:footnoteRef/>
      </w:r>
      <w:r>
        <w:tab/>
        <w:t xml:space="preserve">„Structural policies in the euro area“, EKP üldtoimetis nr 210, juuni 2018, EKP; kättesaadav aadressil </w:t>
      </w:r>
      <w:hyperlink r:id="rId15" w:history="1">
        <w:r>
          <w:rPr>
            <w:rStyle w:val="Hyperlink"/>
          </w:rPr>
          <w:t>https://www.ecb.europa.eu/pub/pdf/scpops/ecb.op210.en.pdf?3db9355b1d1599799aa0e475e5624651</w:t>
        </w:r>
      </w:hyperlink>
      <w:r>
        <w:t xml:space="preserve">. </w:t>
      </w:r>
    </w:p>
  </w:footnote>
  <w:footnote w:id="22">
    <w:p>
      <w:pPr>
        <w:pStyle w:val="FootnoteText"/>
        <w:spacing w:before="60"/>
        <w:ind w:left="567" w:hanging="567"/>
      </w:pPr>
      <w:r>
        <w:rPr>
          <w:rStyle w:val="FootnoteReference"/>
        </w:rPr>
        <w:footnoteRef/>
      </w:r>
      <w:r>
        <w:tab/>
        <w:t>Vt näiteks „What makes civil justice effective?“, OECD majandusosakonna poliitilised märkused, nr 18, juuni 2013, ning „The Economics of Civil Justice: New Cross-Country Data and Empirics“, OECD majandusosakonna töödokumendid, nr 1060.</w:t>
      </w:r>
    </w:p>
  </w:footnote>
  <w:footnote w:id="23">
    <w:p>
      <w:pPr>
        <w:pStyle w:val="FootnoteText"/>
        <w:spacing w:before="60"/>
        <w:ind w:left="567" w:hanging="567"/>
      </w:pPr>
      <w:r>
        <w:rPr>
          <w:rStyle w:val="FootnoteReference"/>
        </w:rPr>
        <w:footnoteRef/>
      </w:r>
      <w:r>
        <w:tab/>
        <w:t xml:space="preserve">„The Global Competitiveness Report 2019“, Maailma Majandusfoorum, oktoober 2019; kättesaadav aadressil </w:t>
      </w:r>
      <w:hyperlink r:id="rId16" w:history="1">
        <w:r>
          <w:rPr>
            <w:rStyle w:val="Hyperlink"/>
          </w:rPr>
          <w:t>https://www.weforum.org/reports/global-competitiveness-report-2019</w:t>
        </w:r>
      </w:hyperlink>
      <w:r>
        <w:t xml:space="preserve">. </w:t>
      </w:r>
    </w:p>
  </w:footnote>
  <w:footnote w:id="24">
    <w:p>
      <w:pPr>
        <w:pStyle w:val="FootnoteText"/>
        <w:spacing w:before="60"/>
        <w:ind w:left="567" w:hanging="567"/>
      </w:pPr>
      <w:r>
        <w:rPr>
          <w:rStyle w:val="FootnoteReference"/>
        </w:rPr>
        <w:footnoteRef/>
      </w:r>
      <w:r>
        <w:tab/>
        <w:t xml:space="preserve">„World Development Report 2017: Governance and the Law“, 3. peatükk „The role of law“, Maailmapank, lk 83, 140; kättesaadav aadressil </w:t>
      </w:r>
      <w:hyperlink r:id="rId17" w:history="1">
        <w:r>
          <w:rPr>
            <w:rStyle w:val="Hyperlink"/>
          </w:rPr>
          <w:t>http://www.worldbank.org/en/publication/wdr2017</w:t>
        </w:r>
      </w:hyperlink>
      <w:r>
        <w:t xml:space="preserve">. </w:t>
      </w:r>
    </w:p>
  </w:footnote>
  <w:footnote w:id="25">
    <w:p>
      <w:pPr>
        <w:pStyle w:val="FootnoteText"/>
        <w:spacing w:before="60"/>
        <w:ind w:left="567" w:hanging="567"/>
      </w:pPr>
      <w:r>
        <w:rPr>
          <w:rStyle w:val="FootnoteReference"/>
        </w:rPr>
        <w:footnoteRef/>
      </w:r>
      <w:r>
        <w:rPr>
          <w:vertAlign w:val="superscript"/>
        </w:rPr>
        <w:t xml:space="preserve"> </w:t>
      </w:r>
      <w:r>
        <w:tab/>
        <w:t xml:space="preserve">Pooleliolevates kohtuasjades otsusele jõudmiseks kuluva aja näitaja kujutab endast aasta lõpu seisuga lahendamata kohtuasjade ja lahendatud kohtuasjade jagatist, mis on korrutatud 365ga (päevade arv). Tegemist on CEPEJ määratletud standardnäitajaga: </w:t>
      </w:r>
      <w:hyperlink r:id="rId18" w:history="1">
        <w:r>
          <w:rPr>
            <w:rStyle w:val="Hyperlink"/>
          </w:rPr>
          <w:t>http://www.coe.int/t/dghl/cooperation/cepej/evaluation/default_et.asp</w:t>
        </w:r>
      </w:hyperlink>
      <w:r>
        <w:t>.</w:t>
      </w:r>
    </w:p>
  </w:footnote>
  <w:footnote w:id="26">
    <w:p>
      <w:pPr>
        <w:pStyle w:val="FootnoteText"/>
        <w:spacing w:before="60"/>
        <w:ind w:left="567" w:hanging="567"/>
      </w:pPr>
      <w:r>
        <w:rPr>
          <w:rStyle w:val="FootnoteReference"/>
        </w:rPr>
        <w:footnoteRef/>
      </w:r>
      <w:r>
        <w:rPr>
          <w:vertAlign w:val="superscript"/>
        </w:rPr>
        <w:t xml:space="preserve"> </w:t>
      </w:r>
      <w:r>
        <w:tab/>
        <w:t xml:space="preserve">Vincenzo Bove ja Leandro Elia, „The judicial system and economic development across EU Member States“, Teadusuuringute Ühiskeskuse aruanne, EUR 28440 EN, Euroopa Liidu Väljaannete Talitus, Luxembourg, 2017; kättesaadav aadressil </w:t>
      </w:r>
      <w:hyperlink r:id="rId19" w:history="1">
        <w:r>
          <w:rPr>
            <w:rStyle w:val="Hyperlink"/>
          </w:rPr>
          <w:t>http://publications.jrc.ec.europa.eu/repository/bitstream/JRC104594/jrc104594__2017_the_judicial_system_and_economic_development_across_eu_member_states.pdf</w:t>
        </w:r>
      </w:hyperlink>
      <w:r>
        <w:t>.</w:t>
      </w:r>
    </w:p>
  </w:footnote>
  <w:footnote w:id="27">
    <w:p>
      <w:pPr>
        <w:pStyle w:val="FootnoteText"/>
        <w:spacing w:before="60"/>
        <w:ind w:left="567" w:hanging="567"/>
        <w:rPr>
          <w:i/>
          <w:iCs/>
        </w:rPr>
      </w:pPr>
      <w:r>
        <w:rPr>
          <w:rStyle w:val="FootnoteReference"/>
        </w:rPr>
        <w:footnoteRef/>
      </w:r>
      <w:r>
        <w:rPr>
          <w:vertAlign w:val="superscript"/>
        </w:rPr>
        <w:t xml:space="preserve"> </w:t>
      </w:r>
      <w:r>
        <w:tab/>
      </w:r>
      <w:r>
        <w:rPr>
          <w:i/>
          <w:iCs/>
        </w:rPr>
        <w:t>Sama.</w:t>
      </w:r>
    </w:p>
  </w:footnote>
  <w:footnote w:id="28">
    <w:p>
      <w:pPr>
        <w:pStyle w:val="FootnoteText"/>
        <w:spacing w:before="60"/>
        <w:ind w:left="567" w:hanging="567"/>
      </w:pPr>
      <w:r>
        <w:rPr>
          <w:rStyle w:val="FootnoteReference"/>
        </w:rPr>
        <w:footnoteRef/>
      </w:r>
      <w:r>
        <w:rPr>
          <w:vertAlign w:val="superscript"/>
        </w:rPr>
        <w:t xml:space="preserve"> </w:t>
      </w:r>
      <w:r>
        <w:tab/>
        <w:t xml:space="preserve">Bülent Dogru, „Effect of judicial independence on foreign direct investment into Eastern Europe and South Asia“, Müncheni isiklike majandusuurimuste arhiiv (Munich Personal RePEc Archive), 2012, kättesaadav aadressil </w:t>
      </w:r>
      <w:hyperlink r:id="rId20" w:history="1">
        <w:r>
          <w:rPr>
            <w:rStyle w:val="Hyperlink"/>
          </w:rPr>
          <w:t>https://mpra.ub.uni-muenchen.de/40471/1/MPRA_paper_40322.pdf</w:t>
        </w:r>
      </w:hyperlink>
      <w:r>
        <w:t>. Uuring hõlmas järgmisi ELi liikmesriike: Bulgaaria, Horvaatia, Tšehhi, Eesti, Ungari, Läti, Leedu, Rumeenia, Slovakkia ja Sloveenia.</w:t>
      </w:r>
    </w:p>
  </w:footnote>
  <w:footnote w:id="29">
    <w:p>
      <w:pPr>
        <w:pStyle w:val="FootnoteText"/>
        <w:spacing w:before="60"/>
        <w:ind w:left="567" w:hanging="567"/>
      </w:pPr>
      <w:r>
        <w:rPr>
          <w:rStyle w:val="FootnoteReference"/>
        </w:rPr>
        <w:footnoteRef/>
      </w:r>
      <w:r>
        <w:rPr>
          <w:vertAlign w:val="superscript"/>
        </w:rPr>
        <w:t xml:space="preserve"> </w:t>
      </w:r>
      <w:r>
        <w:tab/>
        <w:t xml:space="preserve">„Risk and Return – Foreign Direct Investment and the Rule of Law“, The Economist Intelligence Unit, 2015, lk 22, kättesaadav aadressil </w:t>
      </w:r>
      <w:hyperlink r:id="rId21" w:history="1">
        <w:r>
          <w:rPr>
            <w:rStyle w:val="Hyperlink"/>
          </w:rPr>
          <w:t>http://www.biicl.org/documents/625_d4_fdi_main_report.pdf</w:t>
        </w:r>
      </w:hyperlink>
      <w:r>
        <w:t>.</w:t>
      </w:r>
    </w:p>
  </w:footnote>
  <w:footnote w:id="30">
    <w:p>
      <w:pPr>
        <w:pStyle w:val="FootnoteText"/>
        <w:spacing w:before="60"/>
        <w:ind w:left="567" w:hanging="567"/>
        <w:rPr>
          <w:highlight w:val="yellow"/>
        </w:rPr>
      </w:pPr>
      <w:r>
        <w:rPr>
          <w:rStyle w:val="FootnoteReference"/>
        </w:rPr>
        <w:footnoteRef/>
      </w:r>
      <w:r>
        <w:rPr>
          <w:vertAlign w:val="superscript"/>
        </w:rPr>
        <w:t xml:space="preserve"> </w:t>
      </w:r>
      <w:r>
        <w:tab/>
        <w:t xml:space="preserve">„Intellectual Property (IP) SME Scoreboard 2016“, Euroopa Liidu Intellektuaalomandi Amet (EUIPO), kättesaadav aadressil </w:t>
      </w:r>
      <w:hyperlink r:id="rId22" w:history="1">
        <w:r>
          <w:rPr>
            <w:rStyle w:val="Hyperlink"/>
          </w:rPr>
          <w:t>https://euipo.europa.eu/tunnel-web/secure/webdav/guest/document_library/observatory/documents/sme_scoreboard_study_2016/Executive-summary_en.pdf</w:t>
        </w:r>
      </w:hyperlink>
      <w:r>
        <w:t>.</w:t>
      </w:r>
    </w:p>
  </w:footnote>
  <w:footnote w:id="31">
    <w:p>
      <w:pPr>
        <w:pStyle w:val="FootnoteText"/>
        <w:spacing w:before="60"/>
        <w:ind w:left="567" w:hanging="567"/>
      </w:pPr>
      <w:r>
        <w:rPr>
          <w:rStyle w:val="FootnoteReference"/>
        </w:rPr>
        <w:footnoteRef/>
      </w:r>
      <w:r>
        <w:t xml:space="preserve"> </w:t>
      </w:r>
      <w:r>
        <w:tab/>
        <w:t>COM(2020)93 ja SWD(2020)54.</w:t>
      </w:r>
    </w:p>
  </w:footnote>
  <w:footnote w:id="32">
    <w:p>
      <w:pPr>
        <w:pStyle w:val="FootnoteText"/>
        <w:spacing w:before="60"/>
        <w:ind w:left="567" w:hanging="567"/>
      </w:pPr>
      <w:r>
        <w:rPr>
          <w:rStyle w:val="FootnoteReference"/>
        </w:rPr>
        <w:footnoteRef/>
      </w:r>
      <w:r>
        <w:t xml:space="preserve"> </w:t>
      </w:r>
      <w:r>
        <w:tab/>
        <w:t xml:space="preserve">Komisjoni teatis Euroopa Parlamendile, nõukogule, Euroopa Majandus- ja Sotsiaalkomiteele ning Regioonide Komiteele „Pikaajaline tegevuskava ühtse turu normide paremaks </w:t>
      </w:r>
      <w:r>
        <w:rPr>
          <w:rStyle w:val="Hyperlink"/>
        </w:rPr>
        <w:t>rakendamiseks</w:t>
      </w:r>
      <w:r>
        <w:t xml:space="preserve"> ja täitmise tagamiseks“, COM(2020)94, vt eelkõige meetmed 4, 6 ja 18. </w:t>
      </w:r>
    </w:p>
  </w:footnote>
  <w:footnote w:id="33">
    <w:p>
      <w:pPr>
        <w:pStyle w:val="FootnoteText"/>
        <w:spacing w:before="60"/>
        <w:ind w:left="567" w:hanging="567"/>
        <w:rPr>
          <w:highlight w:val="yellow"/>
          <w:u w:val="single"/>
        </w:rPr>
      </w:pPr>
      <w:r>
        <w:rPr>
          <w:rStyle w:val="FootnoteReference"/>
        </w:rPr>
        <w:footnoteRef/>
      </w:r>
      <w:r>
        <w:tab/>
      </w:r>
      <w:hyperlink r:id="rId23" w:history="1">
        <w:r>
          <w:rPr>
            <w:rStyle w:val="Hyperlink"/>
          </w:rPr>
          <w:t>https://ec.europa.eu/info/funding-tenders/funding-opportunities/funding-programmes/overview-funding-programmes/structural-reform-support-programme-srsp_et</w:t>
        </w:r>
      </w:hyperlink>
      <w:r>
        <w:t>.</w:t>
      </w:r>
    </w:p>
  </w:footnote>
  <w:footnote w:id="34">
    <w:p>
      <w:pPr>
        <w:pStyle w:val="FootnoteText"/>
        <w:spacing w:before="60"/>
        <w:ind w:left="567" w:hanging="567"/>
      </w:pPr>
      <w:r>
        <w:rPr>
          <w:rStyle w:val="FootnoteReference"/>
        </w:rPr>
        <w:footnoteRef/>
      </w:r>
      <w:r>
        <w:rPr>
          <w:vertAlign w:val="superscript"/>
        </w:rPr>
        <w:t xml:space="preserve"> </w:t>
      </w:r>
      <w:r>
        <w:tab/>
        <w:t>Belgia, Bulgaaria, Tšehhi, Eesti, Kreeka, Hispaania, Horvaatia, Itaalia, Küpros, Läti, Ungari, Malta, Poola, Portugal, Sloveenia ja Slovakkia.</w:t>
      </w:r>
    </w:p>
  </w:footnote>
  <w:footnote w:id="35">
    <w:p>
      <w:pPr>
        <w:pStyle w:val="FootnoteText"/>
        <w:spacing w:before="60"/>
        <w:ind w:left="567" w:hanging="567"/>
      </w:pPr>
      <w:r>
        <w:rPr>
          <w:rStyle w:val="FootnoteReference"/>
        </w:rPr>
        <w:footnoteRef/>
      </w:r>
      <w:r>
        <w:t xml:space="preserve"> </w:t>
      </w:r>
      <w:r>
        <w:tab/>
        <w:t xml:space="preserve">Vt 27. mai 2020. aasta pressiteade IP/20/940, kättesaadav aadressil </w:t>
      </w:r>
      <w:hyperlink r:id="rId24" w:history="1">
        <w:r>
          <w:rPr>
            <w:rStyle w:val="Hyperlink"/>
          </w:rPr>
          <w:t>https://ec.europa.eu/commission/presscorner/detail/et/ip_20_940</w:t>
        </w:r>
      </w:hyperlink>
      <w:r>
        <w:t>.</w:t>
      </w:r>
    </w:p>
  </w:footnote>
  <w:footnote w:id="36">
    <w:p>
      <w:pPr>
        <w:pStyle w:val="FootnoteText"/>
        <w:spacing w:before="60"/>
        <w:ind w:left="567" w:hanging="567"/>
      </w:pPr>
      <w:r>
        <w:rPr>
          <w:rStyle w:val="FootnoteReference"/>
        </w:rPr>
        <w:footnoteRef/>
      </w:r>
      <w:r>
        <w:t xml:space="preserve"> </w:t>
      </w:r>
      <w:r>
        <w:tab/>
      </w:r>
      <w:hyperlink r:id="rId25" w:history="1">
        <w:r>
          <w:rPr>
            <w:rStyle w:val="Hyperlink"/>
          </w:rPr>
          <w:t>https://eur-lex.europa.eu/legal-content/ET/TXT/?uri=COM:2020:0409:FIN</w:t>
        </w:r>
      </w:hyperlink>
      <w:r>
        <w:t xml:space="preserve">. </w:t>
      </w:r>
    </w:p>
  </w:footnote>
  <w:footnote w:id="37">
    <w:p>
      <w:pPr>
        <w:pStyle w:val="FootnoteText"/>
        <w:spacing w:before="60"/>
        <w:ind w:left="567" w:hanging="567"/>
        <w:rPr>
          <w:highlight w:val="yellow"/>
        </w:rPr>
      </w:pPr>
      <w:r>
        <w:rPr>
          <w:rStyle w:val="FootnoteReference"/>
        </w:rPr>
        <w:footnoteRef/>
      </w:r>
      <w:r>
        <w:tab/>
        <w:t>Teave on kogutud koostöös liikmesriikide kohtusüsteemide kontaktisikute rühmaga 26 liikmesriigi kohta. Saksamaa selgitas, et pooleli on mitu kohtusüsteemiga seotud reformi, kusjuures reformide ulatus ja edenemine võib 16 liidumaa vahel erineda.</w:t>
      </w:r>
    </w:p>
  </w:footnote>
  <w:footnote w:id="38">
    <w:p>
      <w:pPr>
        <w:pStyle w:val="FootnoteText"/>
        <w:spacing w:before="60"/>
        <w:ind w:left="567" w:hanging="567"/>
        <w:rPr>
          <w:highlight w:val="yellow"/>
        </w:rPr>
      </w:pPr>
      <w:r>
        <w:rPr>
          <w:rStyle w:val="FootnoteReference"/>
        </w:rPr>
        <w:footnoteRef/>
      </w:r>
      <w:r>
        <w:rPr>
          <w:vertAlign w:val="superscript"/>
        </w:rPr>
        <w:t xml:space="preserve"> </w:t>
      </w:r>
      <w:r>
        <w:tab/>
        <w:t>Kohtusüsteemi tõhususe jaoks on oluline ka kohtuotsuste täitmine. Siiski ei ole enamiku liikmesriikide kohta olemas võrreldavaid andmeid.</w:t>
      </w:r>
    </w:p>
  </w:footnote>
  <w:footnote w:id="39">
    <w:p>
      <w:pPr>
        <w:pStyle w:val="FootnoteText"/>
        <w:spacing w:before="60"/>
        <w:ind w:left="567" w:hanging="567"/>
        <w:rPr>
          <w:highlight w:val="yellow"/>
        </w:rPr>
      </w:pPr>
      <w:r>
        <w:rPr>
          <w:rStyle w:val="FootnoteReference"/>
        </w:rPr>
        <w:footnoteRef/>
      </w:r>
      <w:r>
        <w:t xml:space="preserve"> </w:t>
      </w:r>
      <w:r>
        <w:tab/>
        <w:t xml:space="preserve">2019. aasta uuring kohtusüsteemide toimimise kohta ELi liikmesriikides. Selle koostas komisjoni jaoks CEPEJ sekretariaat; kättesaadav aadressil </w:t>
      </w:r>
      <w:hyperlink r:id="rId26" w:history="1">
        <w:r>
          <w:rPr>
            <w:rStyle w:val="Hyperlink"/>
          </w:rPr>
          <w:t>https://ec.europa.eu/info/policies/justice-and-fundamental-rights/upholding-rule-law/eu-justice-scoreboard_et</w:t>
        </w:r>
      </w:hyperlink>
      <w:r>
        <w:t>.</w:t>
      </w:r>
    </w:p>
  </w:footnote>
  <w:footnote w:id="40">
    <w:p>
      <w:pPr>
        <w:pStyle w:val="FootnoteText"/>
        <w:spacing w:before="60"/>
        <w:ind w:left="567" w:hanging="567"/>
        <w:rPr>
          <w:highlight w:val="yellow"/>
        </w:rPr>
      </w:pPr>
      <w:r>
        <w:rPr>
          <w:rStyle w:val="FootnoteReference"/>
        </w:rPr>
        <w:footnoteRef/>
      </w:r>
      <w:r>
        <w:tab/>
        <w:t xml:space="preserve">Menetluste kestus, algatatud ja lõpuleviidud kohtumenetluste määr ning pooleliolevate kohtuasjade arv on CEPEJ määratletud standardnäitajad: </w:t>
      </w:r>
      <w:hyperlink r:id="rId27" w:history="1">
        <w:r>
          <w:rPr>
            <w:rStyle w:val="Hyperlink"/>
          </w:rPr>
          <w:t>http://www.coe.int/t/dghl/cooperation/cepej/evaluation/default_et.asp</w:t>
        </w:r>
      </w:hyperlink>
      <w:r>
        <w:t>.</w:t>
      </w:r>
    </w:p>
  </w:footnote>
  <w:footnote w:id="41">
    <w:p>
      <w:pPr>
        <w:pStyle w:val="FootnoteText"/>
        <w:spacing w:before="60"/>
        <w:ind w:left="567" w:hanging="567"/>
        <w:rPr>
          <w:highlight w:val="yellow"/>
        </w:rPr>
      </w:pPr>
      <w:r>
        <w:rPr>
          <w:rStyle w:val="FootnoteReference"/>
        </w:rPr>
        <w:footnoteRef/>
      </w:r>
      <w:r>
        <w:tab/>
        <w:t>Aastate valimisel lähtuti sellest, et saaks vaadelda alates 2012. aastast seitsme aasta jooksul toimunud arengut, muutmata seejuures jooniseid liiga kirjuks. 2010., 2013., 2014. ja 2015. aasta andmed leiab CEPEJ aruandest.</w:t>
      </w:r>
    </w:p>
  </w:footnote>
  <w:footnote w:id="42">
    <w:p>
      <w:pPr>
        <w:pStyle w:val="FootnoteText"/>
        <w:spacing w:before="60"/>
        <w:ind w:left="567" w:hanging="567"/>
      </w:pPr>
      <w:r>
        <w:rPr>
          <w:rStyle w:val="FootnoteReference"/>
        </w:rPr>
        <w:footnoteRef/>
      </w:r>
      <w:r>
        <w:rPr>
          <w:vertAlign w:val="superscript"/>
        </w:rPr>
        <w:t xml:space="preserve"> </w:t>
      </w:r>
      <w:r>
        <w:tab/>
        <w:t>Konkreetsete valdkondade menetluste kestus on arvutatud kalendripäevades alates päevast, mil kohtule esitati hagi või edasikaebus (või esitati lõplik süüdistus), kuni päevani, mil kohus tegi otsuse (joonised 16–21). Näitajad on järjestatud 2013. ja 2016.–2018. aasta andmete kaalutud keskmise põhjal (joonised 16–18); 2013., 2015.–2016. ja 2018. aasta andmete kaalutud keskmise põhjal (joonis 19) ning 2014. ja 2016.–2018. aasta andmete kaalutud keskmise põhjal (joonised 20 ja 21). Kui kõikide aastate andmed ei olnud kättesaadavad, on keskmine näitaja arvutatud olemasolevate andmete põhjal, lähtudes kõikidest kohtuasjadest, kohtuasjade valimist või hinnangutest.</w:t>
      </w:r>
    </w:p>
  </w:footnote>
  <w:footnote w:id="43">
    <w:p>
      <w:pPr>
        <w:pStyle w:val="FootnoteText"/>
        <w:spacing w:before="60"/>
        <w:ind w:left="567" w:hanging="567"/>
        <w:rPr>
          <w:highlight w:val="yellow"/>
        </w:rPr>
      </w:pPr>
      <w:r>
        <w:rPr>
          <w:rStyle w:val="FootnoteReference"/>
        </w:rPr>
        <w:footnoteRef/>
      </w:r>
      <w:r>
        <w:rPr>
          <w:vertAlign w:val="superscript"/>
        </w:rPr>
        <w:t xml:space="preserve"> </w:t>
      </w:r>
      <w:r>
        <w:tab/>
        <w:t xml:space="preserve">Vt </w:t>
      </w:r>
      <w:hyperlink r:id="rId28" w:history="1">
        <w:r>
          <w:rPr>
            <w:rStyle w:val="Hyperlink"/>
          </w:rPr>
          <w:t>http://eur-lex.europa.eu/legal-content/ET/TXT/PDF/?uri=CELEX:12012E/TXT&amp;from=ET</w:t>
        </w:r>
      </w:hyperlink>
      <w:r>
        <w:t>.</w:t>
      </w:r>
    </w:p>
  </w:footnote>
  <w:footnote w:id="44">
    <w:p>
      <w:pPr>
        <w:pStyle w:val="FootnoteText"/>
        <w:spacing w:before="60"/>
        <w:ind w:left="567" w:hanging="567"/>
        <w:rPr>
          <w:highlight w:val="yellow"/>
        </w:rPr>
      </w:pPr>
      <w:r>
        <w:rPr>
          <w:rStyle w:val="FootnoteReference"/>
        </w:rPr>
        <w:footnoteRef/>
      </w:r>
      <w:r>
        <w:tab/>
        <w:t>Arvutamisel on lähtutud sellest, kui kaua menetletakse niisuguste otsuste peale esitatud kaebusi, mille tegemisel on liikmesriigi reguleeriv asutus võtnud aluseks riigisisesed õigusaktid, millega rakendatakse elektroonilise side õigusraamistikku (direktiiv 2002/19/EÜ (juurdepääsu käsitlev direktiiv), direktiiv 2002/20/EÜ (loadirektiiv), direktiiv 2002/21/EÜ (raamdirektiiv) ja direktiiv 2002/22/EÜ (universaalteenuste direktiiv)) ning muud asjakohast liidu õigust, nagu raadiospektripoliitika programm või spektrit käsitlevad komisjoni otsused, v.a direktiiv 2002/58/EÜ eraelu puutumatuse kaitse kohta elektroonilise side sektoris.</w:t>
      </w:r>
    </w:p>
  </w:footnote>
  <w:footnote w:id="45">
    <w:p>
      <w:pPr>
        <w:pStyle w:val="FootnoteText"/>
        <w:spacing w:before="60"/>
        <w:ind w:left="567" w:hanging="567"/>
        <w:rPr>
          <w:highlight w:val="yellow"/>
        </w:rPr>
      </w:pPr>
      <w:r>
        <w:rPr>
          <w:rStyle w:val="FootnoteReference"/>
        </w:rPr>
        <w:footnoteRef/>
      </w:r>
      <w:r>
        <w:rPr>
          <w:vertAlign w:val="superscript"/>
        </w:rPr>
        <w:t xml:space="preserve"> </w:t>
      </w:r>
      <w:r>
        <w:tab/>
        <w:t>Euroopa Parlamendi ja nõukogu 14. juuni 2017. aasta määrus (EL) 2017/1001 Euroopa Liidu kaubamärgi kohta (ELT L 154, 16.6.2017, lk 1–99).</w:t>
      </w:r>
    </w:p>
  </w:footnote>
  <w:footnote w:id="46">
    <w:p>
      <w:pPr>
        <w:pStyle w:val="FootnoteText"/>
        <w:spacing w:before="60"/>
        <w:ind w:left="567" w:hanging="567"/>
        <w:rPr>
          <w:highlight w:val="yellow"/>
        </w:rPr>
      </w:pPr>
      <w:r>
        <w:rPr>
          <w:rStyle w:val="FootnoteReference"/>
        </w:rPr>
        <w:footnoteRef/>
      </w:r>
      <w:r>
        <w:tab/>
        <w:t>Joonistel 19 ja 20 kajastatakse ebaõiglaste lepingutingimuste direktiivi (93/13/EMÜ), tarbekaupade müüki ja nendega seotud garantiisid käsitleva direktiivi (1999/44/EÜ), ebaausate kaubandustavade direktiivi (2005/29/EÜ) ning tarbijaõiguste direktiivi (2011/83/EÜ) ja nende riiklike rakendussätete täitmise tagamist.</w:t>
      </w:r>
    </w:p>
  </w:footnote>
  <w:footnote w:id="47">
    <w:p>
      <w:pPr>
        <w:pStyle w:val="FootnoteText"/>
        <w:spacing w:before="60"/>
        <w:ind w:left="567" w:hanging="567"/>
      </w:pPr>
      <w:r>
        <w:rPr>
          <w:rStyle w:val="FootnoteReference"/>
        </w:rPr>
        <w:footnoteRef/>
      </w:r>
      <w:r>
        <w:tab/>
        <w:t>Euroopa Parlamendi ja nõukogu 20. mai 2015. aasta direktiivi (EL) 2015/849 (mis käsitleb finantssüsteemi rahapesu ja terrorismi rahastamise eesmärgil kasutamise tõkestamist) põhjendus 2.</w:t>
      </w:r>
    </w:p>
  </w:footnote>
  <w:footnote w:id="48">
    <w:p>
      <w:pPr>
        <w:pStyle w:val="FootnoteText"/>
        <w:spacing w:before="60"/>
        <w:ind w:left="567" w:hanging="567"/>
      </w:pPr>
      <w:r>
        <w:rPr>
          <w:rStyle w:val="FootnoteReference"/>
        </w:rPr>
        <w:footnoteRef/>
      </w:r>
      <w:r>
        <w:t xml:space="preserve"> </w:t>
      </w:r>
      <w:r>
        <w:tab/>
        <w:t xml:space="preserve">IMFi teabeleht, 8. märts 2018: </w:t>
      </w:r>
      <w:hyperlink r:id="rId29" w:history="1">
        <w:r>
          <w:rPr>
            <w:rStyle w:val="Hyperlink"/>
          </w:rPr>
          <w:t>https://www.imf.org/en/About/Factsheets/Sheets/2016/08/01/16/31/Fight-Against-Money-Laundering-the-Financing-of-Terrorism</w:t>
        </w:r>
      </w:hyperlink>
      <w:r>
        <w:t xml:space="preserve">. </w:t>
      </w:r>
    </w:p>
  </w:footnote>
  <w:footnote w:id="49">
    <w:p>
      <w:pPr>
        <w:pStyle w:val="FootnoteText"/>
        <w:spacing w:before="60"/>
        <w:ind w:left="567" w:hanging="567"/>
        <w:rPr>
          <w:highlight w:val="yellow"/>
        </w:rPr>
      </w:pPr>
      <w:r>
        <w:rPr>
          <w:rStyle w:val="FootnoteReference"/>
        </w:rPr>
        <w:footnoteRef/>
      </w:r>
      <w:r>
        <w:rPr>
          <w:vertAlign w:val="superscript"/>
        </w:rPr>
        <w:t xml:space="preserve"> </w:t>
      </w:r>
      <w:r>
        <w:tab/>
        <w:t xml:space="preserve">Direktiivi (EL) 2015/849 artikli 44 lõige 1. Vt ka direktiiviga (EL) 2018/843 muudetud artikkel 44; nimetatud direktiiv jõustus 2018. aasta juunis ning liikmesriigid pidid selle rakendama hiljemalt 2020. aasta jaanuarist. </w:t>
      </w:r>
    </w:p>
  </w:footnote>
  <w:footnote w:id="50">
    <w:p>
      <w:pPr>
        <w:pStyle w:val="FootnoteText"/>
        <w:spacing w:before="60"/>
        <w:ind w:left="567" w:hanging="567"/>
      </w:pPr>
      <w:r>
        <w:rPr>
          <w:rStyle w:val="FootnoteReference"/>
        </w:rPr>
        <w:footnoteRef/>
      </w:r>
      <w:r>
        <w:rPr>
          <w:vertAlign w:val="superscript"/>
        </w:rPr>
        <w:t xml:space="preserve"> </w:t>
      </w:r>
      <w:r>
        <w:tab/>
        <w:t xml:space="preserve">Horvaatia, Itaalia, Küpros, Ungari, Malta, Portugal ja Slovakkia, kellele anti 2019. aasta Euroopa poolaasta raames riigipõhised soovitused, ning Belgia, Bulgaaria, Iirimaa, Kreeka, Hispaania, Läti, Poola, Rumeenia ja Sloveenia, kelle probleeme on kajastatud 2019. aasta riigipõhiste soovituste põhjendustes ja riigiaruannetes. </w:t>
      </w:r>
    </w:p>
    <w:p>
      <w:pPr>
        <w:pStyle w:val="FootnoteText"/>
        <w:spacing w:before="60"/>
        <w:ind w:left="567" w:firstLine="0"/>
      </w:pPr>
      <w:r>
        <w:t xml:space="preserve">Erinevusi analüüsitud seitsme aasta tulemustes võib selgitada taustateguritega (sissetulevate kohtuasjade arvu kõikumine enam kui 10 % ei ole ebatavaline) või süsteemsete puudustega (paindlikkuse ja reageerimisvõime puudumine või järjekindlusetus reformimisel). </w:t>
      </w:r>
    </w:p>
  </w:footnote>
  <w:footnote w:id="51">
    <w:p>
      <w:pPr>
        <w:spacing w:before="60" w:after="0" w:line="240" w:lineRule="auto"/>
        <w:ind w:left="567" w:hanging="567"/>
        <w:jc w:val="both"/>
        <w:rPr>
          <w:rFonts w:ascii="Times New Roman" w:hAnsi="Times New Roman" w:cs="Times New Roman"/>
          <w:sz w:val="20"/>
          <w:szCs w:val="20"/>
          <w:highlight w:val="yellow"/>
        </w:rPr>
      </w:pPr>
      <w:r>
        <w:rPr>
          <w:rFonts w:ascii="Times New Roman" w:hAnsi="Times New Roman" w:cs="Times New Roman"/>
          <w:sz w:val="20"/>
          <w:szCs w:val="20"/>
        </w:rPr>
        <w:footnoteRef/>
      </w:r>
      <w:r>
        <w:rPr>
          <w:rFonts w:ascii="Times New Roman" w:hAnsi="Times New Roman"/>
          <w:sz w:val="20"/>
          <w:szCs w:val="20"/>
        </w:rPr>
        <w:t xml:space="preserve"> </w:t>
      </w:r>
      <w:r>
        <w:tab/>
      </w:r>
      <w:r>
        <w:rPr>
          <w:rFonts w:ascii="Times New Roman" w:hAnsi="Times New Roman"/>
          <w:sz w:val="20"/>
          <w:szCs w:val="20"/>
        </w:rPr>
        <w:t>Euroopa Parlamendi ja nõukogu 23. oktoobri 2018. aasta direktiiviga (EL) 2018/1673 (rahapesu vastu võitlemise kohta kriminaalõiguse abil) kõrvaldatakse takistused, mille tõttu võib asja menetlemine viibida, näiteks tingimus, et rahapesujuhtumi menetlemine saab alata üksnes siis, kui selle aluseks oleva eelkuriteo menetlemine on lõppenud. Liikmesriigid peavad selle direktiivi üle võtma enne 8. detsembrit 2020.</w:t>
      </w:r>
    </w:p>
  </w:footnote>
  <w:footnote w:id="52">
    <w:p>
      <w:pPr>
        <w:pStyle w:val="FootnoteText"/>
        <w:spacing w:before="60"/>
        <w:ind w:left="567" w:hanging="567"/>
      </w:pPr>
      <w:r>
        <w:rPr>
          <w:rStyle w:val="FootnoteReference"/>
        </w:rPr>
        <w:footnoteRef/>
      </w:r>
      <w:r>
        <w:tab/>
        <w:t>2019. aasta andmed koguti koostöös liikmesriikide kohtusüsteemide kontaktisikute rühmaga.</w:t>
      </w:r>
    </w:p>
  </w:footnote>
  <w:footnote w:id="53">
    <w:p>
      <w:pPr>
        <w:pStyle w:val="FootnoteText"/>
        <w:spacing w:before="60"/>
        <w:ind w:left="567" w:hanging="567"/>
        <w:rPr>
          <w:rStyle w:val="FootnoteReference"/>
        </w:rPr>
      </w:pPr>
      <w:r>
        <w:rPr>
          <w:rStyle w:val="FootnoteReference"/>
        </w:rPr>
        <w:footnoteRef/>
      </w:r>
      <w:r>
        <w:rPr>
          <w:rStyle w:val="FootnoteReference"/>
        </w:rPr>
        <w:t xml:space="preserve"> </w:t>
      </w:r>
      <w:r>
        <w:tab/>
        <w:t>Kohtulõivud on summa, mis tuleb tasuda menetluse (välja arvatud kriminaalmenetlus) alustamiseks kohtus.</w:t>
      </w:r>
    </w:p>
  </w:footnote>
  <w:footnote w:id="54">
    <w:p>
      <w:pPr>
        <w:spacing w:before="60" w:after="0" w:line="240" w:lineRule="auto"/>
        <w:ind w:left="567" w:hanging="567"/>
        <w:jc w:val="both"/>
        <w:rPr>
          <w:rFonts w:ascii="Times New Roman" w:eastAsia="Calibri" w:hAnsi="Times New Roman" w:cs="Times New Roman"/>
          <w:sz w:val="20"/>
          <w:szCs w:val="20"/>
        </w:rPr>
      </w:pPr>
      <w:r>
        <w:rPr>
          <w:rStyle w:val="FootnoteReference"/>
          <w:rFonts w:ascii="Times New Roman" w:eastAsia="Times New Roman" w:hAnsi="Times New Roman" w:cs="Times New Roman"/>
          <w:noProof w:val="0"/>
          <w:sz w:val="20"/>
          <w:szCs w:val="20"/>
        </w:rPr>
        <w:footnoteRef/>
      </w:r>
      <w:r>
        <w:rPr>
          <w:rFonts w:ascii="Times New Roman" w:hAnsi="Times New Roman"/>
          <w:sz w:val="20"/>
          <w:szCs w:val="20"/>
        </w:rPr>
        <w:t xml:space="preserve"> </w:t>
      </w:r>
      <w:r>
        <w:tab/>
      </w:r>
      <w:r>
        <w:rPr>
          <w:rFonts w:ascii="Times New Roman" w:hAnsi="Times New Roman"/>
          <w:sz w:val="20"/>
          <w:szCs w:val="20"/>
        </w:rPr>
        <w:t>Õigusabikulud on tasu teenuste eest, mida advokaadid osutavad klientidele.</w:t>
      </w:r>
    </w:p>
  </w:footnote>
  <w:footnote w:id="55">
    <w:p>
      <w:pPr>
        <w:pStyle w:val="FootnoteText"/>
        <w:spacing w:before="60"/>
        <w:ind w:left="567" w:hanging="567"/>
      </w:pPr>
      <w:r>
        <w:rPr>
          <w:rStyle w:val="FootnoteReference"/>
        </w:rPr>
        <w:footnoteRef/>
      </w:r>
      <w:r>
        <w:t xml:space="preserve"> </w:t>
      </w:r>
      <w:r>
        <w:tab/>
        <w:t>ELi põhiõiguste harta artikli 47 lõige 3.</w:t>
      </w:r>
    </w:p>
  </w:footnote>
  <w:footnote w:id="56">
    <w:p>
      <w:pPr>
        <w:pStyle w:val="FootnoteText"/>
        <w:spacing w:before="60"/>
        <w:ind w:left="567" w:hanging="567"/>
      </w:pPr>
      <w:r>
        <w:rPr>
          <w:rStyle w:val="FootnoteReference"/>
        </w:rPr>
        <w:footnoteRef/>
      </w:r>
      <w:r>
        <w:tab/>
        <w:t>Liikmesriigid kasutavad tasuta õigusabi andmisel kohaldatava künnise kindlaksmääramisel eri meetodeid, näiteks eri vaatlusperioode (kuu-/aastasissetulek). Umbes pooltel liikmesriikidel on ka taotleja isikliku varaga seotud künnis. Seda siinkohal arvesse ei võetud. Belgias, Bulgaarias, Iirimaal, Hispaanias, Prantsusmaal, Horvaatias, Ungaris, Leedus, Lätis, Luksemburgis, Madalmaades ja Poolas on teatud kategooriatesse kuuluvatel isikutel (nt isikutel, kes saavad teatavaid hüvitisi) automaatselt õigus saada tsiviil- ja kaubandusvaidlustes tasuta õigusabi. Joonisel ei kajastu lisakriteeriumid nagu näiteks põhjendatus, mida liikmesriigid võivad kasutada. Ehkki see ei ole joonisega otseselt seotud, ei piirdu tasuta õigusabi andmine mitmes liikmesriigis (Austrias, Tšehhis, Saksamaal, Taanis, Eestis, Hispaanias, Prantsusmaal, Itaalias, Madalmaades, Poolas, Portugalis, Sloveenias) üksnes füüsiliste isikutega.</w:t>
      </w:r>
    </w:p>
  </w:footnote>
  <w:footnote w:id="57">
    <w:p>
      <w:pPr>
        <w:pStyle w:val="FootnoteText"/>
        <w:spacing w:before="60"/>
        <w:ind w:left="567" w:hanging="567"/>
        <w:rPr>
          <w:highlight w:val="yellow"/>
        </w:rPr>
      </w:pPr>
      <w:r>
        <w:rPr>
          <w:rStyle w:val="FootnoteReference"/>
        </w:rPr>
        <w:footnoteRef/>
      </w:r>
      <w:r>
        <w:rPr>
          <w:vertAlign w:val="superscript"/>
        </w:rPr>
        <w:t xml:space="preserve"> </w:t>
      </w:r>
      <w:r>
        <w:tab/>
        <w:t xml:space="preserve">Võrreldavate andmete saamiseks on iga liikmesriigi vastav Eurostati vaesuspiir arvestatud ümber kuusissetulekuks. Suhtelise vaesuse piir on 60 % riiklikust keskmisest ekvivalentnetosissetulekust. Euroopa sissetulekute ja elamistingimuste ülevaade, Eurostati tabel ilc_li01, kättesaadav aadressil </w:t>
      </w:r>
      <w:hyperlink r:id="rId30">
        <w:r>
          <w:rPr>
            <w:rStyle w:val="Hyperlink"/>
          </w:rPr>
          <w:t>http://ec.europa.eu/eurostat/web/income-and-living-conditions/data/database</w:t>
        </w:r>
      </w:hyperlink>
      <w:r>
        <w:t>.</w:t>
      </w:r>
    </w:p>
  </w:footnote>
  <w:footnote w:id="58">
    <w:p>
      <w:pPr>
        <w:pStyle w:val="FootnoteText"/>
        <w:spacing w:before="60"/>
        <w:ind w:left="567" w:hanging="567"/>
        <w:rPr>
          <w:rStyle w:val="FootnoteReference"/>
          <w:highlight w:val="yellow"/>
        </w:rPr>
      </w:pPr>
      <w:r>
        <w:rPr>
          <w:rStyle w:val="FootnoteReference"/>
        </w:rPr>
        <w:footnoteRef/>
      </w:r>
      <w:r>
        <w:t xml:space="preserve"> </w:t>
      </w:r>
      <w:r>
        <w:tab/>
        <w:t>2019. aasta andmed on kogutud vastustest, mille Euroopa Advokatuuride ja Õigusliitude Nõukogu liikmed andsid küsimustikule, mis põhines järgmisel stsenaariumil: tarbija vaidlus ettevõtjaga (kasutati kahte erineva suurusega nõuet: 6 000 eurot ja Eurostati vaesuspiir asjaomases liikmesriigis). Kuna tasuta õigusabi saamise tingimused olenevad taotleja olukorrast, kasutati järgmist stsenaariumi: 35aastane vallaline töötav taotleja, kellel puuduvad ülalpeetavad, kellel ei ole õigusabikulude kindlustust, kellel on regulaarne sissetulek ja kes elab üürikorteris.</w:t>
      </w:r>
    </w:p>
  </w:footnote>
  <w:footnote w:id="59">
    <w:p>
      <w:pPr>
        <w:pStyle w:val="FootnoteText"/>
        <w:spacing w:before="60"/>
        <w:ind w:left="567" w:hanging="567"/>
        <w:rPr>
          <w:rStyle w:val="FootnoteReference"/>
          <w:highlight w:val="yellow"/>
        </w:rPr>
      </w:pPr>
      <w:r>
        <w:rPr>
          <w:rStyle w:val="FootnoteReference"/>
        </w:rPr>
        <w:footnoteRef/>
      </w:r>
      <w:r>
        <w:rPr>
          <w:vertAlign w:val="superscript"/>
        </w:rPr>
        <w:t xml:space="preserve"> </w:t>
      </w:r>
      <w:r>
        <w:tab/>
        <w:t>Andmed osutavad 2019. aastal kehtinud sissetulekukünnistele ja on kogutud vastustest, mille Euroopa Advokatuuride ja Õigusliitude Nõukogu liikmed andsid küsimustikule, mis põhines järgmisel stsenaariumil: tarbija vaidlus ettevõtjaga (kasutati kahte erineva suurusega nõuet: 6 000 eurot ja Eurostati vaesuspiir asjaomases liikmesriigis).</w:t>
      </w:r>
    </w:p>
  </w:footnote>
  <w:footnote w:id="60">
    <w:p>
      <w:pPr>
        <w:pStyle w:val="FootnoteText"/>
        <w:spacing w:before="60"/>
        <w:ind w:left="567" w:hanging="567"/>
      </w:pPr>
      <w:r>
        <w:rPr>
          <w:rStyle w:val="FootnoteReference"/>
        </w:rPr>
        <w:footnoteRef/>
      </w:r>
      <w:r>
        <w:t xml:space="preserve"> </w:t>
      </w:r>
      <w:r>
        <w:tab/>
        <w:t xml:space="preserve">Andmed on kogutud vastustest, mille Euroopa Advokatuuride ja Õigusliitude Nõukogu liikmed andsid küsimustikule, mis põhines järgmisel stsenaariumil: kahe ettevõtja vaheline piiriülene kaubandusvaidlus lepingu täitmise üle. Nõude suuruseks on märgitud 20 000 eurot. Euroopa Advokatuuride ja Õigusliitude Nõukogu liikmetelt küsiti, kui palju peab stsenaariumi puhul hagi algatamiseks kohtulõivu tasuma. </w:t>
      </w:r>
    </w:p>
  </w:footnote>
  <w:footnote w:id="61">
    <w:p>
      <w:pPr>
        <w:pStyle w:val="FootnoteText"/>
        <w:spacing w:before="60"/>
        <w:ind w:left="567" w:hanging="567"/>
        <w:rPr>
          <w:highlight w:val="yellow"/>
        </w:rPr>
      </w:pPr>
      <w:r>
        <w:rPr>
          <w:rStyle w:val="FootnoteReference"/>
        </w:rPr>
        <w:footnoteRef/>
      </w:r>
      <w:r>
        <w:rPr>
          <w:vertAlign w:val="superscript"/>
        </w:rPr>
        <w:t xml:space="preserve"> </w:t>
      </w:r>
      <w:r>
        <w:tab/>
        <w:t>Andmed on kogutud vastustest, mille Euroopa Advokatuuride ja Õigusliitude Nõukogu liikmed andsid küsimustikule, mis põhines samal hüpoteetilisel juhtumil kui joonis 25 (vrd joonealune märkus 58). Õigusabikulude arvutamiseks kasutati järgmist stsenaariumi: lepingu täitmist taotlev ettevõtja võttis ühendust spetsialiseerunud ja kogenud advokaadiga, kelle töö hõlmas järgmisi toiminguid: kohtumenetlusele eelnevas etapis: 3 tundi tööd, ühe dokumendi koostamine tunnipõhise õigusabikulu eest 150 eurot tunnis (kokku 450 eurot). Kohtumenetluse etapp: 11 tundi tööd, 3 dokumendi koostamine, 2 kohtuistungit õigusabikulu eest 150 eurot tunnis (kokku 1 650 eurot). Euroopa Advokatuuride ja Õigusliitude Nõukogu liikmetelt paluti teavet a) kohtu(eelses) etapis tehtava töö eest ettenähtud seadusest tuleneva tasu kohta (kui see on kehtestatud) ning b) õigusabikulu summa kohta, mille kohus võib kaotavalt poolelt mõistlikult välja mõista.</w:t>
      </w:r>
    </w:p>
  </w:footnote>
  <w:footnote w:id="62">
    <w:p>
      <w:pPr>
        <w:spacing w:before="60" w:after="0" w:line="240" w:lineRule="auto"/>
        <w:ind w:left="567" w:hanging="567"/>
        <w:jc w:val="both"/>
        <w:rPr>
          <w:rFonts w:ascii="Times New Roman" w:hAnsi="Times New Roman" w:cs="Times New Roman"/>
          <w:sz w:val="20"/>
          <w:szCs w:val="20"/>
          <w:highlight w:val="yellow"/>
        </w:rPr>
      </w:pPr>
      <w:r>
        <w:rPr>
          <w:rStyle w:val="FootnoteReference"/>
          <w:rFonts w:ascii="Times New Roman" w:hAnsi="Times New Roman" w:cs="Times New Roman"/>
          <w:sz w:val="20"/>
          <w:szCs w:val="20"/>
        </w:rPr>
        <w:footnoteRef/>
      </w:r>
      <w:r>
        <w:rPr>
          <w:rFonts w:ascii="Times New Roman" w:hAnsi="Times New Roman"/>
          <w:sz w:val="20"/>
          <w:szCs w:val="20"/>
          <w:vertAlign w:val="superscript"/>
        </w:rPr>
        <w:t xml:space="preserve"> </w:t>
      </w:r>
      <w:r>
        <w:tab/>
      </w:r>
      <w:r>
        <w:rPr>
          <w:rFonts w:ascii="Times New Roman" w:hAnsi="Times New Roman"/>
          <w:sz w:val="20"/>
          <w:szCs w:val="20"/>
        </w:rPr>
        <w:t>Andmed on 2018. aasta kohta. Seadmete kasutamise määr alates 100 %st (seadmeid kasutatakse täiel määral) kuni 0 %ni (seadmed puuduvad) näitab joonisel käsitletud võimaluse kasutamist kohtutes vastavalt järgmisele skaalale: (100 % = 4 punkti, kui võimalust saab kasutada kõikides asjades / 1,33 punkti, kui võimalust saab kasutada kindlas asjas; 50–99 % = 3 punkti, kui võimalust saab kasutada kõikides asjades / 1 punkt, kui võimalust saab kasutada kindlas asjas; 10–49 % = 2 punkti, kui võimalust saab kasutada kõikides asjades / 0,66 punkti, kui võimalust saab kasutada kindlas asjas; 1–9 % = 1 punkt, kui võimalust saab kasutada kõikides asjades / 0,33 punkti, kui võimalust saab kasutada kindlas asjas. „Kindel asi“ tähendab menetletava kohtuasja liiki (tsiviil-/kaubandusasi, kriminaalasi, haldusasi või muu).</w:t>
      </w:r>
    </w:p>
  </w:footnote>
  <w:footnote w:id="63">
    <w:p>
      <w:pPr>
        <w:pStyle w:val="FootnoteText"/>
        <w:spacing w:before="60"/>
        <w:ind w:left="567" w:hanging="567"/>
      </w:pPr>
      <w:r>
        <w:rPr>
          <w:rStyle w:val="FootnoteReference"/>
        </w:rPr>
        <w:footnoteRef/>
      </w:r>
      <w:r>
        <w:t xml:space="preserve"> </w:t>
      </w:r>
      <w:r>
        <w:tab/>
        <w:t xml:space="preserve">Vt </w:t>
      </w:r>
      <w:r>
        <w:rPr>
          <w:i/>
          <w:iCs/>
        </w:rPr>
        <w:t>heade tavade juhend „Best practice guide for managing Supreme Courts“</w:t>
      </w:r>
      <w:r>
        <w:t>, lk 29; juhend valmis projekti raames, milles keskenduti kõrgeimatele kohtutele kui kohtusüsteemide tulemuslikkuse tagajatele.</w:t>
      </w:r>
    </w:p>
  </w:footnote>
  <w:footnote w:id="64">
    <w:p>
      <w:pPr>
        <w:pStyle w:val="FootnoteText"/>
        <w:spacing w:before="60"/>
        <w:ind w:left="567" w:firstLine="0"/>
      </w:pPr>
      <w:r>
        <w:t>Euroopa Parlamendi ja nõukogu 27. aprilli 2016. aasta määrus (EL) 2016/679 füüsiliste isikute kaitse kohta isikuandmete töötlemisel ja selliste andmete vaba liikumise ning direktiivi 95/46/EÜ kehtetuks tunnistamise kohta (isikuandmete kaitse üldmäärus) (ELT L 119, 4.5.2016, lk 1).</w:t>
      </w:r>
    </w:p>
  </w:footnote>
  <w:footnote w:id="65">
    <w:p>
      <w:pPr>
        <w:pStyle w:val="FootnoteText"/>
        <w:spacing w:before="60"/>
        <w:ind w:left="567" w:hanging="567"/>
      </w:pPr>
      <w:r>
        <w:rPr>
          <w:rStyle w:val="FootnoteReference"/>
        </w:rPr>
        <w:footnoteRef/>
      </w:r>
      <w:r>
        <w:t xml:space="preserve"> </w:t>
      </w:r>
      <w:r>
        <w:tab/>
        <w:t>Anonüümimise/pseudonüümimise tõhusust suurendab algoritmi kasutamine. Seejuures on siiski vajalik inimese järelevalve, sest algoritmid ei mõista konteksti.</w:t>
      </w:r>
    </w:p>
  </w:footnote>
  <w:footnote w:id="66">
    <w:p>
      <w:pPr>
        <w:pStyle w:val="FootnoteText"/>
        <w:spacing w:before="60"/>
        <w:ind w:left="567" w:hanging="567"/>
      </w:pPr>
      <w:r>
        <w:rPr>
          <w:rStyle w:val="FootnoteReference"/>
        </w:rPr>
        <w:footnoteRef/>
      </w:r>
      <w:r>
        <w:t xml:space="preserve"> </w:t>
      </w:r>
      <w:r>
        <w:tab/>
        <w:t>Euroopa Parlamendi ja nõukogu 17. novembri 2003. aasta direktiiv 2003/98/EÜ avaliku sektori valduses oleva teabe taaskasutamise kohta (ELT L 345, 31.12.2003, lk 90) ning Euroopa Parlamendi ja nõukogu 20. juuni 2019. aasta direktiiv (EL) 2019/1024 avaandmete ja avaliku sektori valduses oleva teabe taaskasutamise kohta (ELT L 172, 26.6.2019, lk 56).</w:t>
      </w:r>
    </w:p>
  </w:footnote>
  <w:footnote w:id="67">
    <w:p>
      <w:pPr>
        <w:pStyle w:val="FootnoteText"/>
        <w:spacing w:before="60"/>
        <w:ind w:left="567" w:hanging="567"/>
      </w:pPr>
      <w:r>
        <w:rPr>
          <w:rStyle w:val="FootnoteReference"/>
        </w:rPr>
        <w:footnoteRef/>
      </w:r>
      <w:r>
        <w:t xml:space="preserve"> </w:t>
      </w:r>
      <w:r>
        <w:tab/>
        <w:t>Standardi (nt Akoma Ntoso) järgi vormistatud otsuseid ja nendega seotud metaandmeid on võimalik tasuta alla laadida andmebaasina või muul automatiseeritud viisil (nt rakendusliides).</w:t>
      </w:r>
    </w:p>
  </w:footnote>
  <w:footnote w:id="68">
    <w:p>
      <w:pPr>
        <w:pStyle w:val="FootnoteText"/>
        <w:spacing w:before="60"/>
        <w:ind w:left="567" w:hanging="567"/>
      </w:pPr>
      <w:r>
        <w:rPr>
          <w:rStyle w:val="FootnoteReference"/>
        </w:rPr>
        <w:footnoteRef/>
      </w:r>
      <w:r>
        <w:t xml:space="preserve"> </w:t>
      </w:r>
      <w:r>
        <w:tab/>
        <w:t>Vt ka komisjoni teatis Euroopa Parlamendile, nõukogule, Euroopa Majandus- ja Sotsiaalkomiteele ning Regioonide Komiteele – Euroopa andmestrateegia, COM(2020) 66 final; komisjoni valge raamat tehisintellekti kohta – Euroopa käsitus tipptasemel ja usaldusväärsest tehnoloogiast, COM(2020) 65 final; ning nõukogu ja nõukogus kokku tulnud liikmesriikide valitsuste esindajate järeldused, mis käsitlevad kohtuotsuste internetis avaldamise parimaid tavasid (ELT C 362, 8.10.2018, lk 2).</w:t>
      </w:r>
    </w:p>
  </w:footnote>
  <w:footnote w:id="69">
    <w:p>
      <w:pPr>
        <w:pStyle w:val="FootnoteText"/>
        <w:spacing w:before="60"/>
        <w:ind w:left="567" w:hanging="567"/>
      </w:pPr>
      <w:r>
        <w:rPr>
          <w:rStyle w:val="FootnoteReference"/>
        </w:rPr>
        <w:footnoteRef/>
      </w:r>
      <w:r>
        <w:tab/>
        <w:t>2019. aasta andmed koguti koostöös liikmesriikide kohtusüsteemide kontaktisikute rühmaga.</w:t>
      </w:r>
    </w:p>
  </w:footnote>
  <w:footnote w:id="70">
    <w:p>
      <w:pPr>
        <w:pStyle w:val="FootnoteText"/>
        <w:spacing w:before="60"/>
        <w:ind w:left="567" w:hanging="567"/>
        <w:rPr>
          <w:highlight w:val="yellow"/>
        </w:rPr>
      </w:pPr>
      <w:r>
        <w:rPr>
          <w:rStyle w:val="FootnoteReference"/>
        </w:rPr>
        <w:footnoteRef/>
      </w:r>
      <w:r>
        <w:t xml:space="preserve"> </w:t>
      </w:r>
      <w:r>
        <w:tab/>
        <w:t>2019. aasta andmed koguti koostöös liikmesriikide kohtusüsteemide kontaktisikute rühmaga.</w:t>
      </w:r>
    </w:p>
  </w:footnote>
  <w:footnote w:id="71">
    <w:p>
      <w:pPr>
        <w:pStyle w:val="FootnoteText"/>
        <w:spacing w:before="60"/>
        <w:ind w:left="567" w:hanging="567"/>
      </w:pPr>
      <w:r>
        <w:rPr>
          <w:rStyle w:val="FootnoteReference"/>
        </w:rPr>
        <w:footnoteRef/>
      </w:r>
      <w:r>
        <w:rPr>
          <w:vertAlign w:val="superscript"/>
        </w:rPr>
        <w:t xml:space="preserve"> </w:t>
      </w:r>
      <w:r>
        <w:tab/>
        <w:t>Vaidluste kohtuvälise lahendamise propageerimise ja edendamise meetodid ei hõlma nõuet kasutada enne kohtusse minemist kohtuväliseid vahendeid, sest sellise nõude puhul on küsitav, kas see on kooskõlas ELi põhiõiguste hartas sätestatud õigusega tõhusale õiguskaitsevahendile kohtus.</w:t>
      </w:r>
    </w:p>
  </w:footnote>
  <w:footnote w:id="72">
    <w:p>
      <w:pPr>
        <w:pStyle w:val="FootnoteText"/>
        <w:spacing w:before="60"/>
        <w:ind w:left="567" w:hanging="567"/>
      </w:pPr>
      <w:r>
        <w:rPr>
          <w:rStyle w:val="FootnoteReference"/>
        </w:rPr>
        <w:footnoteRef/>
      </w:r>
      <w:r>
        <w:t xml:space="preserve"> </w:t>
      </w:r>
      <w:r>
        <w:tab/>
        <w:t>2019. aasta andmed koguti koostöös liikmesriikide kohtusüsteemide kontaktisikute rühmaga.</w:t>
      </w:r>
    </w:p>
  </w:footnote>
  <w:footnote w:id="73">
    <w:p>
      <w:pPr>
        <w:pStyle w:val="FootnoteText"/>
        <w:spacing w:before="60"/>
        <w:ind w:left="567" w:hanging="567"/>
      </w:pPr>
      <w:r>
        <w:rPr>
          <w:rStyle w:val="FootnoteReference"/>
        </w:rPr>
        <w:footnoteRef/>
      </w:r>
      <w:r>
        <w:t xml:space="preserve"> </w:t>
      </w:r>
      <w:r>
        <w:tab/>
        <w:t>2019. aasta andmed koguti koostöös liikmesriikide kohtusüsteemide kontaktisikute rühmaga.</w:t>
      </w:r>
    </w:p>
  </w:footnote>
  <w:footnote w:id="74">
    <w:p>
      <w:pPr>
        <w:pStyle w:val="FootnoteText"/>
        <w:spacing w:before="60"/>
        <w:ind w:left="567" w:hanging="567"/>
        <w:rPr>
          <w:highlight w:val="yellow"/>
        </w:rPr>
      </w:pPr>
      <w:r>
        <w:rPr>
          <w:rStyle w:val="FootnoteReference"/>
        </w:rPr>
        <w:footnoteRef/>
      </w:r>
      <w:r>
        <w:t xml:space="preserve"> </w:t>
      </w:r>
      <w:r>
        <w:tab/>
        <w:t xml:space="preserve">Valitsemissektori (tegelikud) kogukulutused: haldus-, tsiviil- ja kriminaalkohtute ning kohtusüsteemi haldamine, tegevus või toetamine, sealhulgas kohtute määratud trahvide ja kohtulike kokkulepete täitmise tagamine ning kriminaalhooldussüsteemide toimimine, samuti tasuta õigusabi – õiguslik esindamine ja nõustamine riigi poolt või riigi vahendusel rahalise abi või teenuse kujul; siia alla ei kuulu kinnipidamiskohad (rahvamajanduse arvepidamise andmed, valitsemisfunktsioonide klassifikaator (COFOG), rühm 03.3), </w:t>
      </w:r>
      <w:r>
        <w:rPr>
          <w:rStyle w:val="FootnoteReference"/>
          <w:vertAlign w:val="baseline"/>
        </w:rPr>
        <w:t>Eurostati tabel</w:t>
      </w:r>
      <w:r>
        <w:t xml:space="preserve"> </w:t>
      </w:r>
      <w:r>
        <w:rPr>
          <w:i/>
          <w:iCs/>
        </w:rPr>
        <w:t>gov_10a_exp,</w:t>
      </w:r>
      <w:r>
        <w:t xml:space="preserve"> kättesaadav aadressil: </w:t>
      </w:r>
      <w:hyperlink r:id="rId31" w:history="1">
        <w:r>
          <w:rPr>
            <w:rStyle w:val="Hyperlink"/>
          </w:rPr>
          <w:t>http://ec.europa.eu/eurostat/data/database</w:t>
        </w:r>
      </w:hyperlink>
      <w:r>
        <w:rPr>
          <w:rStyle w:val="Hyperlink"/>
        </w:rPr>
        <w:t>.</w:t>
      </w:r>
    </w:p>
  </w:footnote>
  <w:footnote w:id="75">
    <w:p>
      <w:pPr>
        <w:pStyle w:val="FootnoteText"/>
        <w:spacing w:before="60"/>
        <w:ind w:left="567" w:hanging="567"/>
        <w:rPr>
          <w:highlight w:val="yellow"/>
        </w:rPr>
      </w:pPr>
      <w:r>
        <w:rPr>
          <w:rStyle w:val="FootnoteReference"/>
        </w:rPr>
        <w:footnoteRef/>
      </w:r>
      <w:r>
        <w:t xml:space="preserve"> </w:t>
      </w:r>
      <w:r>
        <w:tab/>
        <w:t xml:space="preserve">Hüvitised töötajatele hõlmavad rahas makstavaid palku ja mitterahalist tasu (D.11) ning tööandja tegelikke ja arvestuslikke sotsiaalmakseid (D.121 ja D.122). Vaata: </w:t>
      </w:r>
      <w:hyperlink r:id="rId32" w:history="1">
        <w:r>
          <w:rPr>
            <w:rStyle w:val="Hyperlink"/>
          </w:rPr>
          <w:t>https://ec.europa.eu/eurostat/statistics-explained/index.php?title=Glossary:Compensation_of_employees</w:t>
        </w:r>
      </w:hyperlink>
      <w:r>
        <w:t>.</w:t>
      </w:r>
    </w:p>
  </w:footnote>
  <w:footnote w:id="76">
    <w:p>
      <w:pPr>
        <w:pStyle w:val="FootnoteText"/>
        <w:spacing w:before="60"/>
        <w:ind w:left="567" w:hanging="567"/>
      </w:pPr>
      <w:r>
        <w:rPr>
          <w:rStyle w:val="FootnoteReference"/>
        </w:rPr>
        <w:footnoteRef/>
      </w:r>
      <w:r>
        <w:rPr>
          <w:vertAlign w:val="superscript"/>
        </w:rPr>
        <w:t xml:space="preserve"> </w:t>
      </w:r>
      <w:r>
        <w:tab/>
        <w:t xml:space="preserve">Vahetarbimine on rahvamajanduse arvepidamise mõiste, millega mõõdetakse tootmisprotsessi sisendina tarbitud kaupade ja teenuste väärtust. See ei hõlma </w:t>
      </w:r>
      <w:hyperlink r:id="rId33" w:history="1">
        <w:r>
          <w:rPr>
            <w:rStyle w:val="Hyperlink"/>
          </w:rPr>
          <w:t>põhivara</w:t>
        </w:r>
      </w:hyperlink>
      <w:r>
        <w:t xml:space="preserve">, mille tarbimine kirjendatakse </w:t>
      </w:r>
      <w:hyperlink r:id="rId34" w:history="1">
        <w:r>
          <w:rPr>
            <w:rStyle w:val="Hyperlink"/>
          </w:rPr>
          <w:t>põhivara</w:t>
        </w:r>
      </w:hyperlink>
      <w:r>
        <w:t xml:space="preserve"> kulumina. Tootmisprotsessis kaupu ja teenuseid kas töödeldakse või siis kasutatakse need tootmisprotsessis ära.</w:t>
      </w:r>
    </w:p>
    <w:p>
      <w:pPr>
        <w:pStyle w:val="FootnoteText"/>
        <w:spacing w:before="60"/>
        <w:ind w:left="567" w:firstLine="0"/>
        <w:rPr>
          <w:b/>
          <w:bCs/>
          <w:highlight w:val="yellow"/>
        </w:rPr>
      </w:pPr>
      <w:r>
        <w:t xml:space="preserve">Vt </w:t>
      </w:r>
      <w:hyperlink r:id="rId35">
        <w:r>
          <w:rPr>
            <w:rStyle w:val="Hyperlink"/>
          </w:rPr>
          <w:t>https://ec.europa.eu/eurostat/statistics-explained/index.php?title=Glossary:Intermediate_consumption</w:t>
        </w:r>
      </w:hyperlink>
      <w:r>
        <w:rPr>
          <w:rStyle w:val="Hyperlink"/>
        </w:rPr>
        <w:t>.</w:t>
      </w:r>
    </w:p>
  </w:footnote>
  <w:footnote w:id="77">
    <w:p>
      <w:pPr>
        <w:pStyle w:val="FootnoteText"/>
        <w:spacing w:before="60"/>
        <w:ind w:left="567" w:hanging="567"/>
        <w:rPr>
          <w:highlight w:val="yellow"/>
        </w:rPr>
      </w:pPr>
      <w:r>
        <w:rPr>
          <w:rStyle w:val="FootnoteReference"/>
        </w:rPr>
        <w:footnoteRef/>
      </w:r>
      <w:r>
        <w:rPr>
          <w:vertAlign w:val="superscript"/>
        </w:rPr>
        <w:t xml:space="preserve"> </w:t>
      </w:r>
      <w:r>
        <w:tab/>
        <w:t xml:space="preserve">Kapitali kogumahutus põhivarasse koosneb residendist tootjate investeeringutest põhivarasse, millest on maha arvatud </w:t>
      </w:r>
      <w:hyperlink r:id="rId36" w:history="1">
        <w:r>
          <w:rPr>
            <w:rStyle w:val="Hyperlink"/>
          </w:rPr>
          <w:t>põhivara</w:t>
        </w:r>
      </w:hyperlink>
      <w:r>
        <w:t xml:space="preserve"> realiseerimine teatud perioodi jooksul. See hõlmab ka teatud lisandumisi tootjate või institutsionaalsete üksuste kaudu saadud mittetoodetud vara väärtusele. Põhivara on tootmisprotsessi toodanguks olev materiaalne või mittemateriaalne vara, mida kasutatakse korduvalt või pidevalt enam kui ühe aasta vältel. Vt </w:t>
      </w:r>
      <w:hyperlink r:id="rId37" w:history="1">
        <w:r>
          <w:rPr>
            <w:rStyle w:val="Hyperlink"/>
          </w:rPr>
          <w:t>https://ec.europa.eu/eurostat/statistics-explained/index.php?title=Glossary:Gross_fixed_capital_formation_(GFCF)</w:t>
        </w:r>
      </w:hyperlink>
      <w:r>
        <w:t>.</w:t>
      </w:r>
    </w:p>
  </w:footnote>
  <w:footnote w:id="78">
    <w:p>
      <w:pPr>
        <w:pStyle w:val="FootnoteText"/>
        <w:spacing w:before="60"/>
        <w:ind w:left="567" w:hanging="567"/>
        <w:rPr>
          <w:highlight w:val="yellow"/>
        </w:rPr>
      </w:pPr>
      <w:r>
        <w:rPr>
          <w:rStyle w:val="FootnoteReference"/>
        </w:rPr>
        <w:footnoteRef/>
      </w:r>
      <w:r>
        <w:t xml:space="preserve"> </w:t>
      </w:r>
      <w:r>
        <w:tab/>
        <w:t xml:space="preserve">2019. aasta andmed. Euroopa Soolise Võrdõiguslikkuse Instituut, soolise statistika andmebaas, kättesaadav aadressil </w:t>
      </w:r>
      <w:hyperlink r:id="rId38" w:history="1">
        <w:r>
          <w:rPr>
            <w:rStyle w:val="Hyperlink"/>
          </w:rPr>
          <w:t>http://eige.europa.eu/lt/gender-statistics/dgs/indicator/wmidm_jud_natcrt__wmid_natcrt_supcrt</w:t>
        </w:r>
      </w:hyperlink>
      <w:r>
        <w:t>.</w:t>
      </w:r>
    </w:p>
  </w:footnote>
  <w:footnote w:id="79">
    <w:p>
      <w:pPr>
        <w:pStyle w:val="FootnoteText"/>
        <w:spacing w:before="60"/>
        <w:ind w:left="567" w:hanging="567"/>
      </w:pPr>
      <w:r>
        <w:rPr>
          <w:rStyle w:val="FootnoteReference"/>
        </w:rPr>
        <w:footnoteRef/>
      </w:r>
      <w:r>
        <w:t xml:space="preserve"> </w:t>
      </w:r>
      <w:r>
        <w:tab/>
        <w:t>2018. aasta andmed koguti koostöös Euroopa õigusalase koolituse võrgustiku ja CEPEJga. Ametioskused hõlmavad näiteks kohtuistungite juhtimist, otsuste koostamist ja kõnekunsti.</w:t>
      </w:r>
    </w:p>
  </w:footnote>
  <w:footnote w:id="80">
    <w:p>
      <w:pPr>
        <w:pStyle w:val="FootnoteText"/>
        <w:spacing w:before="60"/>
        <w:ind w:left="567" w:hanging="567"/>
      </w:pPr>
      <w:r>
        <w:rPr>
          <w:rStyle w:val="FootnoteReference"/>
        </w:rPr>
        <w:footnoteRef/>
      </w:r>
      <w:r>
        <w:t xml:space="preserve"> </w:t>
      </w:r>
      <w:r>
        <w:tab/>
        <w:t>2019. aasta andmed koguti koostöös liikmesriikide kohtusüsteemide kontaktisikute rühmaga.</w:t>
      </w:r>
    </w:p>
  </w:footnote>
  <w:footnote w:id="81">
    <w:p>
      <w:pPr>
        <w:pStyle w:val="FootnoteText"/>
        <w:spacing w:before="60"/>
        <w:ind w:left="567" w:hanging="567"/>
        <w:rPr>
          <w:highlight w:val="yellow"/>
        </w:rPr>
      </w:pPr>
      <w:r>
        <w:rPr>
          <w:rStyle w:val="FootnoteReference"/>
        </w:rPr>
        <w:footnoteRef/>
      </w:r>
      <w:r>
        <w:t xml:space="preserve"> </w:t>
      </w:r>
      <w:r>
        <w:tab/>
        <w:t>2018. aasta andmed. Seadmete kasutamise määr alates 100 %st (seadmeid kasutatakse täiel määral) kuni 0 %ni (seadmed puuduvad) näitab joonisel käsitletud võimaluse kasutamist kohtutes vastavalt järgmisele skaalale: 100 % = 4 punkti, kui võimalust saab kasutada kõikides asjades / 1,33 punkti, kui võimalust saab kasutada kindlas asjas; 50–99 % = 3 punkti, kui võimalust saab kasutada kõikides asjades / 1 punkt, kui võimalust saab kasutada kindlas asjas; 10–49 % = 2 punkti, kui võimalust saab kasutada kõikides asjades / 0,66 punkti, kui võimalust saab kasutada kindlas asjas; 1–9 % = 1 punkt, kui võimalust saab kasutada kõikides asjades / 0,33 punkti, kui võimalust saab kasutada kindlas asjas. „Kindel asi“ tähendab menetletava kohtuasja liiki (tsiviil-/kaubandusasi, kriminaalasi, haldusasi või muu).</w:t>
      </w:r>
    </w:p>
  </w:footnote>
  <w:footnote w:id="82">
    <w:p>
      <w:pPr>
        <w:pStyle w:val="FootnoteText"/>
        <w:spacing w:before="60"/>
        <w:ind w:left="567" w:hanging="567"/>
        <w:rPr>
          <w:highlight w:val="yellow"/>
        </w:rPr>
      </w:pPr>
      <w:r>
        <w:rPr>
          <w:rStyle w:val="FootnoteReference"/>
        </w:rPr>
        <w:footnoteRef/>
      </w:r>
      <w:r>
        <w:t xml:space="preserve"> </w:t>
      </w:r>
      <w:r>
        <w:tab/>
        <w:t>2018. aasta andmed koguti koostöös liikmesriikide kohtusüsteemide kontaktisikute rühmaga.</w:t>
      </w:r>
    </w:p>
  </w:footnote>
  <w:footnote w:id="83">
    <w:p>
      <w:pPr>
        <w:pStyle w:val="FootnoteText"/>
        <w:spacing w:before="60"/>
        <w:ind w:left="567" w:hanging="567"/>
      </w:pPr>
      <w:r>
        <w:rPr>
          <w:rStyle w:val="FootnoteReference"/>
        </w:rPr>
        <w:footnoteRef/>
      </w:r>
      <w:r>
        <w:t xml:space="preserve"> </w:t>
      </w:r>
      <w:r>
        <w:tab/>
        <w:t>2018. aasta andmed koguti koostöös liikmesriikide kohtusüsteemide kontaktisikute rühmaga.</w:t>
      </w:r>
    </w:p>
  </w:footnote>
  <w:footnote w:id="84">
    <w:p>
      <w:pPr>
        <w:pStyle w:val="FootnoteText"/>
        <w:spacing w:before="60"/>
        <w:ind w:left="567" w:hanging="567"/>
        <w:rPr>
          <w:highlight w:val="yellow"/>
        </w:rPr>
      </w:pPr>
      <w:r>
        <w:rPr>
          <w:rStyle w:val="FootnoteReference"/>
        </w:rPr>
        <w:footnoteRef/>
      </w:r>
      <w:r>
        <w:tab/>
        <w:t>ELi õigusemõistmise tulemustabelis minnakse tähtaegade ja ajakavadega seotud normides kaugemale nõuetest, mis tulenevad ELi põhiõiguste harta artiklis 47 ja Euroopa inimõiguste konventsiooni artiklis 6 sätestatud õigusest asja arutamisele mõistliku aja jooksul.</w:t>
      </w:r>
    </w:p>
  </w:footnote>
  <w:footnote w:id="85">
    <w:p>
      <w:pPr>
        <w:pStyle w:val="FootnoteText"/>
        <w:spacing w:before="60"/>
        <w:ind w:left="567" w:hanging="567"/>
        <w:rPr>
          <w:highlight w:val="yellow"/>
        </w:rPr>
      </w:pPr>
      <w:r>
        <w:rPr>
          <w:rStyle w:val="FootnoteReference"/>
        </w:rPr>
        <w:footnoteRef/>
      </w:r>
      <w:r>
        <w:t xml:space="preserve"> </w:t>
      </w:r>
      <w:r>
        <w:tab/>
        <w:t>2019. aasta andmed koguti koostöös liikmesriikide kohtusüsteemide kontaktisikute rühmaga.</w:t>
      </w:r>
    </w:p>
  </w:footnote>
  <w:footnote w:id="86">
    <w:p>
      <w:pPr>
        <w:pStyle w:val="FootnoteText"/>
        <w:spacing w:before="60"/>
        <w:ind w:left="567" w:hanging="567"/>
      </w:pPr>
      <w:r>
        <w:rPr>
          <w:rStyle w:val="FootnoteReference"/>
        </w:rPr>
        <w:footnoteRef/>
      </w:r>
      <w:r>
        <w:t xml:space="preserve"> </w:t>
      </w:r>
      <w:r>
        <w:tab/>
        <w:t xml:space="preserve">Vt </w:t>
      </w:r>
      <w:hyperlink r:id="rId39" w:history="1">
        <w:r>
          <w:rPr>
            <w:rStyle w:val="Hyperlink"/>
          </w:rPr>
          <w:t>http://eur-lex.europa.eu/legal-content/ET/TXT/PDF/?uri=CELEX:12012P/TXT&amp;from=ET</w:t>
        </w:r>
      </w:hyperlink>
      <w:r>
        <w:t>.</w:t>
      </w:r>
    </w:p>
  </w:footnote>
  <w:footnote w:id="87">
    <w:p>
      <w:pPr>
        <w:pStyle w:val="FootnoteText"/>
        <w:spacing w:before="60"/>
        <w:ind w:left="567" w:hanging="567"/>
      </w:pPr>
      <w:r>
        <w:rPr>
          <w:rStyle w:val="FootnoteReference"/>
        </w:rPr>
        <w:footnoteRef/>
      </w:r>
      <w:r>
        <w:t xml:space="preserve"> </w:t>
      </w:r>
      <w:r>
        <w:tab/>
        <w:t xml:space="preserve">Kohtuotsus, Euroopa Liidu Kohus, 19. november 2019, A. K. jt, C 585/18, C 624/18 ja C 625/18, ECLI:EU:C:2019:982, punktid 121 ja 122; kohtuotsus, 24. juuni 2019, komisjon </w:t>
      </w:r>
      <w:r>
        <w:rPr>
          <w:i/>
          <w:iCs/>
        </w:rPr>
        <w:t>vs</w:t>
      </w:r>
      <w:r>
        <w:t>. Poola, C-619/18, ECLI:EU:C:2019:531, punktid 73 ja 74; kohtuotsus, 27. veebruar 2018, Associação Sindical dos Juízes Portugueses, C‑64/16, EU:C:2018:117, punkt 44; kohtuotsus, 25. juuli 2018, Minister for Justice and Equality, C‑216/18 PPU, EU:C:2018:586, punkt 65.</w:t>
      </w:r>
    </w:p>
  </w:footnote>
  <w:footnote w:id="88">
    <w:p>
      <w:pPr>
        <w:pStyle w:val="FootnoteText"/>
        <w:spacing w:before="60"/>
        <w:ind w:left="567" w:hanging="567"/>
      </w:pPr>
      <w:r>
        <w:rPr>
          <w:rStyle w:val="FootnoteReference"/>
        </w:rPr>
        <w:footnoteRef/>
      </w:r>
      <w:r>
        <w:t xml:space="preserve"> </w:t>
      </w:r>
      <w:r>
        <w:tab/>
        <w:t xml:space="preserve">Kohtuotsus, Euroopa Liidu Kohus, 24. juuni 2019, komisjon </w:t>
      </w:r>
      <w:r>
        <w:rPr>
          <w:i/>
          <w:iCs/>
        </w:rPr>
        <w:t>vs</w:t>
      </w:r>
      <w:r>
        <w:t>. Poola, C-619/18, ECLI:EU:C:2019:531, punkt 44.</w:t>
      </w:r>
    </w:p>
  </w:footnote>
  <w:footnote w:id="89">
    <w:p>
      <w:pPr>
        <w:pStyle w:val="FootnoteText"/>
        <w:spacing w:before="60"/>
        <w:ind w:left="567" w:hanging="567"/>
      </w:pPr>
      <w:r>
        <w:rPr>
          <w:rStyle w:val="FootnoteReference"/>
        </w:rPr>
        <w:footnoteRef/>
      </w:r>
      <w:r>
        <w:t xml:space="preserve"> </w:t>
      </w:r>
      <w:r>
        <w:tab/>
        <w:t xml:space="preserve">7.–11. jaanuaril 2020 korraldatud Eurobaromeetri kiiruuring nr 483. Vastused küsimusele: „Kuidas hindate (oma riigi) kohtusüsteemi kohtute ja kohtunike sõltumatust? Kas see on väga suur, võrdlemisi suur, võrdlemisi väike või väga väike?“. Vt </w:t>
      </w:r>
      <w:hyperlink r:id="rId40" w:history="1">
        <w:r>
          <w:rPr>
            <w:rStyle w:val="Hyperlink"/>
          </w:rPr>
          <w:t>https://ec.europa.eu/info/policies/justice-and-fundamental-rights/upholding-rule-law/eu-justice-scoreboard_et</w:t>
        </w:r>
      </w:hyperlink>
      <w:r>
        <w:t>.</w:t>
      </w:r>
    </w:p>
  </w:footnote>
  <w:footnote w:id="90">
    <w:p>
      <w:pPr>
        <w:pStyle w:val="FootnoteText"/>
        <w:spacing w:before="60"/>
        <w:ind w:left="567" w:hanging="567"/>
      </w:pPr>
      <w:r>
        <w:rPr>
          <w:rStyle w:val="FootnoteReference"/>
        </w:rPr>
        <w:footnoteRef/>
      </w:r>
      <w:r>
        <w:t xml:space="preserve"> </w:t>
      </w:r>
      <w:r>
        <w:tab/>
        <w:t>Eurobaromeetri kiiruuring nr 483. Vastused küsimusele: „Mil määral selgitab iga nimetatud põhjus teie antud hinnangut (oma riigi) kohtusüsteemi sõltumatuse kohta – suuresti, mõnevõrra, mitte eriti, üldse mitte?“.</w:t>
      </w:r>
    </w:p>
  </w:footnote>
  <w:footnote w:id="91">
    <w:p>
      <w:pPr>
        <w:pStyle w:val="FootnoteText"/>
        <w:spacing w:before="60"/>
        <w:ind w:left="567" w:hanging="567"/>
      </w:pPr>
      <w:r>
        <w:rPr>
          <w:rStyle w:val="FootnoteReference"/>
        </w:rPr>
        <w:footnoteRef/>
      </w:r>
      <w:r>
        <w:rPr>
          <w:vertAlign w:val="superscript"/>
        </w:rPr>
        <w:t xml:space="preserve"> </w:t>
      </w:r>
      <w:r>
        <w:tab/>
        <w:t xml:space="preserve">7.–20. jaanuaril 2020 korraldatud Eurobaromeetri kiiruuring nr 484. Vastused küsimusele: „Kuidas hindate (oma riigi) kohtusüsteemi kohtute ja kohtunike sõltumatust? Kas see on väga suur, võrdlemisi suur, võrdlemisi väike või väga väike?“. Vt </w:t>
      </w:r>
      <w:hyperlink r:id="rId41" w:history="1">
        <w:r>
          <w:rPr>
            <w:rStyle w:val="Hyperlink"/>
          </w:rPr>
          <w:t>https://ec.europa.eu/info/policies/justice-and-fundamental-rights/upholding-rule-law/eu-justice-scoreboard_et</w:t>
        </w:r>
      </w:hyperlink>
      <w:r>
        <w:rPr>
          <w:rStyle w:val="Hyperlink"/>
        </w:rPr>
        <w:t>.</w:t>
      </w:r>
    </w:p>
  </w:footnote>
  <w:footnote w:id="92">
    <w:p>
      <w:pPr>
        <w:pStyle w:val="FootnoteText"/>
        <w:spacing w:before="60"/>
        <w:ind w:left="567" w:hanging="567"/>
        <w:rPr>
          <w:highlight w:val="yellow"/>
        </w:rPr>
      </w:pPr>
      <w:r>
        <w:rPr>
          <w:rStyle w:val="FootnoteReference"/>
        </w:rPr>
        <w:footnoteRef/>
      </w:r>
      <w:r>
        <w:t xml:space="preserve"> </w:t>
      </w:r>
      <w:r>
        <w:tab/>
        <w:t>Eurobaromeetri kiiruuring nr 484. Vastused küsimusele: „Mil määral selgitab iga nimetatud põhjus teie antud hinnangut (oma riigi) kohtusüsteemi sõltumatuse kohta – suuresti, mõnevõrra, mitte eriti, üldse mitte?“.</w:t>
      </w:r>
    </w:p>
  </w:footnote>
  <w:footnote w:id="93">
    <w:p>
      <w:pPr>
        <w:pStyle w:val="FootnoteText"/>
        <w:spacing w:before="60"/>
        <w:ind w:left="567" w:hanging="567"/>
        <w:rPr>
          <w:highlight w:val="yellow"/>
        </w:rPr>
      </w:pPr>
      <w:r>
        <w:rPr>
          <w:rStyle w:val="FootnoteReference"/>
        </w:rPr>
        <w:footnoteRef/>
      </w:r>
      <w:r>
        <w:t xml:space="preserve"> </w:t>
      </w:r>
      <w:r>
        <w:tab/>
        <w:t xml:space="preserve">Maailma Majandusfoorumi näitaja põhineb vastustel järgmisele uuringu raames esitatud küsimusele: „Kui sõltumatu on teie riigi kohtusüsteem valitsuse, üksikisikute või ettevõtjate poolsest mõjutamisest? [1 = ei ole üldse sõltumatu; 7 = täiesti sõltumatu]“. Uuringu käigus andis oma vastused kõikide asjaomaste liikmesriikide peamisi majandussektoreid (põllumajandus, töötlev tööstus, mittetöötlev tööstus ja teenused) esindav ettevõtjate valim. Uuring toimus eri vormides, muu hulgas küsitleti silmast silma või telefoni teel ettevõtete juhtivtöötajaid, saadeti paberkandjal küsimustikke postiga ja korraldati veebiküsitlusi. Vt </w:t>
      </w:r>
      <w:hyperlink r:id="rId42" w:history="1">
        <w:r>
          <w:rPr>
            <w:rStyle w:val="Hyperlink"/>
          </w:rPr>
          <w:t>https://www.weforum.org/reports/global-competitiveness-report-2019</w:t>
        </w:r>
      </w:hyperlink>
      <w:r>
        <w:t xml:space="preserve">. </w:t>
      </w:r>
    </w:p>
  </w:footnote>
  <w:footnote w:id="94">
    <w:p>
      <w:pPr>
        <w:pStyle w:val="FootnoteText"/>
        <w:spacing w:before="60"/>
        <w:ind w:left="567" w:hanging="567"/>
      </w:pPr>
      <w:r>
        <w:rPr>
          <w:rStyle w:val="FootnoteReference"/>
        </w:rPr>
        <w:footnoteRef/>
      </w:r>
      <w:r>
        <w:t xml:space="preserve"> </w:t>
      </w:r>
      <w:r>
        <w:tab/>
        <w:t xml:space="preserve">Vt kohtuotsus, Euroopa Kohus, 19. november 2019, A. K. jt (distsiplinaarkolleegiumi sõltumatus), C-585/18, C 624/18 ja C-625/18, ECLI:EU:C:2019:982, punktid 121 ja 122; kohtuotsus, 24. juuni 2019, komisjon </w:t>
      </w:r>
      <w:r>
        <w:rPr>
          <w:i/>
          <w:iCs/>
        </w:rPr>
        <w:t>vs</w:t>
      </w:r>
      <w:r>
        <w:t xml:space="preserve">. Poola, C-619/18, ECLI:EU:C:2019:531, punktid 73 ja 74; kohtuotsus, 25. juuli 2018, LM, C-216/18, ECLI:EU:C:2018:586, punkt 66. Vt ka soovitus CM/Rec(2010)12 liikmesriikide kohtunike kohta: kohtunike sõltumatus, tulemuslikkus ja vastutus (mille Euroopa Nõukogu ministrite komitee võttis vastu 17. novembril 2010), punktid 46 ja 47 ning selle seletuskiri, mille kohaselt peaks kohtunike valiku ja karjääri üle otsustav organ olema seadusandlikust ja täidesaatvast võimust sõltumatu. Sõltumatuse tagamiseks peaksid vähemalt pooled selle organi liikmetest olema kohtunikud, kelle on valinud nende ametikaaslased. Kui aga põhiseaduse või muude õigusnormidega on ette nähtud, et kohtunike valimise ja karjääri üle otsustab riigipea, valitsus või seadusandja, peaks sõltumatu ja pädev organ, mis koosneb suures osas kohtunikest (piiramata 4. peatükis sisalduvaid kohtute haldamise nõukodade suhtes kehtivaid norme), saama anda soovitusi või väljendada oma arvamust, millest asjakohane ametisse nimetav organ saab juhinduda. </w:t>
      </w:r>
    </w:p>
  </w:footnote>
  <w:footnote w:id="95">
    <w:p>
      <w:pPr>
        <w:pStyle w:val="FootnoteText"/>
        <w:spacing w:before="60"/>
        <w:ind w:left="567" w:hanging="567"/>
      </w:pPr>
      <w:r>
        <w:rPr>
          <w:rStyle w:val="FootnoteReference"/>
        </w:rPr>
        <w:footnoteRef/>
      </w:r>
      <w:r>
        <w:rPr>
          <w:rStyle w:val="FootnoteReference"/>
        </w:rPr>
        <w:t xml:space="preserve"> </w:t>
      </w:r>
      <w:r>
        <w:tab/>
        <w:t xml:space="preserve">Vt kohtuotsus, Euroopa Kohus, 19. november 2019, A. K. jt (distsiplinaarkolleegiumi sõltumatus), C-585/18, C-624/18 ja C-625/18, ECLI:EU:C:2019:982, punkt 123; kohtuotsus, 24. juuni 2019, komisjon </w:t>
      </w:r>
      <w:r>
        <w:rPr>
          <w:i/>
          <w:iCs/>
        </w:rPr>
        <w:t>vs</w:t>
      </w:r>
      <w:r>
        <w:t>. Poola, C-619/18, ECLI:EU:C:2019:531, punkt 112.</w:t>
      </w:r>
    </w:p>
  </w:footnote>
  <w:footnote w:id="96">
    <w:p>
      <w:pPr>
        <w:pStyle w:val="FootnoteText"/>
        <w:spacing w:before="60"/>
        <w:ind w:left="567" w:hanging="567"/>
      </w:pPr>
      <w:r>
        <w:rPr>
          <w:rStyle w:val="FootnoteReference"/>
        </w:rPr>
        <w:footnoteRef/>
      </w:r>
      <w:r>
        <w:t xml:space="preserve"> </w:t>
      </w:r>
      <w:r>
        <w:tab/>
        <w:t>Vt soovitus CM/Rec(2010)12 liikmesriikide kohtunike kohta: kohtunike sõltumatus, tulemuslikkus ja vastutus, mille Euroopa Nõukogu ministrite komitee võttis vastu 17. novembril 2010, ning selle seletuskiri (edaspidi „soovitus CM/Rec(2010)12“).</w:t>
      </w:r>
    </w:p>
  </w:footnote>
  <w:footnote w:id="97">
    <w:p>
      <w:pPr>
        <w:pStyle w:val="FootnoteText"/>
        <w:spacing w:before="60"/>
        <w:ind w:left="567" w:hanging="567"/>
      </w:pPr>
      <w:r>
        <w:rPr>
          <w:rStyle w:val="FootnoteReference"/>
        </w:rPr>
        <w:footnoteRef/>
      </w:r>
      <w:r>
        <w:rPr>
          <w:vertAlign w:val="superscript"/>
        </w:rPr>
        <w:t xml:space="preserve"> </w:t>
      </w:r>
      <w:r>
        <w:tab/>
        <w:t>Joonised põhinevad vastustel uuendatud küsimustikule, mille komisjon koostas tihedas koostöös Euroopa kohtute haldamise nõukodade võrgustikuga. Liikmesriikidelt, kus ei ole kohtute haldamise nõukodasid või kes ei ole Euroopa kohtute haldamise nõukodade võrgustiku liikmed või kelle liikmesus nimetatud võrgustikus on peatatud (Tšehhi, Saksamaa, Eesti, Küpros, Luksemburg, Austria, Poola ja Soome), saadi vastused uuendatud küsimustikule koostöös Euroopa Liidu ülemkohtute esimeeste võrgustikuga.</w:t>
      </w:r>
    </w:p>
  </w:footnote>
  <w:footnote w:id="98">
    <w:p>
      <w:pPr>
        <w:pStyle w:val="FootnoteText"/>
        <w:spacing w:before="60"/>
        <w:ind w:left="567" w:hanging="567"/>
      </w:pPr>
      <w:r>
        <w:rPr>
          <w:rStyle w:val="FootnoteReference"/>
        </w:rPr>
        <w:footnoteRef/>
      </w:r>
      <w:r>
        <w:rPr>
          <w:vertAlign w:val="superscript"/>
        </w:rPr>
        <w:t xml:space="preserve"> </w:t>
      </w:r>
      <w:r>
        <w:tab/>
        <w:t>Joonised põhinevad vastustel uuendatud küsimustikule, mille komisjon koostas tihedas koostöös rahapesu ja terrorismi rahastamist käsitleva eksperdirühmaga.</w:t>
      </w:r>
    </w:p>
  </w:footnote>
  <w:footnote w:id="99">
    <w:p>
      <w:pPr>
        <w:pStyle w:val="FootnoteText"/>
        <w:spacing w:before="60"/>
        <w:ind w:left="567" w:hanging="567"/>
      </w:pPr>
      <w:r>
        <w:rPr>
          <w:rStyle w:val="FootnoteReference"/>
        </w:rPr>
        <w:footnoteRef/>
      </w:r>
      <w:r>
        <w:rPr>
          <w:vertAlign w:val="superscript"/>
        </w:rPr>
        <w:t xml:space="preserve"> </w:t>
      </w:r>
      <w:r>
        <w:tab/>
        <w:t xml:space="preserve">Vt kohtuotsus, Euroopa Kohus, 5. november 2019, komisjon </w:t>
      </w:r>
      <w:r>
        <w:rPr>
          <w:i/>
          <w:iCs/>
        </w:rPr>
        <w:t>vs</w:t>
      </w:r>
      <w:r>
        <w:t xml:space="preserve">. Poola, C-192/18, ECLI:EU:C:2019:924, punkt 114; 24. juuni 2019, komisjon </w:t>
      </w:r>
      <w:r>
        <w:rPr>
          <w:i/>
          <w:iCs/>
        </w:rPr>
        <w:t>vs</w:t>
      </w:r>
      <w:r>
        <w:t xml:space="preserve">. Poola, C-619/18, ECLI:EU:C:2019:531, punkt 77; ning 25. juuli 2018, LM, C-216/18 PPU, ECLI:EU:C:2018:586, punkt 67. </w:t>
      </w:r>
    </w:p>
  </w:footnote>
  <w:footnote w:id="100">
    <w:p>
      <w:pPr>
        <w:pStyle w:val="FootnoteText"/>
        <w:spacing w:before="60"/>
        <w:ind w:left="567" w:hanging="567"/>
      </w:pPr>
      <w:r>
        <w:rPr>
          <w:rStyle w:val="FootnoteReference"/>
        </w:rPr>
        <w:footnoteRef/>
      </w:r>
      <w:r>
        <w:rPr>
          <w:vertAlign w:val="superscript"/>
        </w:rPr>
        <w:t xml:space="preserve"> </w:t>
      </w:r>
      <w:r>
        <w:tab/>
        <w:t xml:space="preserve">Vt kohtuotsus, Euroopa Liidu Kohus, 24. juuni 2019, komisjon </w:t>
      </w:r>
      <w:r>
        <w:rPr>
          <w:i/>
          <w:iCs/>
        </w:rPr>
        <w:t>vs</w:t>
      </w:r>
      <w:r>
        <w:t>. Poola, C-619/18, ECLI:EU:C:2019:531, punkt 77; ning 25. juuli 2018</w:t>
      </w:r>
      <w:r>
        <w:rPr>
          <w:i/>
          <w:iCs/>
        </w:rPr>
        <w:t xml:space="preserve">, LM, </w:t>
      </w:r>
      <w:r>
        <w:t>C-216/18 PPU, ECLI:EU:C:2018:586, punkt 67.</w:t>
      </w:r>
    </w:p>
  </w:footnote>
  <w:footnote w:id="101">
    <w:p>
      <w:pPr>
        <w:pStyle w:val="FootnoteText"/>
        <w:spacing w:before="60"/>
        <w:ind w:left="567" w:hanging="567"/>
      </w:pPr>
      <w:r>
        <w:rPr>
          <w:rStyle w:val="FootnoteReference"/>
        </w:rPr>
        <w:footnoteRef/>
      </w:r>
      <w:r>
        <w:t xml:space="preserve"> </w:t>
      </w:r>
      <w:r>
        <w:tab/>
        <w:t xml:space="preserve">Vt kohtuotsus, Euroopa Kohus, 5. juuli 2016, </w:t>
      </w:r>
      <w:r>
        <w:rPr>
          <w:i/>
          <w:iCs/>
        </w:rPr>
        <w:t>Ognyanov,</w:t>
      </w:r>
      <w:r>
        <w:t xml:space="preserve"> C-614/14, ECLI:EU:C:2016:514, punkt 17. Vt samuti kohtuotsus, Euroopa Liidu Kohus, 19. november 2019, A. K. jt (distsiplinaarkolleegiumi sõltumatus), C-585/18, C 624/18 ja C-625/18, ECLI:EU:C:2019:982, punkt 103.</w:t>
      </w:r>
    </w:p>
  </w:footnote>
  <w:footnote w:id="102">
    <w:p>
      <w:pPr>
        <w:pStyle w:val="FootnoteText"/>
        <w:spacing w:before="60"/>
        <w:ind w:left="567" w:hanging="567"/>
      </w:pPr>
      <w:r>
        <w:rPr>
          <w:rStyle w:val="FootnoteReference"/>
        </w:rPr>
        <w:footnoteRef/>
      </w:r>
      <w:r>
        <w:t xml:space="preserve"> </w:t>
      </w:r>
      <w:r>
        <w:tab/>
        <w:t xml:space="preserve">Vt kohtuotsus, Euroopa Kohus, 5. juuli 2016, </w:t>
      </w:r>
      <w:r>
        <w:rPr>
          <w:i/>
          <w:iCs/>
        </w:rPr>
        <w:t>Ognyanov,</w:t>
      </w:r>
      <w:r>
        <w:t xml:space="preserve"> C-614/14, ECLI:EU:C:2016:514, punkt 25. </w:t>
      </w:r>
    </w:p>
  </w:footnote>
  <w:footnote w:id="103">
    <w:p>
      <w:pPr>
        <w:pStyle w:val="FootnoteText"/>
        <w:spacing w:before="60"/>
        <w:ind w:left="567" w:hanging="567"/>
      </w:pPr>
      <w:r>
        <w:rPr>
          <w:rStyle w:val="FootnoteReference"/>
        </w:rPr>
        <w:footnoteRef/>
      </w:r>
      <w:r>
        <w:t xml:space="preserve"> </w:t>
      </w:r>
      <w:r>
        <w:tab/>
        <w:t xml:space="preserve">Vt kohtumäärus, Euroopa Kohus, 12. veebruar 2019, </w:t>
      </w:r>
      <w:r>
        <w:rPr>
          <w:i/>
          <w:iCs/>
        </w:rPr>
        <w:t>RH</w:t>
      </w:r>
      <w:r>
        <w:t>, C-8/19, ECLI:EU:C:2019:110, punkt 47.</w:t>
      </w:r>
    </w:p>
  </w:footnote>
  <w:footnote w:id="104">
    <w:p>
      <w:pPr>
        <w:pStyle w:val="FootnoteText"/>
        <w:spacing w:before="60"/>
        <w:ind w:left="567" w:hanging="567"/>
      </w:pPr>
      <w:r>
        <w:rPr>
          <w:rStyle w:val="FootnoteReference"/>
        </w:rPr>
        <w:footnoteRef/>
      </w:r>
      <w:r>
        <w:t xml:space="preserve"> </w:t>
      </w:r>
      <w:r>
        <w:tab/>
        <w:t>Soovitus CM/Rec(2010)12, punkt 69.</w:t>
      </w:r>
    </w:p>
  </w:footnote>
  <w:footnote w:id="105">
    <w:p>
      <w:pPr>
        <w:pStyle w:val="FootnoteText"/>
        <w:spacing w:before="60"/>
        <w:ind w:left="567" w:hanging="567"/>
      </w:pPr>
      <w:r>
        <w:rPr>
          <w:rStyle w:val="FootnoteReference"/>
        </w:rPr>
        <w:footnoteRef/>
      </w:r>
      <w:r>
        <w:t xml:space="preserve"> </w:t>
      </w:r>
      <w:r>
        <w:tab/>
        <w:t>Soovitus CM/Rec(2010)12, punkt 66.</w:t>
      </w:r>
    </w:p>
  </w:footnote>
  <w:footnote w:id="106">
    <w:p>
      <w:pPr>
        <w:pStyle w:val="FootnoteText"/>
        <w:spacing w:before="60"/>
        <w:ind w:left="567" w:hanging="567"/>
        <w:rPr>
          <w:highlight w:val="yellow"/>
        </w:rPr>
      </w:pPr>
      <w:r>
        <w:rPr>
          <w:rStyle w:val="FootnoteReference"/>
        </w:rPr>
        <w:footnoteRef/>
      </w:r>
      <w:r>
        <w:rPr>
          <w:vertAlign w:val="superscript"/>
        </w:rPr>
        <w:t xml:space="preserve"> </w:t>
      </w:r>
      <w:r>
        <w:tab/>
        <w:t>Soovitus CM/Rec(2010)12, punkt 69.</w:t>
      </w:r>
    </w:p>
  </w:footnote>
  <w:footnote w:id="107">
    <w:p>
      <w:pPr>
        <w:pStyle w:val="FootnoteText"/>
        <w:spacing w:before="60"/>
        <w:ind w:left="567" w:hanging="567"/>
        <w:rPr>
          <w:highlight w:val="yellow"/>
        </w:rPr>
      </w:pPr>
      <w:r>
        <w:rPr>
          <w:rStyle w:val="FootnoteReference"/>
        </w:rPr>
        <w:footnoteRef/>
      </w:r>
      <w:r>
        <w:rPr>
          <w:vertAlign w:val="superscript"/>
        </w:rPr>
        <w:t xml:space="preserve"> </w:t>
      </w:r>
      <w:r>
        <w:tab/>
        <w:t>Andmed on kogutud uuendatud küsimustiku kaudu, mille komisjon koostas tihedas koostöös Euroopa kohtute haldamise nõukodade võrgustikuga. Liikmesriikidelt, kus ei ole kohtute haldamise nõukodasid, kes ei ole Euroopa kohtute haldamise nõukodade võrgustiku liikmed või kelle liikmesus nimetatud võrgustikus on peatatud, saadi vastused uuendatud küsimustikule koostöös Euroopa Liidu ülemkohtute esimeeste võrgustikuga.</w:t>
      </w:r>
    </w:p>
  </w:footnote>
  <w:footnote w:id="108">
    <w:p>
      <w:pPr>
        <w:pStyle w:val="FootnoteText"/>
        <w:spacing w:before="60"/>
        <w:ind w:left="567" w:hanging="567"/>
      </w:pPr>
      <w:r>
        <w:rPr>
          <w:rStyle w:val="FootnoteReference"/>
        </w:rPr>
        <w:footnoteRef/>
      </w:r>
      <w:r>
        <w:t xml:space="preserve"> </w:t>
      </w:r>
      <w:r>
        <w:tab/>
        <w:t>Andmed on kogutud uuendatud küsimustiku kaudu, mille komisjon koostas tihedas koostöös Euroopa kohtute haldamise nõukodade võrgustikuga. Liikmesriikidelt, kus ei ole kohtute haldamise nõukodasid, kes ei ole Euroopa kohtute haldamise nõukodade võrgustiku liikmed või kelle liikmesus nimetatud võrgustikus on peatatud, saadi vastused uuendatud küsimustikule koostöös Euroopa Liidu ülemkohtute esimeeste võrgustikuga.</w:t>
      </w:r>
    </w:p>
  </w:footnote>
  <w:footnote w:id="109">
    <w:p>
      <w:pPr>
        <w:pStyle w:val="FootnoteText"/>
        <w:spacing w:before="60"/>
        <w:ind w:left="567" w:hanging="567"/>
      </w:pPr>
      <w:r>
        <w:rPr>
          <w:rStyle w:val="FootnoteReference"/>
        </w:rPr>
        <w:footnoteRef/>
      </w:r>
      <w:r>
        <w:t xml:space="preserve"> </w:t>
      </w:r>
      <w:r>
        <w:tab/>
        <w:t>Soovitus CM/Rec(2010)12, punkt 27; vt ka Euroopa Nõukogu 2016. aasta tegevuskava C osa punkt ii; Euroopa Kohtunike Konsultatiivnõukogu (CCJE) arvamus nr 10(2007) kõrgemast kohtute haldamise nõukojast ühiskonna teenistuses (teadmiseks Euroopa Nõukogu ministrite komiteele), punkt 27; ning Euroopa kohtute haldamise nõukodade võrgustiku 2010.–2011. aasta aruande „Councils for the Judiciary Report 2010–2011“ punkt 2.3.</w:t>
      </w:r>
    </w:p>
  </w:footnote>
  <w:footnote w:id="110">
    <w:p>
      <w:pPr>
        <w:pStyle w:val="FootnoteText"/>
        <w:spacing w:before="60"/>
        <w:ind w:left="567" w:hanging="567"/>
        <w:rPr>
          <w:highlight w:val="yellow"/>
        </w:rPr>
      </w:pPr>
      <w:r>
        <w:rPr>
          <w:rStyle w:val="FootnoteReference"/>
        </w:rPr>
        <w:footnoteRef/>
      </w:r>
      <w:r>
        <w:t xml:space="preserve"> </w:t>
      </w:r>
      <w:r>
        <w:tab/>
        <w:t>Andmed on kogutud uuendatud küsimustiku kaudu, mille komisjon koostas tihedas koostöös Euroopa kohtute haldamise nõukodade võrgustikuga. Liikmesriikidelt, kus ei ole kohtute haldamise nõukodasid, kes ei ole Euroopa kohtute haldamise nõukodade võrgustiku liikmed või kelle liikmesus nimetatud võrgustikus on peatatud, saadi vastused uuendatud küsimustikule koostöös Euroopa Liidu ülemkohtute esimeeste võrgustikuga.</w:t>
      </w:r>
    </w:p>
  </w:footnote>
  <w:footnote w:id="111">
    <w:p>
      <w:pPr>
        <w:pStyle w:val="FootnoteText"/>
        <w:spacing w:before="60"/>
        <w:ind w:left="567" w:hanging="567"/>
      </w:pPr>
      <w:r>
        <w:rPr>
          <w:rStyle w:val="FootnoteReference"/>
        </w:rPr>
        <w:footnoteRef/>
      </w:r>
      <w:r>
        <w:t xml:space="preserve"> </w:t>
      </w:r>
      <w:r>
        <w:tab/>
        <w:t>Kohtute haldamise nõukojad on sõltumatud organid, mis on loodud seadusega või vastavalt põhiseadusele ning mille eesmärk on tagada kohtute ja kohtunike sõltumatus, edendades sellega kohtusüsteemi tõhusat toimimist.</w:t>
      </w:r>
    </w:p>
  </w:footnote>
  <w:footnote w:id="112">
    <w:p>
      <w:pPr>
        <w:pStyle w:val="FootnoteText"/>
        <w:spacing w:before="60"/>
        <w:ind w:left="567" w:hanging="567"/>
      </w:pPr>
      <w:r>
        <w:rPr>
          <w:rStyle w:val="FootnoteReference"/>
        </w:rPr>
        <w:footnoteRef/>
      </w:r>
      <w:r>
        <w:t xml:space="preserve"> </w:t>
      </w:r>
      <w:r>
        <w:tab/>
      </w:r>
      <w:r>
        <w:rPr>
          <w:i/>
          <w:iCs/>
        </w:rPr>
        <w:t>Vt</w:t>
      </w:r>
      <w:r>
        <w:t xml:space="preserve"> ministrite komitee soovitus CM/Rec(2010)12 liikmesriikidele kohtunike kohta: kohtunike sõltumatus, nende töö tulemuslikkus ja nende vastutus, punktid 26–27.</w:t>
      </w:r>
    </w:p>
  </w:footnote>
  <w:footnote w:id="113">
    <w:p>
      <w:pPr>
        <w:pStyle w:val="FootnoteText"/>
        <w:spacing w:before="60"/>
        <w:ind w:left="567" w:hanging="567"/>
        <w:rPr>
          <w:highlight w:val="yellow"/>
        </w:rPr>
      </w:pPr>
      <w:r>
        <w:rPr>
          <w:rStyle w:val="FootnoteReference"/>
        </w:rPr>
        <w:footnoteRef/>
      </w:r>
      <w:r>
        <w:t xml:space="preserve"> </w:t>
      </w:r>
      <w:r>
        <w:tab/>
        <w:t>Nõukogu raamotsus 2002/584/JSK Euroopa vahistamismääruse ja liikmesriikidevahelise üleandmiskorra kohta (EÜT L 190, 18.7.2002, lk 1).</w:t>
      </w:r>
    </w:p>
  </w:footnote>
  <w:footnote w:id="114">
    <w:p>
      <w:pPr>
        <w:pStyle w:val="FootnoteText"/>
        <w:spacing w:before="60"/>
        <w:ind w:left="567" w:hanging="567"/>
        <w:rPr>
          <w:highlight w:val="yellow"/>
        </w:rPr>
      </w:pPr>
      <w:r>
        <w:rPr>
          <w:rStyle w:val="FootnoteReference"/>
        </w:rPr>
        <w:footnoteRef/>
      </w:r>
      <w:r>
        <w:t xml:space="preserve"> </w:t>
      </w:r>
      <w:r>
        <w:tab/>
        <w:t xml:space="preserve">Kohtuotsus, Euroopa Kohus, 27. mai 2019, </w:t>
      </w:r>
      <w:r>
        <w:rPr>
          <w:i/>
          <w:iCs/>
        </w:rPr>
        <w:t>OG ja PI (Lübecki ja Zwickau prokuratuur)</w:t>
      </w:r>
      <w:r>
        <w:t xml:space="preserve">, liidetud kohtuasjad C-508/18 ja C-82/19 PPU, punktid 73, 74 ja 88, ECLI:EU:C:2019:456; kohtuotsus, 27. mai 2019, C‑509/18, punkt 52, ECLI:EU:C:2019:457; vt ka kohtuotsused, 12. detsember 2019, </w:t>
      </w:r>
      <w:r>
        <w:rPr>
          <w:i/>
          <w:iCs/>
        </w:rPr>
        <w:t xml:space="preserve">Parquet général du Grand-Duché de Luxembourg and Openbaar Ministerie (Lyon ja Tours’i prokuratuur), </w:t>
      </w:r>
      <w:r>
        <w:t>liidetud kohtuasjad C-566/19 PPU ja C-626/19, ECLI:EU:C:2019:1077;</w:t>
      </w:r>
      <w:r>
        <w:rPr>
          <w:i/>
          <w:iCs/>
        </w:rPr>
        <w:t xml:space="preserve"> Openbaar Ministerie (Rootsi prokuratuur), </w:t>
      </w:r>
      <w:r>
        <w:t>C-625/19 PPU, ECLI:EU:C:2019:1078,</w:t>
      </w:r>
      <w:r>
        <w:rPr>
          <w:i/>
          <w:iCs/>
        </w:rPr>
        <w:t xml:space="preserve"> </w:t>
      </w:r>
      <w:r>
        <w:t>ja</w:t>
      </w:r>
      <w:r>
        <w:rPr>
          <w:i/>
          <w:iCs/>
        </w:rPr>
        <w:t xml:space="preserve"> Openbaar Ministerie (Brüsseli prokuratuur), </w:t>
      </w:r>
      <w:r>
        <w:t xml:space="preserve">C-627/19 PPU, ECLI:EU:C:2019:1079. Vt ka kohtuotsus, 10. november 2016, </w:t>
      </w:r>
      <w:r>
        <w:rPr>
          <w:i/>
          <w:iCs/>
        </w:rPr>
        <w:t xml:space="preserve">Kovalkovas, </w:t>
      </w:r>
      <w:r>
        <w:t xml:space="preserve">C-477/16 PPU, punktid 34 ja 36, ECLI:EU:C:2016:861 ja kohtuotsus, 10. november 2016, </w:t>
      </w:r>
      <w:r>
        <w:rPr>
          <w:i/>
          <w:iCs/>
        </w:rPr>
        <w:t xml:space="preserve">Poltorak, </w:t>
      </w:r>
      <w:r>
        <w:t>C-452/16 PPU, punkt 35, ECLI:EU:C:2016:858, mõiste „kohtuvõim“ kohta, „keda […] tuleb õigusriigi toimimist iseloomustava võimude lahususe põhimõtte kohaselt täitevvõimust eristada“. Vt ka Euroopa prokuröride konsultatiivkomitee (CCPE) arvamus nr 13(2018) prokuröride sõltumatusest, aruandluskohustusest ja eetikast, soovitus xii.</w:t>
      </w:r>
    </w:p>
  </w:footnote>
  <w:footnote w:id="115">
    <w:p>
      <w:pPr>
        <w:pStyle w:val="FootnoteText"/>
        <w:spacing w:before="60"/>
        <w:ind w:left="567" w:hanging="567"/>
      </w:pPr>
      <w:r>
        <w:rPr>
          <w:rStyle w:val="FootnoteReference"/>
        </w:rPr>
        <w:footnoteRef/>
      </w:r>
      <w:r>
        <w:t xml:space="preserve"> </w:t>
      </w:r>
      <w:r>
        <w:tab/>
        <w:t>Aruanne „Report on European Standards as regards the Independence of the Judicial System: Part II – the Prosecution Service“ (CDL-AD(2010)040-e), mille Veneetsia komisjon võttis vastu oma 85. täiskogu istungil Veneetsias 17.–18. detsembril 2010, punkt 26.</w:t>
      </w:r>
    </w:p>
  </w:footnote>
  <w:footnote w:id="116">
    <w:p>
      <w:pPr>
        <w:pStyle w:val="FootnoteText"/>
        <w:spacing w:before="60"/>
        <w:ind w:left="567" w:hanging="567"/>
      </w:pPr>
      <w:r>
        <w:rPr>
          <w:rStyle w:val="FootnoteReference"/>
        </w:rPr>
        <w:footnoteRef/>
      </w:r>
      <w:r>
        <w:t xml:space="preserve"> </w:t>
      </w:r>
      <w:r>
        <w:tab/>
        <w:t>Euroopa prokuröride konsultatiivkomitee (CCPE) arvamus nr 14(2019), Prokuröride roll võitluses korruptsiooni ning sellega seotud majandus- ja finantskuritegevusega, soovitus iii.</w:t>
      </w:r>
    </w:p>
  </w:footnote>
  <w:footnote w:id="117">
    <w:p>
      <w:pPr>
        <w:pStyle w:val="FootnoteText"/>
        <w:spacing w:before="60"/>
        <w:ind w:left="567" w:hanging="567"/>
      </w:pPr>
      <w:r>
        <w:rPr>
          <w:rStyle w:val="FootnoteReference"/>
        </w:rPr>
        <w:footnoteRef/>
      </w:r>
      <w:r>
        <w:rPr>
          <w:vertAlign w:val="superscript"/>
        </w:rPr>
        <w:t xml:space="preserve"> </w:t>
      </w:r>
      <w:r>
        <w:tab/>
        <w:t>Euroopa Nõukogu ministrite komitee 6. oktoobri 2000. aasta soovitus Rec(2000)19 prokuratuuri rolli kohta kriminaalõiguse süsteemides (edaspidi „2000. aasta soovitus), punkt 4.</w:t>
      </w:r>
    </w:p>
  </w:footnote>
  <w:footnote w:id="118">
    <w:p>
      <w:pPr>
        <w:pStyle w:val="FootnoteText"/>
        <w:spacing w:before="60"/>
        <w:ind w:left="567" w:hanging="567"/>
      </w:pPr>
      <w:r>
        <w:rPr>
          <w:rStyle w:val="FootnoteReference"/>
        </w:rPr>
        <w:footnoteRef/>
      </w:r>
      <w:r>
        <w:t xml:space="preserve"> </w:t>
      </w:r>
      <w:r>
        <w:tab/>
        <w:t>2000. aasta soovitus, punktid 11 ja 13. Vt ka: Euroopa prokuröride konsultatiivkomitee (CCPE) arvamus nr 13(2018) prokuröride sõltumatusest, aruandluskohustusest ja eetikast, soovitused i ja iii; riikide korruptsioonivastane ühendus (GRECO), neljas hindamisvoor „Korruptsiooni vältimine – parlamendiliikmed, kohtunikud ja prokurörid“, väga paljudes soovitustes palutakse võtta kasutusele kord, millega kaitsta prokuratuuri lubamatu mõju ja sekkumise eest kriminaalasjade uurimisse.</w:t>
      </w:r>
    </w:p>
  </w:footnote>
  <w:footnote w:id="119">
    <w:p>
      <w:pPr>
        <w:pStyle w:val="FootnoteText"/>
        <w:spacing w:before="60"/>
        <w:ind w:left="567" w:hanging="567"/>
      </w:pPr>
      <w:r>
        <w:rPr>
          <w:rStyle w:val="FootnoteReference"/>
        </w:rPr>
        <w:footnoteRef/>
      </w:r>
      <w:r>
        <w:t xml:space="preserve"> </w:t>
      </w:r>
      <w:r>
        <w:tab/>
        <w:t>2000. aasta soovitus, punkti 13 alapunkt c.</w:t>
      </w:r>
    </w:p>
  </w:footnote>
  <w:footnote w:id="120">
    <w:p>
      <w:pPr>
        <w:pStyle w:val="FootnoteText"/>
        <w:spacing w:before="60"/>
        <w:ind w:left="567" w:hanging="567"/>
      </w:pPr>
      <w:r>
        <w:rPr>
          <w:rStyle w:val="FootnoteReference"/>
        </w:rPr>
        <w:footnoteRef/>
      </w:r>
      <w:r>
        <w:t xml:space="preserve"> </w:t>
      </w:r>
      <w:r>
        <w:tab/>
        <w:t>2000. aasta soovitus, punkti 13 alapunkt d.</w:t>
      </w:r>
    </w:p>
  </w:footnote>
  <w:footnote w:id="121">
    <w:p>
      <w:pPr>
        <w:pStyle w:val="FootnoteText"/>
        <w:spacing w:before="60"/>
        <w:ind w:left="567" w:hanging="567"/>
      </w:pPr>
      <w:r>
        <w:rPr>
          <w:rStyle w:val="FootnoteReference"/>
        </w:rPr>
        <w:footnoteRef/>
      </w:r>
      <w:r>
        <w:t xml:space="preserve"> </w:t>
      </w:r>
      <w:r>
        <w:tab/>
        <w:t>2000. aasta soovitus, punkti 13 alapunkt f. Vt ka Euroopa prokuröride konsultatiivkomitee (CCPE) arvamus nr 13(2018) prokuröride sõltumatusest, aruandluskohustusest ja eetikast, soovitus iv.</w:t>
      </w:r>
    </w:p>
  </w:footnote>
  <w:footnote w:id="122">
    <w:p>
      <w:pPr>
        <w:pStyle w:val="FootnoteText"/>
        <w:spacing w:before="60"/>
        <w:ind w:left="567" w:hanging="567"/>
      </w:pPr>
      <w:r>
        <w:rPr>
          <w:rStyle w:val="FootnoteReference"/>
        </w:rPr>
        <w:footnoteRef/>
      </w:r>
      <w:r>
        <w:t xml:space="preserve"> </w:t>
      </w:r>
      <w:r>
        <w:tab/>
        <w:t>2000. aasta soovitus, punkt 34.</w:t>
      </w:r>
    </w:p>
  </w:footnote>
  <w:footnote w:id="123">
    <w:p>
      <w:pPr>
        <w:pStyle w:val="FootnoteText"/>
        <w:spacing w:before="60"/>
        <w:ind w:left="567" w:hanging="567"/>
      </w:pPr>
      <w:r>
        <w:rPr>
          <w:rStyle w:val="FootnoteReference"/>
        </w:rPr>
        <w:footnoteRef/>
      </w:r>
      <w:r>
        <w:t xml:space="preserve"> </w:t>
      </w:r>
      <w:r>
        <w:tab/>
        <w:t xml:space="preserve">2000. aasta soovitus, punkti 5 alapunkt f. </w:t>
      </w:r>
    </w:p>
  </w:footnote>
  <w:footnote w:id="124">
    <w:p>
      <w:pPr>
        <w:pStyle w:val="FootnoteText"/>
        <w:spacing w:before="60"/>
        <w:ind w:left="567" w:hanging="567"/>
      </w:pPr>
      <w:r>
        <w:rPr>
          <w:rStyle w:val="FootnoteReference"/>
        </w:rPr>
        <w:footnoteRef/>
      </w:r>
      <w:r>
        <w:t xml:space="preserve"> </w:t>
      </w:r>
      <w:r>
        <w:tab/>
        <w:t>Vt 2000. aasta soovitus, punkti 13 alapunktid d–e.</w:t>
      </w:r>
    </w:p>
  </w:footnote>
  <w:footnote w:id="125">
    <w:p>
      <w:pPr>
        <w:pStyle w:val="FootnoteText"/>
        <w:spacing w:before="60"/>
        <w:ind w:left="567" w:hanging="567"/>
      </w:pPr>
      <w:r>
        <w:rPr>
          <w:rStyle w:val="FootnoteReference"/>
        </w:rPr>
        <w:footnoteRef/>
      </w:r>
      <w:r>
        <w:rPr>
          <w:vertAlign w:val="superscript"/>
        </w:rPr>
        <w:t xml:space="preserve"> </w:t>
      </w:r>
      <w:r>
        <w:tab/>
        <w:t>Vt joonealune märkus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F4C26AE"/>
    <w:lvl w:ilvl="0">
      <w:start w:val="1"/>
      <w:numFmt w:val="decimal"/>
      <w:pStyle w:val="ListNumber"/>
      <w:lvlText w:val="%1."/>
      <w:lvlJc w:val="left"/>
      <w:pPr>
        <w:tabs>
          <w:tab w:val="num" w:pos="360"/>
        </w:tabs>
        <w:ind w:left="360" w:hanging="360"/>
      </w:pPr>
    </w:lvl>
  </w:abstractNum>
  <w:abstractNum w:abstractNumId="1">
    <w:nsid w:val="21D942FB"/>
    <w:multiLevelType w:val="hybridMultilevel"/>
    <w:tmpl w:val="1224747C"/>
    <w:lvl w:ilvl="0" w:tplc="08090001">
      <w:start w:val="1"/>
      <w:numFmt w:val="bullet"/>
      <w:lvlText w:val=""/>
      <w:lvlJc w:val="left"/>
      <w:pPr>
        <w:ind w:left="360" w:hanging="360"/>
      </w:pPr>
      <w:rPr>
        <w:rFonts w:ascii="Symbol" w:hAnsi="Symbol" w:hint="default"/>
      </w:rPr>
    </w:lvl>
    <w:lvl w:ilvl="1" w:tplc="8ED02318">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C32276D"/>
    <w:multiLevelType w:val="hybridMultilevel"/>
    <w:tmpl w:val="6DF83F9A"/>
    <w:lvl w:ilvl="0" w:tplc="08090001">
      <w:start w:val="1"/>
      <w:numFmt w:val="bullet"/>
      <w:lvlText w:val=""/>
      <w:lvlJc w:val="left"/>
      <w:pPr>
        <w:ind w:left="400" w:hanging="360"/>
      </w:pPr>
      <w:rPr>
        <w:rFonts w:ascii="Symbol" w:hAnsi="Symbol" w:hint="default"/>
      </w:rPr>
    </w:lvl>
    <w:lvl w:ilvl="1" w:tplc="8ED02318">
      <w:start w:val="1"/>
      <w:numFmt w:val="bullet"/>
      <w:lvlText w:val=""/>
      <w:lvlJc w:val="left"/>
      <w:pPr>
        <w:ind w:left="1120" w:hanging="360"/>
      </w:pPr>
      <w:rPr>
        <w:rFonts w:ascii="Symbol" w:hAnsi="Symbol" w:hint="default"/>
      </w:rPr>
    </w:lvl>
    <w:lvl w:ilvl="2" w:tplc="08090005">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3">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nsid w:val="44C462E3"/>
    <w:multiLevelType w:val="hybridMultilevel"/>
    <w:tmpl w:val="70F0495E"/>
    <w:lvl w:ilvl="0" w:tplc="26FA8F42">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AFC5A06"/>
    <w:multiLevelType w:val="hybridMultilevel"/>
    <w:tmpl w:val="C7827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B4F3F9F"/>
    <w:multiLevelType w:val="hybridMultilevel"/>
    <w:tmpl w:val="0C00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
    <w:nsid w:val="64A12FA4"/>
    <w:multiLevelType w:val="multilevel"/>
    <w:tmpl w:val="5450F6CA"/>
    <w:lvl w:ilvl="0">
      <w:start w:val="1"/>
      <w:numFmt w:val="decimal"/>
      <w:lvlRestart w:val="0"/>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708"/>
        </w:tabs>
        <w:ind w:left="708" w:hanging="850"/>
      </w:pPr>
      <w:rPr>
        <w:rFonts w:hint="default"/>
      </w:rPr>
    </w:lvl>
    <w:lvl w:ilvl="2">
      <w:start w:val="1"/>
      <w:numFmt w:val="decimal"/>
      <w:pStyle w:val="Heading3"/>
      <w:lvlText w:val="%1.%2.%3."/>
      <w:lvlJc w:val="left"/>
      <w:pPr>
        <w:tabs>
          <w:tab w:val="num" w:pos="708"/>
        </w:tabs>
        <w:ind w:left="708" w:hanging="850"/>
      </w:pPr>
      <w:rPr>
        <w:rFonts w:hint="default"/>
      </w:rPr>
    </w:lvl>
    <w:lvl w:ilvl="3">
      <w:start w:val="1"/>
      <w:numFmt w:val="decimal"/>
      <w:pStyle w:val="Heading4"/>
      <w:lvlText w:val="%1.%2.%3.%4."/>
      <w:lvlJc w:val="left"/>
      <w:pPr>
        <w:tabs>
          <w:tab w:val="num" w:pos="708"/>
        </w:tabs>
        <w:ind w:left="708" w:hanging="850"/>
      </w:pPr>
      <w:rPr>
        <w:rFonts w:hint="default"/>
      </w:rPr>
    </w:lvl>
    <w:lvl w:ilvl="4">
      <w:start w:val="1"/>
      <w:numFmt w:val="lowerLetter"/>
      <w:lvlText w:val="(%5)"/>
      <w:lvlJc w:val="left"/>
      <w:pPr>
        <w:tabs>
          <w:tab w:val="num" w:pos="1658"/>
        </w:tabs>
        <w:ind w:left="1658" w:hanging="360"/>
      </w:pPr>
      <w:rPr>
        <w:rFonts w:hint="default"/>
      </w:rPr>
    </w:lvl>
    <w:lvl w:ilvl="5">
      <w:start w:val="1"/>
      <w:numFmt w:val="lowerRoman"/>
      <w:lvlText w:val="(%6)"/>
      <w:lvlJc w:val="left"/>
      <w:pPr>
        <w:tabs>
          <w:tab w:val="num" w:pos="2018"/>
        </w:tabs>
        <w:ind w:left="2018" w:hanging="360"/>
      </w:pPr>
      <w:rPr>
        <w:rFonts w:hint="default"/>
      </w:rPr>
    </w:lvl>
    <w:lvl w:ilvl="6">
      <w:start w:val="1"/>
      <w:numFmt w:val="decimal"/>
      <w:lvlText w:val="%7."/>
      <w:lvlJc w:val="left"/>
      <w:pPr>
        <w:tabs>
          <w:tab w:val="num" w:pos="2378"/>
        </w:tabs>
        <w:ind w:left="2378" w:hanging="360"/>
      </w:pPr>
      <w:rPr>
        <w:rFonts w:hint="default"/>
      </w:rPr>
    </w:lvl>
    <w:lvl w:ilvl="7">
      <w:start w:val="1"/>
      <w:numFmt w:val="lowerLetter"/>
      <w:lvlText w:val="%8."/>
      <w:lvlJc w:val="left"/>
      <w:pPr>
        <w:tabs>
          <w:tab w:val="num" w:pos="2738"/>
        </w:tabs>
        <w:ind w:left="2738" w:hanging="360"/>
      </w:pPr>
      <w:rPr>
        <w:rFonts w:hint="default"/>
      </w:rPr>
    </w:lvl>
    <w:lvl w:ilvl="8">
      <w:start w:val="1"/>
      <w:numFmt w:val="lowerRoman"/>
      <w:lvlText w:val="%9."/>
      <w:lvlJc w:val="left"/>
      <w:pPr>
        <w:tabs>
          <w:tab w:val="num" w:pos="3098"/>
        </w:tabs>
        <w:ind w:left="3098" w:hanging="360"/>
      </w:pPr>
      <w:rPr>
        <w:rFonts w:hint="default"/>
      </w:rPr>
    </w:lvl>
  </w:abstractNum>
  <w:abstractNum w:abstractNumId="10">
    <w:nsid w:val="73DB7250"/>
    <w:multiLevelType w:val="hybridMultilevel"/>
    <w:tmpl w:val="8E142830"/>
    <w:lvl w:ilvl="0" w:tplc="8ED0231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0"/>
  </w:num>
  <w:num w:numId="5">
    <w:abstractNumId w:val="5"/>
  </w:num>
  <w:num w:numId="6">
    <w:abstractNumId w:val="10"/>
  </w:num>
  <w:num w:numId="7">
    <w:abstractNumId w:val="2"/>
  </w:num>
  <w:num w:numId="8">
    <w:abstractNumId w:val="1"/>
  </w:num>
  <w:num w:numId="9">
    <w:abstractNumId w:val="6"/>
  </w:num>
  <w:num w:numId="10">
    <w:abstractNumId w:val="7"/>
  </w:num>
  <w:num w:numId="11">
    <w:abstractNumId w:val="3"/>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27B1D40-7FC3-4FAD-8B1C-80D607F1C0C2"/>
    <w:docVar w:name="LW_COVERPAGE_TYPE" w:val="1"/>
    <w:docVar w:name="LW_CROSSREFERENCE" w:val="&lt;UNUSED&gt;"/>
    <w:docVar w:name="LW_DocType" w:val="NORMAL"/>
    <w:docVar w:name="LW_EMISSION" w:val="10.7.2020"/>
    <w:docVar w:name="LW_EMISSION_ISODATE" w:val="2020-07-10"/>
    <w:docVar w:name="LW_EMISSION_LOCATION" w:val="BRX"/>
    <w:docVar w:name="LW_EMISSION_PREFIX" w:val="Brüssel,"/>
    <w:docVar w:name="LW_EMISSION_SUFFIX" w:val=" "/>
    <w:docVar w:name="LW_ID_DOCTYPE_NONLW" w:val="CP-035"/>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3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2020. aasta ELi õigusemõistmise tulemustabel"/>
    <w:docVar w:name="LW_TYPE.DOC.CP" w:val="KOMISJONI TEATIS EUROOPA PARLAMENDILE, NÕUKOGULE, EUROOPA KESKPANGALE, EUROOPA MAJANDUS- JA SOTSIAALKOMITEELE NING REGIOONIDE KOMITEE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Text1"/>
    <w:link w:val="Heading1Char"/>
    <w:qFormat/>
    <w:pPr>
      <w:keepNext/>
      <w:numPr>
        <w:numId w:val="3"/>
      </w:numPr>
      <w:spacing w:before="360" w:after="120" w:line="240" w:lineRule="auto"/>
      <w:jc w:val="both"/>
      <w:outlineLvl w:val="0"/>
    </w:pPr>
    <w:rPr>
      <w:rFonts w:ascii="Times New Roman" w:eastAsia="Times New Roman" w:hAnsi="Times New Roman" w:cs="Times New Roman"/>
      <w:b/>
      <w:bCs/>
      <w:smallCaps/>
      <w:noProof w:val="0"/>
      <w:sz w:val="24"/>
      <w:szCs w:val="32"/>
    </w:rPr>
  </w:style>
  <w:style w:type="paragraph" w:styleId="Heading2">
    <w:name w:val="heading 2"/>
    <w:basedOn w:val="Normal"/>
    <w:next w:val="Text1"/>
    <w:link w:val="Heading2Char"/>
    <w:qFormat/>
    <w:pPr>
      <w:keepNext/>
      <w:numPr>
        <w:ilvl w:val="1"/>
        <w:numId w:val="3"/>
      </w:numPr>
      <w:spacing w:before="120" w:after="120" w:line="240" w:lineRule="auto"/>
      <w:jc w:val="both"/>
      <w:outlineLvl w:val="1"/>
    </w:pPr>
    <w:rPr>
      <w:rFonts w:ascii="Times New Roman" w:eastAsia="Times New Roman" w:hAnsi="Times New Roman" w:cs="Times New Roman"/>
      <w:b/>
      <w:bCs/>
      <w:iCs/>
      <w:noProof w:val="0"/>
      <w:sz w:val="24"/>
      <w:szCs w:val="28"/>
    </w:rPr>
  </w:style>
  <w:style w:type="paragraph" w:styleId="Heading3">
    <w:name w:val="heading 3"/>
    <w:basedOn w:val="Normal"/>
    <w:next w:val="Text1"/>
    <w:link w:val="Heading3Char"/>
    <w:qFormat/>
    <w:pPr>
      <w:keepNext/>
      <w:numPr>
        <w:ilvl w:val="2"/>
        <w:numId w:val="3"/>
      </w:numPr>
      <w:spacing w:before="120" w:after="120" w:line="240" w:lineRule="auto"/>
      <w:jc w:val="both"/>
      <w:outlineLvl w:val="2"/>
    </w:pPr>
    <w:rPr>
      <w:rFonts w:ascii="Times New Roman" w:eastAsia="Times New Roman" w:hAnsi="Times New Roman" w:cs="Times New Roman"/>
      <w:b/>
      <w:bCs/>
      <w:noProof w:val="0"/>
      <w:sz w:val="24"/>
      <w:szCs w:val="26"/>
    </w:rPr>
  </w:style>
  <w:style w:type="paragraph" w:styleId="Heading4">
    <w:name w:val="heading 4"/>
    <w:basedOn w:val="Normal"/>
    <w:next w:val="Text1"/>
    <w:link w:val="Heading4Char"/>
    <w:qFormat/>
    <w:pPr>
      <w:keepNext/>
      <w:numPr>
        <w:ilvl w:val="3"/>
        <w:numId w:val="3"/>
      </w:numPr>
      <w:spacing w:before="120" w:after="120" w:line="240" w:lineRule="auto"/>
      <w:jc w:val="both"/>
      <w:outlineLvl w:val="3"/>
    </w:pPr>
    <w:rPr>
      <w:rFonts w:ascii="Times New Roman" w:eastAsia="Times New Roman" w:hAnsi="Times New Roman" w:cs="Times New Roman"/>
      <w:bCs/>
      <w:noProof w:val="0"/>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noProof w:val="0"/>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noProof/>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noProof/>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noProof/>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noProof/>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noProof/>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noProof/>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noProof/>
      <w:sz w:val="28"/>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paragraph" w:styleId="FootnoteText">
    <w:name w:val="footnote text"/>
    <w:aliases w:val="Char,Fußnote,Carattere,fn,Footnotes,Footnote ak,Footnote Text Char Char,fn Char Char,footnote text Char Char,Footnotes Char Char,Footnote ak Char Char,fn Char1,footnote text Char1,Footnotes Char1,ft"/>
    <w:basedOn w:val="Normal"/>
    <w:link w:val="FootnoteTextChar"/>
    <w:uiPriority w:val="99"/>
    <w:pPr>
      <w:spacing w:after="0" w:line="240" w:lineRule="auto"/>
      <w:ind w:left="720" w:hanging="720"/>
      <w:jc w:val="both"/>
    </w:pPr>
    <w:rPr>
      <w:rFonts w:ascii="Times New Roman" w:eastAsia="Times New Roman" w:hAnsi="Times New Roman" w:cs="Times New Roman"/>
      <w:noProof w:val="0"/>
      <w:sz w:val="20"/>
      <w:szCs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aliases w:val="Footnote Reference Superscript,Footnote symbol,Footnote Reference Number,BVI fnr,Voetnootverwijzing,Footnote reference number,Times 10 Point,Exposant 3 Point,Ref,de nota al pie,note TESI,SUPERS,EN Footnote Reference"/>
    <w:uiPriority w:val="99"/>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noProof w:val="0"/>
      <w:sz w:val="24"/>
      <w:szCs w:val="24"/>
    </w:rPr>
  </w:style>
  <w:style w:type="paragraph" w:customStyle="1" w:styleId="Tiret0">
    <w:name w:val="Tiret 0"/>
    <w:basedOn w:val="Normal"/>
    <w:pPr>
      <w:numPr>
        <w:numId w:val="1"/>
      </w:numPr>
      <w:spacing w:before="120" w:after="120" w:line="240" w:lineRule="auto"/>
      <w:jc w:val="both"/>
    </w:pPr>
    <w:rPr>
      <w:rFonts w:ascii="Times New Roman" w:eastAsia="Times New Roman" w:hAnsi="Times New Roman" w:cs="Times New Roman"/>
      <w:noProof w:val="0"/>
      <w:sz w:val="24"/>
      <w:szCs w:val="24"/>
    </w:rPr>
  </w:style>
  <w:style w:type="paragraph" w:customStyle="1" w:styleId="Tiret1">
    <w:name w:val="Tiret 1"/>
    <w:basedOn w:val="Normal"/>
    <w:pPr>
      <w:numPr>
        <w:numId w:val="2"/>
      </w:numPr>
      <w:spacing w:before="120" w:after="120" w:line="240" w:lineRule="auto"/>
      <w:jc w:val="both"/>
    </w:pPr>
    <w:rPr>
      <w:rFonts w:ascii="Times New Roman" w:eastAsia="Times New Roman" w:hAnsi="Times New Roman" w:cs="Times New Roman"/>
      <w:noProof w:val="0"/>
      <w:sz w:val="24"/>
      <w:szCs w:val="24"/>
    </w:rPr>
  </w:style>
  <w:style w:type="paragraph" w:customStyle="1" w:styleId="ManualHeading1">
    <w:name w:val="Manual Heading 1"/>
    <w:basedOn w:val="Normal"/>
    <w:next w:val="Text1"/>
    <w:link w:val="ManualHeading1Char"/>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noProof w:val="0"/>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noProof w:val="0"/>
      <w:sz w:val="24"/>
      <w:szCs w:val="24"/>
    </w:rPr>
  </w:style>
  <w:style w:type="paragraph" w:styleId="Caption">
    <w:name w:val="caption"/>
    <w:basedOn w:val="Normal"/>
    <w:next w:val="Normal"/>
    <w:unhideWhenUsed/>
    <w:qFormat/>
    <w:pPr>
      <w:spacing w:before="120" w:after="120" w:line="240" w:lineRule="auto"/>
      <w:jc w:val="both"/>
    </w:pPr>
    <w:rPr>
      <w:rFonts w:ascii="Times New Roman" w:eastAsia="Times New Roman" w:hAnsi="Times New Roman" w:cs="Times New Roman"/>
      <w:b/>
      <w:bCs/>
      <w:noProof w:val="0"/>
      <w:sz w:val="20"/>
      <w:szCs w:val="20"/>
    </w:rPr>
  </w:style>
  <w:style w:type="paragraph" w:styleId="ListNumber">
    <w:name w:val="List Number"/>
    <w:basedOn w:val="Normal"/>
    <w:pPr>
      <w:numPr>
        <w:numId w:val="4"/>
      </w:numPr>
      <w:spacing w:before="120" w:after="120" w:line="240" w:lineRule="auto"/>
      <w:contextualSpacing/>
      <w:jc w:val="both"/>
    </w:pPr>
    <w:rPr>
      <w:rFonts w:ascii="Times New Roman" w:eastAsia="Times New Roman" w:hAnsi="Times New Roman" w:cs="Times New Roman"/>
      <w:noProof w:val="0"/>
      <w:sz w:val="24"/>
      <w:szCs w:val="24"/>
    </w:rPr>
  </w:style>
  <w:style w:type="character" w:styleId="Hyperlink">
    <w:name w:val="Hyperlink"/>
    <w:uiPriority w:val="99"/>
    <w:rPr>
      <w:color w:val="0000FF"/>
      <w:u w:val="single"/>
    </w:rPr>
  </w:style>
  <w:style w:type="paragraph" w:styleId="ListParagraph">
    <w:name w:val="List Paragraph"/>
    <w:basedOn w:val="Normal"/>
    <w:uiPriority w:val="34"/>
    <w:qFormat/>
    <w:pPr>
      <w:spacing w:before="120" w:after="360" w:line="240" w:lineRule="auto"/>
      <w:contextualSpacing/>
      <w:jc w:val="both"/>
    </w:pPr>
    <w:rPr>
      <w:rFonts w:ascii="Times New Roman" w:eastAsia="Times New Roman" w:hAnsi="Times New Roman" w:cs="Times New Roman"/>
      <w:b/>
      <w:noProof w:val="0"/>
      <w:sz w:val="24"/>
      <w:szCs w:val="24"/>
    </w:rPr>
  </w:style>
  <w:style w:type="character" w:customStyle="1" w:styleId="ManualHeading1Char">
    <w:name w:val="Manual Heading 1 Char"/>
    <w:link w:val="ManualHeading1"/>
    <w:rPr>
      <w:rFonts w:ascii="Times New Roman" w:eastAsia="Times New Roman" w:hAnsi="Times New Roman" w:cs="Times New Roman"/>
      <w:b/>
      <w:smallCaps/>
      <w:sz w:val="24"/>
      <w:szCs w:val="24"/>
    </w:rPr>
  </w:style>
  <w:style w:type="paragraph" w:customStyle="1" w:styleId="Typedudocument">
    <w:name w:val="Type du document"/>
    <w:basedOn w:val="Normal"/>
    <w:next w:val="Normal"/>
    <w:pPr>
      <w:spacing w:before="360" w:after="0" w:line="240" w:lineRule="auto"/>
      <w:jc w:val="center"/>
    </w:pPr>
    <w:rPr>
      <w:rFonts w:ascii="Times New Roman" w:eastAsia="Times New Roman" w:hAnsi="Times New Roman" w:cs="Times New Roman"/>
      <w:b/>
      <w:noProof w:val="0"/>
      <w:sz w:val="24"/>
      <w:szCs w:val="24"/>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noProof w:val="0"/>
      <w:sz w:val="24"/>
      <w:szCs w:val="24"/>
    </w:rPr>
  </w:style>
  <w:style w:type="paragraph" w:styleId="BalloonText">
    <w:name w:val="Balloon Text"/>
    <w:basedOn w:val="Normal"/>
    <w:link w:val="BalloonTextChar"/>
    <w:uiPriority w:val="99"/>
    <w:semiHidden/>
    <w:unhideWhenUsed/>
    <w:pPr>
      <w:spacing w:after="0" w:line="240" w:lineRule="auto"/>
    </w:pPr>
    <w:rPr>
      <w:rFonts w:ascii="Tahoma" w:eastAsia="Calibri" w:hAnsi="Tahoma" w:cs="Tahoma"/>
      <w:noProof w:val="0"/>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Revision">
    <w:name w:val="Revision"/>
    <w:hidden/>
    <w:uiPriority w:val="99"/>
    <w:semiHidden/>
    <w:pPr>
      <w:spacing w:after="0" w:line="240" w:lineRule="auto"/>
    </w:pPr>
    <w:rPr>
      <w:rFonts w:ascii="Calibri" w:eastAsia="Calibri" w:hAnsi="Calibri" w:cs="Times New Roman"/>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rFonts w:ascii="Times New Roman" w:eastAsia="Calibri" w:hAnsi="Times New Roman" w:cs="Times New Roman"/>
      <w:noProof w:val="0"/>
      <w:sz w:val="20"/>
      <w:szCs w:val="20"/>
    </w:rPr>
  </w:style>
  <w:style w:type="character" w:customStyle="1" w:styleId="CommentTextChar">
    <w:name w:val="Comment Text Char"/>
    <w:basedOn w:val="DefaultParagraphFont"/>
    <w:link w:val="CommentText"/>
    <w:uiPriority w:val="99"/>
    <w:semiHidden/>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rPr>
  </w:style>
  <w:style w:type="character" w:styleId="FollowedHyperlink">
    <w:name w:val="FollowedHyperlink"/>
    <w:uiPriority w:val="99"/>
    <w:semiHidden/>
    <w:unhideWhenUsed/>
    <w:rPr>
      <w:color w:val="954F72"/>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paragraph" w:customStyle="1" w:styleId="Pa9">
    <w:name w:val="Pa9"/>
    <w:basedOn w:val="Normal"/>
    <w:next w:val="Normal"/>
    <w:uiPriority w:val="99"/>
    <w:pPr>
      <w:autoSpaceDE w:val="0"/>
      <w:autoSpaceDN w:val="0"/>
      <w:adjustRightInd w:val="0"/>
      <w:spacing w:after="0" w:line="241" w:lineRule="atLeast"/>
    </w:pPr>
    <w:rPr>
      <w:rFonts w:ascii="Helvetica Neue" w:eastAsia="Calibri" w:hAnsi="Helvetica Neue" w:cs="Times New Roman"/>
      <w:noProof w:val="0"/>
      <w:sz w:val="24"/>
      <w:szCs w:val="24"/>
      <w:lang w:eastAsia="en-GB"/>
    </w:rPr>
  </w:style>
  <w:style w:type="character" w:customStyle="1" w:styleId="A4">
    <w:name w:val="A4"/>
    <w:uiPriority w:val="99"/>
    <w:rPr>
      <w:rFonts w:cs="Helvetica Neue"/>
      <w:color w:val="000000"/>
      <w:sz w:val="18"/>
      <w:szCs w:val="18"/>
    </w:rPr>
  </w:style>
  <w:style w:type="paragraph" w:styleId="NoSpacing">
    <w:name w:val="No Spacing"/>
    <w:uiPriority w:val="1"/>
    <w:qFormat/>
    <w:pPr>
      <w:spacing w:after="0" w:line="240" w:lineRule="auto"/>
    </w:pPr>
    <w:rPr>
      <w:rFonts w:ascii="Calibri" w:eastAsia="Calibri" w:hAnsi="Calibri" w:cs="Times New Roman"/>
    </w:rPr>
  </w:style>
  <w:style w:type="paragraph" w:styleId="TOCHeading">
    <w:name w:val="TOC Heading"/>
    <w:basedOn w:val="Heading1"/>
    <w:next w:val="Normal"/>
    <w:uiPriority w:val="39"/>
    <w:semiHidden/>
    <w:unhideWhenUsed/>
    <w:qFormat/>
    <w:pPr>
      <w:keepLines/>
      <w:numPr>
        <w:numId w:val="0"/>
      </w:numPr>
      <w:spacing w:before="480" w:after="0" w:line="276" w:lineRule="auto"/>
      <w:jc w:val="left"/>
      <w:outlineLvl w:val="9"/>
    </w:pPr>
    <w:rPr>
      <w:rFonts w:ascii="Cambria" w:eastAsia="MS Gothic" w:hAnsi="Cambria"/>
      <w:smallCaps w:val="0"/>
      <w:color w:val="365F91"/>
      <w:sz w:val="28"/>
      <w:szCs w:val="28"/>
      <w:lang w:eastAsia="ja-JP"/>
    </w:rPr>
  </w:style>
  <w:style w:type="paragraph" w:styleId="TOC1">
    <w:name w:val="toc 1"/>
    <w:basedOn w:val="Normal"/>
    <w:next w:val="Normal"/>
    <w:autoRedefine/>
    <w:uiPriority w:val="39"/>
    <w:unhideWhenUsed/>
    <w:pPr>
      <w:tabs>
        <w:tab w:val="left" w:pos="426"/>
        <w:tab w:val="right" w:leader="dot" w:pos="9403"/>
      </w:tabs>
    </w:pPr>
    <w:rPr>
      <w:rFonts w:ascii="Times New Roman" w:eastAsia="Calibri" w:hAnsi="Times New Roman" w:cs="Times New Roman"/>
      <w:noProof w:val="0"/>
    </w:rPr>
  </w:style>
  <w:style w:type="paragraph" w:styleId="TOC2">
    <w:name w:val="toc 2"/>
    <w:basedOn w:val="Normal"/>
    <w:next w:val="Normal"/>
    <w:autoRedefine/>
    <w:uiPriority w:val="39"/>
    <w:unhideWhenUsed/>
    <w:pPr>
      <w:ind w:left="220"/>
    </w:pPr>
    <w:rPr>
      <w:rFonts w:ascii="Times New Roman" w:eastAsia="Calibri" w:hAnsi="Times New Roman" w:cs="Times New Roman"/>
      <w:noProof w:val="0"/>
    </w:rPr>
  </w:style>
  <w:style w:type="paragraph" w:styleId="TOC3">
    <w:name w:val="toc 3"/>
    <w:basedOn w:val="Normal"/>
    <w:next w:val="Normal"/>
    <w:autoRedefine/>
    <w:uiPriority w:val="39"/>
    <w:unhideWhenUsed/>
    <w:pPr>
      <w:ind w:left="440"/>
    </w:pPr>
    <w:rPr>
      <w:rFonts w:ascii="Times New Roman" w:eastAsia="Calibri" w:hAnsi="Times New Roman" w:cs="Times New Roman"/>
      <w:noProof w:val="0"/>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Text0">
    <w:name w:val="Text 0"/>
    <w:basedOn w:val="Text1"/>
    <w:pPr>
      <w:ind w:left="0"/>
    </w:pPr>
  </w:style>
  <w:style w:type="paragraph" w:styleId="EndnoteText">
    <w:name w:val="endnote text"/>
    <w:basedOn w:val="Normal"/>
    <w:link w:val="EndnoteTextChar"/>
    <w:uiPriority w:val="99"/>
    <w:semiHidden/>
    <w:unhideWhenUsed/>
    <w:pPr>
      <w:spacing w:after="0" w:line="240" w:lineRule="auto"/>
    </w:pPr>
    <w:rPr>
      <w:rFonts w:ascii="Times New Roman" w:eastAsia="Calibri" w:hAnsi="Times New Roman" w:cs="Times New Roman"/>
      <w:noProof w:val="0"/>
      <w:sz w:val="20"/>
      <w:szCs w:val="20"/>
    </w:rPr>
  </w:style>
  <w:style w:type="character" w:customStyle="1" w:styleId="EndnoteTextChar">
    <w:name w:val="Endnote Text Char"/>
    <w:basedOn w:val="DefaultParagraphFont"/>
    <w:link w:val="EndnoteText"/>
    <w:uiPriority w:val="99"/>
    <w:semiHidden/>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classification">
    <w:name w:val="Declassification"/>
    <w:basedOn w:val="Normal"/>
    <w:next w:val="Normal"/>
    <w:pPr>
      <w:spacing w:after="0" w:line="240" w:lineRule="auto"/>
      <w:jc w:val="both"/>
    </w:pPr>
    <w:rPr>
      <w:rFonts w:ascii="Times New Roman" w:hAnsi="Times New Roman" w:cs="Times New Roman"/>
      <w:noProof w:val="0"/>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noProof w:val="0"/>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noProof w:val="0"/>
      <w:sz w:val="24"/>
    </w:rPr>
  </w:style>
  <w:style w:type="paragraph" w:customStyle="1" w:styleId="SecurityMarking">
    <w:name w:val="SecurityMarking"/>
    <w:basedOn w:val="Normal"/>
    <w:pPr>
      <w:spacing w:after="0"/>
      <w:ind w:left="5103"/>
    </w:pPr>
    <w:rPr>
      <w:rFonts w:ascii="Times New Roman" w:hAnsi="Times New Roman" w:cs="Times New Roman"/>
      <w:noProof w:val="0"/>
      <w:sz w:val="28"/>
    </w:rPr>
  </w:style>
  <w:style w:type="paragraph" w:customStyle="1" w:styleId="DateMarking">
    <w:name w:val="DateMarking"/>
    <w:basedOn w:val="Normal"/>
    <w:pPr>
      <w:spacing w:after="0"/>
      <w:ind w:left="5103"/>
    </w:pPr>
    <w:rPr>
      <w:rFonts w:ascii="Times New Roman" w:hAnsi="Times New Roman" w:cs="Times New Roman"/>
      <w:i/>
      <w:noProof w:val="0"/>
      <w:sz w:val="28"/>
    </w:rPr>
  </w:style>
  <w:style w:type="paragraph" w:customStyle="1" w:styleId="ReleasableTo">
    <w:name w:val="ReleasableTo"/>
    <w:basedOn w:val="Normal"/>
    <w:pPr>
      <w:spacing w:after="0"/>
      <w:ind w:left="5103"/>
    </w:pPr>
    <w:rPr>
      <w:rFonts w:ascii="Times New Roman" w:hAnsi="Times New Roman" w:cs="Times New Roman"/>
      <w:i/>
      <w:noProof w:val="0"/>
      <w:sz w:val="28"/>
    </w:rPr>
  </w:style>
  <w:style w:type="paragraph" w:customStyle="1" w:styleId="LegalNumPar">
    <w:name w:val="LegalNumPar"/>
    <w:basedOn w:val="Normal"/>
    <w:pPr>
      <w:numPr>
        <w:numId w:val="11"/>
      </w:numPr>
      <w:spacing w:line="360" w:lineRule="auto"/>
    </w:pPr>
    <w:rPr>
      <w:sz w:val="24"/>
    </w:rPr>
  </w:style>
  <w:style w:type="paragraph" w:customStyle="1" w:styleId="LegalNumPar2">
    <w:name w:val="LegalNumPar2"/>
    <w:basedOn w:val="Normal"/>
    <w:pPr>
      <w:numPr>
        <w:ilvl w:val="1"/>
        <w:numId w:val="11"/>
      </w:numPr>
      <w:spacing w:line="360" w:lineRule="auto"/>
    </w:pPr>
    <w:rPr>
      <w:sz w:val="24"/>
    </w:rPr>
  </w:style>
  <w:style w:type="paragraph" w:customStyle="1" w:styleId="LegalNumPar3">
    <w:name w:val="LegalNumPar3"/>
    <w:basedOn w:val="Normal"/>
    <w:pPr>
      <w:numPr>
        <w:ilvl w:val="2"/>
        <w:numId w:val="11"/>
      </w:numPr>
      <w:spacing w:line="24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Text1"/>
    <w:link w:val="Heading1Char"/>
    <w:qFormat/>
    <w:pPr>
      <w:keepNext/>
      <w:numPr>
        <w:numId w:val="3"/>
      </w:numPr>
      <w:spacing w:before="360" w:after="120" w:line="240" w:lineRule="auto"/>
      <w:jc w:val="both"/>
      <w:outlineLvl w:val="0"/>
    </w:pPr>
    <w:rPr>
      <w:rFonts w:ascii="Times New Roman" w:eastAsia="Times New Roman" w:hAnsi="Times New Roman" w:cs="Times New Roman"/>
      <w:b/>
      <w:bCs/>
      <w:smallCaps/>
      <w:noProof w:val="0"/>
      <w:sz w:val="24"/>
      <w:szCs w:val="32"/>
    </w:rPr>
  </w:style>
  <w:style w:type="paragraph" w:styleId="Heading2">
    <w:name w:val="heading 2"/>
    <w:basedOn w:val="Normal"/>
    <w:next w:val="Text1"/>
    <w:link w:val="Heading2Char"/>
    <w:qFormat/>
    <w:pPr>
      <w:keepNext/>
      <w:numPr>
        <w:ilvl w:val="1"/>
        <w:numId w:val="3"/>
      </w:numPr>
      <w:spacing w:before="120" w:after="120" w:line="240" w:lineRule="auto"/>
      <w:jc w:val="both"/>
      <w:outlineLvl w:val="1"/>
    </w:pPr>
    <w:rPr>
      <w:rFonts w:ascii="Times New Roman" w:eastAsia="Times New Roman" w:hAnsi="Times New Roman" w:cs="Times New Roman"/>
      <w:b/>
      <w:bCs/>
      <w:iCs/>
      <w:noProof w:val="0"/>
      <w:sz w:val="24"/>
      <w:szCs w:val="28"/>
    </w:rPr>
  </w:style>
  <w:style w:type="paragraph" w:styleId="Heading3">
    <w:name w:val="heading 3"/>
    <w:basedOn w:val="Normal"/>
    <w:next w:val="Text1"/>
    <w:link w:val="Heading3Char"/>
    <w:qFormat/>
    <w:pPr>
      <w:keepNext/>
      <w:numPr>
        <w:ilvl w:val="2"/>
        <w:numId w:val="3"/>
      </w:numPr>
      <w:spacing w:before="120" w:after="120" w:line="240" w:lineRule="auto"/>
      <w:jc w:val="both"/>
      <w:outlineLvl w:val="2"/>
    </w:pPr>
    <w:rPr>
      <w:rFonts w:ascii="Times New Roman" w:eastAsia="Times New Roman" w:hAnsi="Times New Roman" w:cs="Times New Roman"/>
      <w:b/>
      <w:bCs/>
      <w:noProof w:val="0"/>
      <w:sz w:val="24"/>
      <w:szCs w:val="26"/>
    </w:rPr>
  </w:style>
  <w:style w:type="paragraph" w:styleId="Heading4">
    <w:name w:val="heading 4"/>
    <w:basedOn w:val="Normal"/>
    <w:next w:val="Text1"/>
    <w:link w:val="Heading4Char"/>
    <w:qFormat/>
    <w:pPr>
      <w:keepNext/>
      <w:numPr>
        <w:ilvl w:val="3"/>
        <w:numId w:val="3"/>
      </w:numPr>
      <w:spacing w:before="120" w:after="120" w:line="240" w:lineRule="auto"/>
      <w:jc w:val="both"/>
      <w:outlineLvl w:val="3"/>
    </w:pPr>
    <w:rPr>
      <w:rFonts w:ascii="Times New Roman" w:eastAsia="Times New Roman" w:hAnsi="Times New Roman" w:cs="Times New Roman"/>
      <w:bCs/>
      <w:noProof w:val="0"/>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noProof w:val="0"/>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noProof/>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noProof/>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noProof/>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noProof/>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noProof/>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noProof/>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noProof/>
      <w:sz w:val="28"/>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paragraph" w:styleId="FootnoteText">
    <w:name w:val="footnote text"/>
    <w:aliases w:val="Char,Fußnote,Carattere,fn,Footnotes,Footnote ak,Footnote Text Char Char,fn Char Char,footnote text Char Char,Footnotes Char Char,Footnote ak Char Char,fn Char1,footnote text Char1,Footnotes Char1,ft"/>
    <w:basedOn w:val="Normal"/>
    <w:link w:val="FootnoteTextChar"/>
    <w:uiPriority w:val="99"/>
    <w:pPr>
      <w:spacing w:after="0" w:line="240" w:lineRule="auto"/>
      <w:ind w:left="720" w:hanging="720"/>
      <w:jc w:val="both"/>
    </w:pPr>
    <w:rPr>
      <w:rFonts w:ascii="Times New Roman" w:eastAsia="Times New Roman" w:hAnsi="Times New Roman" w:cs="Times New Roman"/>
      <w:noProof w:val="0"/>
      <w:sz w:val="20"/>
      <w:szCs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aliases w:val="Footnote Reference Superscript,Footnote symbol,Footnote Reference Number,BVI fnr,Voetnootverwijzing,Footnote reference number,Times 10 Point,Exposant 3 Point,Ref,de nota al pie,note TESI,SUPERS,EN Footnote Reference"/>
    <w:uiPriority w:val="99"/>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noProof w:val="0"/>
      <w:sz w:val="24"/>
      <w:szCs w:val="24"/>
    </w:rPr>
  </w:style>
  <w:style w:type="paragraph" w:customStyle="1" w:styleId="Tiret0">
    <w:name w:val="Tiret 0"/>
    <w:basedOn w:val="Normal"/>
    <w:pPr>
      <w:numPr>
        <w:numId w:val="1"/>
      </w:numPr>
      <w:spacing w:before="120" w:after="120" w:line="240" w:lineRule="auto"/>
      <w:jc w:val="both"/>
    </w:pPr>
    <w:rPr>
      <w:rFonts w:ascii="Times New Roman" w:eastAsia="Times New Roman" w:hAnsi="Times New Roman" w:cs="Times New Roman"/>
      <w:noProof w:val="0"/>
      <w:sz w:val="24"/>
      <w:szCs w:val="24"/>
    </w:rPr>
  </w:style>
  <w:style w:type="paragraph" w:customStyle="1" w:styleId="Tiret1">
    <w:name w:val="Tiret 1"/>
    <w:basedOn w:val="Normal"/>
    <w:pPr>
      <w:numPr>
        <w:numId w:val="2"/>
      </w:numPr>
      <w:spacing w:before="120" w:after="120" w:line="240" w:lineRule="auto"/>
      <w:jc w:val="both"/>
    </w:pPr>
    <w:rPr>
      <w:rFonts w:ascii="Times New Roman" w:eastAsia="Times New Roman" w:hAnsi="Times New Roman" w:cs="Times New Roman"/>
      <w:noProof w:val="0"/>
      <w:sz w:val="24"/>
      <w:szCs w:val="24"/>
    </w:rPr>
  </w:style>
  <w:style w:type="paragraph" w:customStyle="1" w:styleId="ManualHeading1">
    <w:name w:val="Manual Heading 1"/>
    <w:basedOn w:val="Normal"/>
    <w:next w:val="Text1"/>
    <w:link w:val="ManualHeading1Char"/>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noProof w:val="0"/>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noProof w:val="0"/>
      <w:sz w:val="24"/>
      <w:szCs w:val="24"/>
    </w:rPr>
  </w:style>
  <w:style w:type="paragraph" w:styleId="Caption">
    <w:name w:val="caption"/>
    <w:basedOn w:val="Normal"/>
    <w:next w:val="Normal"/>
    <w:unhideWhenUsed/>
    <w:qFormat/>
    <w:pPr>
      <w:spacing w:before="120" w:after="120" w:line="240" w:lineRule="auto"/>
      <w:jc w:val="both"/>
    </w:pPr>
    <w:rPr>
      <w:rFonts w:ascii="Times New Roman" w:eastAsia="Times New Roman" w:hAnsi="Times New Roman" w:cs="Times New Roman"/>
      <w:b/>
      <w:bCs/>
      <w:noProof w:val="0"/>
      <w:sz w:val="20"/>
      <w:szCs w:val="20"/>
    </w:rPr>
  </w:style>
  <w:style w:type="paragraph" w:styleId="ListNumber">
    <w:name w:val="List Number"/>
    <w:basedOn w:val="Normal"/>
    <w:pPr>
      <w:numPr>
        <w:numId w:val="4"/>
      </w:numPr>
      <w:spacing w:before="120" w:after="120" w:line="240" w:lineRule="auto"/>
      <w:contextualSpacing/>
      <w:jc w:val="both"/>
    </w:pPr>
    <w:rPr>
      <w:rFonts w:ascii="Times New Roman" w:eastAsia="Times New Roman" w:hAnsi="Times New Roman" w:cs="Times New Roman"/>
      <w:noProof w:val="0"/>
      <w:sz w:val="24"/>
      <w:szCs w:val="24"/>
    </w:rPr>
  </w:style>
  <w:style w:type="character" w:styleId="Hyperlink">
    <w:name w:val="Hyperlink"/>
    <w:uiPriority w:val="99"/>
    <w:rPr>
      <w:color w:val="0000FF"/>
      <w:u w:val="single"/>
    </w:rPr>
  </w:style>
  <w:style w:type="paragraph" w:styleId="ListParagraph">
    <w:name w:val="List Paragraph"/>
    <w:basedOn w:val="Normal"/>
    <w:uiPriority w:val="34"/>
    <w:qFormat/>
    <w:pPr>
      <w:spacing w:before="120" w:after="360" w:line="240" w:lineRule="auto"/>
      <w:contextualSpacing/>
      <w:jc w:val="both"/>
    </w:pPr>
    <w:rPr>
      <w:rFonts w:ascii="Times New Roman" w:eastAsia="Times New Roman" w:hAnsi="Times New Roman" w:cs="Times New Roman"/>
      <w:b/>
      <w:noProof w:val="0"/>
      <w:sz w:val="24"/>
      <w:szCs w:val="24"/>
    </w:rPr>
  </w:style>
  <w:style w:type="character" w:customStyle="1" w:styleId="ManualHeading1Char">
    <w:name w:val="Manual Heading 1 Char"/>
    <w:link w:val="ManualHeading1"/>
    <w:rPr>
      <w:rFonts w:ascii="Times New Roman" w:eastAsia="Times New Roman" w:hAnsi="Times New Roman" w:cs="Times New Roman"/>
      <w:b/>
      <w:smallCaps/>
      <w:sz w:val="24"/>
      <w:szCs w:val="24"/>
    </w:rPr>
  </w:style>
  <w:style w:type="paragraph" w:customStyle="1" w:styleId="Typedudocument">
    <w:name w:val="Type du document"/>
    <w:basedOn w:val="Normal"/>
    <w:next w:val="Normal"/>
    <w:pPr>
      <w:spacing w:before="360" w:after="0" w:line="240" w:lineRule="auto"/>
      <w:jc w:val="center"/>
    </w:pPr>
    <w:rPr>
      <w:rFonts w:ascii="Times New Roman" w:eastAsia="Times New Roman" w:hAnsi="Times New Roman" w:cs="Times New Roman"/>
      <w:b/>
      <w:noProof w:val="0"/>
      <w:sz w:val="24"/>
      <w:szCs w:val="24"/>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noProof w:val="0"/>
      <w:sz w:val="24"/>
      <w:szCs w:val="24"/>
    </w:rPr>
  </w:style>
  <w:style w:type="paragraph" w:styleId="BalloonText">
    <w:name w:val="Balloon Text"/>
    <w:basedOn w:val="Normal"/>
    <w:link w:val="BalloonTextChar"/>
    <w:uiPriority w:val="99"/>
    <w:semiHidden/>
    <w:unhideWhenUsed/>
    <w:pPr>
      <w:spacing w:after="0" w:line="240" w:lineRule="auto"/>
    </w:pPr>
    <w:rPr>
      <w:rFonts w:ascii="Tahoma" w:eastAsia="Calibri" w:hAnsi="Tahoma" w:cs="Tahoma"/>
      <w:noProof w:val="0"/>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Revision">
    <w:name w:val="Revision"/>
    <w:hidden/>
    <w:uiPriority w:val="99"/>
    <w:semiHidden/>
    <w:pPr>
      <w:spacing w:after="0" w:line="240" w:lineRule="auto"/>
    </w:pPr>
    <w:rPr>
      <w:rFonts w:ascii="Calibri" w:eastAsia="Calibri" w:hAnsi="Calibri" w:cs="Times New Roman"/>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rFonts w:ascii="Times New Roman" w:eastAsia="Calibri" w:hAnsi="Times New Roman" w:cs="Times New Roman"/>
      <w:noProof w:val="0"/>
      <w:sz w:val="20"/>
      <w:szCs w:val="20"/>
    </w:rPr>
  </w:style>
  <w:style w:type="character" w:customStyle="1" w:styleId="CommentTextChar">
    <w:name w:val="Comment Text Char"/>
    <w:basedOn w:val="DefaultParagraphFont"/>
    <w:link w:val="CommentText"/>
    <w:uiPriority w:val="99"/>
    <w:semiHidden/>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rPr>
  </w:style>
  <w:style w:type="character" w:styleId="FollowedHyperlink">
    <w:name w:val="FollowedHyperlink"/>
    <w:uiPriority w:val="99"/>
    <w:semiHidden/>
    <w:unhideWhenUsed/>
    <w:rPr>
      <w:color w:val="954F72"/>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paragraph" w:customStyle="1" w:styleId="Pa9">
    <w:name w:val="Pa9"/>
    <w:basedOn w:val="Normal"/>
    <w:next w:val="Normal"/>
    <w:uiPriority w:val="99"/>
    <w:pPr>
      <w:autoSpaceDE w:val="0"/>
      <w:autoSpaceDN w:val="0"/>
      <w:adjustRightInd w:val="0"/>
      <w:spacing w:after="0" w:line="241" w:lineRule="atLeast"/>
    </w:pPr>
    <w:rPr>
      <w:rFonts w:ascii="Helvetica Neue" w:eastAsia="Calibri" w:hAnsi="Helvetica Neue" w:cs="Times New Roman"/>
      <w:noProof w:val="0"/>
      <w:sz w:val="24"/>
      <w:szCs w:val="24"/>
      <w:lang w:eastAsia="en-GB"/>
    </w:rPr>
  </w:style>
  <w:style w:type="character" w:customStyle="1" w:styleId="A4">
    <w:name w:val="A4"/>
    <w:uiPriority w:val="99"/>
    <w:rPr>
      <w:rFonts w:cs="Helvetica Neue"/>
      <w:color w:val="000000"/>
      <w:sz w:val="18"/>
      <w:szCs w:val="18"/>
    </w:rPr>
  </w:style>
  <w:style w:type="paragraph" w:styleId="NoSpacing">
    <w:name w:val="No Spacing"/>
    <w:uiPriority w:val="1"/>
    <w:qFormat/>
    <w:pPr>
      <w:spacing w:after="0" w:line="240" w:lineRule="auto"/>
    </w:pPr>
    <w:rPr>
      <w:rFonts w:ascii="Calibri" w:eastAsia="Calibri" w:hAnsi="Calibri" w:cs="Times New Roman"/>
    </w:rPr>
  </w:style>
  <w:style w:type="paragraph" w:styleId="TOCHeading">
    <w:name w:val="TOC Heading"/>
    <w:basedOn w:val="Heading1"/>
    <w:next w:val="Normal"/>
    <w:uiPriority w:val="39"/>
    <w:semiHidden/>
    <w:unhideWhenUsed/>
    <w:qFormat/>
    <w:pPr>
      <w:keepLines/>
      <w:numPr>
        <w:numId w:val="0"/>
      </w:numPr>
      <w:spacing w:before="480" w:after="0" w:line="276" w:lineRule="auto"/>
      <w:jc w:val="left"/>
      <w:outlineLvl w:val="9"/>
    </w:pPr>
    <w:rPr>
      <w:rFonts w:ascii="Cambria" w:eastAsia="MS Gothic" w:hAnsi="Cambria"/>
      <w:smallCaps w:val="0"/>
      <w:color w:val="365F91"/>
      <w:sz w:val="28"/>
      <w:szCs w:val="28"/>
      <w:lang w:eastAsia="ja-JP"/>
    </w:rPr>
  </w:style>
  <w:style w:type="paragraph" w:styleId="TOC1">
    <w:name w:val="toc 1"/>
    <w:basedOn w:val="Normal"/>
    <w:next w:val="Normal"/>
    <w:autoRedefine/>
    <w:uiPriority w:val="39"/>
    <w:unhideWhenUsed/>
    <w:pPr>
      <w:tabs>
        <w:tab w:val="left" w:pos="426"/>
        <w:tab w:val="right" w:leader="dot" w:pos="9403"/>
      </w:tabs>
    </w:pPr>
    <w:rPr>
      <w:rFonts w:ascii="Times New Roman" w:eastAsia="Calibri" w:hAnsi="Times New Roman" w:cs="Times New Roman"/>
      <w:noProof w:val="0"/>
    </w:rPr>
  </w:style>
  <w:style w:type="paragraph" w:styleId="TOC2">
    <w:name w:val="toc 2"/>
    <w:basedOn w:val="Normal"/>
    <w:next w:val="Normal"/>
    <w:autoRedefine/>
    <w:uiPriority w:val="39"/>
    <w:unhideWhenUsed/>
    <w:pPr>
      <w:ind w:left="220"/>
    </w:pPr>
    <w:rPr>
      <w:rFonts w:ascii="Times New Roman" w:eastAsia="Calibri" w:hAnsi="Times New Roman" w:cs="Times New Roman"/>
      <w:noProof w:val="0"/>
    </w:rPr>
  </w:style>
  <w:style w:type="paragraph" w:styleId="TOC3">
    <w:name w:val="toc 3"/>
    <w:basedOn w:val="Normal"/>
    <w:next w:val="Normal"/>
    <w:autoRedefine/>
    <w:uiPriority w:val="39"/>
    <w:unhideWhenUsed/>
    <w:pPr>
      <w:ind w:left="440"/>
    </w:pPr>
    <w:rPr>
      <w:rFonts w:ascii="Times New Roman" w:eastAsia="Calibri" w:hAnsi="Times New Roman" w:cs="Times New Roman"/>
      <w:noProof w:val="0"/>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Text0">
    <w:name w:val="Text 0"/>
    <w:basedOn w:val="Text1"/>
    <w:pPr>
      <w:ind w:left="0"/>
    </w:pPr>
  </w:style>
  <w:style w:type="paragraph" w:styleId="EndnoteText">
    <w:name w:val="endnote text"/>
    <w:basedOn w:val="Normal"/>
    <w:link w:val="EndnoteTextChar"/>
    <w:uiPriority w:val="99"/>
    <w:semiHidden/>
    <w:unhideWhenUsed/>
    <w:pPr>
      <w:spacing w:after="0" w:line="240" w:lineRule="auto"/>
    </w:pPr>
    <w:rPr>
      <w:rFonts w:ascii="Times New Roman" w:eastAsia="Calibri" w:hAnsi="Times New Roman" w:cs="Times New Roman"/>
      <w:noProof w:val="0"/>
      <w:sz w:val="20"/>
      <w:szCs w:val="20"/>
    </w:rPr>
  </w:style>
  <w:style w:type="character" w:customStyle="1" w:styleId="EndnoteTextChar">
    <w:name w:val="Endnote Text Char"/>
    <w:basedOn w:val="DefaultParagraphFont"/>
    <w:link w:val="EndnoteText"/>
    <w:uiPriority w:val="99"/>
    <w:semiHidden/>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classification">
    <w:name w:val="Declassification"/>
    <w:basedOn w:val="Normal"/>
    <w:next w:val="Normal"/>
    <w:pPr>
      <w:spacing w:after="0" w:line="240" w:lineRule="auto"/>
      <w:jc w:val="both"/>
    </w:pPr>
    <w:rPr>
      <w:rFonts w:ascii="Times New Roman" w:hAnsi="Times New Roman" w:cs="Times New Roman"/>
      <w:noProof w:val="0"/>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noProof w:val="0"/>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noProof w:val="0"/>
      <w:sz w:val="24"/>
    </w:rPr>
  </w:style>
  <w:style w:type="paragraph" w:customStyle="1" w:styleId="SecurityMarking">
    <w:name w:val="SecurityMarking"/>
    <w:basedOn w:val="Normal"/>
    <w:pPr>
      <w:spacing w:after="0"/>
      <w:ind w:left="5103"/>
    </w:pPr>
    <w:rPr>
      <w:rFonts w:ascii="Times New Roman" w:hAnsi="Times New Roman" w:cs="Times New Roman"/>
      <w:noProof w:val="0"/>
      <w:sz w:val="28"/>
    </w:rPr>
  </w:style>
  <w:style w:type="paragraph" w:customStyle="1" w:styleId="DateMarking">
    <w:name w:val="DateMarking"/>
    <w:basedOn w:val="Normal"/>
    <w:pPr>
      <w:spacing w:after="0"/>
      <w:ind w:left="5103"/>
    </w:pPr>
    <w:rPr>
      <w:rFonts w:ascii="Times New Roman" w:hAnsi="Times New Roman" w:cs="Times New Roman"/>
      <w:i/>
      <w:noProof w:val="0"/>
      <w:sz w:val="28"/>
    </w:rPr>
  </w:style>
  <w:style w:type="paragraph" w:customStyle="1" w:styleId="ReleasableTo">
    <w:name w:val="ReleasableTo"/>
    <w:basedOn w:val="Normal"/>
    <w:pPr>
      <w:spacing w:after="0"/>
      <w:ind w:left="5103"/>
    </w:pPr>
    <w:rPr>
      <w:rFonts w:ascii="Times New Roman" w:hAnsi="Times New Roman" w:cs="Times New Roman"/>
      <w:i/>
      <w:noProof w:val="0"/>
      <w:sz w:val="28"/>
    </w:rPr>
  </w:style>
  <w:style w:type="paragraph" w:customStyle="1" w:styleId="LegalNumPar">
    <w:name w:val="LegalNumPar"/>
    <w:basedOn w:val="Normal"/>
    <w:pPr>
      <w:numPr>
        <w:numId w:val="11"/>
      </w:numPr>
      <w:spacing w:line="360" w:lineRule="auto"/>
    </w:pPr>
    <w:rPr>
      <w:sz w:val="24"/>
    </w:rPr>
  </w:style>
  <w:style w:type="paragraph" w:customStyle="1" w:styleId="LegalNumPar2">
    <w:name w:val="LegalNumPar2"/>
    <w:basedOn w:val="Normal"/>
    <w:pPr>
      <w:numPr>
        <w:ilvl w:val="1"/>
        <w:numId w:val="11"/>
      </w:numPr>
      <w:spacing w:line="360" w:lineRule="auto"/>
    </w:pPr>
    <w:rPr>
      <w:sz w:val="24"/>
    </w:rPr>
  </w:style>
  <w:style w:type="paragraph" w:customStyle="1" w:styleId="LegalNumPar3">
    <w:name w:val="LegalNumPar3"/>
    <w:basedOn w:val="Normal"/>
    <w:pPr>
      <w:numPr>
        <w:ilvl w:val="2"/>
        <w:numId w:val="11"/>
      </w:numPr>
      <w:spacing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2935">
      <w:bodyDiv w:val="1"/>
      <w:marLeft w:val="0"/>
      <w:marRight w:val="0"/>
      <w:marTop w:val="0"/>
      <w:marBottom w:val="0"/>
      <w:divBdr>
        <w:top w:val="none" w:sz="0" w:space="0" w:color="auto"/>
        <w:left w:val="none" w:sz="0" w:space="0" w:color="auto"/>
        <w:bottom w:val="none" w:sz="0" w:space="0" w:color="auto"/>
        <w:right w:val="none" w:sz="0" w:space="0" w:color="auto"/>
      </w:divBdr>
    </w:div>
    <w:div w:id="182592517">
      <w:bodyDiv w:val="1"/>
      <w:marLeft w:val="0"/>
      <w:marRight w:val="0"/>
      <w:marTop w:val="0"/>
      <w:marBottom w:val="0"/>
      <w:divBdr>
        <w:top w:val="none" w:sz="0" w:space="0" w:color="auto"/>
        <w:left w:val="none" w:sz="0" w:space="0" w:color="auto"/>
        <w:bottom w:val="none" w:sz="0" w:space="0" w:color="auto"/>
        <w:right w:val="none" w:sz="0" w:space="0" w:color="auto"/>
      </w:divBdr>
    </w:div>
    <w:div w:id="1285697468">
      <w:bodyDiv w:val="1"/>
      <w:marLeft w:val="0"/>
      <w:marRight w:val="0"/>
      <w:marTop w:val="0"/>
      <w:marBottom w:val="0"/>
      <w:divBdr>
        <w:top w:val="none" w:sz="0" w:space="0" w:color="auto"/>
        <w:left w:val="none" w:sz="0" w:space="0" w:color="auto"/>
        <w:bottom w:val="none" w:sz="0" w:space="0" w:color="auto"/>
        <w:right w:val="none" w:sz="0" w:space="0" w:color="auto"/>
      </w:divBdr>
    </w:div>
    <w:div w:id="1581789760">
      <w:bodyDiv w:val="1"/>
      <w:marLeft w:val="0"/>
      <w:marRight w:val="0"/>
      <w:marTop w:val="0"/>
      <w:marBottom w:val="0"/>
      <w:divBdr>
        <w:top w:val="none" w:sz="0" w:space="0" w:color="auto"/>
        <w:left w:val="none" w:sz="0" w:space="0" w:color="auto"/>
        <w:bottom w:val="none" w:sz="0" w:space="0" w:color="auto"/>
        <w:right w:val="none" w:sz="0" w:space="0" w:color="auto"/>
      </w:divBdr>
    </w:div>
    <w:div w:id="1841382350">
      <w:bodyDiv w:val="1"/>
      <w:marLeft w:val="0"/>
      <w:marRight w:val="0"/>
      <w:marTop w:val="0"/>
      <w:marBottom w:val="0"/>
      <w:divBdr>
        <w:top w:val="none" w:sz="0" w:space="0" w:color="auto"/>
        <w:left w:val="none" w:sz="0" w:space="0" w:color="auto"/>
        <w:bottom w:val="none" w:sz="0" w:space="0" w:color="auto"/>
        <w:right w:val="none" w:sz="0" w:space="0" w:color="auto"/>
      </w:divBdr>
    </w:div>
    <w:div w:id="197309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9.emf"/><Relationship Id="rId39" Type="http://schemas.openxmlformats.org/officeDocument/2006/relationships/image" Target="media/image22.emf"/><Relationship Id="rId21" Type="http://schemas.openxmlformats.org/officeDocument/2006/relationships/image" Target="media/image4.emf"/><Relationship Id="rId34" Type="http://schemas.openxmlformats.org/officeDocument/2006/relationships/image" Target="media/image17.emf"/><Relationship Id="rId42" Type="http://schemas.openxmlformats.org/officeDocument/2006/relationships/image" Target="media/image25.emf"/><Relationship Id="rId47" Type="http://schemas.openxmlformats.org/officeDocument/2006/relationships/image" Target="media/image30.emf"/><Relationship Id="rId50" Type="http://schemas.openxmlformats.org/officeDocument/2006/relationships/image" Target="media/image33.emf"/><Relationship Id="rId55" Type="http://schemas.openxmlformats.org/officeDocument/2006/relationships/image" Target="media/image38.emf"/><Relationship Id="rId63" Type="http://schemas.openxmlformats.org/officeDocument/2006/relationships/image" Target="media/image46.emf"/><Relationship Id="rId68" Type="http://schemas.openxmlformats.org/officeDocument/2006/relationships/image" Target="media/image51.emf"/><Relationship Id="rId76" Type="http://schemas.openxmlformats.org/officeDocument/2006/relationships/image" Target="media/image59.png"/><Relationship Id="rId84"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image" Target="media/image54.png"/><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image" Target="media/image12.emf"/><Relationship Id="rId11" Type="http://schemas.openxmlformats.org/officeDocument/2006/relationships/endnotes" Target="endnotes.xml"/><Relationship Id="rId24" Type="http://schemas.openxmlformats.org/officeDocument/2006/relationships/image" Target="media/image7.emf"/><Relationship Id="rId32" Type="http://schemas.openxmlformats.org/officeDocument/2006/relationships/image" Target="media/image15.emf"/><Relationship Id="rId37" Type="http://schemas.openxmlformats.org/officeDocument/2006/relationships/image" Target="media/image20.emf"/><Relationship Id="rId40" Type="http://schemas.openxmlformats.org/officeDocument/2006/relationships/image" Target="media/image23.emf"/><Relationship Id="rId45" Type="http://schemas.openxmlformats.org/officeDocument/2006/relationships/image" Target="media/image28.emf"/><Relationship Id="rId53" Type="http://schemas.openxmlformats.org/officeDocument/2006/relationships/image" Target="media/image36.emf"/><Relationship Id="rId58" Type="http://schemas.openxmlformats.org/officeDocument/2006/relationships/image" Target="media/image41.emf"/><Relationship Id="rId66" Type="http://schemas.openxmlformats.org/officeDocument/2006/relationships/image" Target="media/image49.emf"/><Relationship Id="rId74" Type="http://schemas.openxmlformats.org/officeDocument/2006/relationships/image" Target="media/image57.emf"/><Relationship Id="rId79" Type="http://schemas.openxmlformats.org/officeDocument/2006/relationships/header" Target="header5.xml"/><Relationship Id="rId5" Type="http://schemas.openxmlformats.org/officeDocument/2006/relationships/numbering" Target="numbering.xml"/><Relationship Id="rId61" Type="http://schemas.openxmlformats.org/officeDocument/2006/relationships/image" Target="media/image44.emf"/><Relationship Id="rId82" Type="http://schemas.openxmlformats.org/officeDocument/2006/relationships/header" Target="header6.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8.emf"/><Relationship Id="rId43" Type="http://schemas.openxmlformats.org/officeDocument/2006/relationships/image" Target="media/image26.emf"/><Relationship Id="rId48" Type="http://schemas.openxmlformats.org/officeDocument/2006/relationships/image" Target="media/image31.emf"/><Relationship Id="rId56" Type="http://schemas.openxmlformats.org/officeDocument/2006/relationships/image" Target="media/image39.emf"/><Relationship Id="rId64" Type="http://schemas.openxmlformats.org/officeDocument/2006/relationships/image" Target="media/image47.emf"/><Relationship Id="rId69" Type="http://schemas.openxmlformats.org/officeDocument/2006/relationships/image" Target="media/image52.emf"/><Relationship Id="rId77" Type="http://schemas.openxmlformats.org/officeDocument/2006/relationships/image" Target="media/image60.png"/><Relationship Id="rId8" Type="http://schemas.openxmlformats.org/officeDocument/2006/relationships/settings" Target="settings.xml"/><Relationship Id="rId51" Type="http://schemas.openxmlformats.org/officeDocument/2006/relationships/image" Target="media/image34.emf"/><Relationship Id="rId72" Type="http://schemas.openxmlformats.org/officeDocument/2006/relationships/image" Target="media/image55.png"/><Relationship Id="rId80" Type="http://schemas.openxmlformats.org/officeDocument/2006/relationships/footer" Target="footer4.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8.emf"/><Relationship Id="rId33" Type="http://schemas.openxmlformats.org/officeDocument/2006/relationships/image" Target="media/image16.emf"/><Relationship Id="rId38" Type="http://schemas.openxmlformats.org/officeDocument/2006/relationships/image" Target="media/image21.emf"/><Relationship Id="rId46" Type="http://schemas.openxmlformats.org/officeDocument/2006/relationships/image" Target="media/image29.emf"/><Relationship Id="rId59" Type="http://schemas.openxmlformats.org/officeDocument/2006/relationships/image" Target="media/image42.emf"/><Relationship Id="rId67" Type="http://schemas.openxmlformats.org/officeDocument/2006/relationships/image" Target="media/image50.emf"/><Relationship Id="rId20" Type="http://schemas.openxmlformats.org/officeDocument/2006/relationships/image" Target="media/image3.emf"/><Relationship Id="rId41" Type="http://schemas.openxmlformats.org/officeDocument/2006/relationships/image" Target="media/image24.emf"/><Relationship Id="rId54" Type="http://schemas.openxmlformats.org/officeDocument/2006/relationships/image" Target="media/image37.emf"/><Relationship Id="rId62" Type="http://schemas.openxmlformats.org/officeDocument/2006/relationships/image" Target="media/image45.emf"/><Relationship Id="rId70" Type="http://schemas.openxmlformats.org/officeDocument/2006/relationships/image" Target="media/image53.png"/><Relationship Id="rId75" Type="http://schemas.openxmlformats.org/officeDocument/2006/relationships/image" Target="media/image58.png"/><Relationship Id="rId83"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image" Target="media/image19.emf"/><Relationship Id="rId49" Type="http://schemas.openxmlformats.org/officeDocument/2006/relationships/image" Target="media/image32.emf"/><Relationship Id="rId57" Type="http://schemas.openxmlformats.org/officeDocument/2006/relationships/image" Target="media/image40.emf"/><Relationship Id="rId10" Type="http://schemas.openxmlformats.org/officeDocument/2006/relationships/footnotes" Target="footnotes.xml"/><Relationship Id="rId31" Type="http://schemas.openxmlformats.org/officeDocument/2006/relationships/image" Target="media/image14.emf"/><Relationship Id="rId44" Type="http://schemas.openxmlformats.org/officeDocument/2006/relationships/image" Target="media/image27.emf"/><Relationship Id="rId52" Type="http://schemas.openxmlformats.org/officeDocument/2006/relationships/image" Target="media/image35.emf"/><Relationship Id="rId60" Type="http://schemas.openxmlformats.org/officeDocument/2006/relationships/image" Target="media/image43.emf"/><Relationship Id="rId65" Type="http://schemas.openxmlformats.org/officeDocument/2006/relationships/image" Target="media/image48.emf"/><Relationship Id="rId73" Type="http://schemas.openxmlformats.org/officeDocument/2006/relationships/image" Target="media/image56.emf"/><Relationship Id="rId78" Type="http://schemas.openxmlformats.org/officeDocument/2006/relationships/header" Target="header4.xml"/><Relationship Id="rId81"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internal_market/scoreboard/performance_by_governance_tool/consumer_protection_cooperation_network/index_en.htm" TargetMode="External"/><Relationship Id="rId13" Type="http://schemas.openxmlformats.org/officeDocument/2006/relationships/hyperlink" Target="https://ec.europa.eu/info/publications/2020-european-semester-country-reports_et" TargetMode="External"/><Relationship Id="rId18" Type="http://schemas.openxmlformats.org/officeDocument/2006/relationships/hyperlink" Target="http://www.coe.int/t/dghl/cooperation/cepej/evaluation/default_et.asp" TargetMode="External"/><Relationship Id="rId26" Type="http://schemas.openxmlformats.org/officeDocument/2006/relationships/hyperlink" Target="https://ec.europa.eu/info/strategy/justice-and-fundamental-rights/effective-justice/eu-justice-scoreboard_et." TargetMode="External"/><Relationship Id="rId39" Type="http://schemas.openxmlformats.org/officeDocument/2006/relationships/hyperlink" Target="http://eur-lex.europa.eu/legal-content/ET/TXT/PDF/?uri=CELEX:12012P/TXT&amp;from=ET" TargetMode="External"/><Relationship Id="rId3" Type="http://schemas.openxmlformats.org/officeDocument/2006/relationships/hyperlink" Target="http://network-presidents.eu/" TargetMode="External"/><Relationship Id="rId21" Type="http://schemas.openxmlformats.org/officeDocument/2006/relationships/hyperlink" Target="http://www.biicl.org/documents/625_d4_fdi_main_report.pdf" TargetMode="External"/><Relationship Id="rId34" Type="http://schemas.openxmlformats.org/officeDocument/2006/relationships/hyperlink" Target="https://ec.europa.eu/eurostat/statistics-explained/index.php?title=Glossary:Fixed_capital" TargetMode="External"/><Relationship Id="rId42" Type="http://schemas.openxmlformats.org/officeDocument/2006/relationships/hyperlink" Target="https://www.weforum.org/reports/global-competitiveness-report-2019" TargetMode="External"/><Relationship Id="rId7" Type="http://schemas.openxmlformats.org/officeDocument/2006/relationships/hyperlink" Target="https://euipo.europa.eu/ohimportal/et/web/observatory/home" TargetMode="External"/><Relationship Id="rId12" Type="http://schemas.openxmlformats.org/officeDocument/2006/relationships/hyperlink" Target="https://www.weforum.org/" TargetMode="External"/><Relationship Id="rId17" Type="http://schemas.openxmlformats.org/officeDocument/2006/relationships/hyperlink" Target="http://www.worldbank.org/en/publication/wdr2017" TargetMode="External"/><Relationship Id="rId25" Type="http://schemas.openxmlformats.org/officeDocument/2006/relationships/hyperlink" Target="https://eur-lex.europa.eu/legal-content/ET/TXT/?uri=COM:2020:0409:FIN" TargetMode="External"/><Relationship Id="rId33" Type="http://schemas.openxmlformats.org/officeDocument/2006/relationships/hyperlink" Target="https://ec.europa.eu/eurostat/statistics-explained/index.php?title=Glossary:Fixed_assets" TargetMode="External"/><Relationship Id="rId38" Type="http://schemas.openxmlformats.org/officeDocument/2006/relationships/hyperlink" Target="http://eige.europa.eu/lt/gender-statistics/dgs/indicator/wmidm_jud_natcrt__wmid_natcrt_supcrt" TargetMode="External"/><Relationship Id="rId2" Type="http://schemas.openxmlformats.org/officeDocument/2006/relationships/hyperlink" Target="https://www.encj.eu/" TargetMode="External"/><Relationship Id="rId16" Type="http://schemas.openxmlformats.org/officeDocument/2006/relationships/hyperlink" Target="https://www.weforum.org/reports/global-competitiveness-report-2019" TargetMode="External"/><Relationship Id="rId20" Type="http://schemas.openxmlformats.org/officeDocument/2006/relationships/hyperlink" Target="https://mpra.ub.uni-muenchen.de/40471/1/MPRA_paper_40322.pdf" TargetMode="External"/><Relationship Id="rId29" Type="http://schemas.openxmlformats.org/officeDocument/2006/relationships/hyperlink" Target="https://www.imf.org/en/About/Factsheets/Sheets/2016/08/01/16/31/Fight-Against-Money-Laundering-the-Financing-of-Terrorism" TargetMode="External"/><Relationship Id="rId41" Type="http://schemas.openxmlformats.org/officeDocument/2006/relationships/hyperlink" Target="https://ec.europa.eu/info/strategy/justice-and-fundamental-rights/effective-justice/eu-justice-scoreboard_et." TargetMode="External"/><Relationship Id="rId1" Type="http://schemas.openxmlformats.org/officeDocument/2006/relationships/hyperlink" Target="https://ec.europa.eu/info/strategy/justice-and-fundamental-rights/effective-justice/eu-justice-scoreboard_et." TargetMode="External"/><Relationship Id="rId6" Type="http://schemas.openxmlformats.org/officeDocument/2006/relationships/hyperlink" Target="https://ec.europa.eu/digital-single-market/en/communications-committee" TargetMode="External"/><Relationship Id="rId11" Type="http://schemas.openxmlformats.org/officeDocument/2006/relationships/hyperlink" Target="http://www.ejtn.eu/" TargetMode="External"/><Relationship Id="rId24" Type="http://schemas.openxmlformats.org/officeDocument/2006/relationships/hyperlink" Target="https://ec.europa.eu/commission/presscorner/detail/et/ip_20_940" TargetMode="External"/><Relationship Id="rId32" Type="http://schemas.openxmlformats.org/officeDocument/2006/relationships/hyperlink" Target="https://ec.europa.eu/eurostat/statistics-explained/index.php?title=Glossary:Compensation_of_employees" TargetMode="External"/><Relationship Id="rId37" Type="http://schemas.openxmlformats.org/officeDocument/2006/relationships/hyperlink" Target="https://ec.europa.eu/eurostat/statistics-explained/index.php?title=Glossary:Gross_fixed_capital_formation_(GFCF)" TargetMode="External"/><Relationship Id="rId40" Type="http://schemas.openxmlformats.org/officeDocument/2006/relationships/hyperlink" Target="https://ec.europa.eu/info/strategy/justice-and-fundamental-rights/effective-justice/eu-justice-scoreboard_et." TargetMode="External"/><Relationship Id="rId5" Type="http://schemas.openxmlformats.org/officeDocument/2006/relationships/hyperlink" Target="http://ec.europa.eu/competition/ecn/index_en.html" TargetMode="External"/><Relationship Id="rId15" Type="http://schemas.openxmlformats.org/officeDocument/2006/relationships/hyperlink" Target="https://www.ecb.europa.eu/pub/pdf/scpops/ecb.op210.en.pdf?3db9355b1d1599799aa0e475e5624651" TargetMode="External"/><Relationship Id="rId23" Type="http://schemas.openxmlformats.org/officeDocument/2006/relationships/hyperlink" Target="https://ec.europa.eu/info/funding-tenders/funding-opportunities/funding-programmes/overview-funding-programmes/structural-reform-support-programme-srsp_et" TargetMode="External"/><Relationship Id="rId28" Type="http://schemas.openxmlformats.org/officeDocument/2006/relationships/hyperlink" Target="http://eur-lex.europa.eu/legal-content/ET/TXT/PDF/?uri=CELEX:12012E/TXT&amp;from=ET" TargetMode="External"/><Relationship Id="rId36" Type="http://schemas.openxmlformats.org/officeDocument/2006/relationships/hyperlink" Target="https://ec.europa.eu/eurostat/statistics-explained/index.php?title=Glossary:Asset" TargetMode="External"/><Relationship Id="rId10" Type="http://schemas.openxmlformats.org/officeDocument/2006/relationships/hyperlink" Target="http://ec.europa.eu/eurostat/about/overview" TargetMode="External"/><Relationship Id="rId19" Type="http://schemas.openxmlformats.org/officeDocument/2006/relationships/hyperlink" Target="http://publications.jrc.ec.europa.eu/repository/bitstream/JRC104594/jrc104594__2017_the_judicial_system_and_economic_development_across_eu_member_states.pdf" TargetMode="External"/><Relationship Id="rId31" Type="http://schemas.openxmlformats.org/officeDocument/2006/relationships/hyperlink" Target="http://ec.europa.eu/eurostat/data/database" TargetMode="External"/><Relationship Id="rId4" Type="http://schemas.openxmlformats.org/officeDocument/2006/relationships/hyperlink" Target="http://www.juradmin.eu/index.php/en/" TargetMode="External"/><Relationship Id="rId9" Type="http://schemas.openxmlformats.org/officeDocument/2006/relationships/hyperlink" Target="http://ec.europa.eu/justice/civil/financial-crime/index_en.htm" TargetMode="External"/><Relationship Id="rId14" Type="http://schemas.openxmlformats.org/officeDocument/2006/relationships/hyperlink" Target="https://www.imf.org/~/media/Files/Publications/REO/EUR/2017/November/eur-booked-print.ashx?la=en" TargetMode="External"/><Relationship Id="rId22" Type="http://schemas.openxmlformats.org/officeDocument/2006/relationships/hyperlink" Target="https://euipo.europa.eu/tunnel-web/secure/webdav/guest/document_library/observatory/documents/sme_scoreboard_study_2016/Executive-summary_en.pdf" TargetMode="External"/><Relationship Id="rId27" Type="http://schemas.openxmlformats.org/officeDocument/2006/relationships/hyperlink" Target="http://www.coe.int/t/dghl/cooperation/cepej/evaluation/default_et.asp" TargetMode="External"/><Relationship Id="rId30" Type="http://schemas.openxmlformats.org/officeDocument/2006/relationships/hyperlink" Target="http://ec.europa.eu/eurostat/web/income-and-living-conditions/data/database" TargetMode="External"/><Relationship Id="rId35" Type="http://schemas.openxmlformats.org/officeDocument/2006/relationships/hyperlink" Target="https://ec.europa.eu/eurostat/statistics-explained/index.php?title=Glossary:Intermediate_consum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c8fafeeb-07ef-460a-9e5d-a02cd2f60677">EN</EC_Collab_DocumentLanguage>
    <EC_Collab_Reference xmlns="c8fafeeb-07ef-460a-9e5d-a02cd2f60677">draft 2020 EU Justice Scoreboard</EC_Collab_Reference>
    <_Status xmlns="http://schemas.microsoft.com/sharepoint/v3/fields">Not Started</_Status>
    <EC_Collab_Status xmlns="c8fafeeb-07ef-460a-9e5d-a02cd2f60677">Draft</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413CD145F789BB4B8AE4B42C0D616160" ma:contentTypeVersion="0" ma:contentTypeDescription="Create a new document in this library." ma:contentTypeScope="" ma:versionID="f56f42b557a10d86031122fceb60d648">
  <xsd:schema xmlns:xsd="http://www.w3.org/2001/XMLSchema" xmlns:xs="http://www.w3.org/2001/XMLSchema" xmlns:p="http://schemas.microsoft.com/office/2006/metadata/properties" xmlns:ns2="http://schemas.microsoft.com/sharepoint/v3/fields" xmlns:ns3="c8fafeeb-07ef-460a-9e5d-a02cd2f60677" targetNamespace="http://schemas.microsoft.com/office/2006/metadata/properties" ma:root="true" ma:fieldsID="0f9d3b6cdbcb9d7b3860c81304cdfd1c" ns2:_="" ns3:_="">
    <xsd:import namespace="http://schemas.microsoft.com/sharepoint/v3/fields"/>
    <xsd:import namespace="c8fafeeb-07ef-460a-9e5d-a02cd2f60677"/>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8fafeeb-07ef-460a-9e5d-a02cd2f60677"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FE6C905-645C-4F44-8609-58178BF04F1B}">
  <ds:schemaRefs>
    <ds:schemaRef ds:uri="http://schemas.microsoft.com/office/2006/metadata/properties"/>
    <ds:schemaRef ds:uri="http://schemas.microsoft.com/office/infopath/2007/PartnerControls"/>
    <ds:schemaRef ds:uri="c8fafeeb-07ef-460a-9e5d-a02cd2f60677"/>
    <ds:schemaRef ds:uri="http://schemas.microsoft.com/sharepoint/v3/fields"/>
  </ds:schemaRefs>
</ds:datastoreItem>
</file>

<file path=customXml/itemProps2.xml><?xml version="1.0" encoding="utf-8"?>
<ds:datastoreItem xmlns:ds="http://schemas.openxmlformats.org/officeDocument/2006/customXml" ds:itemID="{EAD0007F-3028-4EBF-A75F-E42C64C39C30}">
  <ds:schemaRefs>
    <ds:schemaRef ds:uri="http://schemas.microsoft.com/sharepoint/v3/contenttype/forms"/>
  </ds:schemaRefs>
</ds:datastoreItem>
</file>

<file path=customXml/itemProps3.xml><?xml version="1.0" encoding="utf-8"?>
<ds:datastoreItem xmlns:ds="http://schemas.openxmlformats.org/officeDocument/2006/customXml" ds:itemID="{210093AE-1111-402E-B807-152E2849E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8fafeeb-07ef-460a-9e5d-a02cd2f60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98BFCC-8945-476B-8290-304C2966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1598</TotalTime>
  <Pages>61</Pages>
  <Words>15862</Words>
  <Characters>121823</Characters>
  <Application>Microsoft Office Word</Application>
  <DocSecurity>0</DocSecurity>
  <Lines>1561</Lines>
  <Paragraphs>330</Paragraphs>
  <ScaleCrop>false</ScaleCrop>
  <HeadingPairs>
    <vt:vector size="2" baseType="variant">
      <vt:variant>
        <vt:lpstr>Title</vt:lpstr>
      </vt:variant>
      <vt:variant>
        <vt:i4>1</vt:i4>
      </vt:variant>
    </vt:vector>
  </HeadingPairs>
  <TitlesOfParts>
    <vt:vector size="1" baseType="lpstr">
      <vt:lpstr>draft 2020 EU Justice Scoreboard</vt:lpstr>
    </vt:vector>
  </TitlesOfParts>
  <Manager/>
  <Company/>
  <LinksUpToDate>false</LinksUpToDate>
  <CharactersWithSpaces>137355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2020 EU Justice Scoreboard</dc:title>
  <dc:subject>2020 EU Justice Scoreboard</dc:subject>
  <dc:creator/>
  <cp:keywords/>
  <dc:description/>
  <cp:lastModifiedBy>WES PDFC Administrator</cp:lastModifiedBy>
  <cp:revision>24</cp:revision>
  <dcterms:created xsi:type="dcterms:W3CDTF">2020-09-08T15:46:00Z</dcterms:created>
  <dcterms:modified xsi:type="dcterms:W3CDTF">2020-09-11T14:40:00Z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CP-035</vt:lpwstr>
  </property>
  <property fmtid="{D5CDD505-2E9C-101B-9397-08002B2CF9AE}" pid="7" name="Created using">
    <vt:lpwstr>LW 7.0, Build 20190717</vt:lpwstr>
  </property>
  <property fmtid="{D5CDD505-2E9C-101B-9397-08002B2CF9AE}" pid="8" name="Last edited using">
    <vt:lpwstr>LW 7.0.1, Build 20190916</vt:lpwstr>
  </property>
  <property fmtid="{D5CDD505-2E9C-101B-9397-08002B2CF9AE}" pid="9" name="_LW_INVALIDATED__LW_INVALIDATED__LW_INVALIDATED__LW_INVALIDATED__LW_INVALIDATED__LW_INVALIDATED_ContentTypeId">
    <vt:lpwstr>0x010100258AA79CEB83498886A3A0868112325000413CD145F789BB4B8AE4B42C0D616160</vt:lpwstr>
  </property>
</Properties>
</file>