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9C3" w:rsidRDefault="000329C3" w:rsidP="006A7D1F">
      <w:pPr>
        <w:pStyle w:val="Langue"/>
        <w:framePr w:wrap="around"/>
      </w:pPr>
      <w:bookmarkStart w:id="0" w:name="LW_BM_COVERPAGE"/>
      <w:r>
        <w:t>MT</w:t>
      </w:r>
    </w:p>
    <w:tbl>
      <w:tblPr>
        <w:tblW w:w="89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59"/>
        <w:gridCol w:w="2625"/>
        <w:gridCol w:w="3686"/>
      </w:tblGrid>
      <w:tr w:rsidR="000329C3" w:rsidRPr="00776C1A" w:rsidTr="00CE6925">
        <w:trPr>
          <w:trHeight w:hRule="exact" w:val="2381"/>
        </w:trPr>
        <w:tc>
          <w:tcPr>
            <w:tcW w:w="2659" w:type="dxa"/>
            <w:vAlign w:val="bottom"/>
          </w:tcPr>
          <w:p w:rsidR="000329C3" w:rsidRPr="00776C1A" w:rsidRDefault="000329C3" w:rsidP="00560055">
            <w:pPr>
              <w:pStyle w:val="Nomdelinstitution"/>
              <w:spacing w:after="1080"/>
            </w:pPr>
            <w:bookmarkStart w:id="1" w:name="NOM_INST_LOGO"/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25pt;height:61.5pt">
                  <v:imagedata r:id="rId11" o:title=""/>
                </v:shape>
              </w:pict>
            </w:r>
            <w:bookmarkEnd w:id="1"/>
          </w:p>
        </w:tc>
        <w:tc>
          <w:tcPr>
            <w:tcW w:w="2625" w:type="dxa"/>
            <w:vAlign w:val="bottom"/>
          </w:tcPr>
          <w:p w:rsidR="000329C3" w:rsidRPr="009637B1" w:rsidRDefault="000329C3" w:rsidP="009637B1">
            <w:pPr>
              <w:pStyle w:val="Nomdelinstitution"/>
              <w:spacing w:after="1040"/>
              <w:rPr>
                <w:sz w:val="23"/>
                <w:szCs w:val="23"/>
              </w:rPr>
            </w:pPr>
            <w:bookmarkStart w:id="2" w:name="NOM_INST"/>
            <w:bookmarkEnd w:id="2"/>
            <w:r>
              <w:rPr>
                <w:sz w:val="23"/>
              </w:rPr>
              <w:t>IL-KUMMISSJONI</w:t>
            </w:r>
            <w:r>
              <w:br/>
            </w:r>
            <w:r>
              <w:rPr>
                <w:sz w:val="23"/>
              </w:rPr>
              <w:t>EWROPEA</w:t>
            </w:r>
          </w:p>
        </w:tc>
        <w:tc>
          <w:tcPr>
            <w:tcW w:w="3686" w:type="dxa"/>
            <w:vAlign w:val="bottom"/>
          </w:tcPr>
          <w:p w:rsidR="000329C3" w:rsidRPr="009637B1" w:rsidRDefault="000329C3" w:rsidP="00560055">
            <w:pPr>
              <w:pStyle w:val="Nomdelinstitution"/>
              <w:spacing w:after="1040"/>
              <w:jc w:val="right"/>
              <w:rPr>
                <w:sz w:val="23"/>
                <w:szCs w:val="23"/>
              </w:rPr>
            </w:pPr>
            <w:bookmarkStart w:id="3" w:name="NOM_INST_JOINT"/>
            <w:bookmarkEnd w:id="3"/>
          </w:p>
        </w:tc>
      </w:tr>
    </w:tbl>
    <w:p w:rsidR="000329C3" w:rsidRDefault="000329C3" w:rsidP="00AD0DD9">
      <w:pPr>
        <w:pStyle w:val="Emission"/>
      </w:pPr>
      <w:bookmarkStart w:id="4" w:name="EMISSION"/>
      <w:bookmarkEnd w:id="4"/>
      <w:r>
        <w:t xml:space="preserve">Brussell, 10.7.2020 </w:t>
      </w:r>
    </w:p>
    <w:p w:rsidR="000329C3" w:rsidRPr="00AD0DD9" w:rsidRDefault="000329C3" w:rsidP="00AD0DD9">
      <w:pPr>
        <w:pStyle w:val="Rfrenceinstitutionnelle"/>
      </w:pPr>
      <w:bookmarkStart w:id="5" w:name="REF_INST"/>
      <w:bookmarkEnd w:id="5"/>
      <w:r>
        <w:t>COM(2020) 306 final</w:t>
      </w:r>
    </w:p>
    <w:p w:rsidR="000329C3" w:rsidRDefault="000329C3" w:rsidP="00AD0DD9">
      <w:pPr>
        <w:pStyle w:val="Confidentialit"/>
      </w:pPr>
      <w:bookmarkStart w:id="6" w:name="MARKING"/>
      <w:bookmarkEnd w:id="6"/>
    </w:p>
    <w:p w:rsidR="000329C3" w:rsidRPr="00AD0DD9" w:rsidRDefault="000329C3" w:rsidP="00AD0DD9">
      <w:pPr>
        <w:pStyle w:val="TypedudocumentPagedecouverture"/>
      </w:pPr>
      <w:bookmarkStart w:id="7" w:name="TYPE_DU_DOCUMENT"/>
      <w:bookmarkEnd w:id="7"/>
      <w:r>
        <w:t>KOMUNIKAZZJONI MILL-KUMMISSJONI LILL-PARLAMENT EWROPEW, LILL-KUNSILL, LILL-BANK ĊENTRALI EWROPEW, LILL-KUMITAT EKONOMIKU U SOĊJALI EWROPEW U LILL-KUMITAT TAR-REĠJUNI</w:t>
      </w:r>
      <w:r>
        <w:br/>
      </w:r>
    </w:p>
    <w:p w:rsidR="000329C3" w:rsidRPr="000329C3" w:rsidRDefault="000329C3" w:rsidP="00AD0DD9">
      <w:pPr>
        <w:pStyle w:val="TitreobjetPagedecouverture"/>
        <w:rPr>
          <w:lang w:val="fr-BE"/>
        </w:rPr>
      </w:pPr>
      <w:bookmarkStart w:id="8" w:name="TITRE_OBJET"/>
      <w:bookmarkEnd w:id="8"/>
      <w:r w:rsidRPr="000329C3">
        <w:rPr>
          <w:lang w:val="fr-BE"/>
        </w:rPr>
        <w:t>It-Tabella ta’ Valutazzjoni tal-Ġustizzja tal-UE tal-2020</w:t>
      </w:r>
    </w:p>
    <w:bookmarkEnd w:id="0"/>
    <w:p w:rsidR="000329C3" w:rsidRDefault="000329C3" w:rsidP="000329C3">
      <w:pPr>
        <w:rPr>
          <w:noProof/>
          <w:highlight w:val="yellow"/>
        </w:rPr>
        <w:sectPr w:rsidR="000329C3" w:rsidSect="000329C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39"/>
          <w:pgMar w:top="1134" w:right="1417" w:bottom="1134" w:left="1417" w:header="709" w:footer="709" w:gutter="0"/>
          <w:pgNumType w:start="2"/>
          <w:cols w:space="708"/>
          <w:docGrid w:linePitch="360"/>
        </w:sectPr>
      </w:pPr>
    </w:p>
    <w:p w:rsidR="00461018" w:rsidRDefault="00461018">
      <w:pPr>
        <w:spacing w:after="120" w:line="240" w:lineRule="auto"/>
        <w:jc w:val="right"/>
        <w:rPr>
          <w:rFonts w:ascii="Times New Roman" w:eastAsia="Calibri" w:hAnsi="Times New Roman" w:cs="Times New Roman"/>
          <w:noProof/>
          <w:sz w:val="24"/>
          <w:highlight w:val="yellow"/>
        </w:rPr>
      </w:pPr>
      <w:bookmarkStart w:id="9" w:name="_GoBack"/>
      <w:bookmarkEnd w:id="9"/>
    </w:p>
    <w:p w:rsidR="00461018" w:rsidRDefault="00461018">
      <w:pPr>
        <w:spacing w:after="120" w:line="240" w:lineRule="auto"/>
        <w:jc w:val="right"/>
        <w:rPr>
          <w:rFonts w:ascii="Times New Roman" w:eastAsia="Calibri" w:hAnsi="Times New Roman" w:cs="Times New Roman"/>
          <w:noProof/>
          <w:sz w:val="24"/>
          <w:highlight w:val="yellow"/>
        </w:rPr>
      </w:pPr>
    </w:p>
    <w:p w:rsidR="00461018" w:rsidRDefault="000329C3">
      <w:pPr>
        <w:keepNext/>
        <w:tabs>
          <w:tab w:val="left" w:pos="850"/>
        </w:tabs>
        <w:spacing w:before="120" w:after="120" w:line="240" w:lineRule="auto"/>
        <w:ind w:left="850" w:hanging="850"/>
        <w:jc w:val="both"/>
        <w:outlineLvl w:val="0"/>
        <w:rPr>
          <w:rFonts w:ascii="Times New Roman" w:eastAsia="Times New Roman" w:hAnsi="Times New Roman" w:cs="Times New Roman"/>
          <w:b/>
          <w:smallCaps/>
          <w:noProof/>
          <w:sz w:val="24"/>
          <w:szCs w:val="24"/>
        </w:rPr>
      </w:pPr>
      <w:r>
        <w:rPr>
          <w:noProof/>
        </w:rPr>
        <w:tab/>
      </w:r>
      <w:r>
        <w:rPr>
          <w:rFonts w:ascii="Times New Roman" w:hAnsi="Times New Roman"/>
          <w:b/>
          <w:smallCaps/>
          <w:noProof/>
          <w:sz w:val="24"/>
          <w:szCs w:val="24"/>
        </w:rPr>
        <w:t>1.</w:t>
      </w:r>
      <w:r>
        <w:rPr>
          <w:noProof/>
        </w:rPr>
        <w:tab/>
      </w:r>
      <w:r>
        <w:rPr>
          <w:rFonts w:ascii="Times New Roman" w:hAnsi="Times New Roman"/>
          <w:b/>
          <w:smallCaps/>
          <w:noProof/>
          <w:sz w:val="24"/>
          <w:szCs w:val="24"/>
        </w:rPr>
        <w:t>Daħla</w:t>
      </w:r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Sistemi tal-ġustizzja effettivi huma essenzjali sabiex jimplimentaw id-dritt tal-UE u sabiex jiddefendu l-istat tad-dritt u l-valuri li </w:t>
      </w:r>
      <w:r>
        <w:rPr>
          <w:rFonts w:ascii="Times New Roman" w:hAnsi="Times New Roman"/>
          <w:noProof/>
          <w:sz w:val="24"/>
          <w:szCs w:val="24"/>
        </w:rPr>
        <w:t>fuqhom hija msejsa l-UE. Il-qrati nazzjonali jaġixxu bħala qrati tal-UE meta japplikaw id-dritt tal-Unjoni. Huma l-qrati nazzjonali li l-ewwel jiżguraw li d-drittijiet u l-obbligi previsti skont id-dritt tal-Unjoni jiġu infurzati b’mod effettiv (l-Artikolu</w:t>
      </w:r>
      <w:r>
        <w:rPr>
          <w:rFonts w:ascii="Times New Roman" w:hAnsi="Times New Roman"/>
          <w:noProof/>
          <w:sz w:val="24"/>
          <w:szCs w:val="24"/>
        </w:rPr>
        <w:t> 19 TUE).</w:t>
      </w:r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Sistemi tal-ġustizzja effettivi huma essenzjali wkoll għall-fiduċja reċiproka, għall-klima tal-investiment u għas-sostenibbiltà tat-tkabbir fit-tul. Għal din ir-raġuni, it-titjib tal-effiċjenza, tal-kwalità u tal-indipendenza tas-sistemi tal-ġust</w:t>
      </w:r>
      <w:r>
        <w:rPr>
          <w:rFonts w:ascii="Times New Roman" w:hAnsi="Times New Roman"/>
          <w:noProof/>
          <w:sz w:val="24"/>
          <w:szCs w:val="24"/>
        </w:rPr>
        <w:t>izzja nazzjonali għadu meqjus bħala waħda mill-prijoritajiet tas-Semestru Ewropew – iċ-ċiklu annwali ta’ koordinazzjoni tal-politika ekonomika tal-UE. L-istrateġija annwali tal-2020 għat-tkabbir sostenibbli, li tistabbilixxi l-istrateġija tal-politika ekon</w:t>
      </w:r>
      <w:r>
        <w:rPr>
          <w:rFonts w:ascii="Times New Roman" w:hAnsi="Times New Roman"/>
          <w:noProof/>
          <w:sz w:val="24"/>
          <w:szCs w:val="24"/>
        </w:rPr>
        <w:t>omika u tal-impjiegi għall-UE u tqiegħed is-sostenibbiltà u l-inklużjoni soċjali fil-qalba tat-tfassil tal-politika ekonomika tal-UE, ittenni r-rabta bejn sistemi tal-ġustizzja effettivi u l-ambjent tan-negozju fl-Istati Membri. Sistemi tal-ġustizzja li ja</w:t>
      </w:r>
      <w:r>
        <w:rPr>
          <w:rFonts w:ascii="Times New Roman" w:hAnsi="Times New Roman"/>
          <w:noProof/>
          <w:sz w:val="24"/>
          <w:szCs w:val="24"/>
        </w:rPr>
        <w:t>ħdmu kif suppost u li jkunu kompletament indipendenti jista’ jkollhom impatt pożittiv fuq l-investiment u, għalhekk, jikkontribwixxu għall-produttività u għall-kompetittività. Huma wkoll importanti sabiex jiġi żgurat l-infurzar transfruntiera effettiv tal-</w:t>
      </w:r>
      <w:r>
        <w:rPr>
          <w:rFonts w:ascii="Times New Roman" w:hAnsi="Times New Roman"/>
          <w:noProof/>
          <w:sz w:val="24"/>
          <w:szCs w:val="24"/>
        </w:rPr>
        <w:t>kuntratti u tad-deċiżjonijiet amministrattivi u tas-soluzzjoni għat-tilwim, li huma essenzjali għall-funzjonament tas-suq uniku(</w:t>
      </w:r>
      <w:r>
        <w:rPr>
          <w:rStyle w:val="FootnoteReference"/>
          <w:rFonts w:ascii="Times New Roman" w:eastAsia="Calibri" w:hAnsi="Times New Roman" w:cs="Times New Roman"/>
          <w:noProof/>
          <w:sz w:val="24"/>
          <w:szCs w:val="24"/>
        </w:rPr>
        <w:footnoteReference w:id="2"/>
      </w:r>
      <w:r>
        <w:rPr>
          <w:rFonts w:ascii="Times New Roman" w:hAnsi="Times New Roman"/>
          <w:noProof/>
          <w:sz w:val="24"/>
          <w:szCs w:val="24"/>
        </w:rPr>
        <w:t>).</w:t>
      </w:r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F’dan l-isfond, it-Tabella ta’ Valutazzjoni tal-Ġustizzja tal-UE tippreżenta ħarsa ġenerali annwali tal-indikaturi li jiffokaw fuq il-parametri essenzjali ta’ sistemi tal-ġustizzja effettivi: l-effiċjenza, il-kwalità u l-indipendenza. </w:t>
      </w:r>
      <w:r>
        <w:rPr>
          <w:rFonts w:ascii="Times New Roman" w:hAnsi="Times New Roman"/>
          <w:noProof/>
          <w:sz w:val="24"/>
        </w:rPr>
        <w:t xml:space="preserve">L-edizzjoni tal-2020 </w:t>
      </w:r>
      <w:r>
        <w:rPr>
          <w:rFonts w:ascii="Times New Roman" w:hAnsi="Times New Roman"/>
          <w:noProof/>
          <w:sz w:val="24"/>
        </w:rPr>
        <w:t>tkompli tiżviluppa l-indikaturi fuq it-tliet elementi kollha. Din ma tirriflettix il-konsegwenzi tal-kriżi tal-COVID-19, peress li 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tkopri s-snin mill-2012 sal-2019, iżda mhux l-2020.</w:t>
      </w:r>
    </w:p>
    <w:p w:rsidR="00461018" w:rsidRDefault="000329C3">
      <w:pPr>
        <w:spacing w:before="240" w:after="120" w:line="240" w:lineRule="auto"/>
        <w:jc w:val="both"/>
        <w:rPr>
          <w:rFonts w:ascii="Times New Roman" w:eastAsia="Calibri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sym w:font="Symbol" w:char="F02D"/>
      </w:r>
      <w:r>
        <w:rPr>
          <w:rFonts w:ascii="Times New Roman" w:hAnsi="Times New Roman"/>
          <w:i/>
          <w:noProof/>
          <w:sz w:val="24"/>
          <w:szCs w:val="24"/>
        </w:rPr>
        <w:t xml:space="preserve"> Il-Mekkaniżmu Ewropew għall-Istat tad-dritt </w:t>
      </w:r>
      <w:r>
        <w:rPr>
          <w:rFonts w:ascii="Times New Roman" w:hAnsi="Times New Roman"/>
          <w:i/>
          <w:noProof/>
        </w:rPr>
        <w:t>–</w:t>
      </w:r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Kif imħabbar fil-linji gwida politiċi tal-President von der Leyen, il-Kummissjoni stabbiliet Mekkaniżmu Ewropew tal-Istat tad-Dritt komprensiv sabiex tapprofondixxi l-monitoraġġ tagħha tas-sitwazzjoni fl-Istati Membri. Il-Mekkaniżmu tal-Istat tad-Dritt se </w:t>
      </w:r>
      <w:r>
        <w:rPr>
          <w:rFonts w:ascii="Times New Roman" w:hAnsi="Times New Roman"/>
          <w:noProof/>
          <w:sz w:val="24"/>
          <w:szCs w:val="24"/>
        </w:rPr>
        <w:t>jaġixxi bħala għodda preventiva, li tapprofondixxi d-djalogu u s-sensibilizzazzjoni konġunta dwar kwistjonijiet relatati mal-istat tad-dritt. Il-karatteristiċi ewlenin tiegħu huma spjegati fid-dettall fil-“Komunikazzjoni tal-Kummissjoni dwar It-tisħiħ tal-</w:t>
      </w:r>
      <w:r>
        <w:rPr>
          <w:rFonts w:ascii="Times New Roman" w:hAnsi="Times New Roman"/>
          <w:noProof/>
          <w:sz w:val="24"/>
          <w:szCs w:val="24"/>
        </w:rPr>
        <w:t>istat tad-dritt fl-Unjoni – Pjan ta’ azzjoni” tal-2019. Il-Mekkaniżmu l-ġdid se jibbaża fuq Rapport annwali dwar l-Istat tad-Dritt, li se jipprovdi sinteżi tal-iżviluppi sinifikanti – kemm pożittivi kif ukoll negattivi – fl-Istati Membri kollha. Ir-Rapport</w:t>
      </w:r>
      <w:r>
        <w:rPr>
          <w:rFonts w:ascii="Times New Roman" w:hAnsi="Times New Roman"/>
          <w:noProof/>
          <w:sz w:val="24"/>
          <w:szCs w:val="24"/>
        </w:rPr>
        <w:t xml:space="preserve"> se jkun ibbażat fuq varjetà ta’ sorsi, inkluża t-Tabella ta’ Valutazzjoni tal-Ġustizzja tal-UE. </w:t>
      </w:r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Times New Roman"/>
          <w:noProof/>
          <w:sz w:val="24"/>
          <w:highlight w:val="yellow"/>
        </w:rPr>
      </w:pPr>
      <w:r>
        <w:rPr>
          <w:noProof/>
        </w:rPr>
        <w:br w:type="page"/>
      </w:r>
    </w:p>
    <w:p w:rsidR="00461018" w:rsidRDefault="00032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 w:line="240" w:lineRule="auto"/>
        <w:jc w:val="both"/>
        <w:rPr>
          <w:rFonts w:ascii="Times New Roman" w:eastAsia="Calibri" w:hAnsi="Times New Roman" w:cs="Times New Roman"/>
          <w:b/>
          <w:i/>
          <w:noProof/>
        </w:rPr>
      </w:pPr>
      <w:r>
        <w:rPr>
          <w:rFonts w:ascii="Times New Roman" w:hAnsi="Times New Roman"/>
          <w:b/>
          <w:i/>
          <w:noProof/>
        </w:rPr>
        <w:t>X’inhi t-Tabella ta’ Valutazzjoni tal-Ġustizzja tal-UE?</w:t>
      </w:r>
    </w:p>
    <w:p w:rsidR="00461018" w:rsidRDefault="00032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40" w:lineRule="auto"/>
        <w:jc w:val="both"/>
        <w:rPr>
          <w:rFonts w:ascii="Times New Roman" w:eastAsia="Calibri" w:hAnsi="Times New Roman" w:cs="Times New Roman"/>
          <w:noProof/>
        </w:rPr>
      </w:pPr>
      <w:r>
        <w:rPr>
          <w:rFonts w:ascii="Times New Roman" w:hAnsi="Times New Roman"/>
          <w:noProof/>
        </w:rPr>
        <w:t>It-Tabella ta’ Valutazzjoni tal-Ġustizzja tal-UE hija għodda ta’ informazzjoni komparattiva annwali.</w:t>
      </w:r>
      <w:r>
        <w:rPr>
          <w:rFonts w:ascii="Times New Roman" w:hAnsi="Times New Roman"/>
          <w:noProof/>
        </w:rPr>
        <w:t xml:space="preserve"> L-iskop tagħha huwa li tassisti lill-UE u lill-Istati Membri sabiex itejbu l-effettività tas-sistemi tal-ġustizzja nazzjonali tagħhom billi tipprovdi </w:t>
      </w:r>
      <w:r>
        <w:rPr>
          <w:rFonts w:ascii="Times New Roman" w:hAnsi="Times New Roman"/>
          <w:i/>
          <w:noProof/>
        </w:rPr>
        <w:t>data</w:t>
      </w:r>
      <w:r>
        <w:rPr>
          <w:rFonts w:ascii="Times New Roman" w:hAnsi="Times New Roman"/>
          <w:noProof/>
        </w:rPr>
        <w:t xml:space="preserve"> oġġettiva, affidabbli u komparabbli dwar għadd ta’ indikaturi rilevanti għall-valutazzjoni tal-effiċ</w:t>
      </w:r>
      <w:r>
        <w:rPr>
          <w:rFonts w:ascii="Times New Roman" w:hAnsi="Times New Roman"/>
          <w:noProof/>
        </w:rPr>
        <w:t>jenza, tal-kwalità u tal-indipendenza tas-sistemi tal-ġustizzja fl-Istati Membri kollha. Ma tippreżentax klassifikazzjoni unika globali, iżda tagħti ħarsa ġenerali lejn il-funzjonament tas-sistemi tal-ġustizzja kollha, fuq il-bażi ta’ indikaturi li huma ta</w:t>
      </w:r>
      <w:r>
        <w:rPr>
          <w:rFonts w:ascii="Times New Roman" w:hAnsi="Times New Roman"/>
          <w:noProof/>
        </w:rPr>
        <w:t>’ interess komuni għall-Istati Membri kollha.</w:t>
      </w:r>
    </w:p>
    <w:p w:rsidR="00461018" w:rsidRDefault="00032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40" w:lineRule="auto"/>
        <w:jc w:val="both"/>
        <w:rPr>
          <w:rFonts w:ascii="Times New Roman" w:eastAsia="Calibri" w:hAnsi="Times New Roman" w:cs="Times New Roman"/>
          <w:noProof/>
        </w:rPr>
      </w:pPr>
      <w:r>
        <w:rPr>
          <w:rFonts w:ascii="Times New Roman" w:hAnsi="Times New Roman"/>
          <w:noProof/>
        </w:rPr>
        <w:t xml:space="preserve">It-Tabella ta’ Valutazzjoni ma tippromwovi ebda tip partikolari ta’ sistema tal-ġustizzja u tittratta lill-Istati Membri kollha b’mod ugwali. </w:t>
      </w:r>
    </w:p>
    <w:p w:rsidR="00461018" w:rsidRDefault="00032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40" w:lineRule="auto"/>
        <w:jc w:val="both"/>
        <w:rPr>
          <w:rFonts w:ascii="Times New Roman" w:eastAsia="Calibri" w:hAnsi="Times New Roman" w:cs="Times New Roman"/>
          <w:noProof/>
        </w:rPr>
      </w:pPr>
      <w:r>
        <w:rPr>
          <w:rFonts w:ascii="Times New Roman" w:hAnsi="Times New Roman"/>
          <w:noProof/>
        </w:rPr>
        <w:t>L-effiċjenza, il-kwalità u l-indipendenza huma parametri essenzjali</w:t>
      </w:r>
      <w:r>
        <w:rPr>
          <w:rFonts w:ascii="Times New Roman" w:hAnsi="Times New Roman"/>
          <w:noProof/>
        </w:rPr>
        <w:t xml:space="preserve"> ta’ sistema tal-ġustizzja effettiva, ikunu xi jkun il-mudell tas-sistema tal-ġustizzja nazzjonali jew it-tradizzjoni legali li tkun imsejsa fuqha. Jenħtieġ li l-illustrazzjonijiet dwar dawn it-tliet parametri jinqraw flimkien, għaliex it-tliet elementi sp</w:t>
      </w:r>
      <w:r>
        <w:rPr>
          <w:rFonts w:ascii="Times New Roman" w:hAnsi="Times New Roman"/>
          <w:noProof/>
        </w:rPr>
        <w:t xml:space="preserve">iss ikunu marbutin flimkien (inizjattivi li għandhom l-għan li jtejbu xi wieħed minnhom jistgħu jkollhom influwenza fuq l-ieħor). </w:t>
      </w:r>
    </w:p>
    <w:p w:rsidR="00461018" w:rsidRDefault="00032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40" w:lineRule="auto"/>
        <w:jc w:val="both"/>
        <w:rPr>
          <w:rFonts w:ascii="Times New Roman" w:eastAsia="Calibri" w:hAnsi="Times New Roman" w:cs="Times New Roman"/>
          <w:noProof/>
        </w:rPr>
      </w:pPr>
      <w:r>
        <w:rPr>
          <w:rFonts w:ascii="Times New Roman" w:hAnsi="Times New Roman"/>
          <w:noProof/>
        </w:rPr>
        <w:t>It-Tabella ta’ Valutazzjoni tiffoka primarjament fuq kawżi ċivili u kummerċjali kontenzjużi, kif ukoll fuq kawżi amministratt</w:t>
      </w:r>
      <w:r>
        <w:rPr>
          <w:rFonts w:ascii="Times New Roman" w:hAnsi="Times New Roman"/>
          <w:noProof/>
        </w:rPr>
        <w:t xml:space="preserve">ivi sabiex tgħin lill-Istati Membri fl-isforzi tagħhom biex joħolqu ambjent li jiffavorixxi aktar l-investiment, in-negozju u ċ-ċittadini. It-Tabella ta’ Valutazzjoni hija għodda komparattiva li tevolvi fi djalogu mal-Istati Membri u mal-Parlament Ewropew </w:t>
      </w:r>
      <w:r>
        <w:rPr>
          <w:rFonts w:ascii="Times New Roman" w:hAnsi="Times New Roman"/>
          <w:noProof/>
        </w:rPr>
        <w:t>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3"/>
      </w:r>
      <w:r>
        <w:rPr>
          <w:rFonts w:ascii="Times New Roman" w:hAnsi="Times New Roman"/>
          <w:noProof/>
        </w:rPr>
        <w:t xml:space="preserve">). L-objettiv tagħha huwa li tidentifika l-parametri essenzjali ta’ sistema tal-ġustizzja effettiva u li tipprovdi </w:t>
      </w:r>
      <w:r>
        <w:rPr>
          <w:rFonts w:ascii="Times New Roman" w:hAnsi="Times New Roman"/>
          <w:i/>
          <w:noProof/>
        </w:rPr>
        <w:t>data</w:t>
      </w:r>
      <w:r>
        <w:rPr>
          <w:rFonts w:ascii="Times New Roman" w:hAnsi="Times New Roman"/>
          <w:noProof/>
        </w:rPr>
        <w:t xml:space="preserve"> annwali rilevanti.</w:t>
      </w:r>
    </w:p>
    <w:p w:rsidR="00461018" w:rsidRDefault="000329C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 w:line="240" w:lineRule="auto"/>
        <w:jc w:val="both"/>
        <w:rPr>
          <w:rFonts w:ascii="Times New Roman" w:eastAsia="Calibri" w:hAnsi="Times New Roman" w:cs="Times New Roman"/>
          <w:b/>
          <w:i/>
          <w:noProof/>
        </w:rPr>
      </w:pPr>
      <w:r>
        <w:rPr>
          <w:rFonts w:ascii="Times New Roman" w:hAnsi="Times New Roman"/>
          <w:b/>
          <w:i/>
          <w:noProof/>
        </w:rPr>
        <w:t>X’inhi l-metodoloġija tat-Tabella ta’ Valutazzjoni tal-Ġustizzja tal-UE?</w:t>
      </w:r>
    </w:p>
    <w:p w:rsidR="00461018" w:rsidRDefault="00032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40" w:lineRule="auto"/>
        <w:jc w:val="both"/>
        <w:rPr>
          <w:rFonts w:ascii="Times New Roman" w:eastAsia="Calibri" w:hAnsi="Times New Roman" w:cs="Times New Roman"/>
          <w:noProof/>
          <w:highlight w:val="yellow"/>
        </w:rPr>
      </w:pPr>
      <w:r>
        <w:rPr>
          <w:rFonts w:ascii="Times New Roman" w:hAnsi="Times New Roman"/>
          <w:noProof/>
        </w:rPr>
        <w:t>It-Tabella ta’ Valutazzjoni tuża firxa ta’</w:t>
      </w:r>
      <w:r>
        <w:rPr>
          <w:rFonts w:ascii="Times New Roman" w:hAnsi="Times New Roman"/>
          <w:noProof/>
        </w:rPr>
        <w:t xml:space="preserve"> sorsi ta’ informazzjoni. Il-biċċa l-kbira tad-</w:t>
      </w:r>
      <w:r>
        <w:rPr>
          <w:rFonts w:ascii="Times New Roman" w:hAnsi="Times New Roman"/>
          <w:i/>
          <w:noProof/>
        </w:rPr>
        <w:t>data</w:t>
      </w:r>
      <w:r>
        <w:rPr>
          <w:rFonts w:ascii="Times New Roman" w:hAnsi="Times New Roman"/>
          <w:noProof/>
        </w:rPr>
        <w:t xml:space="preserve"> kwantitattiva hija pprovduta mill-Kummissjoni Ewropea għall-Effikaċja tal-Ġustizzja (CEPEJ) tal-Kunsill Ewropew li magħha l-Kummissjoni kkonkludiet kuntratt sabiex twettaq studju annwali speċifiku. Din id</w:t>
      </w:r>
      <w:r>
        <w:rPr>
          <w:rFonts w:ascii="Times New Roman" w:hAnsi="Times New Roman"/>
          <w:noProof/>
        </w:rPr>
        <w:t>-</w:t>
      </w:r>
      <w:r>
        <w:rPr>
          <w:rFonts w:ascii="Times New Roman" w:hAnsi="Times New Roman"/>
          <w:i/>
          <w:noProof/>
        </w:rPr>
        <w:t>data</w:t>
      </w:r>
      <w:r>
        <w:rPr>
          <w:rFonts w:ascii="Times New Roman" w:hAnsi="Times New Roman"/>
          <w:noProof/>
        </w:rPr>
        <w:t xml:space="preserve"> tkopri l-perjodu bejn l-2012 u l-2018 u ġiet ipprovduta mill-Istati Membri skont il-metodoloġija tas-CEPEJ(</w:t>
      </w:r>
      <w:r>
        <w:rPr>
          <w:rStyle w:val="FootnoteReference"/>
          <w:rFonts w:ascii="Times New Roman" w:eastAsia="Calibri" w:hAnsi="Times New Roman" w:cs="Times New Roman"/>
          <w:noProof/>
        </w:rPr>
        <w:footnoteReference w:id="4"/>
      </w:r>
      <w:r>
        <w:rPr>
          <w:rFonts w:ascii="Times New Roman" w:hAnsi="Times New Roman"/>
          <w:noProof/>
        </w:rPr>
        <w:t>). L-istudju jipprovdi wkoll kummenti dettaljati u skedi informattivi speċifiċi għall-pajjiż li jagħtu aktar kuntest. Jenħtieġ li dawn jinqraw</w:t>
      </w:r>
      <w:r>
        <w:rPr>
          <w:rFonts w:ascii="Times New Roman" w:hAnsi="Times New Roman"/>
          <w:noProof/>
        </w:rPr>
        <w:t xml:space="preserve"> flimkien mal-illustrazzjonijiet 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5"/>
      </w:r>
      <w:r>
        <w:rPr>
          <w:rFonts w:ascii="Times New Roman" w:hAnsi="Times New Roman"/>
          <w:noProof/>
        </w:rPr>
        <w:t>).</w:t>
      </w:r>
    </w:p>
    <w:p w:rsidR="00461018" w:rsidRDefault="00032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40" w:lineRule="auto"/>
        <w:jc w:val="both"/>
        <w:rPr>
          <w:rFonts w:ascii="Times New Roman" w:eastAsia="Calibri" w:hAnsi="Times New Roman" w:cs="Times New Roman"/>
          <w:noProof/>
        </w:rPr>
      </w:pPr>
      <w:r>
        <w:rPr>
          <w:rFonts w:ascii="Times New Roman" w:hAnsi="Times New Roman"/>
          <w:noProof/>
        </w:rPr>
        <w:t>Id-</w:t>
      </w:r>
      <w:r>
        <w:rPr>
          <w:rFonts w:ascii="Times New Roman" w:hAnsi="Times New Roman"/>
          <w:i/>
          <w:noProof/>
        </w:rPr>
        <w:t>data</w:t>
      </w:r>
      <w:r>
        <w:rPr>
          <w:rFonts w:ascii="Times New Roman" w:hAnsi="Times New Roman"/>
          <w:noProof/>
        </w:rPr>
        <w:t xml:space="preserve"> fuq it-tul tal-proċedimenti miġbura mis-CEPEJ turi “ż-żmien għat-tlestija” li huwa t-tul kalkolat tal-proċedimenti tal-qorti (ibbażat fuq proporzjon bejn il-kawżi pendenti u dawk magħluqa). Id-</w:t>
      </w:r>
      <w:r>
        <w:rPr>
          <w:rFonts w:ascii="Times New Roman" w:hAnsi="Times New Roman"/>
          <w:i/>
          <w:noProof/>
        </w:rPr>
        <w:t>data</w:t>
      </w:r>
      <w:r>
        <w:rPr>
          <w:rFonts w:ascii="Times New Roman" w:hAnsi="Times New Roman"/>
          <w:noProof/>
        </w:rPr>
        <w:t xml:space="preserve"> dwar l-effiċjenza tal-qrati fl-applikazzjoni tad-dritt tal-Unjoni turi li t-tul medju tal-proċedimenti ġej mit-tul attwali tal-kawżi tal-qorti. Ta’ min jinnota li t-tul tal-proċedimenti tal-qorti jista’ jvarja sostanzjalment bejn iż-żoni fi ħdan Stat Memb</w:t>
      </w:r>
      <w:r>
        <w:rPr>
          <w:rFonts w:ascii="Times New Roman" w:hAnsi="Times New Roman"/>
          <w:noProof/>
        </w:rPr>
        <w:t>ru, b’mod partikolari f’ċentri urbani fejn l-attivitajiet kummerċjali jistgħu jwasslu għal ammont akbar ta’ kawżi.</w:t>
      </w:r>
    </w:p>
    <w:p w:rsidR="00461018" w:rsidRDefault="00032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40" w:lineRule="auto"/>
        <w:jc w:val="both"/>
        <w:rPr>
          <w:rFonts w:ascii="Times New Roman" w:eastAsia="Calibri" w:hAnsi="Times New Roman" w:cs="Times New Roman"/>
          <w:noProof/>
        </w:rPr>
      </w:pPr>
      <w:r>
        <w:rPr>
          <w:rFonts w:ascii="Times New Roman" w:hAnsi="Times New Roman"/>
          <w:noProof/>
        </w:rPr>
        <w:t xml:space="preserve">Sorsi oħra ta’ </w:t>
      </w:r>
      <w:r>
        <w:rPr>
          <w:rFonts w:ascii="Times New Roman" w:hAnsi="Times New Roman"/>
          <w:i/>
          <w:noProof/>
        </w:rPr>
        <w:t>data</w:t>
      </w:r>
      <w:r>
        <w:rPr>
          <w:rFonts w:ascii="Times New Roman" w:hAnsi="Times New Roman"/>
          <w:noProof/>
        </w:rPr>
        <w:t>, li jkopru l-perjodu mill-2010 sal-2019(</w:t>
      </w:r>
      <w:r>
        <w:rPr>
          <w:rStyle w:val="FootnoteReference"/>
          <w:rFonts w:ascii="Times New Roman" w:eastAsia="Calibri" w:hAnsi="Times New Roman" w:cs="Times New Roman"/>
          <w:noProof/>
        </w:rPr>
        <w:footnoteReference w:id="6"/>
      </w:r>
      <w:r>
        <w:rPr>
          <w:rFonts w:ascii="Times New Roman" w:hAnsi="Times New Roman"/>
          <w:noProof/>
        </w:rPr>
        <w:t>), huma: il-grupp ta’ persuni ta’ kuntatt dwar is-sistemi tal-ġustizzja nazzjona</w:t>
      </w:r>
      <w:r>
        <w:rPr>
          <w:rFonts w:ascii="Times New Roman" w:hAnsi="Times New Roman"/>
          <w:noProof/>
        </w:rPr>
        <w:t>li 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7"/>
      </w:r>
      <w:r>
        <w:rPr>
          <w:rFonts w:ascii="Times New Roman" w:hAnsi="Times New Roman"/>
          <w:noProof/>
        </w:rPr>
        <w:t>), in-Network Ewropew tal-Kunsilli għall-Ġudikatura (ENCJ) 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8"/>
      </w:r>
      <w:r>
        <w:rPr>
          <w:rFonts w:ascii="Times New Roman" w:hAnsi="Times New Roman"/>
          <w:noProof/>
        </w:rPr>
        <w:t>), in-Network tal-Presidenti tal-Qrati Ġudizzjarji Supremi tal-UE (NPSJC) 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9"/>
      </w:r>
      <w:r>
        <w:rPr>
          <w:rFonts w:ascii="Times New Roman" w:hAnsi="Times New Roman"/>
          <w:noProof/>
        </w:rPr>
        <w:t>), l-Assoċjazzjoni tal-Kunsilli tal-Istat u tal-Ġuriżdizzjonijiet Amministrattivi Supremi tal-UE (ACA-Europe) 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10"/>
      </w:r>
      <w:r>
        <w:rPr>
          <w:rFonts w:ascii="Times New Roman" w:hAnsi="Times New Roman"/>
          <w:noProof/>
        </w:rPr>
        <w:t>),</w:t>
      </w:r>
      <w:r>
        <w:rPr>
          <w:rFonts w:ascii="Times New Roman" w:hAnsi="Times New Roman"/>
          <w:noProof/>
        </w:rPr>
        <w:t xml:space="preserve"> in-Network Ewropew għall-Kompetizzjoni (NEK)(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11"/>
      </w:r>
      <w:r>
        <w:rPr>
          <w:rFonts w:ascii="Times New Roman" w:hAnsi="Times New Roman"/>
          <w:noProof/>
        </w:rPr>
        <w:t>), il-Kumitat tal-Komunikazzjoni (COCOM)(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12"/>
      </w:r>
      <w:r>
        <w:rPr>
          <w:rFonts w:ascii="Times New Roman" w:hAnsi="Times New Roman"/>
          <w:noProof/>
        </w:rPr>
        <w:t>), l-Osservatorju Ewropew tal-ksur tad-drittijiet tal-proprjetà intellettwali(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13"/>
      </w:r>
      <w:r>
        <w:rPr>
          <w:rFonts w:ascii="Times New Roman" w:hAnsi="Times New Roman"/>
          <w:noProof/>
        </w:rPr>
        <w:t>), in-Network ta’ Kooperazzjoni għall-Protezzjoni tal-Konsumatur (CPC)</w:t>
      </w:r>
      <w:r>
        <w:rPr>
          <w:rFonts w:ascii="Times New Roman" w:hAnsi="Times New Roman"/>
          <w:noProof/>
          <w:sz w:val="24"/>
          <w:szCs w:val="24"/>
        </w:rPr>
        <w:t>(</w:t>
      </w: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footnoteReference w:id="14"/>
      </w:r>
      <w:r>
        <w:rPr>
          <w:rFonts w:ascii="Times New Roman" w:hAnsi="Times New Roman"/>
          <w:noProof/>
          <w:sz w:val="24"/>
          <w:szCs w:val="24"/>
        </w:rPr>
        <w:t xml:space="preserve">), </w:t>
      </w:r>
      <w:r>
        <w:rPr>
          <w:rFonts w:ascii="Times New Roman" w:hAnsi="Times New Roman"/>
          <w:noProof/>
        </w:rPr>
        <w:t xml:space="preserve">il-Grupp ta’ </w:t>
      </w:r>
      <w:r>
        <w:rPr>
          <w:rFonts w:ascii="Times New Roman" w:hAnsi="Times New Roman"/>
          <w:noProof/>
        </w:rPr>
        <w:t>Esperti dwar il-Ħasil tal-Flus u l-Finanzjament tat-Terroriżmu (EGMLTF)(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15"/>
      </w:r>
      <w:r>
        <w:rPr>
          <w:rFonts w:ascii="Times New Roman" w:hAnsi="Times New Roman"/>
          <w:noProof/>
        </w:rPr>
        <w:t>), il-Eurostat(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16"/>
      </w:r>
      <w:r>
        <w:rPr>
          <w:rFonts w:ascii="Times New Roman" w:hAnsi="Times New Roman"/>
          <w:noProof/>
        </w:rPr>
        <w:t>), in-Network Ewropew tat-Taħriġ Ġudizzjarju (EJTN)(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17"/>
      </w:r>
      <w:r>
        <w:rPr>
          <w:rFonts w:ascii="Times New Roman" w:hAnsi="Times New Roman"/>
          <w:noProof/>
        </w:rPr>
        <w:t>) u l-Forum Ekonomiku Dinji (WEF)(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18"/>
      </w:r>
      <w:r>
        <w:rPr>
          <w:rFonts w:ascii="Times New Roman" w:hAnsi="Times New Roman"/>
          <w:noProof/>
        </w:rPr>
        <w:t>).</w:t>
      </w:r>
    </w:p>
    <w:p w:rsidR="00461018" w:rsidRDefault="00032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40" w:lineRule="auto"/>
        <w:jc w:val="both"/>
        <w:rPr>
          <w:rFonts w:ascii="Times New Roman" w:eastAsia="Calibri" w:hAnsi="Times New Roman" w:cs="Times New Roman"/>
          <w:noProof/>
        </w:rPr>
      </w:pPr>
      <w:r>
        <w:rPr>
          <w:rFonts w:ascii="Times New Roman" w:hAnsi="Times New Roman"/>
          <w:noProof/>
        </w:rPr>
        <w:t>Tul is-snin, il-metodoloġija għat-Tabella ta’ Valutazzjoni kompliet tiġi żviluppata u rfinata aktar f’kooperazzjoni mill-qrib mal-grupp ta’ persuni ta’ kuntatt dwar is-sistemi tal-ġustizzja nazzjonali, b’mod partikolari permezz ta’ kwestjonarju (aġġornat t</w:t>
      </w:r>
      <w:r>
        <w:rPr>
          <w:rFonts w:ascii="Times New Roman" w:hAnsi="Times New Roman"/>
          <w:noProof/>
        </w:rPr>
        <w:t xml:space="preserve">a’ kull sena) u ġbir ta’ </w:t>
      </w:r>
      <w:r>
        <w:rPr>
          <w:rFonts w:ascii="Times New Roman" w:hAnsi="Times New Roman"/>
          <w:i/>
          <w:noProof/>
        </w:rPr>
        <w:t>data</w:t>
      </w:r>
      <w:r>
        <w:rPr>
          <w:rFonts w:ascii="Times New Roman" w:hAnsi="Times New Roman"/>
          <w:noProof/>
        </w:rPr>
        <w:t xml:space="preserve"> dwar ċerti aspetti tal-funzjonament tas-sistemi tal-ġustizzja.</w:t>
      </w:r>
    </w:p>
    <w:p w:rsidR="00461018" w:rsidRDefault="00032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40" w:lineRule="auto"/>
        <w:jc w:val="both"/>
        <w:rPr>
          <w:rFonts w:ascii="Times New Roman" w:eastAsia="Calibri" w:hAnsi="Times New Roman" w:cs="Times New Roman"/>
          <w:i/>
          <w:noProof/>
        </w:rPr>
      </w:pPr>
      <w:r>
        <w:rPr>
          <w:rFonts w:ascii="Times New Roman" w:hAnsi="Times New Roman"/>
          <w:noProof/>
        </w:rPr>
        <w:t>Id-disponibbiltà tad-</w:t>
      </w:r>
      <w:r>
        <w:rPr>
          <w:rFonts w:ascii="Times New Roman" w:hAnsi="Times New Roman"/>
          <w:i/>
          <w:noProof/>
        </w:rPr>
        <w:t>data</w:t>
      </w:r>
      <w:r>
        <w:rPr>
          <w:rFonts w:ascii="Times New Roman" w:hAnsi="Times New Roman"/>
          <w:noProof/>
        </w:rPr>
        <w:t>, b’mod partikolari għall-indikaturi dwar l-effiċjenza tas-sistemi tal-ġustizzja, tkompli tittejjeb hekk kif diversi Stati Membri investew</w:t>
      </w:r>
      <w:r>
        <w:rPr>
          <w:rFonts w:ascii="Times New Roman" w:hAnsi="Times New Roman"/>
          <w:noProof/>
        </w:rPr>
        <w:t xml:space="preserve"> fil-kapaċità tagħhom sabiex jipproduċu statistika ġudizzjarja mtejba. Fejn għad fadal diffikultajiet fil-ġbir jew fil-provvista tad-</w:t>
      </w:r>
      <w:r>
        <w:rPr>
          <w:rFonts w:ascii="Times New Roman" w:hAnsi="Times New Roman"/>
          <w:i/>
          <w:noProof/>
        </w:rPr>
        <w:t>data</w:t>
      </w:r>
      <w:r>
        <w:rPr>
          <w:rFonts w:ascii="Times New Roman" w:hAnsi="Times New Roman"/>
          <w:noProof/>
        </w:rPr>
        <w:t>, dan huwa dovut jew għal kapaċità statistika insuffiċjenti jew inkella għall-fatt li l-kategoriji nazzjonali li għalih</w:t>
      </w:r>
      <w:r>
        <w:rPr>
          <w:rFonts w:ascii="Times New Roman" w:hAnsi="Times New Roman"/>
          <w:noProof/>
        </w:rPr>
        <w:t>om tinġabar id-</w:t>
      </w:r>
      <w:r>
        <w:rPr>
          <w:rFonts w:ascii="Times New Roman" w:hAnsi="Times New Roman"/>
          <w:i/>
          <w:noProof/>
        </w:rPr>
        <w:t>data</w:t>
      </w:r>
      <w:r>
        <w:rPr>
          <w:rFonts w:ascii="Times New Roman" w:hAnsi="Times New Roman"/>
          <w:noProof/>
        </w:rPr>
        <w:t xml:space="preserve"> ma jikkorrispondux eżattament għal dawk użati għat-Tabella ta’ Valutazzjoni. Fi ftit każijiet biss hemm diskrepanza fid-</w:t>
      </w:r>
      <w:r>
        <w:rPr>
          <w:rFonts w:ascii="Times New Roman" w:hAnsi="Times New Roman"/>
          <w:i/>
          <w:noProof/>
        </w:rPr>
        <w:t>data</w:t>
      </w:r>
      <w:r>
        <w:rPr>
          <w:rFonts w:ascii="Times New Roman" w:hAnsi="Times New Roman"/>
          <w:noProof/>
        </w:rPr>
        <w:t xml:space="preserve"> minħabba nuqqas ta’ kontributi mill-awtoritajiet nazzjonali. Il-Kummissjoni se tkompli tħeġġeġ lill-Istati Memb</w:t>
      </w:r>
      <w:r>
        <w:rPr>
          <w:rFonts w:ascii="Times New Roman" w:hAnsi="Times New Roman"/>
          <w:noProof/>
        </w:rPr>
        <w:t>ri sabiex ikomplu jnaqqsu din id-diskrepanza fid-</w:t>
      </w:r>
      <w:r>
        <w:rPr>
          <w:rFonts w:ascii="Times New Roman" w:hAnsi="Times New Roman"/>
          <w:i/>
          <w:noProof/>
        </w:rPr>
        <w:t>data</w:t>
      </w:r>
      <w:r>
        <w:rPr>
          <w:rFonts w:ascii="Times New Roman" w:hAnsi="Times New Roman"/>
          <w:noProof/>
        </w:rPr>
        <w:t>.</w:t>
      </w:r>
    </w:p>
    <w:p w:rsidR="00461018" w:rsidRDefault="00032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 w:line="240" w:lineRule="auto"/>
        <w:jc w:val="both"/>
        <w:rPr>
          <w:rFonts w:ascii="Times New Roman" w:eastAsia="Calibri" w:hAnsi="Times New Roman" w:cs="Times New Roman"/>
          <w:b/>
          <w:noProof/>
        </w:rPr>
      </w:pPr>
      <w:r>
        <w:rPr>
          <w:rFonts w:ascii="Times New Roman" w:hAnsi="Times New Roman"/>
          <w:b/>
          <w:i/>
          <w:noProof/>
        </w:rPr>
        <w:t>It-Tabella ta’ Valutazzjoni tal-Ġustizzja tal-UE kif tikkontribwixxi għas-Semestru Ewropew?</w:t>
      </w:r>
    </w:p>
    <w:p w:rsidR="00461018" w:rsidRDefault="00032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40" w:lineRule="auto"/>
        <w:jc w:val="both"/>
        <w:rPr>
          <w:rFonts w:ascii="Times New Roman" w:eastAsia="Calibri" w:hAnsi="Times New Roman" w:cs="Times New Roman"/>
          <w:noProof/>
        </w:rPr>
      </w:pPr>
      <w:r>
        <w:rPr>
          <w:rFonts w:ascii="Times New Roman" w:hAnsi="Times New Roman"/>
          <w:noProof/>
        </w:rPr>
        <w:t>It-Tabella ta’ Valutazzjoni tipprovdi elementi għall-valutazzjoni tal-effiċjenza, tal-kwalità u tal-indipende</w:t>
      </w:r>
      <w:r>
        <w:rPr>
          <w:rFonts w:ascii="Times New Roman" w:hAnsi="Times New Roman"/>
          <w:noProof/>
        </w:rPr>
        <w:t>nza tas-sistemi tal-ġustizzja nazzjonali u b’hekk timmira li tgħin lill-Istati Membri jtejbu l-effettività tas-sistemi tal-ġustizzja nazzjonali tagħhom. Billi tqabbel l-informazzjoni dwar is-sistemi tal-ġustizzja, it-Tabella ta’ Valutazzjoni tagħmilha akta</w:t>
      </w:r>
      <w:r>
        <w:rPr>
          <w:rFonts w:ascii="Times New Roman" w:hAnsi="Times New Roman"/>
          <w:noProof/>
        </w:rPr>
        <w:t>r faċli sabiex jiġu identifikati n-nuqqasijiet u l-aħjar prattiki u sabiex jinżamm rendikont tal-isfidi u tal-progress. Fil-kuntest tas-Semestru Ewropew, il-valutazzjonijiet speċifiċi għall-pajjiż isiru permezz ta’ djalogu bilaterali mal-awtoritajiet nazzj</w:t>
      </w:r>
      <w:r>
        <w:rPr>
          <w:rFonts w:ascii="Times New Roman" w:hAnsi="Times New Roman"/>
          <w:noProof/>
        </w:rPr>
        <w:t>onali kkonċernati u mal-partijiet ikkonċernati. Din il-valutazzjoni hija riflessa fir-rapporti annwali tal-pajjiżi fis-Semestru Ewropew u tgħaqqad l-għarfien miksub mit-Tabella ta’ Valutazzjoni ma’ analiżi kwalitattiva speċifiċi għall-pajjiżi li tirriflett</w:t>
      </w:r>
      <w:r>
        <w:rPr>
          <w:rFonts w:ascii="Times New Roman" w:hAnsi="Times New Roman"/>
          <w:noProof/>
        </w:rPr>
        <w:t>i l-karatteristiċi tas-sistemi ġuridiċi u l-kuntest usa’ tal-Istati Membri kkonċernati. Fejn in-nuqqasijiet identifikati jkollhom sinifikat makroekonomiku, l-analiżi taħt is-Semestru Ewropew tista’ twassal sabiex il-Kummissjoni tipproponi lill-Kunsill l-ad</w:t>
      </w:r>
      <w:r>
        <w:rPr>
          <w:rFonts w:ascii="Times New Roman" w:hAnsi="Times New Roman"/>
          <w:noProof/>
        </w:rPr>
        <w:t>ozzjoni ta’ rakkomandazzjonijiet speċifiċi għall-pajjiżi għat-titjib tas-sistemi tal-ġustizzja nazzjonali fl-Istati Membri individwali(</w:t>
      </w:r>
      <w:r>
        <w:rPr>
          <w:rStyle w:val="FootnoteReference"/>
          <w:rFonts w:ascii="Times New Roman" w:eastAsia="Calibri" w:hAnsi="Times New Roman" w:cs="Times New Roman"/>
          <w:noProof/>
        </w:rPr>
        <w:footnoteReference w:id="19"/>
      </w:r>
      <w:r>
        <w:rPr>
          <w:rFonts w:ascii="Times New Roman" w:hAnsi="Times New Roman"/>
          <w:noProof/>
        </w:rPr>
        <w:t>).</w:t>
      </w:r>
    </w:p>
    <w:p w:rsidR="00461018" w:rsidRDefault="00032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 w:line="240" w:lineRule="auto"/>
        <w:jc w:val="both"/>
        <w:rPr>
          <w:rFonts w:ascii="Times New Roman" w:eastAsia="Calibri" w:hAnsi="Times New Roman" w:cs="Times New Roman"/>
          <w:b/>
          <w:i/>
          <w:noProof/>
        </w:rPr>
      </w:pPr>
      <w:r>
        <w:rPr>
          <w:rFonts w:ascii="Times New Roman" w:hAnsi="Times New Roman"/>
          <w:b/>
          <w:i/>
          <w:noProof/>
        </w:rPr>
        <w:t>Għaliex sistemi tal-ġustizzja effettivi huma importanti għal ambjent li jippromwovi l-investiment?</w:t>
      </w:r>
    </w:p>
    <w:p w:rsidR="00461018" w:rsidRDefault="00032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40" w:lineRule="auto"/>
        <w:jc w:val="both"/>
        <w:rPr>
          <w:rFonts w:ascii="Times New Roman" w:eastAsia="Calibri" w:hAnsi="Times New Roman" w:cs="Times New Roman"/>
          <w:noProof/>
        </w:rPr>
      </w:pPr>
      <w:r>
        <w:rPr>
          <w:rFonts w:ascii="Times New Roman" w:hAnsi="Times New Roman"/>
          <w:noProof/>
        </w:rPr>
        <w:t>Sistemi tal-ġustiz</w:t>
      </w:r>
      <w:r>
        <w:rPr>
          <w:rFonts w:ascii="Times New Roman" w:hAnsi="Times New Roman"/>
          <w:noProof/>
        </w:rPr>
        <w:t>zja effettivi li jipproteġu l-istat tad-dritt ġew identifikati bħala sistemi li għandhom impatt ekonomiku pożittiv. Fejn is-sistemi tal-ġustizzja jiggarantixxu l-infurzar tad-drittijiet, ikun aktar probabbli li l-kredituri jsellfu l-flus, li n-negozji jżom</w:t>
      </w:r>
      <w:r>
        <w:rPr>
          <w:rFonts w:ascii="Times New Roman" w:hAnsi="Times New Roman"/>
          <w:noProof/>
        </w:rPr>
        <w:t>mu lura minn imġiba opportunistika, li jonqsu l-ispejjeż tat-tranżazzjonijiet u jkun ukoll aktar probabbli li n-negozji innovattivi jinvestu. L-impatt benefiċjarju għall-ekonomija ta’ sistemi tal-ġustizzja nazzjonali li jaħdmu kif suppost huwa enfasizzat f</w:t>
      </w:r>
      <w:r>
        <w:rPr>
          <w:rFonts w:ascii="Times New Roman" w:hAnsi="Times New Roman"/>
          <w:noProof/>
        </w:rPr>
        <w:t>’firxa wiesgħa ta’ studji u ta’ letteratura akkademika, inkluż mill-Fond Monetarju Internazzjonali 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20"/>
      </w:r>
      <w:r>
        <w:rPr>
          <w:rFonts w:ascii="Times New Roman" w:hAnsi="Times New Roman"/>
          <w:noProof/>
        </w:rPr>
        <w:t>), mill-Bank Ċentrali Ewropew 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21"/>
      </w:r>
      <w:r>
        <w:rPr>
          <w:rFonts w:ascii="Times New Roman" w:hAnsi="Times New Roman"/>
          <w:noProof/>
        </w:rPr>
        <w:t>), mill-OECD 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22"/>
      </w:r>
      <w:r>
        <w:rPr>
          <w:rFonts w:ascii="Times New Roman" w:hAnsi="Times New Roman"/>
          <w:noProof/>
        </w:rPr>
        <w:t>), mill-Forum Ekonomiku Dinji 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23"/>
      </w:r>
      <w:r>
        <w:rPr>
          <w:rFonts w:ascii="Times New Roman" w:hAnsi="Times New Roman"/>
          <w:noProof/>
        </w:rPr>
        <w:t>), u mill-Bank Dinji 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24"/>
      </w:r>
      <w:r>
        <w:rPr>
          <w:rFonts w:ascii="Times New Roman" w:hAnsi="Times New Roman"/>
          <w:noProof/>
        </w:rPr>
        <w:t>).</w:t>
      </w:r>
    </w:p>
    <w:p w:rsidR="00461018" w:rsidRDefault="00032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40" w:lineRule="auto"/>
        <w:jc w:val="both"/>
        <w:rPr>
          <w:rFonts w:ascii="Times New Roman" w:eastAsia="Calibri" w:hAnsi="Times New Roman" w:cs="Times New Roman"/>
          <w:noProof/>
        </w:rPr>
      </w:pPr>
      <w:r>
        <w:rPr>
          <w:rFonts w:ascii="Times New Roman" w:hAnsi="Times New Roman"/>
          <w:noProof/>
        </w:rPr>
        <w:t>Studju sab li t-tnaqqis tat-tul tal-proċedimenti t</w:t>
      </w:r>
      <w:r>
        <w:rPr>
          <w:rFonts w:ascii="Times New Roman" w:hAnsi="Times New Roman"/>
          <w:noProof/>
        </w:rPr>
        <w:t>al-qorti b’1 % (imkejla fi żmien għat-tlestija 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25"/>
      </w:r>
      <w:r>
        <w:rPr>
          <w:rFonts w:ascii="Times New Roman" w:hAnsi="Times New Roman"/>
          <w:noProof/>
        </w:rPr>
        <w:t>)) jista’ jżid it-tkabbir tad-ditti 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26"/>
      </w:r>
      <w:r>
        <w:rPr>
          <w:rFonts w:ascii="Times New Roman" w:hAnsi="Times New Roman"/>
          <w:noProof/>
        </w:rPr>
        <w:t>) u li perċentwal ogħla b’1 % ta’ kumpaniji li jipperċepixxu s-sistema tal-ġustizzja bħala indipendenti għandu tendenza li jkun assoċjat ma’ fatturat u ma’ tkabbir fil-p</w:t>
      </w:r>
      <w:r>
        <w:rPr>
          <w:rFonts w:ascii="Times New Roman" w:hAnsi="Times New Roman"/>
          <w:noProof/>
        </w:rPr>
        <w:t>roduttività ogħla 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27"/>
      </w:r>
      <w:r>
        <w:rPr>
          <w:rFonts w:ascii="Times New Roman" w:hAnsi="Times New Roman"/>
          <w:noProof/>
        </w:rPr>
        <w:t>). Studju ieħor indika korrelazzjoni pożittiva bejn l-indipendenza ġudizzjarja perċepita u l-flussi ta’ investiment dirett barrani fl-Ewropa Ċentrali u tal-Lvant 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28"/>
      </w:r>
      <w:r>
        <w:rPr>
          <w:rFonts w:ascii="Times New Roman" w:hAnsi="Times New Roman"/>
          <w:noProof/>
        </w:rPr>
        <w:t>). </w:t>
      </w:r>
    </w:p>
    <w:p w:rsidR="00461018" w:rsidRDefault="00032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40" w:lineRule="auto"/>
        <w:jc w:val="both"/>
        <w:rPr>
          <w:rFonts w:ascii="Times New Roman" w:eastAsia="Calibri" w:hAnsi="Times New Roman" w:cs="Times New Roman"/>
          <w:noProof/>
        </w:rPr>
      </w:pPr>
      <w:r>
        <w:rPr>
          <w:rFonts w:ascii="Times New Roman" w:hAnsi="Times New Roman"/>
          <w:noProof/>
        </w:rPr>
        <w:t xml:space="preserve">Barra dan, bosta stħarriġijiet enfasizzaw l-importanza </w:t>
      </w:r>
      <w:r>
        <w:rPr>
          <w:rFonts w:ascii="Times New Roman" w:hAnsi="Times New Roman"/>
          <w:noProof/>
        </w:rPr>
        <w:t>tal-effettività tas-sistemi tal-ġustizzja nazzjonali għall-kumpaniji. Pereżempju, fi stħarriġ minnhom, 93 % tal-kumpaniji l-kbar wieġbu li huma jirrevedu b’mod sistematiku l-kundizzjonijiet tal-istat tad-dritt (inkluża l-indipendenza tal-qrati) fuq bażi ko</w:t>
      </w:r>
      <w:r>
        <w:rPr>
          <w:rFonts w:ascii="Times New Roman" w:hAnsi="Times New Roman"/>
          <w:noProof/>
        </w:rPr>
        <w:t>ntinwa fil-pajjiżi li jinvestu fihom 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29"/>
      </w:r>
      <w:r>
        <w:rPr>
          <w:rFonts w:ascii="Times New Roman" w:hAnsi="Times New Roman"/>
          <w:noProof/>
        </w:rPr>
        <w:t xml:space="preserve">). F’ieħor, aktar minn nofs l-intrapriżi żgħar u ta’ daqs medju wieġbu li l-kost u t-tul eċċessiv tal-proċedimenti ġudizzjarji, rispettivament, kienu r-raġunijiet ewlenin għaliex ma fetħux proċedimenti tal-qorti dwar </w:t>
      </w:r>
      <w:r>
        <w:rPr>
          <w:rFonts w:ascii="Times New Roman" w:hAnsi="Times New Roman"/>
          <w:noProof/>
        </w:rPr>
        <w:t>ksur tad-drittijiet ta’ proprjetà intellettwali (DPI) 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30"/>
      </w:r>
      <w:r>
        <w:rPr>
          <w:rFonts w:ascii="Times New Roman" w:hAnsi="Times New Roman"/>
          <w:noProof/>
        </w:rPr>
        <w:t>). Il-Komunikazzjoni tal-Kummissjoni “L-identifikazzjoni u l-indirizzar tal-ostakoli għas-Suq Uniku”(</w:t>
      </w:r>
      <w:r>
        <w:rPr>
          <w:rStyle w:val="FootnoteReference"/>
          <w:rFonts w:ascii="Times New Roman" w:eastAsia="Calibri" w:hAnsi="Times New Roman" w:cs="Times New Roman"/>
          <w:noProof/>
        </w:rPr>
        <w:footnoteReference w:id="31"/>
      </w:r>
      <w:r>
        <w:rPr>
          <w:rFonts w:ascii="Times New Roman" w:hAnsi="Times New Roman"/>
          <w:noProof/>
        </w:rPr>
        <w:t>) u l-Pjan ta’ Azzjoni għall-Infurzar tas-Suq Uniku(</w:t>
      </w:r>
      <w:r>
        <w:rPr>
          <w:rStyle w:val="FootnoteReference"/>
          <w:rFonts w:ascii="Times New Roman" w:eastAsia="Calibri" w:hAnsi="Times New Roman" w:cs="Times New Roman"/>
          <w:noProof/>
        </w:rPr>
        <w:footnoteReference w:id="32"/>
      </w:r>
      <w:r>
        <w:rPr>
          <w:rFonts w:ascii="Times New Roman" w:hAnsi="Times New Roman"/>
          <w:noProof/>
        </w:rPr>
        <w:t xml:space="preserve">) wkoll jipprovdu għarfien dwar l-importanza </w:t>
      </w:r>
      <w:r>
        <w:rPr>
          <w:rFonts w:ascii="Times New Roman" w:hAnsi="Times New Roman"/>
          <w:noProof/>
        </w:rPr>
        <w:t xml:space="preserve">ta’ sistemi tal-ġustizzja effettivi għall-funzjonament tas-suq uniku, b’mod partikolari għan-negozji. </w:t>
      </w:r>
    </w:p>
    <w:p w:rsidR="00461018" w:rsidRDefault="00032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 w:line="240" w:lineRule="auto"/>
        <w:jc w:val="both"/>
        <w:rPr>
          <w:rFonts w:ascii="Times New Roman" w:eastAsia="Calibri" w:hAnsi="Times New Roman" w:cs="Times New Roman"/>
          <w:b/>
          <w:i/>
          <w:noProof/>
        </w:rPr>
      </w:pPr>
      <w:r>
        <w:rPr>
          <w:rFonts w:ascii="Times New Roman" w:hAnsi="Times New Roman"/>
          <w:b/>
          <w:i/>
          <w:noProof/>
        </w:rPr>
        <w:t>Il-Kummissjoni kif tappoġġja l-implimentazzjoni ta’ riformi fil-ġustizzja tajba permezz tal-Appoġġ Tekniku?</w:t>
      </w:r>
    </w:p>
    <w:p w:rsidR="00461018" w:rsidRDefault="00032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40" w:lineRule="auto"/>
        <w:jc w:val="both"/>
        <w:rPr>
          <w:rFonts w:ascii="Times New Roman" w:eastAsia="Calibri" w:hAnsi="Times New Roman" w:cs="Times New Roman"/>
          <w:noProof/>
        </w:rPr>
      </w:pPr>
      <w:r>
        <w:rPr>
          <w:rFonts w:ascii="Times New Roman" w:hAnsi="Times New Roman"/>
          <w:noProof/>
        </w:rPr>
        <w:t>L-Istati Membri jistgħu jibbażaw fuq l-appoġġ</w:t>
      </w:r>
      <w:r>
        <w:rPr>
          <w:rFonts w:ascii="Times New Roman" w:hAnsi="Times New Roman"/>
          <w:noProof/>
        </w:rPr>
        <w:t xml:space="preserve"> tekniku tal-Kummissjoni li huwa disponibbli permezz tad-Direttorat Ġenerali REFORM taħt il-programm ta’ appoġġ għal riformi strutturali 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33"/>
      </w:r>
      <w:r>
        <w:rPr>
          <w:rFonts w:ascii="Times New Roman" w:hAnsi="Times New Roman"/>
          <w:noProof/>
        </w:rPr>
        <w:t>) li għandu baġit totali ta’ EUR 222,8 miljun għall-2017-2020. Mill-2017, 16-il Stat Membru 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34"/>
      </w:r>
      <w:r>
        <w:rPr>
          <w:rFonts w:ascii="Times New Roman" w:hAnsi="Times New Roman"/>
          <w:noProof/>
        </w:rPr>
        <w:t>) ilhom jirċievu jew ta</w:t>
      </w:r>
      <w:r>
        <w:rPr>
          <w:rFonts w:ascii="Times New Roman" w:hAnsi="Times New Roman"/>
          <w:noProof/>
        </w:rPr>
        <w:t>lbu appoġġ tekniku f’ħafna oqsma. Dan jinkludi, pereżempju, appoġġ tekniku għat-titjib tal-effiċjenza tas-sistema tal-qrati, għar-riforma tal-mappa ġudizzjarja, dwar l-organizzazzjoni tal-qrati, dwar it-tfassil u l-implimentazzjoni tal-programmi tal-ġustiz</w:t>
      </w:r>
      <w:r>
        <w:rPr>
          <w:rFonts w:ascii="Times New Roman" w:hAnsi="Times New Roman"/>
          <w:noProof/>
        </w:rPr>
        <w:t>zja elettronika u l-ġustizzja ċibernetika, dwar is-sistemi ta’ ġestjoni tal-każijiet, dwar il-proċess tal-għażla u tal-promozzjoni għall-imħallfin, għat-taħriġ tal-imħallfin u għas-soluzzjoni alternattiva għat-tilwim tal-konsumaturi. F’Mejju 2020, il-Kummi</w:t>
      </w:r>
      <w:r>
        <w:rPr>
          <w:rFonts w:ascii="Times New Roman" w:hAnsi="Times New Roman"/>
          <w:noProof/>
        </w:rPr>
        <w:t>ssjoni ppreżentat ukoll il-proposti tagħha għal Pjan ta’ Rkupru 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35"/>
      </w:r>
      <w:r>
        <w:rPr>
          <w:rFonts w:ascii="Times New Roman" w:hAnsi="Times New Roman"/>
          <w:noProof/>
        </w:rPr>
        <w:t xml:space="preserve">). Bħala parti mill-Pjan ta’ Rkupru, ġie propost </w:t>
      </w:r>
      <w:r>
        <w:rPr>
          <w:rFonts w:ascii="Times New Roman" w:hAnsi="Times New Roman"/>
          <w:b/>
          <w:noProof/>
        </w:rPr>
        <w:t>Strument ta’ Appoġġ Tekniku</w:t>
      </w:r>
      <w:r>
        <w:rPr>
          <w:rFonts w:ascii="Times New Roman" w:hAnsi="Times New Roman"/>
          <w:noProof/>
        </w:rPr>
        <w:t xml:space="preserve"> 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36"/>
      </w:r>
      <w:r>
        <w:rPr>
          <w:rFonts w:ascii="Times New Roman" w:hAnsi="Times New Roman"/>
          <w:noProof/>
        </w:rPr>
        <w:t>) bħala l-kontinwazzjoni tal-Programm ta’ Appoġġ għal Riformi Strutturali eżistenti. Dan jibni fuq is-suċċess t</w:t>
      </w:r>
      <w:r>
        <w:rPr>
          <w:rFonts w:ascii="Times New Roman" w:hAnsi="Times New Roman"/>
          <w:noProof/>
        </w:rPr>
        <w:t xml:space="preserve">iegħu, u jippermetti lill-Kummissjoni tgħin fit-tisħiħ tal-kapaċità istituzzjonali u amministrattiva tal-Istati Membri tal-UE. L-Istrument se jkompli jippermetti lill-Istati Membri jitolbu appoġġ tekniku fil-qasam tas-sistema tal-ġustizzja, fost l-oħrajn. </w:t>
      </w:r>
    </w:p>
    <w:p w:rsidR="00461018" w:rsidRDefault="000329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mallCaps/>
          <w:noProof/>
          <w:sz w:val="24"/>
          <w:szCs w:val="24"/>
          <w:highlight w:val="yellow"/>
        </w:rPr>
      </w:pPr>
      <w:bookmarkStart w:id="10" w:name="_Toc443484746"/>
      <w:bookmarkStart w:id="11" w:name="_Toc443509487"/>
      <w:bookmarkStart w:id="12" w:name="_Toc446014816"/>
      <w:r>
        <w:rPr>
          <w:noProof/>
        </w:rPr>
        <w:br w:type="page"/>
      </w:r>
    </w:p>
    <w:p w:rsidR="00461018" w:rsidRDefault="000329C3">
      <w:pPr>
        <w:keepNext/>
        <w:tabs>
          <w:tab w:val="left" w:pos="850"/>
        </w:tabs>
        <w:spacing w:before="360" w:after="120" w:line="240" w:lineRule="auto"/>
        <w:ind w:left="850" w:hanging="850"/>
        <w:jc w:val="both"/>
        <w:outlineLvl w:val="0"/>
        <w:rPr>
          <w:rFonts w:ascii="Times New Roman" w:eastAsia="Times New Roman" w:hAnsi="Times New Roman" w:cs="Times New Roman"/>
          <w:b/>
          <w:smallCaps/>
          <w:noProof/>
          <w:sz w:val="24"/>
          <w:szCs w:val="24"/>
        </w:rPr>
      </w:pPr>
      <w:r>
        <w:rPr>
          <w:rFonts w:ascii="Times New Roman" w:hAnsi="Times New Roman"/>
          <w:b/>
          <w:smallCaps/>
          <w:noProof/>
          <w:sz w:val="24"/>
          <w:szCs w:val="24"/>
        </w:rPr>
        <w:t>2.</w:t>
      </w:r>
      <w:r>
        <w:rPr>
          <w:noProof/>
        </w:rPr>
        <w:tab/>
      </w:r>
      <w:r>
        <w:rPr>
          <w:rFonts w:ascii="Times New Roman" w:hAnsi="Times New Roman"/>
          <w:b/>
          <w:smallCaps/>
          <w:noProof/>
          <w:sz w:val="24"/>
          <w:szCs w:val="24"/>
        </w:rPr>
        <w:t xml:space="preserve">Kuntest: </w:t>
      </w:r>
      <w:bookmarkEnd w:id="10"/>
      <w:bookmarkEnd w:id="11"/>
      <w:bookmarkEnd w:id="12"/>
      <w:r>
        <w:rPr>
          <w:rFonts w:ascii="Times New Roman" w:hAnsi="Times New Roman"/>
          <w:b/>
          <w:smallCaps/>
          <w:noProof/>
          <w:sz w:val="24"/>
          <w:szCs w:val="24"/>
        </w:rPr>
        <w:t>Żviluppi fir-riformi tal-ġustizzja fl-2019</w:t>
      </w:r>
    </w:p>
    <w:p w:rsidR="00461018" w:rsidRDefault="000329C3">
      <w:pPr>
        <w:spacing w:before="240" w:after="120" w:line="240" w:lineRule="auto"/>
        <w:jc w:val="both"/>
        <w:rPr>
          <w:rFonts w:ascii="Times New Roman" w:eastAsia="Calibri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Fl-2019, għadd kbir ta’ Stati Membri ssoktaw bl-isforzi tagħhom sabiex itejbu l-effettività tas-sistemi tal-ġustizzja tagħhom. L-Illustrazzjoni 1 tippreżenta ħarsa ġenerali aġġornata lejn il-miżuri </w:t>
      </w:r>
      <w:r>
        <w:rPr>
          <w:rFonts w:ascii="Times New Roman" w:hAnsi="Times New Roman"/>
          <w:noProof/>
          <w:sz w:val="24"/>
        </w:rPr>
        <w:t>adottati u ppjanati fl-oqsma funzjonali differenti tas-sistemi tal-ġustizzja fl-Istati Membri involuti fl-attivitajiet ta’ riforma.</w:t>
      </w:r>
    </w:p>
    <w:p w:rsidR="00461018" w:rsidRDefault="000329C3">
      <w:pPr>
        <w:keepNext/>
        <w:spacing w:before="240" w:after="120" w:line="240" w:lineRule="auto"/>
        <w:jc w:val="both"/>
        <w:rPr>
          <w:rFonts w:ascii="Times New Roman" w:eastAsia="Calibri" w:hAnsi="Times New Roman" w:cs="Times New Roman"/>
          <w:i/>
          <w:noProof/>
          <w:spacing w:val="-6"/>
          <w:sz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1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: Attività leġiżlattiva u regolatorja li tikkonċerna s-sistemi tal-ġustizzja </w:t>
      </w:r>
      <w:r>
        <w:rPr>
          <w:rFonts w:ascii="Times New Roman" w:hAnsi="Times New Roman"/>
          <w:b/>
          <w:bCs/>
          <w:noProof/>
          <w:sz w:val="24"/>
          <w:szCs w:val="24"/>
        </w:rPr>
        <w:t>fl-2019</w:t>
      </w:r>
      <w:r>
        <w:rPr>
          <w:rFonts w:ascii="Times New Roman" w:hAnsi="Times New Roman"/>
          <w:i/>
          <w:iCs/>
          <w:noProof/>
          <w:sz w:val="24"/>
          <w:szCs w:val="24"/>
        </w:rPr>
        <w:t>(miżuri/inizjattivi adottati li qegħdin jiġu nnegozjati għal kull Stat Membru)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>(sors: il-Kummissjoni Ewropea (</w:t>
      </w: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footnoteReference w:id="37"/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)) </w:t>
      </w:r>
    </w:p>
    <w:p w:rsidR="00461018" w:rsidRDefault="000329C3">
      <w:pPr>
        <w:keepNext/>
        <w:spacing w:after="0" w:line="240" w:lineRule="auto"/>
        <w:jc w:val="both"/>
        <w:rPr>
          <w:rFonts w:ascii="Times New Roman Bold" w:eastAsia="Calibri" w:hAnsi="Times New Roman Bold" w:cs="Times New Roman"/>
          <w:noProof/>
          <w:spacing w:val="-6"/>
          <w:sz w:val="24"/>
          <w:highlight w:val="yellow"/>
        </w:rPr>
      </w:pPr>
      <w:r>
        <w:rPr>
          <w:noProof/>
          <w:highlight w:val="yellow"/>
          <w:lang w:val="en-GB" w:eastAsia="en-GB"/>
        </w:rPr>
        <w:drawing>
          <wp:inline distT="0" distB="0" distL="0" distR="0">
            <wp:extent cx="5977255" cy="449834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44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keepNext/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Fl-2019, il-leġiżlazzjoni proċedurali kompliet tkun qasam ta’ fokus partikolari f’għadd kbir ta’ Stati Membri b’ammont sinifikanti t</w:t>
      </w:r>
      <w:r>
        <w:rPr>
          <w:rFonts w:ascii="Times New Roman" w:hAnsi="Times New Roman"/>
          <w:noProof/>
          <w:sz w:val="24"/>
          <w:szCs w:val="24"/>
        </w:rPr>
        <w:t>a’ attività leġiżlattiva kurrenti jew ippjanata. Ir-riformi dwar l-istatus tal-imħallfin, ir-regoli għall-professjonisti legali u għall-prosekuturi raw ukoll attività akbar. Meta mqabbla mal-aħħar edizzjoni tat-Tabella ta’ Valutazzjoni tal-Ġustizzja tal-UE</w:t>
      </w:r>
      <w:r>
        <w:rPr>
          <w:rFonts w:ascii="Times New Roman" w:hAnsi="Times New Roman"/>
          <w:noProof/>
          <w:sz w:val="24"/>
          <w:szCs w:val="24"/>
        </w:rPr>
        <w:t>, l-adozzjoni ta’ miżuri f’oqsma bħalma huma l-amministrazzjoni tal-qrati u tal-kunsilli tal-ġudikatura qabdet aktar momentum hekk kif l-Istati Membri taw segwitu għat-tħabbiriet preċedenti. . Tnaqqas ir-ritmu ta’ attività f’oqsma oħra, bħalma huma l-iżvil</w:t>
      </w:r>
      <w:r>
        <w:rPr>
          <w:rFonts w:ascii="Times New Roman" w:hAnsi="Times New Roman"/>
          <w:noProof/>
          <w:sz w:val="24"/>
          <w:szCs w:val="24"/>
        </w:rPr>
        <w:t>upp tat-teknoloġija tal-informazzjoni u tal-komunikazzjoni (ICT) fis-sistema tal-ġustizzja jew it-tfassil mill-ġdid ta’ mapep ġudizzjarji. Xi Stati Membri diġà qegħdin jużaw b’mod attiv jew tal-anqas qed jippjanaw li jagħmlu użu mill-intelliġenza artifiċja</w:t>
      </w:r>
      <w:r>
        <w:rPr>
          <w:rFonts w:ascii="Times New Roman" w:hAnsi="Times New Roman"/>
          <w:noProof/>
          <w:sz w:val="24"/>
          <w:szCs w:val="24"/>
        </w:rPr>
        <w:t>li fis-sistemi tal-ġustizzja tagħhom. Għal darb’oħra, il-ħarsa ġenerali tikkonferma l-osservazzjoni li r-riformi tal-ġustizzja jieħdu ż-żmien tagħhom − xi drabi bosta snin – mit-tħabbira tagħhom sal-adozzjoni tal-miżuri leġiżlattivi u regolatorji u l-impli</w:t>
      </w:r>
      <w:r>
        <w:rPr>
          <w:rFonts w:ascii="Times New Roman" w:hAnsi="Times New Roman"/>
          <w:noProof/>
          <w:sz w:val="24"/>
          <w:szCs w:val="24"/>
        </w:rPr>
        <w:t>mentazzjoni effettiva tagħhom fil-prattika.</w:t>
      </w:r>
    </w:p>
    <w:p w:rsidR="00461018" w:rsidRDefault="00461018">
      <w:pPr>
        <w:spacing w:after="0" w:line="240" w:lineRule="auto"/>
        <w:rPr>
          <w:rFonts w:ascii="Times New Roman" w:eastAsia="Calibri" w:hAnsi="Times New Roman" w:cs="Times New Roman"/>
          <w:b/>
          <w:noProof/>
          <w:sz w:val="24"/>
          <w:highlight w:val="yellow"/>
        </w:rPr>
      </w:pPr>
    </w:p>
    <w:p w:rsidR="00461018" w:rsidRDefault="00461018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4"/>
          <w:highlight w:val="yellow"/>
        </w:rPr>
      </w:pPr>
    </w:p>
    <w:p w:rsidR="00461018" w:rsidRDefault="00461018">
      <w:pPr>
        <w:spacing w:after="12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461018" w:rsidRDefault="00461018">
      <w:pPr>
        <w:keepNext/>
        <w:tabs>
          <w:tab w:val="left" w:pos="850"/>
        </w:tabs>
        <w:spacing w:after="120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bookmarkStart w:id="13" w:name="_Toc409512288"/>
      <w:bookmarkStart w:id="14" w:name="_Toc409530215"/>
      <w:bookmarkStart w:id="15" w:name="_Toc438545665"/>
      <w:bookmarkStart w:id="16" w:name="_Toc438548315"/>
      <w:bookmarkStart w:id="17" w:name="_Toc438548501"/>
      <w:bookmarkStart w:id="18" w:name="_Toc440017691"/>
      <w:bookmarkStart w:id="19" w:name="_Toc440018075"/>
      <w:bookmarkStart w:id="20" w:name="_Toc440033373"/>
      <w:bookmarkStart w:id="21" w:name="_Toc440035224"/>
      <w:bookmarkStart w:id="22" w:name="_Toc440036519"/>
      <w:bookmarkStart w:id="23" w:name="_Toc440042461"/>
      <w:bookmarkStart w:id="24" w:name="_Toc440291115"/>
      <w:bookmarkStart w:id="25" w:name="_Toc440294678"/>
      <w:bookmarkStart w:id="26" w:name="_Toc440295180"/>
      <w:bookmarkStart w:id="27" w:name="_Toc440296585"/>
      <w:bookmarkStart w:id="28" w:name="_Toc440625069"/>
      <w:bookmarkStart w:id="29" w:name="_Toc440626399"/>
      <w:bookmarkStart w:id="30" w:name="_Toc440628853"/>
      <w:bookmarkStart w:id="31" w:name="_Toc441571125"/>
      <w:bookmarkStart w:id="32" w:name="_Toc441581627"/>
      <w:bookmarkStart w:id="33" w:name="_Toc441585894"/>
      <w:bookmarkStart w:id="34" w:name="_Toc441595829"/>
      <w:bookmarkStart w:id="35" w:name="_Toc441596006"/>
      <w:bookmarkStart w:id="36" w:name="_Toc441748131"/>
      <w:bookmarkStart w:id="37" w:name="_Toc441755416"/>
      <w:bookmarkStart w:id="38" w:name="_Toc441756453"/>
      <w:bookmarkStart w:id="39" w:name="_Toc441757497"/>
      <w:bookmarkStart w:id="40" w:name="_Toc441766626"/>
      <w:bookmarkStart w:id="41" w:name="_Toc441766965"/>
      <w:bookmarkStart w:id="42" w:name="_Toc442187966"/>
      <w:bookmarkStart w:id="43" w:name="_Toc442262058"/>
      <w:bookmarkStart w:id="44" w:name="_Toc442362465"/>
      <w:bookmarkStart w:id="45" w:name="_Toc442374801"/>
      <w:bookmarkStart w:id="46" w:name="_Toc442425941"/>
      <w:bookmarkStart w:id="47" w:name="_Toc442453067"/>
      <w:bookmarkStart w:id="48" w:name="_Toc443484747"/>
      <w:bookmarkStart w:id="49" w:name="_Toc443509488"/>
      <w:bookmarkStart w:id="50" w:name="_Toc446014817"/>
    </w:p>
    <w:p w:rsidR="00461018" w:rsidRDefault="00461018">
      <w:pPr>
        <w:keepNext/>
        <w:tabs>
          <w:tab w:val="left" w:pos="850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mallCaps/>
          <w:noProof/>
          <w:sz w:val="24"/>
          <w:szCs w:val="24"/>
        </w:rPr>
      </w:pPr>
    </w:p>
    <w:p w:rsidR="00461018" w:rsidRDefault="000329C3">
      <w:pPr>
        <w:keepNext/>
        <w:tabs>
          <w:tab w:val="left" w:pos="850"/>
        </w:tabs>
        <w:spacing w:after="120" w:line="240" w:lineRule="auto"/>
        <w:jc w:val="both"/>
        <w:rPr>
          <w:rFonts w:ascii="Arial" w:eastAsia="Arial" w:hAnsi="Arial" w:cs="Arial"/>
          <w:noProof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</w:t>
      </w:r>
    </w:p>
    <w:p w:rsidR="00461018" w:rsidRDefault="000329C3">
      <w:pPr>
        <w:jc w:val="both"/>
        <w:rPr>
          <w:rFonts w:ascii="Arial" w:eastAsia="Arial" w:hAnsi="Arial" w:cs="Arial"/>
          <w:noProof/>
          <w:sz w:val="24"/>
          <w:szCs w:val="24"/>
        </w:rPr>
      </w:pPr>
      <w:r>
        <w:rPr>
          <w:noProof/>
        </w:rPr>
        <w:br w:type="page"/>
      </w:r>
    </w:p>
    <w:p w:rsidR="00461018" w:rsidRDefault="000329C3">
      <w:pPr>
        <w:keepNext/>
        <w:tabs>
          <w:tab w:val="left" w:pos="850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smallCaps/>
          <w:noProof/>
          <w:sz w:val="24"/>
          <w:szCs w:val="24"/>
        </w:rPr>
      </w:pPr>
      <w:r>
        <w:rPr>
          <w:rFonts w:ascii="Times New Roman" w:hAnsi="Times New Roman"/>
          <w:b/>
          <w:smallCaps/>
          <w:noProof/>
          <w:sz w:val="24"/>
          <w:szCs w:val="24"/>
        </w:rPr>
        <w:t>3.</w:t>
      </w:r>
      <w:r>
        <w:rPr>
          <w:noProof/>
        </w:rPr>
        <w:tab/>
      </w:r>
      <w:r>
        <w:rPr>
          <w:rFonts w:ascii="Times New Roman" w:hAnsi="Times New Roman" w:cs="Times New Roman"/>
          <w:b/>
          <w:smallCaps/>
          <w:noProof/>
          <w:sz w:val="24"/>
          <w:szCs w:val="24"/>
        </w:rPr>
        <w:t>Is-sejbiet ewlenin tat-Tabella ta’ Valutazzjoni tal-Ġustizzja tal-UE tal-2020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L-effiċjenza, il-kwalità u l-indipendenza huma l-parametri ewlenin ta’ sistema ġudizzjarja effettiva, u t-Tabella ta’ </w:t>
      </w:r>
      <w:r>
        <w:rPr>
          <w:rFonts w:ascii="Times New Roman" w:hAnsi="Times New Roman"/>
          <w:noProof/>
          <w:sz w:val="24"/>
        </w:rPr>
        <w:t>Valutazzjoni tippreżenta indikaturi dwar it-tlieta li huma.</w:t>
      </w:r>
    </w:p>
    <w:p w:rsidR="00461018" w:rsidRDefault="000329C3">
      <w:pPr>
        <w:keepNext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noProof/>
          <w:sz w:val="24"/>
          <w:szCs w:val="28"/>
        </w:rPr>
      </w:pPr>
      <w:bookmarkStart w:id="51" w:name="_Toc409512289"/>
      <w:bookmarkStart w:id="52" w:name="_Toc409530217"/>
      <w:bookmarkStart w:id="53" w:name="_Toc438545667"/>
      <w:bookmarkStart w:id="54" w:name="_Toc438548317"/>
      <w:bookmarkStart w:id="55" w:name="_Toc438548503"/>
      <w:bookmarkStart w:id="56" w:name="_Toc440017693"/>
      <w:bookmarkStart w:id="57" w:name="_Toc440018077"/>
      <w:bookmarkStart w:id="58" w:name="_Toc440033375"/>
      <w:bookmarkStart w:id="59" w:name="_Toc440035226"/>
      <w:bookmarkStart w:id="60" w:name="_Toc440036521"/>
      <w:bookmarkStart w:id="61" w:name="_Toc440042463"/>
      <w:bookmarkStart w:id="62" w:name="_Toc440291116"/>
      <w:bookmarkStart w:id="63" w:name="_Toc440294679"/>
      <w:bookmarkStart w:id="64" w:name="_Toc440295181"/>
      <w:bookmarkStart w:id="65" w:name="_Toc440296586"/>
      <w:bookmarkStart w:id="66" w:name="_Toc440625070"/>
      <w:bookmarkStart w:id="67" w:name="_Toc440626400"/>
      <w:bookmarkStart w:id="68" w:name="_Toc440628854"/>
      <w:bookmarkStart w:id="69" w:name="_Toc441571126"/>
      <w:bookmarkStart w:id="70" w:name="_Toc441581628"/>
      <w:bookmarkStart w:id="71" w:name="_Toc441585895"/>
      <w:bookmarkStart w:id="72" w:name="_Toc441595830"/>
      <w:bookmarkStart w:id="73" w:name="_Toc441596007"/>
      <w:bookmarkStart w:id="74" w:name="_Toc441748132"/>
      <w:bookmarkStart w:id="75" w:name="_Toc441755417"/>
      <w:bookmarkStart w:id="76" w:name="_Toc441756454"/>
      <w:bookmarkStart w:id="77" w:name="_Toc441757498"/>
      <w:bookmarkStart w:id="78" w:name="_Toc441766627"/>
      <w:bookmarkStart w:id="79" w:name="_Toc441766966"/>
      <w:bookmarkStart w:id="80" w:name="_Toc442187967"/>
      <w:bookmarkStart w:id="81" w:name="_Toc442262059"/>
      <w:bookmarkStart w:id="82" w:name="_Toc442362466"/>
      <w:bookmarkStart w:id="83" w:name="_Toc442374802"/>
      <w:bookmarkStart w:id="84" w:name="_Toc442425942"/>
      <w:bookmarkStart w:id="85" w:name="_Toc442453068"/>
      <w:bookmarkStart w:id="86" w:name="_Toc443484748"/>
      <w:bookmarkStart w:id="87" w:name="_Toc443509489"/>
      <w:bookmarkStart w:id="88" w:name="_Toc446014818"/>
      <w:r>
        <w:rPr>
          <w:rFonts w:ascii="Times New Roman" w:hAnsi="Times New Roman"/>
          <w:b/>
          <w:noProof/>
          <w:sz w:val="24"/>
          <w:szCs w:val="28"/>
        </w:rPr>
        <w:t>3.1. L-effiċjenza tas-sistemi tal-ġustizzja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:rsidR="00461018" w:rsidRDefault="000329C3"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bookmarkStart w:id="89" w:name="_Toc409530218"/>
      <w:bookmarkStart w:id="90" w:name="_Toc438545668"/>
      <w:bookmarkStart w:id="91" w:name="_Toc438548318"/>
      <w:bookmarkStart w:id="92" w:name="_Toc438548504"/>
      <w:bookmarkStart w:id="93" w:name="_Toc440017694"/>
      <w:bookmarkStart w:id="94" w:name="_Toc440018078"/>
      <w:bookmarkStart w:id="95" w:name="_Toc440033376"/>
      <w:bookmarkStart w:id="96" w:name="_Toc440035227"/>
      <w:bookmarkStart w:id="97" w:name="_Toc440036522"/>
      <w:bookmarkStart w:id="98" w:name="_Toc440042464"/>
      <w:r>
        <w:rPr>
          <w:rFonts w:ascii="Times New Roman" w:hAnsi="Times New Roman"/>
          <w:noProof/>
          <w:sz w:val="24"/>
          <w:szCs w:val="24"/>
        </w:rPr>
        <w:t xml:space="preserve">It-Tabella ta’ Valutazzjoni tippreżenta indikaturi għall-effiċjenza tal-proċedimenti fl-oqsma wesgħin tal-kawżi ċivili, kummerċjali u amministrattivi u </w:t>
      </w:r>
      <w:r>
        <w:rPr>
          <w:rFonts w:ascii="Times New Roman" w:hAnsi="Times New Roman"/>
          <w:noProof/>
          <w:sz w:val="24"/>
          <w:szCs w:val="24"/>
        </w:rPr>
        <w:t>f’oqsma speċifiċi fejn l-awtoritajiet amministrattivi u l-qrati japplikaw id-dritt tal-UE(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38"/>
      </w:r>
      <w:r>
        <w:rPr>
          <w:rFonts w:ascii="Times New Roman" w:hAnsi="Times New Roman"/>
          <w:noProof/>
          <w:sz w:val="24"/>
          <w:szCs w:val="24"/>
        </w:rPr>
        <w:t>).</w:t>
      </w:r>
    </w:p>
    <w:p w:rsidR="00461018" w:rsidRDefault="000329C3">
      <w:pPr>
        <w:keepNext/>
        <w:spacing w:before="240" w:after="120" w:line="240" w:lineRule="auto"/>
        <w:jc w:val="both"/>
        <w:outlineLvl w:val="2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3.1.1. Żviluppi fil-volum ta’ kawżi</w:t>
      </w:r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Il-volum ta’ kawżi tas-sistemi tal-ġustizzja nazzjonali naqas fil-maġġoranza tal-Istati Membri u għadu fil-biċċa l-kbira taħt </w:t>
      </w:r>
      <w:r>
        <w:rPr>
          <w:rFonts w:ascii="Times New Roman" w:hAnsi="Times New Roman"/>
          <w:noProof/>
          <w:sz w:val="24"/>
        </w:rPr>
        <w:t>il-livelli tal-2012, għad li għadu jvarja b’mod konsiderevoli bejn l-Istati Membri (Illustrazzjoni 2). Dan juri l-importanza ta’ aktar sforzi sabiex tiġi żgurata l-effettività tas-sistema tal-ġustizzja.</w:t>
      </w:r>
    </w:p>
    <w:p w:rsidR="00461018" w:rsidRDefault="000329C3">
      <w:pPr>
        <w:keepNext/>
        <w:spacing w:before="240" w:after="0" w:line="240" w:lineRule="auto"/>
        <w:jc w:val="both"/>
        <w:rPr>
          <w:rFonts w:ascii="Times New Roman" w:eastAsia="Calibri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2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</w:rPr>
        <w:t>: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L-għadd </w:t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t>ta</w:t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t xml:space="preserve">’ kawżi ċivili, kummerċjali, amministrattivi u oħrajn li deħlin, 2012 – 2018 </w:t>
      </w:r>
      <w:r>
        <w:rPr>
          <w:rFonts w:ascii="Times New Roman" w:hAnsi="Times New Roman"/>
          <w:noProof/>
          <w:sz w:val="24"/>
          <w:szCs w:val="24"/>
        </w:rPr>
        <w:t>(</w:t>
      </w:r>
      <w:r>
        <w:rPr>
          <w:noProof/>
          <w:sz w:val="24"/>
          <w:szCs w:val="24"/>
        </w:rPr>
        <w:t>*</w:t>
      </w:r>
      <w:r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>(il-prim’istanza/għal kull 100 abitant) (sors: studju tas-CEPEJ 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39"/>
      </w:r>
      <w:r>
        <w:rPr>
          <w:rFonts w:ascii="Times New Roman" w:hAnsi="Times New Roman"/>
          <w:i/>
          <w:iCs/>
          <w:noProof/>
          <w:sz w:val="24"/>
          <w:szCs w:val="24"/>
        </w:rPr>
        <w:t>))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rFonts w:ascii="Times New Roman" w:hAnsi="Times New Roman"/>
          <w:i/>
          <w:noProof/>
          <w:sz w:val="20"/>
          <w:lang w:val="en-GB" w:eastAsia="en-GB"/>
        </w:rPr>
        <w:drawing>
          <wp:inline distT="0" distB="0" distL="0" distR="0">
            <wp:extent cx="5976000" cy="2608571"/>
            <wp:effectExtent l="0" t="0" r="571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2608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  <w:highlight w:val="yellow"/>
        </w:rPr>
      </w:pPr>
      <w:r>
        <w:rPr>
          <w:rFonts w:ascii="Times New Roman" w:hAnsi="Times New Roman"/>
          <w:i/>
          <w:noProof/>
          <w:sz w:val="20"/>
        </w:rPr>
        <w:t>(*) Skont il-metodoloġija tas-CEPEJ, din il-kategorija tinkludi l-kawżi ċivili u kummerċjali kontenzjużi</w:t>
      </w:r>
      <w:r>
        <w:rPr>
          <w:rFonts w:ascii="Times New Roman" w:hAnsi="Times New Roman"/>
          <w:i/>
          <w:noProof/>
          <w:sz w:val="20"/>
        </w:rPr>
        <w:t xml:space="preserve"> u mhux kontenzjużi kollha, il-kawżi tar-reġistru tal-artijiet u tan-negozju mhux kontenzjużi, kawżi tar-reġistru oħrajn, kawżi mhux kontenzjużi oħrajn, il-kawżi tal-liġi amministrattiva u kawżi mhux kriminali oħrajn. Tibdiliet fil-metodoloġija fil-</w:t>
      </w:r>
      <w:r>
        <w:rPr>
          <w:rFonts w:ascii="Times New Roman" w:hAnsi="Times New Roman"/>
          <w:b/>
          <w:i/>
          <w:noProof/>
          <w:sz w:val="20"/>
        </w:rPr>
        <w:t>LV</w:t>
      </w:r>
      <w:r>
        <w:rPr>
          <w:rFonts w:ascii="Times New Roman" w:hAnsi="Times New Roman"/>
          <w:i/>
          <w:noProof/>
          <w:sz w:val="20"/>
        </w:rPr>
        <w:t xml:space="preserve"> (app</w:t>
      </w:r>
      <w:r>
        <w:rPr>
          <w:rFonts w:ascii="Times New Roman" w:hAnsi="Times New Roman"/>
          <w:i/>
          <w:noProof/>
          <w:sz w:val="20"/>
        </w:rPr>
        <w:t>likati b’mod retroattiv għall-2016 u wkoll għall-2017), fis-</w:t>
      </w:r>
      <w:r>
        <w:rPr>
          <w:rFonts w:ascii="Times New Roman" w:hAnsi="Times New Roman"/>
          <w:b/>
          <w:i/>
          <w:noProof/>
          <w:sz w:val="20"/>
        </w:rPr>
        <w:t>SK</w:t>
      </w:r>
      <w:r>
        <w:rPr>
          <w:rFonts w:ascii="Times New Roman" w:hAnsi="Times New Roman"/>
          <w:i/>
          <w:noProof/>
          <w:sz w:val="20"/>
        </w:rPr>
        <w:t xml:space="preserve"> u fl-</w:t>
      </w:r>
      <w:r>
        <w:rPr>
          <w:rFonts w:ascii="Times New Roman" w:hAnsi="Times New Roman"/>
          <w:b/>
          <w:i/>
          <w:noProof/>
          <w:sz w:val="20"/>
        </w:rPr>
        <w:t>SE</w:t>
      </w:r>
      <w:r>
        <w:rPr>
          <w:rFonts w:ascii="Times New Roman" w:hAnsi="Times New Roman"/>
          <w:i/>
          <w:noProof/>
          <w:sz w:val="20"/>
        </w:rPr>
        <w:t xml:space="preserve"> (data għall-2016 u għall-2017 ġiet adattata sabiex kawżi dwar il-liġi tal-migrazzjoni jiġu inklużi bħala kawżi amministrattivi, f’konformità mal-metodoloġija tas-CEPEJ). </w:t>
      </w:r>
    </w:p>
    <w:p w:rsidR="00461018" w:rsidRDefault="00461018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</w:p>
    <w:p w:rsidR="00461018" w:rsidRDefault="000329C3">
      <w:pPr>
        <w:keepNext/>
        <w:spacing w:before="240" w:after="0" w:line="240" w:lineRule="auto"/>
        <w:jc w:val="both"/>
        <w:rPr>
          <w:rFonts w:ascii="Times New Roman" w:eastAsia="Calibri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</w:t>
      </w:r>
      <w:r>
        <w:rPr>
          <w:rFonts w:ascii="Times New Roman" w:hAnsi="Times New Roman"/>
          <w:b/>
          <w:bCs/>
          <w:noProof/>
          <w:sz w:val="24"/>
          <w:szCs w:val="24"/>
        </w:rPr>
        <w:t>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3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</w:rPr>
        <w:t>: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Għadd ta’ </w:t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t>kawżi ċivili u kummerċjali kontenzjużi li deħlin, 2012 – 2018</w:t>
      </w:r>
      <w:r>
        <w:rPr>
          <w:rFonts w:ascii="Times New Roman" w:hAnsi="Times New Roman"/>
          <w:noProof/>
          <w:sz w:val="24"/>
          <w:szCs w:val="24"/>
        </w:rPr>
        <w:t xml:space="preserve"> (</w:t>
      </w:r>
      <w:r>
        <w:rPr>
          <w:noProof/>
          <w:sz w:val="24"/>
          <w:szCs w:val="24"/>
        </w:rPr>
        <w:t>*</w:t>
      </w:r>
      <w:r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>(il-prim’istanza/għal kull 100 abitant) (sors: studju tas-CEPEJ)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65239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rFonts w:ascii="Times New Roman" w:hAnsi="Times New Roman"/>
          <w:i/>
          <w:noProof/>
          <w:sz w:val="20"/>
        </w:rPr>
        <w:t xml:space="preserve">(*) Skont il-metodoloġija tas-CEPEJ, il-kawżi ċivili/kummerċjali kontenzjużi </w:t>
      </w:r>
      <w:r>
        <w:rPr>
          <w:rFonts w:ascii="Times New Roman" w:hAnsi="Times New Roman"/>
          <w:i/>
          <w:noProof/>
          <w:sz w:val="20"/>
        </w:rPr>
        <w:t>jikkonċernaw tilwim bejn il-partijiet, eż. tilwim dwar kuntratti. Il-kawżi ċivili/kummerċjali mhux kontenzjużi jikkonċernaw proċedimenti mhux ikkontestati, eż. ordnijiet ta’ ħlas mhux ikkontestati. Tibdiliet fil-metodoloġija fil-</w:t>
      </w:r>
      <w:r>
        <w:rPr>
          <w:rFonts w:ascii="Times New Roman" w:hAnsi="Times New Roman"/>
          <w:b/>
          <w:i/>
          <w:noProof/>
          <w:sz w:val="20"/>
        </w:rPr>
        <w:t>EL</w:t>
      </w:r>
      <w:r>
        <w:rPr>
          <w:rFonts w:ascii="Times New Roman" w:hAnsi="Times New Roman"/>
          <w:i/>
          <w:noProof/>
          <w:sz w:val="20"/>
        </w:rPr>
        <w:t xml:space="preserve"> u fis-</w:t>
      </w:r>
      <w:r>
        <w:rPr>
          <w:rFonts w:ascii="Times New Roman" w:hAnsi="Times New Roman"/>
          <w:b/>
          <w:i/>
          <w:noProof/>
          <w:sz w:val="20"/>
        </w:rPr>
        <w:t>SK</w:t>
      </w:r>
      <w:r>
        <w:rPr>
          <w:rFonts w:ascii="Times New Roman" w:hAnsi="Times New Roman"/>
          <w:i/>
          <w:noProof/>
          <w:sz w:val="20"/>
        </w:rPr>
        <w:t>. Id-data għan-</w:t>
      </w:r>
      <w:r>
        <w:rPr>
          <w:rFonts w:ascii="Times New Roman" w:hAnsi="Times New Roman"/>
          <w:b/>
          <w:i/>
          <w:noProof/>
          <w:sz w:val="20"/>
        </w:rPr>
        <w:t>N</w:t>
      </w:r>
      <w:r>
        <w:rPr>
          <w:rFonts w:ascii="Times New Roman" w:hAnsi="Times New Roman"/>
          <w:b/>
          <w:i/>
          <w:noProof/>
          <w:sz w:val="20"/>
        </w:rPr>
        <w:t>L</w:t>
      </w:r>
      <w:r>
        <w:rPr>
          <w:rFonts w:ascii="Times New Roman" w:hAnsi="Times New Roman"/>
          <w:i/>
          <w:noProof/>
          <w:sz w:val="20"/>
        </w:rPr>
        <w:t xml:space="preserve"> tinkludi l-kawżi mhux kontenzjużi.</w:t>
      </w:r>
    </w:p>
    <w:p w:rsidR="00461018" w:rsidRDefault="000329C3">
      <w:pPr>
        <w:keepNext/>
        <w:spacing w:before="240" w:after="0" w:line="240" w:lineRule="auto"/>
        <w:jc w:val="both"/>
        <w:rPr>
          <w:rFonts w:ascii="Times New Roman" w:eastAsia="Calibri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4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</w:rPr>
        <w:t>: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L-għadd ta’ </w:t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t xml:space="preserve">kawżi amministrattivi li deħlin, 2012 – 2018 </w:t>
      </w:r>
      <w:r>
        <w:rPr>
          <w:rFonts w:ascii="Times New Roman" w:hAnsi="Times New Roman"/>
          <w:noProof/>
          <w:sz w:val="24"/>
          <w:szCs w:val="24"/>
        </w:rPr>
        <w:t>(</w:t>
      </w:r>
      <w:r>
        <w:rPr>
          <w:noProof/>
          <w:sz w:val="24"/>
          <w:szCs w:val="24"/>
        </w:rPr>
        <w:t>*</w:t>
      </w:r>
      <w:r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(il-prim’istanza/għal kull 100 abitant) (sors: studju tas-CEPEJ) </w:t>
      </w:r>
    </w:p>
    <w:p w:rsidR="00461018" w:rsidRDefault="000329C3">
      <w:pPr>
        <w:keepNext/>
        <w:spacing w:after="0" w:line="240" w:lineRule="auto"/>
        <w:jc w:val="both"/>
        <w:rPr>
          <w:rFonts w:ascii="Times New Roman" w:eastAsia="Calibri" w:hAnsi="Times New Roman" w:cs="Times New Roman"/>
          <w:i/>
          <w:iCs/>
          <w:noProof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639300"/>
            <wp:effectExtent l="0" t="0" r="4445" b="889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iCs/>
          <w:noProof/>
          <w:sz w:val="20"/>
          <w:szCs w:val="20"/>
        </w:rPr>
        <w:t xml:space="preserve"> (*) Skont il-metodoloġija tas-CEPEJ, il-kawżi tal-liġi amministrattiva jikkonċernaw tilwim bejn l-individwi u l-awtoritajiet lokali, reġjonali jew nazzjonali. Id-</w:t>
      </w:r>
      <w:r>
        <w:rPr>
          <w:rFonts w:ascii="Times New Roman" w:hAnsi="Times New Roman"/>
          <w:b/>
          <w:bCs/>
          <w:i/>
          <w:iCs/>
          <w:noProof/>
          <w:sz w:val="20"/>
          <w:szCs w:val="20"/>
        </w:rPr>
        <w:t>DK</w:t>
      </w:r>
      <w:r>
        <w:rPr>
          <w:rFonts w:ascii="Times New Roman" w:hAnsi="Times New Roman"/>
          <w:i/>
          <w:iCs/>
          <w:noProof/>
          <w:sz w:val="20"/>
          <w:szCs w:val="20"/>
        </w:rPr>
        <w:t xml:space="preserve"> u l-</w:t>
      </w:r>
      <w:r>
        <w:rPr>
          <w:rFonts w:ascii="Times New Roman" w:hAnsi="Times New Roman"/>
          <w:b/>
          <w:bCs/>
          <w:i/>
          <w:iCs/>
          <w:noProof/>
          <w:sz w:val="20"/>
          <w:szCs w:val="20"/>
        </w:rPr>
        <w:t>IE</w:t>
      </w:r>
      <w:r>
        <w:rPr>
          <w:rFonts w:ascii="Times New Roman" w:hAnsi="Times New Roman"/>
          <w:i/>
          <w:iCs/>
          <w:noProof/>
          <w:sz w:val="20"/>
          <w:szCs w:val="20"/>
        </w:rPr>
        <w:t xml:space="preserve"> ma jirreġistrawx il-kawżi amministrattivi separatament.</w:t>
      </w:r>
      <w:bookmarkStart w:id="99" w:name="_Toc440291117"/>
      <w:bookmarkStart w:id="100" w:name="_Toc440294680"/>
      <w:bookmarkStart w:id="101" w:name="_Toc440295182"/>
      <w:bookmarkStart w:id="102" w:name="_Toc440296587"/>
      <w:bookmarkStart w:id="103" w:name="_Toc440625071"/>
      <w:bookmarkStart w:id="104" w:name="_Toc440626401"/>
      <w:bookmarkStart w:id="105" w:name="_Toc440628855"/>
      <w:bookmarkStart w:id="106" w:name="_Toc441571127"/>
      <w:bookmarkStart w:id="107" w:name="_Toc441581629"/>
      <w:bookmarkStart w:id="108" w:name="_Toc441585896"/>
      <w:bookmarkStart w:id="109" w:name="_Toc441595831"/>
      <w:bookmarkStart w:id="110" w:name="_Toc441596008"/>
      <w:bookmarkStart w:id="111" w:name="_Toc441748133"/>
      <w:bookmarkStart w:id="112" w:name="_Toc441755418"/>
      <w:bookmarkStart w:id="113" w:name="_Toc441756455"/>
      <w:bookmarkStart w:id="114" w:name="_Toc441757499"/>
      <w:bookmarkStart w:id="115" w:name="_Toc441766628"/>
      <w:bookmarkStart w:id="116" w:name="_Toc441766967"/>
      <w:bookmarkStart w:id="117" w:name="_Toc442187968"/>
      <w:bookmarkStart w:id="118" w:name="_Toc442262060"/>
      <w:bookmarkStart w:id="119" w:name="_Toc442362467"/>
      <w:bookmarkStart w:id="120" w:name="_Toc442374803"/>
      <w:bookmarkStart w:id="121" w:name="_Toc442425943"/>
      <w:bookmarkStart w:id="122" w:name="_Toc442453069"/>
      <w:bookmarkStart w:id="123" w:name="_Toc443484749"/>
      <w:bookmarkStart w:id="124" w:name="_Toc443509490"/>
      <w:bookmarkStart w:id="125" w:name="_Toc446014819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r>
        <w:rPr>
          <w:rFonts w:ascii="Times New Roman" w:hAnsi="Times New Roman"/>
          <w:i/>
          <w:iCs/>
          <w:noProof/>
          <w:sz w:val="20"/>
          <w:szCs w:val="20"/>
        </w:rPr>
        <w:t xml:space="preserve"> Fl-2018, fir-</w:t>
      </w:r>
      <w:r>
        <w:rPr>
          <w:rFonts w:ascii="Times New Roman" w:hAnsi="Times New Roman"/>
          <w:b/>
          <w:i/>
          <w:iCs/>
          <w:noProof/>
          <w:sz w:val="20"/>
          <w:szCs w:val="20"/>
        </w:rPr>
        <w:t>RO</w:t>
      </w:r>
      <w:r>
        <w:rPr>
          <w:rFonts w:ascii="Times New Roman" w:hAnsi="Times New Roman"/>
          <w:i/>
          <w:iCs/>
          <w:noProof/>
          <w:sz w:val="20"/>
          <w:szCs w:val="20"/>
        </w:rPr>
        <w:t>, ġew deġudi</w:t>
      </w:r>
      <w:r>
        <w:rPr>
          <w:rFonts w:ascii="Times New Roman" w:hAnsi="Times New Roman"/>
          <w:i/>
          <w:iCs/>
          <w:noProof/>
          <w:sz w:val="20"/>
          <w:szCs w:val="20"/>
        </w:rPr>
        <w:t>kalizzati ċerti proċeduri amministrattivi. Tibdiliet fil-metodoloġija fil-</w:t>
      </w:r>
      <w:r>
        <w:rPr>
          <w:rFonts w:ascii="Times New Roman" w:hAnsi="Times New Roman"/>
          <w:b/>
          <w:bCs/>
          <w:i/>
          <w:iCs/>
          <w:noProof/>
          <w:sz w:val="20"/>
          <w:szCs w:val="20"/>
        </w:rPr>
        <w:t>EL</w:t>
      </w:r>
      <w:r>
        <w:rPr>
          <w:rFonts w:ascii="Times New Roman" w:hAnsi="Times New Roman"/>
          <w:i/>
          <w:iCs/>
          <w:noProof/>
          <w:sz w:val="20"/>
          <w:szCs w:val="20"/>
        </w:rPr>
        <w:t>, fis-</w:t>
      </w:r>
      <w:r>
        <w:rPr>
          <w:rFonts w:ascii="Times New Roman" w:hAnsi="Times New Roman"/>
          <w:b/>
          <w:bCs/>
          <w:i/>
          <w:iCs/>
          <w:noProof/>
          <w:sz w:val="20"/>
          <w:szCs w:val="20"/>
        </w:rPr>
        <w:t>SK</w:t>
      </w:r>
      <w:r>
        <w:rPr>
          <w:rFonts w:ascii="Times New Roman" w:hAnsi="Times New Roman"/>
          <w:i/>
          <w:iCs/>
          <w:noProof/>
          <w:sz w:val="20"/>
          <w:szCs w:val="20"/>
        </w:rPr>
        <w:t xml:space="preserve"> u fl-</w:t>
      </w:r>
      <w:r>
        <w:rPr>
          <w:rFonts w:ascii="Times New Roman" w:hAnsi="Times New Roman"/>
          <w:b/>
          <w:bCs/>
          <w:i/>
          <w:iCs/>
          <w:noProof/>
          <w:sz w:val="20"/>
          <w:szCs w:val="20"/>
        </w:rPr>
        <w:t>SE</w:t>
      </w:r>
      <w:r>
        <w:rPr>
          <w:rFonts w:ascii="Times New Roman" w:hAnsi="Times New Roman"/>
          <w:i/>
          <w:iCs/>
          <w:noProof/>
          <w:sz w:val="20"/>
          <w:szCs w:val="20"/>
        </w:rPr>
        <w:t>. Fl-SE, il-kawżi dwar il-migrazzjoni ġew inklużi mal-kawżi amministrattivi (applikati b’mod retroattiv għall-2016 u wkoll għall-2017).</w:t>
      </w:r>
    </w:p>
    <w:p w:rsidR="00461018" w:rsidRDefault="000329C3">
      <w:pPr>
        <w:keepNext/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  <w:szCs w:val="20"/>
        </w:rPr>
      </w:pPr>
      <w:r>
        <w:rPr>
          <w:rFonts w:ascii="Times New Roman" w:hAnsi="Times New Roman"/>
          <w:i/>
          <w:iCs/>
          <w:noProof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noProof/>
        </w:rPr>
        <w:br w:type="page"/>
      </w:r>
    </w:p>
    <w:p w:rsidR="00461018" w:rsidRDefault="000329C3">
      <w:pPr>
        <w:keepNext/>
        <w:spacing w:before="240" w:after="120" w:line="240" w:lineRule="auto"/>
        <w:jc w:val="both"/>
        <w:outlineLvl w:val="2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3.1.2. 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r>
        <w:rPr>
          <w:rFonts w:ascii="Times New Roman" w:hAnsi="Times New Roman"/>
          <w:b/>
          <w:i/>
          <w:noProof/>
          <w:sz w:val="24"/>
          <w:szCs w:val="24"/>
        </w:rPr>
        <w:t>Data</w:t>
      </w:r>
      <w:r>
        <w:rPr>
          <w:rFonts w:ascii="Times New Roman" w:hAnsi="Times New Roman"/>
          <w:b/>
          <w:noProof/>
          <w:sz w:val="24"/>
          <w:szCs w:val="24"/>
        </w:rPr>
        <w:t xml:space="preserve"> ġenerali dwar l-effiċjenza</w:t>
      </w:r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L-indikaturi dwar l-effiċjenza tal-proċedimenti fl-oqsma wesgħin tal-kawżi ċivili, kummerċjali u amministrattivi huma: it-tul ta’ żmien stmat tal-proċedimenti (iż-żmien għat-tlestija), ir-rata tal-għeluq tal-kawżi; u l-għadd ta’</w:t>
      </w:r>
      <w:r>
        <w:rPr>
          <w:rFonts w:ascii="Times New Roman" w:hAnsi="Times New Roman"/>
          <w:noProof/>
          <w:sz w:val="24"/>
          <w:szCs w:val="24"/>
        </w:rPr>
        <w:t xml:space="preserve"> kawżi pendenti.</w:t>
      </w:r>
    </w:p>
    <w:p w:rsidR="00461018" w:rsidRDefault="000329C3">
      <w:pPr>
        <w:keepNext/>
        <w:tabs>
          <w:tab w:val="left" w:pos="850"/>
        </w:tabs>
        <w:spacing w:before="240" w:after="120" w:line="240" w:lineRule="auto"/>
        <w:ind w:left="720" w:hanging="720"/>
        <w:jc w:val="both"/>
        <w:outlineLvl w:val="2"/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sym w:font="Symbol" w:char="F02D"/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 Tul ta’ żmien stmat tal-proċedimenti </w:t>
      </w:r>
      <w:r>
        <w:rPr>
          <w:rFonts w:ascii="Times New Roman" w:hAnsi="Times New Roman"/>
          <w:noProof/>
          <w:sz w:val="24"/>
          <w:szCs w:val="24"/>
        </w:rPr>
        <w:t>–</w:t>
      </w:r>
    </w:p>
    <w:p w:rsidR="00461018" w:rsidRDefault="000329C3"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It-tul ta’ żmien tal-proċedimenti jindika ż-żmien stmat (f’jiem) meħtieġ sabiex tiġi riżolta kawża l-qorti, jiġifieri ż-żmien meħud mill-qorti sabiex tasal għal deċiżjoni fil-prim’istanza. L-indikat</w:t>
      </w:r>
      <w:r>
        <w:rPr>
          <w:rFonts w:ascii="Times New Roman" w:hAnsi="Times New Roman"/>
          <w:noProof/>
          <w:sz w:val="24"/>
          <w:szCs w:val="24"/>
        </w:rPr>
        <w:t>ur taż-“żmien għat-tlestija” huwa l-għadd ta’ kawżi mhux riżolti diviż bl-għadd ta’ kawżi riżolti sa tmiem is-sena mmoltiplikat bi 365 (jum) (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40"/>
      </w:r>
      <w:r>
        <w:rPr>
          <w:rFonts w:ascii="Times New Roman" w:hAnsi="Times New Roman"/>
          <w:noProof/>
          <w:sz w:val="24"/>
          <w:szCs w:val="24"/>
        </w:rPr>
        <w:t>). Hija kwantità kkalkolata li tindika ż-żmien minimu stmat li qorti tkun teħtieġ sabiex issolvi kawża filwaqt li</w:t>
      </w:r>
      <w:r>
        <w:rPr>
          <w:rFonts w:ascii="Times New Roman" w:hAnsi="Times New Roman"/>
          <w:noProof/>
          <w:sz w:val="24"/>
          <w:szCs w:val="24"/>
        </w:rPr>
        <w:t xml:space="preserve"> żżomm il-kundizzjonijiet tax-xogħol attwali. Aktar ma jkun għoli l-valur, aktar ikun hemm probabbiltà li l-qorti tieħu aktar żmien sabiex tasal għal deċiżjoni. Prinċipalment, l-illustrazzjonijiet jikkonċernaw proċedimenti fil-qrati tal-prim’istanza u jqab</w:t>
      </w:r>
      <w:r>
        <w:rPr>
          <w:rFonts w:ascii="Times New Roman" w:hAnsi="Times New Roman"/>
          <w:noProof/>
          <w:sz w:val="24"/>
          <w:szCs w:val="24"/>
        </w:rPr>
        <w:t xml:space="preserve">blu, fejn disponibbli, </w:t>
      </w:r>
      <w:r>
        <w:rPr>
          <w:rFonts w:ascii="Times New Roman" w:hAnsi="Times New Roman"/>
          <w:i/>
          <w:noProof/>
          <w:sz w:val="24"/>
          <w:szCs w:val="24"/>
        </w:rPr>
        <w:t>data</w:t>
      </w:r>
      <w:r>
        <w:rPr>
          <w:rFonts w:ascii="Times New Roman" w:hAnsi="Times New Roman"/>
          <w:noProof/>
          <w:sz w:val="24"/>
          <w:szCs w:val="24"/>
        </w:rPr>
        <w:t xml:space="preserve"> għall-2012, għall-2016, għall-2017 u għall-2018 (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41"/>
      </w:r>
      <w:r>
        <w:rPr>
          <w:rFonts w:ascii="Times New Roman" w:hAnsi="Times New Roman"/>
          <w:noProof/>
          <w:sz w:val="24"/>
          <w:szCs w:val="24"/>
        </w:rPr>
        <w:t>). Żewġ illustrazzjonijiet juru ż-żmien għat-tlestija fl-2018 f’kawżi ċivili u kummerċjali kontenzjużi, u kawżi amministrattivi fl-istanzi kollha tal-qrati, u illustrazzjoni waħd</w:t>
      </w:r>
      <w:r>
        <w:rPr>
          <w:rFonts w:ascii="Times New Roman" w:hAnsi="Times New Roman"/>
          <w:noProof/>
          <w:sz w:val="24"/>
          <w:szCs w:val="24"/>
        </w:rPr>
        <w:t>a turi t-tul medju tal-proċedimenti f’kawżi relatati mal-ħasil tal-flus fil-qrati tal-ewwel u tat-tieni istanza.</w:t>
      </w:r>
    </w:p>
    <w:p w:rsidR="00461018" w:rsidRDefault="000329C3">
      <w:pPr>
        <w:keepNext/>
        <w:spacing w:before="240"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  <w:bookmarkStart w:id="126" w:name="_Ref440892401"/>
      <w:r>
        <w:rPr>
          <w:rFonts w:ascii="Times New Roman" w:hAnsi="Times New Roman"/>
          <w:b/>
          <w:bCs/>
          <w:noProof/>
          <w:sz w:val="24"/>
          <w:szCs w:val="24"/>
        </w:rPr>
        <w:t xml:space="preserve">Illustrazzjoni </w:t>
      </w:r>
      <w:r>
        <w:rPr>
          <w:noProof/>
        </w:rPr>
        <w:fldChar w:fldCharType="begin"/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instrText xml:space="preserve"> SEQ Figure \* ARABIC </w:instrTex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5</w:t>
      </w:r>
      <w:r>
        <w:rPr>
          <w:noProof/>
        </w:rPr>
        <w:fldChar w:fldCharType="end"/>
      </w:r>
      <w:bookmarkEnd w:id="126"/>
      <w:r>
        <w:rPr>
          <w:rFonts w:ascii="Times New Roman" w:hAnsi="Times New Roman"/>
          <w:b/>
          <w:bCs/>
          <w:noProof/>
          <w:sz w:val="24"/>
          <w:szCs w:val="24"/>
        </w:rPr>
        <w:t xml:space="preserve">: Iż-żmien meħtieġ stmat sabiex jiġu solvuti </w:t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t xml:space="preserve">kawżi ċivili, kummerċjali, amministrattivi u oħrajn, 2012 – 2018 </w:t>
      </w:r>
      <w:r>
        <w:rPr>
          <w:rFonts w:ascii="Times New Roman" w:hAnsi="Times New Roman"/>
          <w:noProof/>
          <w:sz w:val="24"/>
          <w:szCs w:val="24"/>
        </w:rPr>
        <w:t>(</w:t>
      </w:r>
      <w:r>
        <w:rPr>
          <w:noProof/>
          <w:sz w:val="24"/>
          <w:szCs w:val="24"/>
        </w:rPr>
        <w:t>*</w:t>
      </w:r>
      <w:r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i/>
          <w:iCs/>
          <w:noProof/>
          <w:sz w:val="24"/>
          <w:szCs w:val="24"/>
        </w:rPr>
        <w:t>(prim’istanza/f’jiem) (sors: studju tas-CEPEJ)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4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717165"/>
            <wp:effectExtent l="0" t="0" r="4445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ascii="Times New Roman" w:hAnsi="Times New Roman"/>
          <w:i/>
          <w:noProof/>
          <w:sz w:val="20"/>
        </w:rPr>
        <w:t>(*) Skont il-metodoloġija tas-CEPEJ, din il-kategorija tinkludi l-kawżi ċivili u kummerċjali kontenzjużi u mhux kontenzjużi kollha, il-kawż</w:t>
      </w:r>
      <w:r>
        <w:rPr>
          <w:rFonts w:ascii="Times New Roman" w:hAnsi="Times New Roman"/>
          <w:i/>
          <w:noProof/>
          <w:sz w:val="20"/>
        </w:rPr>
        <w:t>i tar-reġistru tal-artijiet u tan-negozju mhux kontenzjużi, kawżi tar-reġistru oħrajn, kawżi mhux kontenzjużi oħrajn, il-kawżi tal-liġi amministrattiva u kawżi oħrajn mhux kriminali. Tibdiliet fil-metodoloġija fis-</w:t>
      </w:r>
      <w:r>
        <w:rPr>
          <w:rFonts w:ascii="Times New Roman" w:hAnsi="Times New Roman"/>
          <w:b/>
          <w:i/>
          <w:noProof/>
          <w:sz w:val="20"/>
        </w:rPr>
        <w:t>SK</w:t>
      </w:r>
      <w:r>
        <w:rPr>
          <w:rFonts w:ascii="Times New Roman" w:hAnsi="Times New Roman"/>
          <w:i/>
          <w:noProof/>
          <w:sz w:val="20"/>
        </w:rPr>
        <w:t>. Il-kawżi pendenti jinkludu l-istanzi k</w:t>
      </w:r>
      <w:r>
        <w:rPr>
          <w:rFonts w:ascii="Times New Roman" w:hAnsi="Times New Roman"/>
          <w:i/>
          <w:noProof/>
          <w:sz w:val="20"/>
        </w:rPr>
        <w:t>ollha fiċ-</w:t>
      </w:r>
      <w:r>
        <w:rPr>
          <w:rFonts w:ascii="Times New Roman" w:hAnsi="Times New Roman"/>
          <w:b/>
          <w:i/>
          <w:noProof/>
          <w:sz w:val="20"/>
        </w:rPr>
        <w:t>CZ</w:t>
      </w:r>
      <w:r>
        <w:rPr>
          <w:rFonts w:ascii="Times New Roman" w:hAnsi="Times New Roman"/>
          <w:i/>
          <w:noProof/>
          <w:sz w:val="20"/>
        </w:rPr>
        <w:t xml:space="preserve"> u</w:t>
      </w:r>
      <w:bookmarkStart w:id="127" w:name="_Ref442281958"/>
      <w:r>
        <w:rPr>
          <w:rFonts w:ascii="Times New Roman" w:hAnsi="Times New Roman"/>
          <w:i/>
          <w:noProof/>
          <w:sz w:val="20"/>
        </w:rPr>
        <w:t>, sal-2016, fis-</w:t>
      </w:r>
      <w:r>
        <w:rPr>
          <w:rFonts w:ascii="Times New Roman" w:hAnsi="Times New Roman"/>
          <w:b/>
          <w:i/>
          <w:noProof/>
          <w:sz w:val="20"/>
        </w:rPr>
        <w:t>SK</w:t>
      </w:r>
      <w:r>
        <w:rPr>
          <w:rFonts w:ascii="Times New Roman" w:hAnsi="Times New Roman"/>
          <w:i/>
          <w:noProof/>
          <w:sz w:val="20"/>
        </w:rPr>
        <w:t>. Fil-</w:t>
      </w:r>
      <w:r>
        <w:rPr>
          <w:rFonts w:ascii="Times New Roman" w:hAnsi="Times New Roman"/>
          <w:b/>
          <w:i/>
          <w:noProof/>
          <w:sz w:val="20"/>
        </w:rPr>
        <w:t>LV</w:t>
      </w:r>
      <w:r>
        <w:rPr>
          <w:rFonts w:ascii="Times New Roman" w:hAnsi="Times New Roman"/>
          <w:i/>
          <w:noProof/>
          <w:sz w:val="20"/>
        </w:rPr>
        <w:t>: it-tnaqqis f’salt huwa dovut għar-riforma tas-sistema tal-qorti, u għall-kontrolli tal-iżbalji u għat-tindif tad-data fis-sistema ta’ informazzjoni tal-Qrati.</w:t>
      </w:r>
    </w:p>
    <w:p w:rsidR="00461018" w:rsidRDefault="000329C3">
      <w:pPr>
        <w:keepNext/>
        <w:spacing w:before="240" w:after="0" w:line="240" w:lineRule="auto"/>
        <w:jc w:val="both"/>
        <w:rPr>
          <w:rFonts w:ascii="Times New Roman" w:eastAsia="Calibri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 xml:space="preserve">Illustrazzjoni 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6</w:t>
      </w:r>
      <w:r>
        <w:rPr>
          <w:noProof/>
        </w:rPr>
        <w:fldChar w:fldCharType="end"/>
      </w:r>
      <w:bookmarkEnd w:id="127"/>
      <w:r>
        <w:rPr>
          <w:rFonts w:ascii="Times New Roman" w:hAnsi="Times New Roman"/>
          <w:b/>
          <w:bCs/>
          <w:noProof/>
          <w:sz w:val="24"/>
          <w:szCs w:val="24"/>
        </w:rPr>
        <w:t xml:space="preserve">: Iż-żmien meħtieġ stmat sabiex jiġu solvuti </w:t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t xml:space="preserve">kawżi ċivili u kummerċjali kontenzjużi, 2012 – 2018 </w:t>
      </w:r>
      <w:r>
        <w:rPr>
          <w:rFonts w:ascii="Times New Roman" w:hAnsi="Times New Roman"/>
          <w:noProof/>
          <w:sz w:val="24"/>
          <w:szCs w:val="24"/>
        </w:rPr>
        <w:t>(</w:t>
      </w:r>
      <w:r>
        <w:rPr>
          <w:noProof/>
          <w:sz w:val="24"/>
          <w:szCs w:val="24"/>
        </w:rPr>
        <w:t>*</w:t>
      </w:r>
      <w:r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i/>
          <w:iCs/>
          <w:noProof/>
          <w:sz w:val="24"/>
          <w:szCs w:val="24"/>
        </w:rPr>
        <w:t>(prim’istanza/f’jiem) (sors: studju tas-CEPEJ)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656840"/>
            <wp:effectExtent l="0" t="0" r="444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rFonts w:ascii="Times New Roman" w:hAnsi="Times New Roman"/>
          <w:i/>
          <w:noProof/>
          <w:sz w:val="20"/>
        </w:rPr>
        <w:t xml:space="preserve">(*) Skont il-metodoloġija tas-CEPEJ, il-kawżi ċivili/kummerċjali kontenzjużi jikkonċernaw tilwim bejn </w:t>
      </w:r>
      <w:r>
        <w:rPr>
          <w:rFonts w:ascii="Times New Roman" w:hAnsi="Times New Roman"/>
          <w:i/>
          <w:noProof/>
          <w:sz w:val="20"/>
        </w:rPr>
        <w:t>il-partijiet, eż. tilwim dwar kuntratti. Il-kawżi ċivili/kummerċjali mhux kontenzjużi jikkonċernaw proċedimenti mhux ikkontestati, eż. ordnijiet ta’ ħlas mhux ikkontestati. Tibdiliet fil-metodoloġija fil-</w:t>
      </w:r>
      <w:r>
        <w:rPr>
          <w:rFonts w:ascii="Times New Roman" w:hAnsi="Times New Roman"/>
          <w:b/>
          <w:i/>
          <w:noProof/>
          <w:sz w:val="20"/>
        </w:rPr>
        <w:t>EL</w:t>
      </w:r>
      <w:r>
        <w:rPr>
          <w:rFonts w:ascii="Times New Roman" w:hAnsi="Times New Roman"/>
          <w:i/>
          <w:noProof/>
          <w:sz w:val="20"/>
        </w:rPr>
        <w:t xml:space="preserve"> u fis-</w:t>
      </w:r>
      <w:r>
        <w:rPr>
          <w:rFonts w:ascii="Times New Roman" w:hAnsi="Times New Roman"/>
          <w:b/>
          <w:i/>
          <w:noProof/>
          <w:sz w:val="20"/>
        </w:rPr>
        <w:t>SK</w:t>
      </w:r>
      <w:r>
        <w:rPr>
          <w:rFonts w:ascii="Times New Roman" w:hAnsi="Times New Roman"/>
          <w:i/>
          <w:noProof/>
          <w:sz w:val="20"/>
        </w:rPr>
        <w:t>. Il-kawżi pendenti jinkludu l-istanzi ko</w:t>
      </w:r>
      <w:r>
        <w:rPr>
          <w:rFonts w:ascii="Times New Roman" w:hAnsi="Times New Roman"/>
          <w:i/>
          <w:noProof/>
          <w:sz w:val="20"/>
        </w:rPr>
        <w:t>llha fiċ-</w:t>
      </w:r>
      <w:r>
        <w:rPr>
          <w:rFonts w:ascii="Times New Roman" w:hAnsi="Times New Roman"/>
          <w:b/>
          <w:i/>
          <w:noProof/>
          <w:sz w:val="20"/>
        </w:rPr>
        <w:t>CZ</w:t>
      </w:r>
      <w:r>
        <w:rPr>
          <w:rFonts w:ascii="Times New Roman" w:hAnsi="Times New Roman"/>
          <w:i/>
          <w:noProof/>
          <w:sz w:val="20"/>
        </w:rPr>
        <w:t xml:space="preserve"> u, sal-2016, fis-</w:t>
      </w:r>
      <w:r>
        <w:rPr>
          <w:rFonts w:ascii="Times New Roman" w:hAnsi="Times New Roman"/>
          <w:b/>
          <w:i/>
          <w:noProof/>
          <w:sz w:val="20"/>
        </w:rPr>
        <w:t>SK</w:t>
      </w:r>
      <w:r>
        <w:rPr>
          <w:rFonts w:ascii="Times New Roman" w:hAnsi="Times New Roman"/>
          <w:i/>
          <w:noProof/>
          <w:sz w:val="20"/>
        </w:rPr>
        <w:t>. Id-data għan-</w:t>
      </w:r>
      <w:bookmarkStart w:id="128" w:name="_Ref440892386"/>
      <w:bookmarkStart w:id="129" w:name="_Ref440892375"/>
      <w:r>
        <w:rPr>
          <w:rFonts w:ascii="Times New Roman" w:hAnsi="Times New Roman"/>
          <w:b/>
          <w:i/>
          <w:noProof/>
          <w:sz w:val="20"/>
        </w:rPr>
        <w:t>NL</w:t>
      </w:r>
      <w:r>
        <w:rPr>
          <w:rFonts w:ascii="Times New Roman" w:hAnsi="Times New Roman"/>
          <w:i/>
          <w:noProof/>
          <w:sz w:val="20"/>
        </w:rPr>
        <w:t xml:space="preserve"> tinkludi l-kawżi mhux kontenzjużi.</w:t>
      </w:r>
    </w:p>
    <w:p w:rsidR="00461018" w:rsidRDefault="000329C3">
      <w:pPr>
        <w:spacing w:before="240" w:after="0" w:line="240" w:lineRule="auto"/>
        <w:jc w:val="both"/>
        <w:rPr>
          <w:rFonts w:ascii="Times New Roman" w:eastAsia="Calibri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7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: Iż-żmien meħtieġ sabiex jiġu solvuti </w:t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t>kawżi ċivili u kummerċjali kontenzjużi</w:t>
      </w:r>
      <w:r>
        <w:rPr>
          <w:rFonts w:ascii="Times New Roman" w:hAnsi="Times New Roman"/>
          <w:noProof/>
        </w:rPr>
        <w:t xml:space="preserve"> (</w:t>
      </w:r>
      <w:r>
        <w:rPr>
          <w:noProof/>
        </w:rPr>
        <w:t>*</w:t>
      </w:r>
      <w:r>
        <w:rPr>
          <w:rFonts w:ascii="Times New Roman" w:hAnsi="Times New Roman"/>
          <w:noProof/>
        </w:rPr>
        <w:t>)</w:t>
      </w:r>
      <w:r>
        <w:rPr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fl-istanzi </w:t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t>kollha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tal-qorti fl-2018 </w:t>
      </w:r>
      <w:r>
        <w:rPr>
          <w:rFonts w:ascii="Times New Roman" w:hAnsi="Times New Roman"/>
          <w:i/>
          <w:iCs/>
          <w:noProof/>
          <w:sz w:val="24"/>
          <w:szCs w:val="24"/>
        </w:rPr>
        <w:t>(il-prim’istanza, it-tieni u t-tielet istanzi/f’jiem) (sors: studju tas-CEPEJ)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649855"/>
            <wp:effectExtent l="0" t="0" r="44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0"/>
          <w:szCs w:val="20"/>
        </w:rPr>
        <w:t xml:space="preserve"> (*) L-ordni huwa ddeterminat skont l-istanza tal-qorti bl-itwal proċedimenti f’kull Stat Membru. </w:t>
      </w:r>
      <w:r>
        <w:rPr>
          <w:rFonts w:ascii="Times New Roman" w:hAnsi="Times New Roman"/>
          <w:i/>
          <w:noProof/>
          <w:sz w:val="20"/>
        </w:rPr>
        <w:t>Ma hemm l-ebda data disponibbli għall-qrati tal-prim’istanza u tat-tieni istan</w:t>
      </w:r>
      <w:r>
        <w:rPr>
          <w:rFonts w:ascii="Times New Roman" w:hAnsi="Times New Roman"/>
          <w:i/>
          <w:noProof/>
          <w:sz w:val="20"/>
        </w:rPr>
        <w:t>za fil-</w:t>
      </w:r>
      <w:r>
        <w:rPr>
          <w:rFonts w:ascii="Times New Roman" w:hAnsi="Times New Roman"/>
          <w:b/>
          <w:i/>
          <w:noProof/>
          <w:sz w:val="20"/>
        </w:rPr>
        <w:t>BE</w:t>
      </w:r>
      <w:r>
        <w:rPr>
          <w:rFonts w:ascii="Times New Roman" w:hAnsi="Times New Roman"/>
          <w:i/>
          <w:noProof/>
          <w:sz w:val="20"/>
        </w:rPr>
        <w:t>, fil-</w:t>
      </w:r>
      <w:r>
        <w:rPr>
          <w:rFonts w:ascii="Times New Roman" w:hAnsi="Times New Roman"/>
          <w:b/>
          <w:i/>
          <w:noProof/>
          <w:sz w:val="20"/>
        </w:rPr>
        <w:t>BG</w:t>
      </w:r>
      <w:r>
        <w:rPr>
          <w:rFonts w:ascii="Times New Roman" w:hAnsi="Times New Roman"/>
          <w:i/>
          <w:noProof/>
          <w:sz w:val="20"/>
        </w:rPr>
        <w:t xml:space="preserve"> u fl-</w:t>
      </w:r>
      <w:r>
        <w:rPr>
          <w:rFonts w:ascii="Times New Roman" w:hAnsi="Times New Roman"/>
          <w:b/>
          <w:i/>
          <w:noProof/>
          <w:sz w:val="20"/>
        </w:rPr>
        <w:t>IE</w:t>
      </w:r>
      <w:r>
        <w:rPr>
          <w:rFonts w:ascii="Times New Roman" w:hAnsi="Times New Roman"/>
          <w:i/>
          <w:noProof/>
          <w:sz w:val="20"/>
        </w:rPr>
        <w:t>, għall-qrati tat-tieni u t-tielet istanza fin-</w:t>
      </w:r>
      <w:r>
        <w:rPr>
          <w:rFonts w:ascii="Times New Roman" w:hAnsi="Times New Roman"/>
          <w:b/>
          <w:i/>
          <w:noProof/>
          <w:sz w:val="20"/>
        </w:rPr>
        <w:t>NL</w:t>
      </w:r>
      <w:r>
        <w:rPr>
          <w:rFonts w:ascii="Times New Roman" w:hAnsi="Times New Roman"/>
          <w:i/>
          <w:noProof/>
          <w:sz w:val="20"/>
        </w:rPr>
        <w:t>, għall-qrati tat-tieni u tat-tielet istanza fin-</w:t>
      </w:r>
      <w:r>
        <w:rPr>
          <w:rFonts w:ascii="Times New Roman" w:hAnsi="Times New Roman"/>
          <w:b/>
          <w:i/>
          <w:noProof/>
          <w:sz w:val="20"/>
        </w:rPr>
        <w:t>NL</w:t>
      </w:r>
      <w:r>
        <w:rPr>
          <w:rFonts w:ascii="Times New Roman" w:hAnsi="Times New Roman"/>
          <w:i/>
          <w:noProof/>
          <w:sz w:val="20"/>
        </w:rPr>
        <w:t xml:space="preserve"> u fl-</w:t>
      </w:r>
      <w:r>
        <w:rPr>
          <w:rFonts w:ascii="Times New Roman" w:hAnsi="Times New Roman"/>
          <w:b/>
          <w:i/>
          <w:noProof/>
          <w:sz w:val="20"/>
        </w:rPr>
        <w:t>AT</w:t>
      </w:r>
      <w:r>
        <w:rPr>
          <w:rFonts w:ascii="Times New Roman" w:hAnsi="Times New Roman"/>
          <w:i/>
          <w:noProof/>
          <w:sz w:val="20"/>
        </w:rPr>
        <w:t xml:space="preserve"> jew għall-qrati tat-tieni istanza fil-</w:t>
      </w:r>
      <w:r>
        <w:rPr>
          <w:rFonts w:ascii="Times New Roman" w:hAnsi="Times New Roman"/>
          <w:b/>
          <w:i/>
          <w:noProof/>
          <w:sz w:val="20"/>
        </w:rPr>
        <w:t>DE</w:t>
      </w:r>
      <w:r>
        <w:rPr>
          <w:rFonts w:ascii="Times New Roman" w:hAnsi="Times New Roman"/>
          <w:i/>
          <w:noProof/>
          <w:sz w:val="20"/>
        </w:rPr>
        <w:t xml:space="preserve"> u fil-</w:t>
      </w:r>
      <w:r>
        <w:rPr>
          <w:rFonts w:ascii="Times New Roman" w:hAnsi="Times New Roman"/>
          <w:b/>
          <w:i/>
          <w:noProof/>
          <w:sz w:val="20"/>
        </w:rPr>
        <w:t>HR</w:t>
      </w:r>
      <w:r>
        <w:rPr>
          <w:rFonts w:ascii="Times New Roman" w:hAnsi="Times New Roman"/>
          <w:i/>
          <w:noProof/>
          <w:sz w:val="20"/>
        </w:rPr>
        <w:t>. Ma hemm ebda qorti tat-tielet istanza f’</w:t>
      </w:r>
      <w:r>
        <w:rPr>
          <w:rFonts w:ascii="Times New Roman" w:hAnsi="Times New Roman"/>
          <w:b/>
          <w:i/>
          <w:noProof/>
          <w:sz w:val="20"/>
        </w:rPr>
        <w:t>MT</w:t>
      </w:r>
      <w:r>
        <w:rPr>
          <w:rFonts w:ascii="Times New Roman" w:hAnsi="Times New Roman"/>
          <w:i/>
          <w:noProof/>
          <w:sz w:val="20"/>
        </w:rPr>
        <w:t>. L-aċċess għal qorti tat-tie</w:t>
      </w:r>
      <w:r>
        <w:rPr>
          <w:rFonts w:ascii="Times New Roman" w:hAnsi="Times New Roman"/>
          <w:i/>
          <w:noProof/>
          <w:sz w:val="20"/>
        </w:rPr>
        <w:t>let istanza jista’ jkun limitat f’xi Stati Membri.</w:t>
      </w:r>
      <w:r>
        <w:rPr>
          <w:rFonts w:ascii="Times New Roman" w:hAnsi="Times New Roman"/>
          <w:i/>
          <w:noProof/>
          <w:sz w:val="20"/>
          <w:szCs w:val="20"/>
        </w:rPr>
        <w:t xml:space="preserve"> </w:t>
      </w:r>
    </w:p>
    <w:p w:rsidR="00461018" w:rsidRDefault="00461018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  <w:szCs w:val="20"/>
        </w:rPr>
      </w:pPr>
    </w:p>
    <w:p w:rsidR="00461018" w:rsidRDefault="000329C3">
      <w:pPr>
        <w:keepNext/>
        <w:spacing w:before="240" w:after="0" w:line="240" w:lineRule="auto"/>
        <w:jc w:val="both"/>
        <w:rPr>
          <w:rFonts w:ascii="Times New Roman" w:eastAsia="Calibri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 xml:space="preserve">Illustrazzjoni 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8</w:t>
      </w:r>
      <w:r>
        <w:rPr>
          <w:noProof/>
        </w:rPr>
        <w:fldChar w:fldCharType="end"/>
      </w:r>
      <w:bookmarkEnd w:id="128"/>
      <w:bookmarkEnd w:id="129"/>
      <w:r>
        <w:rPr>
          <w:rFonts w:ascii="Times New Roman" w:hAnsi="Times New Roman"/>
          <w:b/>
          <w:bCs/>
          <w:noProof/>
          <w:sz w:val="24"/>
          <w:szCs w:val="24"/>
        </w:rPr>
        <w:t xml:space="preserve">: Iż-żmien meħtieġ stmat sabiex jiġu solvuti </w:t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t>kawżi amministrattivi, 2012 – 2018</w:t>
      </w:r>
      <w:r>
        <w:rPr>
          <w:rFonts w:ascii="Times New Roman" w:hAnsi="Times New Roman"/>
          <w:noProof/>
        </w:rPr>
        <w:t xml:space="preserve"> (</w:t>
      </w:r>
      <w:r>
        <w:rPr>
          <w:noProof/>
        </w:rPr>
        <w:t>*</w:t>
      </w:r>
      <w:r>
        <w:rPr>
          <w:rFonts w:ascii="Times New Roman" w:hAnsi="Times New Roman"/>
          <w:noProof/>
        </w:rPr>
        <w:t>)</w:t>
      </w:r>
      <w:r>
        <w:rPr>
          <w:noProof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>(prim’istanza/f’jiem) (sors: studju tas-CEPEJ)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656840"/>
            <wp:effectExtent l="0" t="0" r="444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rFonts w:ascii="Times New Roman" w:hAnsi="Times New Roman"/>
          <w:i/>
          <w:noProof/>
          <w:sz w:val="20"/>
        </w:rPr>
        <w:t xml:space="preserve">(*) Il-kawżi tal-liġi </w:t>
      </w:r>
      <w:r>
        <w:rPr>
          <w:rFonts w:ascii="Times New Roman" w:hAnsi="Times New Roman"/>
          <w:i/>
          <w:noProof/>
          <w:sz w:val="20"/>
        </w:rPr>
        <w:t>amministrattiva jikkonċernaw tilwim bejn l-individwi u l-awtoritajiet lokali, reġjonali jew nazzjonali skont il-metodoloġija tas-CEPEJ. Tibdiliet fil-metodoloġija fil-</w:t>
      </w:r>
      <w:r>
        <w:rPr>
          <w:rFonts w:ascii="Times New Roman" w:hAnsi="Times New Roman"/>
          <w:b/>
          <w:i/>
          <w:noProof/>
          <w:sz w:val="20"/>
        </w:rPr>
        <w:t>EL</w:t>
      </w:r>
      <w:r>
        <w:rPr>
          <w:rFonts w:ascii="Times New Roman" w:hAnsi="Times New Roman"/>
          <w:i/>
          <w:noProof/>
          <w:sz w:val="20"/>
        </w:rPr>
        <w:t xml:space="preserve"> u fis-</w:t>
      </w:r>
      <w:r>
        <w:rPr>
          <w:rFonts w:ascii="Times New Roman" w:hAnsi="Times New Roman"/>
          <w:b/>
          <w:i/>
          <w:noProof/>
          <w:sz w:val="20"/>
        </w:rPr>
        <w:t>SK</w:t>
      </w:r>
      <w:r>
        <w:rPr>
          <w:rFonts w:ascii="Times New Roman" w:hAnsi="Times New Roman"/>
          <w:i/>
          <w:noProof/>
          <w:sz w:val="20"/>
        </w:rPr>
        <w:t>. Il-kawżi pendenti jinkludu l-istanzi kollha tal-qorti fiċ-</w:t>
      </w:r>
      <w:r>
        <w:rPr>
          <w:rFonts w:ascii="Times New Roman" w:hAnsi="Times New Roman"/>
          <w:b/>
          <w:i/>
          <w:noProof/>
          <w:sz w:val="20"/>
        </w:rPr>
        <w:t>CZ</w:t>
      </w:r>
      <w:r>
        <w:rPr>
          <w:rFonts w:ascii="Times New Roman" w:hAnsi="Times New Roman"/>
          <w:i/>
          <w:noProof/>
          <w:sz w:val="20"/>
        </w:rPr>
        <w:t xml:space="preserve"> u, sal-2016, fi</w:t>
      </w:r>
      <w:r>
        <w:rPr>
          <w:rFonts w:ascii="Times New Roman" w:hAnsi="Times New Roman"/>
          <w:i/>
          <w:noProof/>
          <w:sz w:val="20"/>
        </w:rPr>
        <w:t>s-</w:t>
      </w:r>
      <w:r>
        <w:rPr>
          <w:rFonts w:ascii="Times New Roman" w:hAnsi="Times New Roman"/>
          <w:b/>
          <w:i/>
          <w:noProof/>
          <w:sz w:val="20"/>
        </w:rPr>
        <w:t>SK</w:t>
      </w:r>
      <w:r>
        <w:rPr>
          <w:rFonts w:ascii="Times New Roman" w:hAnsi="Times New Roman"/>
          <w:i/>
          <w:noProof/>
          <w:sz w:val="20"/>
        </w:rPr>
        <w:t>. Id-</w:t>
      </w:r>
      <w:r>
        <w:rPr>
          <w:rFonts w:ascii="Times New Roman" w:hAnsi="Times New Roman"/>
          <w:b/>
          <w:i/>
          <w:noProof/>
          <w:sz w:val="20"/>
        </w:rPr>
        <w:t>DK</w:t>
      </w:r>
      <w:r>
        <w:rPr>
          <w:rFonts w:ascii="Times New Roman" w:hAnsi="Times New Roman"/>
          <w:i/>
          <w:noProof/>
          <w:sz w:val="20"/>
        </w:rPr>
        <w:t xml:space="preserve"> u l-</w:t>
      </w:r>
      <w:r>
        <w:rPr>
          <w:rFonts w:ascii="Times New Roman" w:hAnsi="Times New Roman"/>
          <w:b/>
          <w:i/>
          <w:noProof/>
          <w:sz w:val="20"/>
        </w:rPr>
        <w:t>IE</w:t>
      </w:r>
      <w:r>
        <w:rPr>
          <w:rFonts w:ascii="Times New Roman" w:hAnsi="Times New Roman"/>
          <w:i/>
          <w:noProof/>
          <w:sz w:val="20"/>
        </w:rPr>
        <w:t xml:space="preserve"> ma jirreġistrawx il-kawżi amministrattivi separatament. </w:t>
      </w:r>
      <w:r>
        <w:rPr>
          <w:rFonts w:ascii="Times New Roman" w:hAnsi="Times New Roman"/>
          <w:b/>
          <w:i/>
          <w:noProof/>
          <w:sz w:val="20"/>
        </w:rPr>
        <w:t>CY</w:t>
      </w:r>
      <w:r>
        <w:rPr>
          <w:rFonts w:ascii="Times New Roman" w:hAnsi="Times New Roman"/>
          <w:i/>
          <w:noProof/>
          <w:sz w:val="20"/>
        </w:rPr>
        <w:t>: fl-2018, l-għadd ta’ kawżi solvuti żdied bħala konsegwenza ta’ kawżi li ġew ipproċessati flimkien, tal-irtirar ta’ 2 724 kawża kkonsolidata u tal-ħolqien ta’ Qorti Amministratti</w:t>
      </w:r>
      <w:r>
        <w:rPr>
          <w:rFonts w:ascii="Times New Roman" w:hAnsi="Times New Roman"/>
          <w:i/>
          <w:noProof/>
          <w:sz w:val="20"/>
        </w:rPr>
        <w:t>va sentejn ilu.</w:t>
      </w:r>
    </w:p>
    <w:p w:rsidR="00461018" w:rsidRDefault="000329C3">
      <w:pPr>
        <w:spacing w:before="240" w:after="0" w:line="240" w:lineRule="auto"/>
        <w:jc w:val="both"/>
        <w:rPr>
          <w:rFonts w:ascii="Times New Roman" w:eastAsia="Calibri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9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: Iż-żmien meħtieġ sabiex jiġu solvuti </w:t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t>kawżi amministrattivi</w:t>
      </w:r>
      <w:r>
        <w:rPr>
          <w:rFonts w:ascii="Times New Roman" w:hAnsi="Times New Roman"/>
          <w:noProof/>
        </w:rPr>
        <w:t xml:space="preserve"> (</w:t>
      </w:r>
      <w:r>
        <w:rPr>
          <w:noProof/>
        </w:rPr>
        <w:t>*</w:t>
      </w:r>
      <w:r>
        <w:rPr>
          <w:rFonts w:ascii="Times New Roman" w:hAnsi="Times New Roman"/>
          <w:noProof/>
        </w:rPr>
        <w:t>)</w:t>
      </w:r>
      <w:r>
        <w:rPr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fl-istanzi </w:t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t>kollha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tal-qorti fl-2018 </w:t>
      </w:r>
      <w:r>
        <w:rPr>
          <w:rFonts w:ascii="Times New Roman" w:hAnsi="Times New Roman"/>
          <w:i/>
          <w:iCs/>
          <w:noProof/>
          <w:sz w:val="24"/>
          <w:szCs w:val="24"/>
        </w:rPr>
        <w:t>(il-prim’istanza u, fejn applikabbli, it-tieni u t-tielet istanza/f’jiem) (sors: studju tas-CEPEJ)</w:t>
      </w:r>
      <w:bookmarkStart w:id="130" w:name="_Toc409530219"/>
      <w:bookmarkStart w:id="131" w:name="_Toc438545669"/>
      <w:bookmarkStart w:id="132" w:name="_Toc438548319"/>
      <w:bookmarkStart w:id="133" w:name="_Toc438548505"/>
      <w:bookmarkStart w:id="134" w:name="_Toc440017695"/>
      <w:bookmarkStart w:id="135" w:name="_Toc440018079"/>
      <w:bookmarkStart w:id="136" w:name="_Toc440033377"/>
      <w:bookmarkStart w:id="137" w:name="_Toc440035228"/>
      <w:bookmarkStart w:id="138" w:name="_Toc440036523"/>
      <w:bookmarkStart w:id="139" w:name="_Toc440042465"/>
      <w:bookmarkStart w:id="140" w:name="_Toc440291118"/>
      <w:bookmarkStart w:id="141" w:name="_Toc440294681"/>
      <w:bookmarkStart w:id="142" w:name="_Toc440295183"/>
      <w:bookmarkStart w:id="143" w:name="_Toc440296588"/>
      <w:bookmarkStart w:id="144" w:name="_Toc440625072"/>
      <w:bookmarkStart w:id="145" w:name="_Toc440626402"/>
      <w:bookmarkStart w:id="146" w:name="_Toc440628856"/>
      <w:bookmarkStart w:id="147" w:name="_Toc441571128"/>
      <w:bookmarkStart w:id="148" w:name="_Toc441581630"/>
      <w:bookmarkStart w:id="149" w:name="_Toc441585897"/>
      <w:bookmarkStart w:id="150" w:name="_Toc441595832"/>
      <w:bookmarkStart w:id="151" w:name="_Toc441596009"/>
      <w:bookmarkStart w:id="152" w:name="_Toc441748134"/>
      <w:bookmarkStart w:id="153" w:name="_Toc441755419"/>
      <w:bookmarkStart w:id="154" w:name="_Toc441756456"/>
      <w:bookmarkStart w:id="155" w:name="_Toc441757500"/>
      <w:bookmarkStart w:id="156" w:name="_Toc441766629"/>
      <w:bookmarkStart w:id="157" w:name="_Toc441766968"/>
      <w:bookmarkStart w:id="158" w:name="_Toc442187969"/>
      <w:bookmarkStart w:id="159" w:name="_Toc442262061"/>
      <w:bookmarkStart w:id="160" w:name="_Toc442362468"/>
      <w:bookmarkStart w:id="161" w:name="_Toc442374804"/>
      <w:bookmarkStart w:id="162" w:name="_Toc442425944"/>
      <w:bookmarkStart w:id="163" w:name="_Toc442453070"/>
      <w:bookmarkStart w:id="164" w:name="_Toc443484528"/>
      <w:bookmarkStart w:id="165" w:name="_Toc443484750"/>
      <w:bookmarkStart w:id="166" w:name="_Toc443509491"/>
      <w:bookmarkStart w:id="167" w:name="_Toc446014820"/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810510"/>
            <wp:effectExtent l="0" t="0" r="4445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0"/>
          <w:szCs w:val="20"/>
        </w:rPr>
        <w:t xml:space="preserve"> (*) L-ordni huwa ddeterminat skont l-istanza tal-qorti bl-itwal proċedimenti f’kull Stat Membru. Ma hemm l-ebda data disponibbli: </w:t>
      </w:r>
      <w:r>
        <w:rPr>
          <w:rFonts w:ascii="Times New Roman" w:hAnsi="Times New Roman"/>
          <w:i/>
          <w:noProof/>
          <w:sz w:val="20"/>
        </w:rPr>
        <w:t>għall-qorti tal-prim’istanza fil-</w:t>
      </w:r>
      <w:r>
        <w:rPr>
          <w:rFonts w:ascii="Times New Roman" w:hAnsi="Times New Roman"/>
          <w:b/>
          <w:i/>
          <w:noProof/>
          <w:sz w:val="20"/>
        </w:rPr>
        <w:t>LU</w:t>
      </w:r>
      <w:r>
        <w:rPr>
          <w:rFonts w:ascii="Times New Roman" w:hAnsi="Times New Roman"/>
          <w:i/>
          <w:noProof/>
          <w:sz w:val="20"/>
        </w:rPr>
        <w:t>, għall-qrati tat-tieni istanza f'</w:t>
      </w:r>
      <w:r>
        <w:rPr>
          <w:rFonts w:ascii="Times New Roman" w:hAnsi="Times New Roman"/>
          <w:b/>
          <w:i/>
          <w:noProof/>
          <w:sz w:val="20"/>
        </w:rPr>
        <w:t>MT</w:t>
      </w:r>
      <w:r>
        <w:rPr>
          <w:rFonts w:ascii="Times New Roman" w:hAnsi="Times New Roman"/>
          <w:i/>
          <w:noProof/>
          <w:sz w:val="20"/>
        </w:rPr>
        <w:t xml:space="preserve"> u fir-</w:t>
      </w:r>
      <w:r>
        <w:rPr>
          <w:rFonts w:ascii="Times New Roman" w:hAnsi="Times New Roman"/>
          <w:b/>
          <w:i/>
          <w:noProof/>
          <w:sz w:val="20"/>
        </w:rPr>
        <w:t>RO</w:t>
      </w:r>
      <w:r>
        <w:rPr>
          <w:rFonts w:ascii="Times New Roman" w:hAnsi="Times New Roman"/>
          <w:i/>
          <w:noProof/>
          <w:sz w:val="20"/>
        </w:rPr>
        <w:t xml:space="preserve"> u għall-qorti tat-tielet istanza fin-</w:t>
      </w:r>
      <w:r>
        <w:rPr>
          <w:rFonts w:ascii="Times New Roman" w:hAnsi="Times New Roman"/>
          <w:b/>
          <w:i/>
          <w:noProof/>
          <w:sz w:val="20"/>
        </w:rPr>
        <w:t>NL</w:t>
      </w:r>
      <w:r>
        <w:rPr>
          <w:rFonts w:ascii="Times New Roman" w:hAnsi="Times New Roman"/>
          <w:i/>
          <w:noProof/>
          <w:sz w:val="20"/>
        </w:rPr>
        <w:t>. I</w:t>
      </w:r>
      <w:r>
        <w:rPr>
          <w:rFonts w:ascii="Times New Roman" w:hAnsi="Times New Roman"/>
          <w:i/>
          <w:noProof/>
          <w:sz w:val="20"/>
        </w:rPr>
        <w:t>l-qorti suprema jew l-ogħla qorti oħra hija l-unika istanza ta’ appell fiċ-</w:t>
      </w:r>
      <w:r>
        <w:rPr>
          <w:rFonts w:ascii="Times New Roman" w:hAnsi="Times New Roman"/>
          <w:b/>
          <w:i/>
          <w:noProof/>
          <w:sz w:val="20"/>
        </w:rPr>
        <w:t>CZ</w:t>
      </w:r>
      <w:r>
        <w:rPr>
          <w:rFonts w:ascii="Times New Roman" w:hAnsi="Times New Roman"/>
          <w:i/>
          <w:noProof/>
          <w:sz w:val="20"/>
        </w:rPr>
        <w:t>, fl-</w:t>
      </w:r>
      <w:r>
        <w:rPr>
          <w:rFonts w:ascii="Times New Roman" w:hAnsi="Times New Roman"/>
          <w:b/>
          <w:i/>
          <w:noProof/>
          <w:sz w:val="20"/>
        </w:rPr>
        <w:t>IT</w:t>
      </w:r>
      <w:r>
        <w:rPr>
          <w:rFonts w:ascii="Times New Roman" w:hAnsi="Times New Roman"/>
          <w:i/>
          <w:noProof/>
          <w:sz w:val="20"/>
        </w:rPr>
        <w:t>, f’</w:t>
      </w:r>
      <w:r>
        <w:rPr>
          <w:rFonts w:ascii="Times New Roman" w:hAnsi="Times New Roman"/>
          <w:b/>
          <w:i/>
          <w:noProof/>
          <w:sz w:val="20"/>
        </w:rPr>
        <w:t>CY</w:t>
      </w:r>
      <w:r>
        <w:rPr>
          <w:rFonts w:ascii="Times New Roman" w:hAnsi="Times New Roman"/>
          <w:i/>
          <w:noProof/>
          <w:sz w:val="20"/>
        </w:rPr>
        <w:t>, fl-</w:t>
      </w:r>
      <w:r>
        <w:rPr>
          <w:rFonts w:ascii="Times New Roman" w:hAnsi="Times New Roman"/>
          <w:b/>
          <w:i/>
          <w:noProof/>
          <w:sz w:val="20"/>
        </w:rPr>
        <w:t>AT</w:t>
      </w:r>
      <w:r>
        <w:rPr>
          <w:rFonts w:ascii="Times New Roman" w:hAnsi="Times New Roman"/>
          <w:i/>
          <w:noProof/>
          <w:sz w:val="20"/>
        </w:rPr>
        <w:t>, fis-</w:t>
      </w:r>
      <w:r>
        <w:rPr>
          <w:rFonts w:ascii="Times New Roman" w:hAnsi="Times New Roman"/>
          <w:b/>
          <w:i/>
          <w:noProof/>
          <w:sz w:val="20"/>
        </w:rPr>
        <w:t>SI</w:t>
      </w:r>
      <w:r>
        <w:rPr>
          <w:rFonts w:ascii="Times New Roman" w:hAnsi="Times New Roman"/>
          <w:i/>
          <w:noProof/>
          <w:sz w:val="20"/>
        </w:rPr>
        <w:t xml:space="preserve"> u fil-</w:t>
      </w:r>
      <w:r>
        <w:rPr>
          <w:rFonts w:ascii="Times New Roman" w:hAnsi="Times New Roman"/>
          <w:b/>
          <w:i/>
          <w:noProof/>
          <w:sz w:val="20"/>
        </w:rPr>
        <w:t>FI</w:t>
      </w:r>
      <w:r>
        <w:rPr>
          <w:rFonts w:ascii="Times New Roman" w:hAnsi="Times New Roman"/>
          <w:i/>
          <w:noProof/>
          <w:sz w:val="20"/>
        </w:rPr>
        <w:t>. Ma hemm l-ebda qorti tat-tielet istanza għal dawn it-tipi ta’ kawżi fil-</w:t>
      </w:r>
      <w:r>
        <w:rPr>
          <w:rFonts w:ascii="Times New Roman" w:hAnsi="Times New Roman"/>
          <w:b/>
          <w:i/>
          <w:noProof/>
          <w:sz w:val="20"/>
        </w:rPr>
        <w:t>HR</w:t>
      </w:r>
      <w:r>
        <w:rPr>
          <w:rFonts w:ascii="Times New Roman" w:hAnsi="Times New Roman"/>
          <w:i/>
          <w:noProof/>
          <w:sz w:val="20"/>
        </w:rPr>
        <w:t>, fil-</w:t>
      </w:r>
      <w:r>
        <w:rPr>
          <w:rFonts w:ascii="Times New Roman" w:hAnsi="Times New Roman"/>
          <w:b/>
          <w:i/>
          <w:noProof/>
          <w:sz w:val="20"/>
        </w:rPr>
        <w:t>LT</w:t>
      </w:r>
      <w:r>
        <w:rPr>
          <w:rFonts w:ascii="Times New Roman" w:hAnsi="Times New Roman"/>
          <w:i/>
          <w:noProof/>
          <w:sz w:val="20"/>
        </w:rPr>
        <w:t>, fil-</w:t>
      </w:r>
      <w:r>
        <w:rPr>
          <w:rFonts w:ascii="Times New Roman" w:hAnsi="Times New Roman"/>
          <w:b/>
          <w:i/>
          <w:noProof/>
          <w:sz w:val="20"/>
        </w:rPr>
        <w:t>LU</w:t>
      </w:r>
      <w:r>
        <w:rPr>
          <w:rFonts w:ascii="Times New Roman" w:hAnsi="Times New Roman"/>
          <w:i/>
          <w:noProof/>
          <w:sz w:val="20"/>
        </w:rPr>
        <w:t xml:space="preserve"> u f’</w:t>
      </w:r>
      <w:r>
        <w:rPr>
          <w:rFonts w:ascii="Times New Roman" w:hAnsi="Times New Roman"/>
          <w:b/>
          <w:i/>
          <w:noProof/>
          <w:sz w:val="20"/>
        </w:rPr>
        <w:t>MT</w:t>
      </w:r>
      <w:r>
        <w:rPr>
          <w:rFonts w:ascii="Times New Roman" w:hAnsi="Times New Roman"/>
          <w:i/>
          <w:noProof/>
          <w:sz w:val="20"/>
        </w:rPr>
        <w:t>. L-ogħla Qorti Amministrattiva hija l-ewwe</w:t>
      </w:r>
      <w:r>
        <w:rPr>
          <w:rFonts w:ascii="Times New Roman" w:hAnsi="Times New Roman"/>
          <w:i/>
          <w:noProof/>
          <w:sz w:val="20"/>
        </w:rPr>
        <w:t>l u l-unika istanza għal ċerti kawżi fil-</w:t>
      </w:r>
      <w:r>
        <w:rPr>
          <w:rFonts w:ascii="Times New Roman" w:hAnsi="Times New Roman"/>
          <w:b/>
          <w:i/>
          <w:noProof/>
          <w:sz w:val="20"/>
        </w:rPr>
        <w:t>BE</w:t>
      </w:r>
      <w:r>
        <w:rPr>
          <w:rFonts w:ascii="Times New Roman" w:hAnsi="Times New Roman"/>
          <w:i/>
          <w:noProof/>
          <w:sz w:val="20"/>
        </w:rPr>
        <w:t>.</w:t>
      </w:r>
      <w:r>
        <w:rPr>
          <w:rFonts w:ascii="Times New Roman" w:hAnsi="Times New Roman"/>
          <w:i/>
          <w:noProof/>
          <w:sz w:val="20"/>
          <w:szCs w:val="20"/>
        </w:rPr>
        <w:t xml:space="preserve"> L-aċċess għall-qorti tat-tielet istanza jista’ jkun limitat f’xi Stati Membri. Id-</w:t>
      </w:r>
      <w:r>
        <w:rPr>
          <w:rFonts w:ascii="Times New Roman" w:hAnsi="Times New Roman"/>
          <w:b/>
          <w:i/>
          <w:noProof/>
          <w:sz w:val="20"/>
          <w:szCs w:val="20"/>
        </w:rPr>
        <w:t>DK</w:t>
      </w:r>
      <w:r>
        <w:rPr>
          <w:rFonts w:ascii="Times New Roman" w:hAnsi="Times New Roman"/>
          <w:i/>
          <w:noProof/>
          <w:sz w:val="20"/>
          <w:szCs w:val="20"/>
        </w:rPr>
        <w:t xml:space="preserve"> u l-</w:t>
      </w:r>
      <w:r>
        <w:rPr>
          <w:rFonts w:ascii="Times New Roman" w:hAnsi="Times New Roman"/>
          <w:b/>
          <w:i/>
          <w:noProof/>
          <w:sz w:val="20"/>
          <w:szCs w:val="20"/>
        </w:rPr>
        <w:t>IE</w:t>
      </w:r>
      <w:r>
        <w:rPr>
          <w:rFonts w:ascii="Times New Roman" w:hAnsi="Times New Roman"/>
          <w:i/>
          <w:noProof/>
          <w:sz w:val="20"/>
          <w:szCs w:val="20"/>
        </w:rPr>
        <w:t xml:space="preserve"> ma jirreġistrawx il-kawżi amministrattivi separatament.</w:t>
      </w:r>
    </w:p>
    <w:p w:rsidR="00461018" w:rsidRDefault="000329C3">
      <w:pPr>
        <w:keepNext/>
        <w:tabs>
          <w:tab w:val="left" w:pos="850"/>
        </w:tabs>
        <w:spacing w:before="240" w:after="120" w:line="240" w:lineRule="auto"/>
        <w:ind w:left="850" w:hanging="850"/>
        <w:jc w:val="both"/>
        <w:outlineLvl w:val="2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sym w:font="Symbol" w:char="F02D"/>
      </w:r>
      <w:r>
        <w:rPr>
          <w:rFonts w:ascii="Times New Roman" w:hAnsi="Times New Roman"/>
          <w:i/>
          <w:noProof/>
          <w:sz w:val="24"/>
          <w:szCs w:val="24"/>
        </w:rPr>
        <w:t xml:space="preserve"> Ir-rata tal-għeluq tal-kawżi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r>
        <w:rPr>
          <w:rFonts w:ascii="Times New Roman" w:hAnsi="Times New Roman"/>
          <w:i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–</w:t>
      </w:r>
    </w:p>
    <w:p w:rsidR="00461018" w:rsidRDefault="000329C3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Ir-rata tal-għeluq tal-kawżi </w:t>
      </w:r>
      <w:r>
        <w:rPr>
          <w:rFonts w:ascii="Times New Roman" w:hAnsi="Times New Roman"/>
          <w:noProof/>
          <w:sz w:val="24"/>
          <w:szCs w:val="24"/>
        </w:rPr>
        <w:t xml:space="preserve">hija l-proporzjon tal-għadd ta’ kawżi solvuti għall-għadd ta’ kawżi li deħlin. Din tkejjel jekk qorti hijiex qed tlaħħaq mal-volum ta’ kawżi li deħlin. Fejn ir-rata tal-għeluq tal-kawżi hija ta’ 100 % jew aktar, dan ifisser li s-sistema ġudizzjarja kapaċi </w:t>
      </w:r>
      <w:r>
        <w:rPr>
          <w:rFonts w:ascii="Times New Roman" w:hAnsi="Times New Roman"/>
          <w:noProof/>
          <w:sz w:val="24"/>
          <w:szCs w:val="24"/>
        </w:rPr>
        <w:t>ssolvi tal-anqas il-kawżi kollha li jidħlu. Meta r-rata tal-għeluq tal-kawżi tkun ta’ anqas minn 100 %, din tfisser li l-qrati qegħdin isolvu anqas kawżi mill-għadd ta’ kawżi li jidħlu.</w:t>
      </w:r>
    </w:p>
    <w:p w:rsidR="00461018" w:rsidRDefault="000329C3">
      <w:pPr>
        <w:keepNext/>
        <w:spacing w:before="240" w:after="0" w:line="240" w:lineRule="auto"/>
        <w:jc w:val="both"/>
        <w:rPr>
          <w:rFonts w:ascii="Times New Roman" w:eastAsia="Calibri" w:hAnsi="Times New Roman" w:cs="Times New Roman"/>
          <w:i/>
          <w:noProof/>
          <w:sz w:val="24"/>
          <w:szCs w:val="24"/>
        </w:rPr>
      </w:pPr>
      <w:bookmarkStart w:id="168" w:name="_Ref442281972"/>
      <w:r>
        <w:rPr>
          <w:rFonts w:ascii="Times New Roman" w:hAnsi="Times New Roman"/>
          <w:b/>
          <w:bCs/>
          <w:noProof/>
          <w:sz w:val="24"/>
          <w:szCs w:val="24"/>
        </w:rPr>
        <w:t xml:space="preserve">Illustrazzjoni 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10</w:t>
      </w:r>
      <w:r>
        <w:rPr>
          <w:noProof/>
        </w:rPr>
        <w:fldChar w:fldCharType="end"/>
      </w:r>
      <w:bookmarkEnd w:id="168"/>
      <w:r>
        <w:rPr>
          <w:rFonts w:ascii="Times New Roman" w:hAnsi="Times New Roman"/>
          <w:b/>
          <w:bCs/>
          <w:noProof/>
          <w:sz w:val="24"/>
          <w:szCs w:val="24"/>
        </w:rPr>
        <w:t xml:space="preserve">: Rata ta’ soluzzjoni ta’ </w:t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t>ka</w:t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t xml:space="preserve">wżi ċivili, kummerċjali, amministrattivi u oħrajn, 2012 – 2018 </w:t>
      </w:r>
      <w:r>
        <w:rPr>
          <w:rFonts w:ascii="Times New Roman" w:hAnsi="Times New Roman"/>
          <w:noProof/>
        </w:rPr>
        <w:t>(</w:t>
      </w:r>
      <w:r>
        <w:rPr>
          <w:noProof/>
        </w:rPr>
        <w:t>*</w:t>
      </w:r>
      <w:r>
        <w:rPr>
          <w:rFonts w:ascii="Times New Roman" w:hAnsi="Times New Roman"/>
          <w:noProof/>
        </w:rPr>
        <w:t>)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(il-prim’istanza/f’% — valuri ogħla minn 100 % jindikaw li jiġu solvuti aktar kawżi milli jidħlu, filwaqt li valuri anqas minn 100 % jindikaw li jiġu solvuti anqas kawżi milli jidħlu) </w:t>
      </w:r>
      <w:r>
        <w:rPr>
          <w:rFonts w:ascii="Times New Roman" w:hAnsi="Times New Roman"/>
          <w:i/>
          <w:iCs/>
          <w:noProof/>
          <w:sz w:val="24"/>
          <w:szCs w:val="24"/>
        </w:rPr>
        <w:t>(sors: studju tas-CEPEJ)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656840"/>
            <wp:effectExtent l="0" t="0" r="444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0"/>
        </w:rPr>
        <w:t xml:space="preserve"> (*) Tibdiliet fil-metodoloġija fis-</w:t>
      </w:r>
      <w:r>
        <w:rPr>
          <w:rFonts w:ascii="Times New Roman" w:hAnsi="Times New Roman"/>
          <w:b/>
          <w:i/>
          <w:noProof/>
          <w:sz w:val="20"/>
        </w:rPr>
        <w:t>SK</w:t>
      </w:r>
      <w:r>
        <w:rPr>
          <w:rFonts w:ascii="Times New Roman" w:hAnsi="Times New Roman"/>
          <w:i/>
          <w:noProof/>
          <w:sz w:val="20"/>
        </w:rPr>
        <w:t>. L-</w:t>
      </w:r>
      <w:r>
        <w:rPr>
          <w:rFonts w:ascii="Times New Roman" w:hAnsi="Times New Roman"/>
          <w:b/>
          <w:i/>
          <w:noProof/>
          <w:sz w:val="20"/>
        </w:rPr>
        <w:t>IE:</w:t>
      </w:r>
      <w:r>
        <w:rPr>
          <w:rFonts w:ascii="Times New Roman" w:hAnsi="Times New Roman"/>
          <w:i/>
          <w:noProof/>
          <w:sz w:val="20"/>
        </w:rPr>
        <w:t xml:space="preserve"> minħabba l-metodoloġija, huwa mistenni li jkun irrapportat għadd anqas mill-għadd reali ta’ kawżi solvuti. </w:t>
      </w:r>
      <w:r>
        <w:rPr>
          <w:rFonts w:ascii="Times New Roman" w:hAnsi="Times New Roman"/>
          <w:b/>
          <w:i/>
          <w:noProof/>
          <w:sz w:val="20"/>
        </w:rPr>
        <w:t>IT</w:t>
      </w:r>
      <w:r>
        <w:rPr>
          <w:rFonts w:ascii="Times New Roman" w:hAnsi="Times New Roman"/>
          <w:i/>
          <w:noProof/>
          <w:sz w:val="20"/>
        </w:rPr>
        <w:t>: klassifikazzjoni differenti tal-kawżi ċivili introdotta fl-2013.</w:t>
      </w:r>
    </w:p>
    <w:p w:rsidR="00461018" w:rsidRDefault="000329C3">
      <w:pPr>
        <w:keepNext/>
        <w:spacing w:before="240" w:after="0" w:line="240" w:lineRule="auto"/>
        <w:jc w:val="both"/>
        <w:rPr>
          <w:rFonts w:ascii="Times New Roman" w:eastAsia="Calibri" w:hAnsi="Times New Roman" w:cs="Times New Roman"/>
          <w:i/>
          <w:noProof/>
          <w:sz w:val="24"/>
          <w:szCs w:val="24"/>
        </w:rPr>
      </w:pPr>
      <w:bookmarkStart w:id="169" w:name="_Ref442281977"/>
      <w:r>
        <w:rPr>
          <w:rFonts w:ascii="Times New Roman" w:hAnsi="Times New Roman"/>
          <w:b/>
          <w:bCs/>
          <w:noProof/>
          <w:sz w:val="24"/>
          <w:szCs w:val="24"/>
        </w:rPr>
        <w:t>Illustra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zzjoni 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11</w:t>
      </w:r>
      <w:r>
        <w:rPr>
          <w:noProof/>
        </w:rPr>
        <w:fldChar w:fldCharType="end"/>
      </w:r>
      <w:bookmarkEnd w:id="169"/>
      <w:r>
        <w:rPr>
          <w:rFonts w:ascii="Times New Roman" w:hAnsi="Times New Roman"/>
          <w:b/>
          <w:bCs/>
          <w:noProof/>
          <w:sz w:val="24"/>
          <w:szCs w:val="24"/>
        </w:rPr>
        <w:t>: Ir-rata ta’ soluzzjoni tal-</w:t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t>kawżi ċivili u kummerċjali kontenzjużi, 2012 – 2018</w:t>
      </w:r>
      <w:r>
        <w:rPr>
          <w:rFonts w:ascii="Times New Roman" w:hAnsi="Times New Roman"/>
          <w:noProof/>
        </w:rPr>
        <w:t xml:space="preserve"> (</w:t>
      </w:r>
      <w:r>
        <w:rPr>
          <w:noProof/>
        </w:rPr>
        <w:t>*</w:t>
      </w:r>
      <w:r>
        <w:rPr>
          <w:rFonts w:ascii="Times New Roman" w:hAnsi="Times New Roman"/>
          <w:noProof/>
        </w:rPr>
        <w:t>)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>(il-prim’istanza/f’%) (sors: studju tas-CEPEJ)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656840"/>
            <wp:effectExtent l="0" t="0" r="444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0"/>
        </w:rPr>
        <w:t xml:space="preserve"> (*) Tibdiliet fil-metodoloġija fil-</w:t>
      </w:r>
      <w:r>
        <w:rPr>
          <w:rFonts w:ascii="Times New Roman" w:hAnsi="Times New Roman"/>
          <w:b/>
          <w:i/>
          <w:noProof/>
          <w:sz w:val="20"/>
        </w:rPr>
        <w:t>EL</w:t>
      </w:r>
      <w:r>
        <w:rPr>
          <w:rFonts w:ascii="Times New Roman" w:hAnsi="Times New Roman"/>
          <w:i/>
          <w:noProof/>
          <w:sz w:val="20"/>
        </w:rPr>
        <w:t xml:space="preserve"> u fis-</w:t>
      </w:r>
      <w:r>
        <w:rPr>
          <w:rFonts w:ascii="Times New Roman" w:hAnsi="Times New Roman"/>
          <w:b/>
          <w:i/>
          <w:noProof/>
          <w:sz w:val="20"/>
        </w:rPr>
        <w:t>SK</w:t>
      </w:r>
      <w:r>
        <w:rPr>
          <w:rFonts w:ascii="Times New Roman" w:hAnsi="Times New Roman"/>
          <w:i/>
          <w:noProof/>
          <w:sz w:val="20"/>
        </w:rPr>
        <w:t>. L-</w:t>
      </w:r>
      <w:r>
        <w:rPr>
          <w:rFonts w:ascii="Times New Roman" w:hAnsi="Times New Roman"/>
          <w:b/>
          <w:i/>
          <w:noProof/>
          <w:sz w:val="20"/>
        </w:rPr>
        <w:t>IE:</w:t>
      </w:r>
      <w:r>
        <w:rPr>
          <w:rFonts w:ascii="Times New Roman" w:hAnsi="Times New Roman"/>
          <w:i/>
          <w:noProof/>
          <w:sz w:val="20"/>
        </w:rPr>
        <w:t xml:space="preserve"> minħabba l-metodoloġija, huwa mistenni li jkun irrapportat għadd anqas mill-għadd reali ta’ kawżi solvuti. </w:t>
      </w:r>
      <w:r>
        <w:rPr>
          <w:rFonts w:ascii="Times New Roman" w:hAnsi="Times New Roman"/>
          <w:b/>
          <w:i/>
          <w:noProof/>
          <w:sz w:val="20"/>
        </w:rPr>
        <w:t>IT</w:t>
      </w:r>
      <w:r>
        <w:rPr>
          <w:rFonts w:ascii="Times New Roman" w:hAnsi="Times New Roman"/>
          <w:i/>
          <w:noProof/>
          <w:sz w:val="20"/>
        </w:rPr>
        <w:t>: klassifikazzjoni differenti tal-kawżi ċivili introdotta fl-2013. Id-data għan-</w:t>
      </w:r>
      <w:r>
        <w:rPr>
          <w:rFonts w:ascii="Times New Roman" w:hAnsi="Times New Roman"/>
          <w:b/>
          <w:i/>
          <w:noProof/>
          <w:sz w:val="20"/>
        </w:rPr>
        <w:t>NL</w:t>
      </w:r>
      <w:r>
        <w:rPr>
          <w:rFonts w:ascii="Times New Roman" w:hAnsi="Times New Roman"/>
          <w:i/>
          <w:noProof/>
          <w:sz w:val="20"/>
        </w:rPr>
        <w:t xml:space="preserve"> tinkludi kawżi mhux kontenzjużi.</w:t>
      </w:r>
    </w:p>
    <w:p w:rsidR="00461018" w:rsidRDefault="000329C3">
      <w:pPr>
        <w:keepNext/>
        <w:spacing w:before="240" w:after="0" w:line="240" w:lineRule="auto"/>
        <w:jc w:val="both"/>
        <w:rPr>
          <w:rFonts w:ascii="Times New Roman" w:eastAsia="Calibri" w:hAnsi="Times New Roman" w:cs="Times New Roman"/>
          <w:i/>
          <w:noProof/>
          <w:sz w:val="24"/>
          <w:szCs w:val="24"/>
        </w:rPr>
      </w:pPr>
      <w:bookmarkStart w:id="170" w:name="_Ref442281982"/>
      <w:r>
        <w:rPr>
          <w:rFonts w:ascii="Times New Roman" w:hAnsi="Times New Roman"/>
          <w:b/>
          <w:bCs/>
          <w:noProof/>
          <w:sz w:val="24"/>
          <w:szCs w:val="24"/>
        </w:rPr>
        <w:t xml:space="preserve">Illustrazzjoni 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</w:instrText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12</w:t>
      </w:r>
      <w:r>
        <w:rPr>
          <w:noProof/>
        </w:rPr>
        <w:fldChar w:fldCharType="end"/>
      </w:r>
      <w:bookmarkEnd w:id="170"/>
      <w:r>
        <w:rPr>
          <w:rFonts w:ascii="Times New Roman" w:hAnsi="Times New Roman"/>
          <w:b/>
          <w:bCs/>
          <w:noProof/>
          <w:sz w:val="24"/>
          <w:szCs w:val="24"/>
        </w:rPr>
        <w:t>: Ir-rata ta’ soluzzjoni tal-</w:t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t>kawżi amministrattivi</w:t>
      </w:r>
      <w:r>
        <w:rPr>
          <w:rFonts w:ascii="Times New Roman" w:hAnsi="Times New Roman"/>
          <w:b/>
          <w:bCs/>
          <w:noProof/>
          <w:u w:val="single"/>
        </w:rPr>
        <w:t xml:space="preserve">, 2012 – 2018 </w:t>
      </w:r>
      <w:r>
        <w:rPr>
          <w:rFonts w:ascii="Times New Roman" w:hAnsi="Times New Roman"/>
          <w:noProof/>
        </w:rPr>
        <w:t>(</w:t>
      </w:r>
      <w:r>
        <w:rPr>
          <w:noProof/>
        </w:rPr>
        <w:t>*</w:t>
      </w:r>
      <w:r>
        <w:rPr>
          <w:rFonts w:ascii="Times New Roman" w:hAnsi="Times New Roman"/>
          <w:noProof/>
        </w:rPr>
        <w:t>)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>(il-prim’istanza/f’%) (sors: studju tas-CEPEJ)</w:t>
      </w:r>
    </w:p>
    <w:p w:rsidR="00461018" w:rsidRDefault="000329C3">
      <w:pPr>
        <w:keepNext/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656840"/>
            <wp:effectExtent l="0" t="0" r="444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0"/>
        </w:rPr>
        <w:t xml:space="preserve"> (*</w:t>
      </w:r>
      <w:r>
        <w:rPr>
          <w:rFonts w:ascii="Times New Roman" w:hAnsi="Times New Roman"/>
          <w:noProof/>
          <w:sz w:val="20"/>
        </w:rPr>
        <w:t xml:space="preserve">) </w:t>
      </w:r>
      <w:r>
        <w:rPr>
          <w:rFonts w:ascii="Times New Roman" w:hAnsi="Times New Roman"/>
          <w:i/>
          <w:noProof/>
          <w:sz w:val="20"/>
        </w:rPr>
        <w:t>Il-valuri tal-passat għal xi Stati Membri tnaqqsu għall-finijiet tal-preżentazzjoni (</w:t>
      </w:r>
      <w:r>
        <w:rPr>
          <w:rFonts w:ascii="Times New Roman" w:hAnsi="Times New Roman"/>
          <w:b/>
          <w:i/>
          <w:noProof/>
          <w:sz w:val="20"/>
        </w:rPr>
        <w:t>CY</w:t>
      </w:r>
      <w:r>
        <w:rPr>
          <w:rFonts w:ascii="Times New Roman" w:hAnsi="Times New Roman"/>
          <w:i/>
          <w:noProof/>
          <w:sz w:val="20"/>
        </w:rPr>
        <w:t xml:space="preserve"> fl-2018 = 219 %; l-</w:t>
      </w:r>
      <w:r>
        <w:rPr>
          <w:rFonts w:ascii="Times New Roman" w:hAnsi="Times New Roman"/>
          <w:b/>
          <w:i/>
          <w:noProof/>
          <w:sz w:val="20"/>
        </w:rPr>
        <w:t>IT</w:t>
      </w:r>
      <w:r>
        <w:rPr>
          <w:rFonts w:ascii="Times New Roman" w:hAnsi="Times New Roman"/>
          <w:i/>
          <w:noProof/>
          <w:sz w:val="20"/>
        </w:rPr>
        <w:t xml:space="preserve"> fl-2012=279,8 %); Tibdiliet fil-metodoloġija fil-</w:t>
      </w:r>
      <w:r>
        <w:rPr>
          <w:rFonts w:ascii="Times New Roman" w:hAnsi="Times New Roman"/>
          <w:b/>
          <w:i/>
          <w:noProof/>
          <w:sz w:val="20"/>
        </w:rPr>
        <w:t>EL</w:t>
      </w:r>
      <w:r>
        <w:rPr>
          <w:rFonts w:ascii="Times New Roman" w:hAnsi="Times New Roman"/>
          <w:i/>
          <w:noProof/>
          <w:sz w:val="20"/>
        </w:rPr>
        <w:t xml:space="preserve"> u fis-</w:t>
      </w:r>
      <w:r>
        <w:rPr>
          <w:rFonts w:ascii="Times New Roman" w:hAnsi="Times New Roman"/>
          <w:b/>
          <w:i/>
          <w:noProof/>
          <w:sz w:val="20"/>
        </w:rPr>
        <w:t>SK</w:t>
      </w:r>
      <w:r>
        <w:rPr>
          <w:rFonts w:ascii="Times New Roman" w:hAnsi="Times New Roman"/>
          <w:i/>
          <w:noProof/>
          <w:sz w:val="20"/>
        </w:rPr>
        <w:t>. Id-</w:t>
      </w:r>
      <w:r>
        <w:rPr>
          <w:rFonts w:ascii="Times New Roman" w:hAnsi="Times New Roman"/>
          <w:b/>
          <w:i/>
          <w:noProof/>
          <w:sz w:val="20"/>
        </w:rPr>
        <w:t>DK</w:t>
      </w:r>
      <w:r>
        <w:rPr>
          <w:rFonts w:ascii="Times New Roman" w:hAnsi="Times New Roman"/>
          <w:i/>
          <w:noProof/>
          <w:sz w:val="20"/>
        </w:rPr>
        <w:t xml:space="preserve"> u l-</w:t>
      </w:r>
      <w:r>
        <w:rPr>
          <w:rFonts w:ascii="Times New Roman" w:hAnsi="Times New Roman"/>
          <w:b/>
          <w:i/>
          <w:noProof/>
          <w:sz w:val="20"/>
        </w:rPr>
        <w:t>IE</w:t>
      </w:r>
      <w:r>
        <w:rPr>
          <w:rFonts w:ascii="Times New Roman" w:hAnsi="Times New Roman"/>
          <w:i/>
          <w:noProof/>
          <w:sz w:val="20"/>
        </w:rPr>
        <w:t xml:space="preserve"> ma jirreġistrawx il-kawżi amministrattivi separatament. F’</w:t>
      </w:r>
      <w:r>
        <w:rPr>
          <w:rFonts w:ascii="Times New Roman" w:hAnsi="Times New Roman"/>
          <w:b/>
          <w:i/>
          <w:noProof/>
          <w:sz w:val="20"/>
        </w:rPr>
        <w:t>CY</w:t>
      </w:r>
      <w:r>
        <w:rPr>
          <w:rFonts w:ascii="Times New Roman" w:hAnsi="Times New Roman"/>
          <w:i/>
          <w:noProof/>
          <w:sz w:val="20"/>
        </w:rPr>
        <w:t xml:space="preserve">, l-għadd ta’ kawżi solvuti żdied bħala konsegwenza ta’ kawżi li ġew ipproċessati flimkien, tal-irtirar ta’ 2 724 kawża </w:t>
      </w:r>
      <w:r>
        <w:rPr>
          <w:rFonts w:ascii="Times New Roman" w:hAnsi="Times New Roman"/>
          <w:i/>
          <w:noProof/>
          <w:sz w:val="20"/>
        </w:rPr>
        <w:t>kkonsolidata u tal-ħolqien ta’ Qorti Amministrattiva sentejn ilu.</w:t>
      </w:r>
    </w:p>
    <w:p w:rsidR="00461018" w:rsidRDefault="000329C3">
      <w:pPr>
        <w:keepNext/>
        <w:tabs>
          <w:tab w:val="left" w:pos="850"/>
        </w:tabs>
        <w:spacing w:before="240" w:after="120" w:line="240" w:lineRule="auto"/>
        <w:ind w:left="850" w:hanging="850"/>
        <w:jc w:val="both"/>
        <w:outlineLvl w:val="2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  <w:bookmarkStart w:id="171" w:name="_Toc438545670"/>
      <w:bookmarkStart w:id="172" w:name="_Toc438548320"/>
      <w:bookmarkStart w:id="173" w:name="_Toc438548506"/>
      <w:bookmarkStart w:id="174" w:name="_Toc440017696"/>
      <w:bookmarkStart w:id="175" w:name="_Toc440018080"/>
      <w:bookmarkStart w:id="176" w:name="_Toc440033378"/>
      <w:bookmarkStart w:id="177" w:name="_Toc440035229"/>
      <w:bookmarkStart w:id="178" w:name="_Toc440036524"/>
      <w:bookmarkStart w:id="179" w:name="_Toc440042466"/>
      <w:bookmarkStart w:id="180" w:name="_Toc440291119"/>
      <w:bookmarkStart w:id="181" w:name="_Toc440294682"/>
      <w:bookmarkStart w:id="182" w:name="_Toc440295184"/>
      <w:bookmarkStart w:id="183" w:name="_Toc440296589"/>
      <w:bookmarkStart w:id="184" w:name="_Toc440625073"/>
      <w:bookmarkStart w:id="185" w:name="_Toc440626403"/>
      <w:bookmarkStart w:id="186" w:name="_Toc440628857"/>
      <w:bookmarkStart w:id="187" w:name="_Toc441571129"/>
      <w:bookmarkStart w:id="188" w:name="_Toc441581631"/>
      <w:bookmarkStart w:id="189" w:name="_Toc441585898"/>
      <w:bookmarkStart w:id="190" w:name="_Toc441595833"/>
      <w:bookmarkStart w:id="191" w:name="_Toc441596010"/>
      <w:bookmarkStart w:id="192" w:name="_Toc441748135"/>
      <w:bookmarkStart w:id="193" w:name="_Toc441755420"/>
      <w:bookmarkStart w:id="194" w:name="_Toc441756457"/>
      <w:bookmarkStart w:id="195" w:name="_Toc441757501"/>
      <w:bookmarkStart w:id="196" w:name="_Toc441766630"/>
      <w:bookmarkStart w:id="197" w:name="_Toc441766969"/>
      <w:bookmarkStart w:id="198" w:name="_Toc442187970"/>
      <w:bookmarkStart w:id="199" w:name="_Toc442262062"/>
      <w:bookmarkStart w:id="200" w:name="_Toc442362469"/>
      <w:bookmarkStart w:id="201" w:name="_Toc442374805"/>
      <w:bookmarkStart w:id="202" w:name="_Toc442425945"/>
      <w:bookmarkStart w:id="203" w:name="_Toc442453071"/>
      <w:bookmarkStart w:id="204" w:name="_Toc443484529"/>
      <w:bookmarkStart w:id="205" w:name="_Toc443484751"/>
      <w:bookmarkStart w:id="206" w:name="_Toc443509492"/>
      <w:bookmarkStart w:id="207" w:name="_Toc446014821"/>
      <w:r>
        <w:rPr>
          <w:rFonts w:ascii="Times New Roman" w:hAnsi="Times New Roman"/>
          <w:i/>
          <w:noProof/>
          <w:sz w:val="24"/>
          <w:szCs w:val="24"/>
        </w:rPr>
        <w:sym w:font="Symbol" w:char="F02D"/>
      </w:r>
      <w:r>
        <w:rPr>
          <w:rFonts w:ascii="Times New Roman" w:hAnsi="Times New Roman"/>
          <w:i/>
          <w:noProof/>
          <w:sz w:val="24"/>
          <w:szCs w:val="24"/>
        </w:rPr>
        <w:t xml:space="preserve"> </w:t>
      </w:r>
      <w:bookmarkStart w:id="208" w:name="_Toc409530220"/>
      <w:r>
        <w:rPr>
          <w:rFonts w:ascii="Times New Roman" w:hAnsi="Times New Roman"/>
          <w:i/>
          <w:noProof/>
          <w:sz w:val="24"/>
          <w:szCs w:val="24"/>
        </w:rPr>
        <w:t>Kawżi pendenti</w:t>
      </w:r>
      <w:bookmarkEnd w:id="208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r>
        <w:rPr>
          <w:rFonts w:ascii="Times New Roman" w:hAnsi="Times New Roman"/>
          <w:i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–</w:t>
      </w:r>
    </w:p>
    <w:p w:rsidR="00461018" w:rsidRDefault="000329C3"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L-għadd ta’ kawżi pendenti jindika l-għadd ta’ kawżi li għadhom ma ġewx deċiżi sal-aħħar tas-sena kkonċernata. Dan jinfluwenza wkoll iż-żmien għat-tlestija.</w:t>
      </w:r>
      <w:bookmarkStart w:id="209" w:name="_Ref442281988"/>
    </w:p>
    <w:p w:rsidR="00461018" w:rsidRDefault="000329C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 xml:space="preserve">Illustrazzjoni </w:t>
      </w:r>
      <w:r>
        <w:rPr>
          <w:noProof/>
        </w:rPr>
        <w:fldChar w:fldCharType="begin"/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instrText xml:space="preserve"> SEQ Figure \* ARABIC </w:instrTex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13</w:t>
      </w:r>
      <w:r>
        <w:rPr>
          <w:noProof/>
        </w:rPr>
        <w:fldChar w:fldCharType="end"/>
      </w:r>
      <w:bookmarkEnd w:id="209"/>
      <w:r>
        <w:rPr>
          <w:rFonts w:ascii="Times New Roman" w:hAnsi="Times New Roman"/>
          <w:b/>
          <w:bCs/>
          <w:noProof/>
          <w:sz w:val="24"/>
          <w:szCs w:val="24"/>
        </w:rPr>
        <w:t xml:space="preserve">: L-għadd </w:t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t xml:space="preserve">ta’ kawżi ċivili, kummerċjali u amministrattivi u oħrajn pendenti, 2012 – 2018 </w:t>
      </w:r>
      <w:r>
        <w:rPr>
          <w:rFonts w:ascii="Times New Roman" w:hAnsi="Times New Roman"/>
          <w:noProof/>
          <w:sz w:val="24"/>
          <w:szCs w:val="24"/>
        </w:rPr>
        <w:t>(</w:t>
      </w:r>
      <w:r>
        <w:rPr>
          <w:noProof/>
          <w:sz w:val="24"/>
          <w:szCs w:val="24"/>
        </w:rPr>
        <w:t>*</w:t>
      </w:r>
      <w:r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>(il-prim’istanza/għal kull 100 abitant) (sors: studju tas-CEPEJ)</w:t>
      </w:r>
    </w:p>
    <w:p w:rsidR="00461018" w:rsidRDefault="000329C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0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493010"/>
            <wp:effectExtent l="0" t="0" r="4445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0"/>
          <w:szCs w:val="24"/>
        </w:rPr>
        <w:t xml:space="preserve"> (*) Tibdiliet fil-metodoloġija fis-</w:t>
      </w:r>
      <w:r>
        <w:rPr>
          <w:rFonts w:ascii="Times New Roman" w:hAnsi="Times New Roman"/>
          <w:b/>
          <w:i/>
          <w:noProof/>
          <w:sz w:val="20"/>
          <w:szCs w:val="24"/>
        </w:rPr>
        <w:t>SK</w:t>
      </w:r>
      <w:r>
        <w:rPr>
          <w:rFonts w:ascii="Times New Roman" w:hAnsi="Times New Roman"/>
          <w:i/>
          <w:noProof/>
          <w:sz w:val="20"/>
          <w:szCs w:val="24"/>
        </w:rPr>
        <w:t xml:space="preserve">. Il-kawżi </w:t>
      </w:r>
      <w:r>
        <w:rPr>
          <w:rFonts w:ascii="Times New Roman" w:hAnsi="Times New Roman"/>
          <w:i/>
          <w:noProof/>
          <w:sz w:val="20"/>
          <w:szCs w:val="24"/>
        </w:rPr>
        <w:t>pendenti jinkludu l-istanzi kollha fiċ-</w:t>
      </w:r>
      <w:r>
        <w:rPr>
          <w:rFonts w:ascii="Times New Roman" w:hAnsi="Times New Roman"/>
          <w:b/>
          <w:i/>
          <w:noProof/>
          <w:sz w:val="20"/>
          <w:szCs w:val="24"/>
        </w:rPr>
        <w:t>CZ</w:t>
      </w:r>
      <w:r>
        <w:rPr>
          <w:rFonts w:ascii="Times New Roman" w:hAnsi="Times New Roman"/>
          <w:i/>
          <w:noProof/>
          <w:sz w:val="20"/>
          <w:szCs w:val="24"/>
        </w:rPr>
        <w:t xml:space="preserve"> u, sal-2016, fis-</w:t>
      </w:r>
      <w:r>
        <w:rPr>
          <w:rFonts w:ascii="Times New Roman" w:hAnsi="Times New Roman"/>
          <w:b/>
          <w:i/>
          <w:noProof/>
          <w:sz w:val="20"/>
          <w:szCs w:val="24"/>
        </w:rPr>
        <w:t>SK</w:t>
      </w:r>
      <w:r>
        <w:rPr>
          <w:rFonts w:ascii="Times New Roman" w:hAnsi="Times New Roman"/>
          <w:i/>
          <w:noProof/>
          <w:sz w:val="20"/>
          <w:szCs w:val="24"/>
        </w:rPr>
        <w:t xml:space="preserve">. </w:t>
      </w:r>
      <w:r>
        <w:rPr>
          <w:rFonts w:ascii="Times New Roman" w:hAnsi="Times New Roman"/>
          <w:b/>
          <w:i/>
          <w:noProof/>
          <w:sz w:val="20"/>
        </w:rPr>
        <w:t>IT</w:t>
      </w:r>
      <w:r>
        <w:rPr>
          <w:rFonts w:ascii="Times New Roman" w:hAnsi="Times New Roman"/>
          <w:i/>
          <w:noProof/>
          <w:sz w:val="20"/>
        </w:rPr>
        <w:t>: klassifikazzjoni differenti tal-kawżi ċivili introdotta fl-2013.</w:t>
      </w:r>
    </w:p>
    <w:p w:rsidR="00461018" w:rsidRDefault="000329C3">
      <w:pPr>
        <w:keepNext/>
        <w:spacing w:before="240"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14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: L-għadd ta’ </w:t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t xml:space="preserve">kawżi ċivili u kummerċjali kontenzjużi pendenti, 2012 – 2018 </w:t>
      </w:r>
      <w:r>
        <w:rPr>
          <w:rFonts w:ascii="Times New Roman" w:hAnsi="Times New Roman"/>
          <w:noProof/>
        </w:rPr>
        <w:t>(</w:t>
      </w:r>
      <w:r>
        <w:rPr>
          <w:noProof/>
        </w:rPr>
        <w:t>*</w:t>
      </w:r>
      <w:r>
        <w:rPr>
          <w:rFonts w:ascii="Times New Roman" w:hAnsi="Times New Roman"/>
          <w:noProof/>
        </w:rPr>
        <w:t>)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>(il-prim’istanza/għal kull 100 abitant) (sors: studju tas-CEPEJ)</w:t>
      </w:r>
    </w:p>
    <w:p w:rsidR="00461018" w:rsidRDefault="000329C3">
      <w:pPr>
        <w:keepNext/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486025"/>
            <wp:effectExtent l="0" t="0" r="444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0"/>
        </w:rPr>
        <w:t xml:space="preserve"> (*) Tibdiliet fil-metodoloġija fil-</w:t>
      </w:r>
      <w:r>
        <w:rPr>
          <w:rFonts w:ascii="Times New Roman" w:hAnsi="Times New Roman"/>
          <w:b/>
          <w:i/>
          <w:noProof/>
          <w:sz w:val="20"/>
        </w:rPr>
        <w:t>EL</w:t>
      </w:r>
      <w:r>
        <w:rPr>
          <w:rFonts w:ascii="Times New Roman" w:hAnsi="Times New Roman"/>
          <w:i/>
          <w:noProof/>
          <w:sz w:val="20"/>
        </w:rPr>
        <w:t xml:space="preserve"> u fis-</w:t>
      </w:r>
      <w:r>
        <w:rPr>
          <w:rFonts w:ascii="Times New Roman" w:hAnsi="Times New Roman"/>
          <w:b/>
          <w:i/>
          <w:noProof/>
          <w:sz w:val="20"/>
        </w:rPr>
        <w:t>SK</w:t>
      </w:r>
      <w:r>
        <w:rPr>
          <w:rFonts w:ascii="Times New Roman" w:hAnsi="Times New Roman"/>
          <w:i/>
          <w:noProof/>
          <w:sz w:val="20"/>
        </w:rPr>
        <w:t>. Il-kawżi pendenti jinkludu l-istanzi kollha fiċ-</w:t>
      </w:r>
      <w:r>
        <w:rPr>
          <w:rFonts w:ascii="Times New Roman" w:hAnsi="Times New Roman"/>
          <w:b/>
          <w:i/>
          <w:noProof/>
          <w:sz w:val="20"/>
        </w:rPr>
        <w:t>CZ</w:t>
      </w:r>
      <w:r>
        <w:rPr>
          <w:rFonts w:ascii="Times New Roman" w:hAnsi="Times New Roman"/>
          <w:i/>
          <w:noProof/>
          <w:sz w:val="20"/>
        </w:rPr>
        <w:t xml:space="preserve"> u, sal-2016, fis-</w:t>
      </w:r>
      <w:r>
        <w:rPr>
          <w:rFonts w:ascii="Times New Roman" w:hAnsi="Times New Roman"/>
          <w:b/>
          <w:i/>
          <w:noProof/>
          <w:sz w:val="20"/>
        </w:rPr>
        <w:t>SK</w:t>
      </w:r>
      <w:r>
        <w:rPr>
          <w:rFonts w:ascii="Times New Roman" w:hAnsi="Times New Roman"/>
          <w:i/>
          <w:noProof/>
          <w:sz w:val="20"/>
        </w:rPr>
        <w:t xml:space="preserve">. </w:t>
      </w:r>
      <w:r>
        <w:rPr>
          <w:rFonts w:ascii="Times New Roman" w:hAnsi="Times New Roman"/>
          <w:b/>
          <w:i/>
          <w:noProof/>
          <w:sz w:val="20"/>
        </w:rPr>
        <w:t>IT</w:t>
      </w:r>
      <w:r>
        <w:rPr>
          <w:rFonts w:ascii="Times New Roman" w:hAnsi="Times New Roman"/>
          <w:i/>
          <w:noProof/>
          <w:sz w:val="20"/>
        </w:rPr>
        <w:t xml:space="preserve">: klassifikazzjoni differenti tal-kawżi ċivili introdotta fl-2013. </w:t>
      </w:r>
      <w:r>
        <w:rPr>
          <w:rFonts w:ascii="Times New Roman" w:hAnsi="Times New Roman"/>
          <w:i/>
          <w:noProof/>
          <w:sz w:val="20"/>
        </w:rPr>
        <w:t>Id-data għan-</w:t>
      </w:r>
      <w:r>
        <w:rPr>
          <w:rFonts w:ascii="Times New Roman" w:hAnsi="Times New Roman"/>
          <w:b/>
          <w:i/>
          <w:noProof/>
          <w:sz w:val="20"/>
        </w:rPr>
        <w:t>NL</w:t>
      </w:r>
      <w:r>
        <w:rPr>
          <w:rFonts w:ascii="Times New Roman" w:hAnsi="Times New Roman"/>
          <w:i/>
          <w:noProof/>
          <w:sz w:val="20"/>
        </w:rPr>
        <w:t xml:space="preserve"> tinkludi kawżi mhux kontenzjużi.</w:t>
      </w:r>
    </w:p>
    <w:p w:rsidR="00461018" w:rsidRDefault="000329C3">
      <w:pPr>
        <w:keepNext/>
        <w:spacing w:before="240" w:after="0" w:line="240" w:lineRule="auto"/>
        <w:jc w:val="both"/>
        <w:rPr>
          <w:rFonts w:ascii="Times New Roman" w:eastAsia="Calibri" w:hAnsi="Times New Roman" w:cs="Times New Roman"/>
          <w:i/>
          <w:noProof/>
          <w:sz w:val="24"/>
        </w:rPr>
      </w:pPr>
      <w:bookmarkStart w:id="210" w:name="_Ref442281992"/>
      <w:r>
        <w:rPr>
          <w:rFonts w:ascii="Times New Roman" w:hAnsi="Times New Roman"/>
          <w:b/>
          <w:bCs/>
          <w:noProof/>
          <w:sz w:val="24"/>
          <w:szCs w:val="24"/>
        </w:rPr>
        <w:t xml:space="preserve">Illustrazzjoni 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15</w:t>
      </w:r>
      <w:r>
        <w:rPr>
          <w:noProof/>
        </w:rPr>
        <w:fldChar w:fldCharType="end"/>
      </w:r>
      <w:bookmarkEnd w:id="210"/>
      <w:r>
        <w:rPr>
          <w:rFonts w:ascii="Times New Roman" w:hAnsi="Times New Roman"/>
          <w:b/>
          <w:bCs/>
          <w:noProof/>
          <w:sz w:val="24"/>
          <w:szCs w:val="24"/>
        </w:rPr>
        <w:t xml:space="preserve">: L-għadd ta’ </w:t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t>kawżi amministrattivi pendenti, 2012 – 2018</w:t>
      </w:r>
      <w:r>
        <w:rPr>
          <w:rFonts w:ascii="Times New Roman" w:hAnsi="Times New Roman"/>
          <w:noProof/>
        </w:rPr>
        <w:t xml:space="preserve"> (</w:t>
      </w:r>
      <w:r>
        <w:rPr>
          <w:noProof/>
        </w:rPr>
        <w:t>*</w:t>
      </w:r>
      <w:r>
        <w:rPr>
          <w:rFonts w:ascii="Times New Roman" w:hAnsi="Times New Roman"/>
          <w:noProof/>
        </w:rPr>
        <w:t>)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>(il-prim’istanza/għal kull 100 abitant) (sors: studju tas-CEPEJ)</w:t>
      </w:r>
      <w:bookmarkStart w:id="211" w:name="_Toc409530221"/>
      <w:bookmarkStart w:id="212" w:name="_Toc438545671"/>
      <w:bookmarkStart w:id="213" w:name="_Toc438548321"/>
      <w:bookmarkStart w:id="214" w:name="_Toc438548507"/>
      <w:bookmarkStart w:id="215" w:name="_Toc440017697"/>
      <w:bookmarkStart w:id="216" w:name="_Toc440018081"/>
      <w:bookmarkStart w:id="217" w:name="_Toc440033379"/>
      <w:bookmarkStart w:id="218" w:name="_Toc440035230"/>
      <w:bookmarkStart w:id="219" w:name="_Toc440036525"/>
      <w:bookmarkStart w:id="220" w:name="_Toc440042467"/>
      <w:bookmarkStart w:id="221" w:name="_Toc440291120"/>
      <w:bookmarkStart w:id="222" w:name="_Toc440294683"/>
      <w:bookmarkStart w:id="223" w:name="_Toc440295185"/>
      <w:bookmarkStart w:id="224" w:name="_Toc440296590"/>
      <w:bookmarkStart w:id="225" w:name="_Toc440625074"/>
      <w:bookmarkStart w:id="226" w:name="_Toc440626404"/>
      <w:bookmarkStart w:id="227" w:name="_Toc440628858"/>
      <w:bookmarkStart w:id="228" w:name="_Toc441571130"/>
      <w:bookmarkStart w:id="229" w:name="_Toc441581632"/>
      <w:bookmarkStart w:id="230" w:name="_Toc441585899"/>
      <w:bookmarkStart w:id="231" w:name="_Toc441595834"/>
      <w:bookmarkStart w:id="232" w:name="_Toc441596011"/>
      <w:bookmarkStart w:id="233" w:name="_Toc441748136"/>
      <w:bookmarkStart w:id="234" w:name="_Toc441755421"/>
      <w:bookmarkStart w:id="235" w:name="_Toc441756458"/>
      <w:bookmarkStart w:id="236" w:name="_Toc441757502"/>
      <w:bookmarkStart w:id="237" w:name="_Toc441766631"/>
      <w:bookmarkStart w:id="238" w:name="_Toc441766970"/>
      <w:bookmarkStart w:id="239" w:name="_Toc442187971"/>
      <w:bookmarkStart w:id="240" w:name="_Toc442262063"/>
      <w:bookmarkStart w:id="241" w:name="_Toc442362470"/>
      <w:bookmarkStart w:id="242" w:name="_Toc442374806"/>
      <w:bookmarkStart w:id="243" w:name="_Toc442425946"/>
      <w:bookmarkStart w:id="244" w:name="_Toc442453072"/>
      <w:bookmarkStart w:id="245" w:name="_Toc443484530"/>
      <w:bookmarkStart w:id="246" w:name="_Toc443484752"/>
      <w:bookmarkStart w:id="247" w:name="_Toc443509493"/>
      <w:bookmarkStart w:id="248" w:name="_Toc446014822"/>
    </w:p>
    <w:p w:rsidR="00461018" w:rsidRDefault="000329C3">
      <w:pPr>
        <w:keepNext/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493010"/>
            <wp:effectExtent l="0" t="0" r="4445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0"/>
        </w:rPr>
        <w:t xml:space="preserve"> (*)</w:t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i/>
          <w:noProof/>
          <w:sz w:val="20"/>
        </w:rPr>
        <w:t xml:space="preserve">Il-valuri tal-passat għal xi </w:t>
      </w:r>
      <w:r>
        <w:rPr>
          <w:rFonts w:ascii="Times New Roman" w:hAnsi="Times New Roman"/>
          <w:i/>
          <w:noProof/>
          <w:sz w:val="20"/>
        </w:rPr>
        <w:t>Stati Membri tnaqqsu għall-finijiet tal-preżentazzjoni (il-</w:t>
      </w:r>
      <w:r>
        <w:rPr>
          <w:rFonts w:ascii="Times New Roman" w:hAnsi="Times New Roman"/>
          <w:b/>
          <w:i/>
          <w:noProof/>
          <w:sz w:val="20"/>
        </w:rPr>
        <w:t>EL</w:t>
      </w:r>
      <w:r>
        <w:rPr>
          <w:rFonts w:ascii="Times New Roman" w:hAnsi="Times New Roman"/>
          <w:i/>
          <w:noProof/>
          <w:sz w:val="20"/>
        </w:rPr>
        <w:t xml:space="preserve"> fl-2012=3.5). Tibdiliet fil-metodoloġija fil-</w:t>
      </w:r>
      <w:r>
        <w:rPr>
          <w:rFonts w:ascii="Times New Roman" w:hAnsi="Times New Roman"/>
          <w:b/>
          <w:i/>
          <w:noProof/>
          <w:sz w:val="20"/>
        </w:rPr>
        <w:t>EL</w:t>
      </w:r>
      <w:r>
        <w:rPr>
          <w:rFonts w:ascii="Times New Roman" w:hAnsi="Times New Roman"/>
          <w:i/>
          <w:noProof/>
          <w:sz w:val="20"/>
        </w:rPr>
        <w:t xml:space="preserve"> u fis-</w:t>
      </w:r>
      <w:r>
        <w:rPr>
          <w:rFonts w:ascii="Times New Roman" w:hAnsi="Times New Roman"/>
          <w:b/>
          <w:i/>
          <w:noProof/>
          <w:sz w:val="20"/>
        </w:rPr>
        <w:t>SK</w:t>
      </w:r>
      <w:r>
        <w:rPr>
          <w:rFonts w:ascii="Times New Roman" w:hAnsi="Times New Roman"/>
          <w:i/>
          <w:noProof/>
          <w:sz w:val="20"/>
        </w:rPr>
        <w:t>. Il-kawżi pendenti jinkludu l-istanzi kollha fiċ-</w:t>
      </w:r>
      <w:r>
        <w:rPr>
          <w:rFonts w:ascii="Times New Roman" w:hAnsi="Times New Roman"/>
          <w:b/>
          <w:i/>
          <w:noProof/>
          <w:sz w:val="20"/>
        </w:rPr>
        <w:t>CZ</w:t>
      </w:r>
      <w:r>
        <w:rPr>
          <w:rFonts w:ascii="Times New Roman" w:hAnsi="Times New Roman"/>
          <w:i/>
          <w:noProof/>
          <w:sz w:val="20"/>
        </w:rPr>
        <w:t xml:space="preserve"> u, sal-2016, fis-</w:t>
      </w:r>
      <w:r>
        <w:rPr>
          <w:rFonts w:ascii="Times New Roman" w:hAnsi="Times New Roman"/>
          <w:b/>
          <w:i/>
          <w:noProof/>
          <w:sz w:val="20"/>
        </w:rPr>
        <w:t>SK</w:t>
      </w:r>
      <w:r>
        <w:rPr>
          <w:rFonts w:ascii="Times New Roman" w:hAnsi="Times New Roman"/>
          <w:i/>
          <w:noProof/>
          <w:sz w:val="20"/>
        </w:rPr>
        <w:t>. Fid-</w:t>
      </w:r>
      <w:r>
        <w:rPr>
          <w:rFonts w:ascii="Times New Roman" w:hAnsi="Times New Roman"/>
          <w:b/>
          <w:i/>
          <w:noProof/>
          <w:sz w:val="20"/>
        </w:rPr>
        <w:t>DK</w:t>
      </w:r>
      <w:r>
        <w:rPr>
          <w:rFonts w:ascii="Times New Roman" w:hAnsi="Times New Roman"/>
          <w:i/>
          <w:noProof/>
          <w:sz w:val="20"/>
        </w:rPr>
        <w:t xml:space="preserve"> u fl-</w:t>
      </w:r>
      <w:r>
        <w:rPr>
          <w:rFonts w:ascii="Times New Roman" w:hAnsi="Times New Roman"/>
          <w:b/>
          <w:i/>
          <w:noProof/>
          <w:sz w:val="20"/>
        </w:rPr>
        <w:t>IE</w:t>
      </w:r>
      <w:r>
        <w:rPr>
          <w:rFonts w:ascii="Times New Roman" w:hAnsi="Times New Roman"/>
          <w:i/>
          <w:noProof/>
          <w:sz w:val="20"/>
        </w:rPr>
        <w:t xml:space="preserve"> ma jirreġistrawx il-kawżi amministrattivi separat</w:t>
      </w:r>
      <w:r>
        <w:rPr>
          <w:rFonts w:ascii="Times New Roman" w:hAnsi="Times New Roman"/>
          <w:i/>
          <w:noProof/>
          <w:sz w:val="20"/>
        </w:rPr>
        <w:t>ament.</w:t>
      </w:r>
    </w:p>
    <w:p w:rsidR="00461018" w:rsidRDefault="000329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highlight w:val="yellow"/>
        </w:rPr>
      </w:pPr>
      <w:r>
        <w:rPr>
          <w:noProof/>
        </w:rPr>
        <w:br w:type="page"/>
      </w:r>
    </w:p>
    <w:p w:rsidR="00461018" w:rsidRDefault="000329C3">
      <w:pPr>
        <w:keepNext/>
        <w:spacing w:before="240"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3.1.3. L-effiċjenza f’oqsma speċifiċi</w:t>
      </w:r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r>
        <w:rPr>
          <w:rFonts w:ascii="Times New Roman" w:hAnsi="Times New Roman"/>
          <w:b/>
          <w:noProof/>
          <w:sz w:val="24"/>
          <w:szCs w:val="24"/>
        </w:rPr>
        <w:t xml:space="preserve"> tad-dritt tal-UE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t>Din it-taqsima tikkumplimenta d-</w:t>
      </w:r>
      <w:r>
        <w:rPr>
          <w:rFonts w:ascii="Times New Roman" w:hAnsi="Times New Roman"/>
          <w:i/>
          <w:noProof/>
          <w:sz w:val="24"/>
          <w:szCs w:val="24"/>
        </w:rPr>
        <w:t>data</w:t>
      </w:r>
      <w:r>
        <w:rPr>
          <w:rFonts w:ascii="Times New Roman" w:hAnsi="Times New Roman"/>
          <w:noProof/>
          <w:sz w:val="24"/>
          <w:szCs w:val="24"/>
        </w:rPr>
        <w:t xml:space="preserve"> ġenerali dwar l-effiċjenza tas-sistemi ġudizzjarji u tippreżenta t-tul ta’ żmien medju tal-proċedimenti (</w:t>
      </w: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footnoteReference w:id="42"/>
      </w:r>
      <w:r>
        <w:rPr>
          <w:rFonts w:ascii="Times New Roman" w:hAnsi="Times New Roman"/>
          <w:noProof/>
          <w:sz w:val="24"/>
          <w:szCs w:val="24"/>
        </w:rPr>
        <w:t xml:space="preserve">) f’oqsma speċifiċi meta jkun involut id-dritt </w:t>
      </w:r>
      <w:r>
        <w:rPr>
          <w:rFonts w:ascii="Times New Roman" w:hAnsi="Times New Roman"/>
          <w:noProof/>
          <w:sz w:val="24"/>
          <w:szCs w:val="24"/>
        </w:rPr>
        <w:t>tal-Unjoni. It-Tabella ta’ Valutazzjoni tal-2020 tibni fuq id-</w:t>
      </w:r>
      <w:r>
        <w:rPr>
          <w:rFonts w:ascii="Times New Roman" w:hAnsi="Times New Roman"/>
          <w:i/>
          <w:noProof/>
          <w:sz w:val="24"/>
          <w:szCs w:val="24"/>
        </w:rPr>
        <w:t>data</w:t>
      </w:r>
      <w:r>
        <w:rPr>
          <w:rFonts w:ascii="Times New Roman" w:hAnsi="Times New Roman"/>
          <w:noProof/>
          <w:sz w:val="24"/>
          <w:szCs w:val="24"/>
        </w:rPr>
        <w:t xml:space="preserve"> preċedenti fl-oqsma tal-kompetizzjoni, tal-komunikazzjoni elettronika, tat-trademark tal-UE, tal-liġi tal-konsumatur u tal-ġlieda kontra l-ħasil tal-flus. L-oqsma jintgħażlu minħabba r-rile</w:t>
      </w:r>
      <w:r>
        <w:rPr>
          <w:rFonts w:ascii="Times New Roman" w:hAnsi="Times New Roman"/>
          <w:noProof/>
          <w:sz w:val="24"/>
          <w:szCs w:val="24"/>
        </w:rPr>
        <w:t>vanza tagħhom għas-suq uniku u għall-ambjent tan-negozju. B’mod ġenerali, id-dewmien twil fil-proċedimenti ġudizzjarji jista’ jkollu konsegwenzi negattivi fuq id-drittijiet li jirriżultaw mid-dritt tal-Unjoni, pereżempju, meta ma jkunx għad hemm rimedji ad</w:t>
      </w:r>
      <w:r>
        <w:rPr>
          <w:rFonts w:ascii="Times New Roman" w:hAnsi="Times New Roman"/>
          <w:noProof/>
          <w:sz w:val="24"/>
          <w:szCs w:val="24"/>
        </w:rPr>
        <w:t>egwati jew meta d-danni finanzjarji serji jsiru rrekuperabbli.</w:t>
      </w:r>
    </w:p>
    <w:p w:rsidR="00461018" w:rsidRDefault="000329C3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t>– Il-kompetizzjoni –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L-infurzar effettiv tal-liġi tal-kompetizzjoni jiżgura kundizzjonijiet ekwi għan-negozji u, għalhekk, huwa essenzjali għal ambjent tan-negozju attraenti. L-Illustrazzjoni 1</w:t>
      </w:r>
      <w:r>
        <w:rPr>
          <w:rFonts w:ascii="Times New Roman" w:hAnsi="Times New Roman"/>
          <w:noProof/>
          <w:sz w:val="24"/>
          <w:szCs w:val="24"/>
        </w:rPr>
        <w:t>6 tippreżenta t-tul medju tal-kawżi kontra d-deċiżjonijiet tal-awtoritajiet nazzjonali tal-kompetizzjoni li japplikaw l-Artikoli 101 u 102 TFUE (</w:t>
      </w: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footnoteReference w:id="43"/>
      </w:r>
      <w:r>
        <w:rPr>
          <w:rFonts w:ascii="Times New Roman" w:hAnsi="Times New Roman"/>
          <w:noProof/>
          <w:sz w:val="24"/>
          <w:szCs w:val="24"/>
        </w:rPr>
        <w:t>).</w:t>
      </w:r>
    </w:p>
    <w:p w:rsidR="00461018" w:rsidRDefault="000329C3">
      <w:pPr>
        <w:keepNext/>
        <w:spacing w:before="240" w:after="0" w:line="240" w:lineRule="auto"/>
        <w:jc w:val="both"/>
        <w:rPr>
          <w:rFonts w:ascii="Times New Roman" w:eastAsia="Calibri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16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>: Kompetizzjoni: It-tul medju ta’ stħarriġ ġudizzjarju, 2013-2018</w:t>
      </w:r>
      <w:r>
        <w:rPr>
          <w:rFonts w:ascii="Times New Roman" w:hAnsi="Times New Roman"/>
          <w:noProof/>
        </w:rPr>
        <w:t xml:space="preserve"> (</w:t>
      </w:r>
      <w:r>
        <w:rPr>
          <w:noProof/>
        </w:rPr>
        <w:t>*</w:t>
      </w:r>
      <w:r>
        <w:rPr>
          <w:rFonts w:ascii="Times New Roman" w:hAnsi="Times New Roman"/>
          <w:noProof/>
        </w:rPr>
        <w:t>)</w:t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 (il-prim’istanza/f’jiem) (sors: il-Kummissjoni Ewropea man-Network Ewropew għall-Kompetizzjoni)</w:t>
      </w:r>
    </w:p>
    <w:p w:rsidR="00461018" w:rsidRDefault="000329C3">
      <w:pPr>
        <w:keepNext/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682875"/>
            <wp:effectExtent l="0" t="0" r="4445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keepNext/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rFonts w:ascii="Times New Roman" w:hAnsi="Times New Roman"/>
          <w:i/>
          <w:noProof/>
          <w:sz w:val="20"/>
        </w:rPr>
        <w:t>(*) L-</w:t>
      </w:r>
      <w:r>
        <w:rPr>
          <w:rFonts w:ascii="Times New Roman" w:hAnsi="Times New Roman"/>
          <w:b/>
          <w:i/>
          <w:noProof/>
          <w:sz w:val="20"/>
        </w:rPr>
        <w:t>EE:</w:t>
      </w:r>
      <w:r>
        <w:rPr>
          <w:rFonts w:ascii="Times New Roman" w:hAnsi="Times New Roman"/>
          <w:i/>
          <w:noProof/>
          <w:sz w:val="20"/>
        </w:rPr>
        <w:t xml:space="preserve"> ebda kawża. L-</w:t>
      </w:r>
      <w:r>
        <w:rPr>
          <w:rFonts w:ascii="Times New Roman" w:hAnsi="Times New Roman"/>
          <w:b/>
          <w:i/>
          <w:noProof/>
          <w:sz w:val="20"/>
        </w:rPr>
        <w:t>IE</w:t>
      </w:r>
      <w:r>
        <w:rPr>
          <w:rFonts w:ascii="Times New Roman" w:hAnsi="Times New Roman"/>
          <w:i/>
          <w:noProof/>
          <w:sz w:val="20"/>
        </w:rPr>
        <w:t xml:space="preserve"> u l-</w:t>
      </w:r>
      <w:r>
        <w:rPr>
          <w:rFonts w:ascii="Times New Roman" w:hAnsi="Times New Roman"/>
          <w:b/>
          <w:i/>
          <w:noProof/>
          <w:sz w:val="20"/>
        </w:rPr>
        <w:t>AT:</w:t>
      </w:r>
      <w:r>
        <w:rPr>
          <w:rFonts w:ascii="Times New Roman" w:hAnsi="Times New Roman"/>
          <w:i/>
          <w:noProof/>
          <w:sz w:val="20"/>
        </w:rPr>
        <w:t xml:space="preserve"> ix-xenarju mhuwiex applikabbli minħabba li l-awtoritajiet ma għandhomx setgħat sabiex jieħdu d-deċiżjonijiet rispettivi. </w:t>
      </w:r>
      <w:r>
        <w:rPr>
          <w:rFonts w:ascii="Times New Roman" w:hAnsi="Times New Roman"/>
          <w:b/>
          <w:i/>
          <w:noProof/>
          <w:sz w:val="20"/>
        </w:rPr>
        <w:t>AT:</w:t>
      </w:r>
      <w:r>
        <w:rPr>
          <w:rFonts w:ascii="Times New Roman" w:hAnsi="Times New Roman"/>
          <w:i/>
          <w:noProof/>
          <w:sz w:val="20"/>
        </w:rPr>
        <w:t xml:space="preserve"> id-data tinkludi kawżi deċiżi mill-Qorti Cartel li jinvolvu l-ksur tal-Artikoli 101 u 102 TFUE, iżda li mhumiex ibbażati fuq appel</w:t>
      </w:r>
      <w:r>
        <w:rPr>
          <w:rFonts w:ascii="Times New Roman" w:hAnsi="Times New Roman"/>
          <w:i/>
          <w:noProof/>
          <w:sz w:val="20"/>
        </w:rPr>
        <w:t>li kontra l-awtorità nazzjonali tal-kompetizzjoni. Fil-</w:t>
      </w:r>
      <w:r>
        <w:rPr>
          <w:rFonts w:ascii="Times New Roman" w:hAnsi="Times New Roman"/>
          <w:b/>
          <w:i/>
          <w:noProof/>
          <w:sz w:val="20"/>
        </w:rPr>
        <w:t>BG</w:t>
      </w:r>
      <w:r>
        <w:rPr>
          <w:rFonts w:ascii="Times New Roman" w:hAnsi="Times New Roman"/>
          <w:i/>
          <w:noProof/>
          <w:sz w:val="20"/>
        </w:rPr>
        <w:t xml:space="preserve"> u fl-</w:t>
      </w:r>
      <w:r>
        <w:rPr>
          <w:rFonts w:ascii="Times New Roman" w:hAnsi="Times New Roman"/>
          <w:b/>
          <w:i/>
          <w:noProof/>
          <w:sz w:val="20"/>
        </w:rPr>
        <w:t>IT</w:t>
      </w:r>
      <w:r>
        <w:rPr>
          <w:rFonts w:ascii="Times New Roman" w:hAnsi="Times New Roman"/>
          <w:i/>
          <w:noProof/>
          <w:sz w:val="20"/>
        </w:rPr>
        <w:t xml:space="preserve"> intużat stima tat-tul. Kolonna vojta tindika li l-Istat Membru ma rrappurtax kawżi għal dik is-sena. L-għadd ta’ kawżi huwa baxx (anqas minn 5 fis-sena) għall-biċċa l-kbira tal-Istati Membri</w:t>
      </w:r>
      <w:r>
        <w:rPr>
          <w:rFonts w:ascii="Times New Roman" w:hAnsi="Times New Roman"/>
          <w:i/>
          <w:noProof/>
          <w:sz w:val="20"/>
        </w:rPr>
        <w:t>, li bih id-data annwali tista’ tkun dipendenti fuq kawża eċċezzjonalment twila jew qasira. Għadd mill-itwal kawżi fis-sett ta’ data inkluda ż-żmien meħtieġ għal referenza quddiem il-Qorti tal-Ġustizzja tal-Unjoni Ewropea (eż. il-</w:t>
      </w:r>
      <w:r>
        <w:rPr>
          <w:rFonts w:ascii="Times New Roman" w:hAnsi="Times New Roman"/>
          <w:b/>
          <w:i/>
          <w:noProof/>
          <w:sz w:val="20"/>
        </w:rPr>
        <w:t>LT</w:t>
      </w:r>
      <w:r>
        <w:rPr>
          <w:rFonts w:ascii="Times New Roman" w:hAnsi="Times New Roman"/>
          <w:i/>
          <w:noProof/>
          <w:sz w:val="20"/>
        </w:rPr>
        <w:t>), rieżami kostituzzjona</w:t>
      </w:r>
      <w:r>
        <w:rPr>
          <w:rFonts w:ascii="Times New Roman" w:hAnsi="Times New Roman"/>
          <w:i/>
          <w:noProof/>
          <w:sz w:val="20"/>
        </w:rPr>
        <w:t>li (eż. is-</w:t>
      </w:r>
      <w:r>
        <w:rPr>
          <w:rFonts w:ascii="Times New Roman" w:hAnsi="Times New Roman"/>
          <w:b/>
          <w:i/>
          <w:noProof/>
          <w:sz w:val="20"/>
        </w:rPr>
        <w:t>SK</w:t>
      </w:r>
      <w:r>
        <w:rPr>
          <w:rFonts w:ascii="Times New Roman" w:hAnsi="Times New Roman"/>
          <w:i/>
          <w:noProof/>
          <w:sz w:val="20"/>
        </w:rPr>
        <w:t xml:space="preserve">) jew dewmien proċedurali speċifiku (eż. </w:t>
      </w:r>
      <w:r>
        <w:rPr>
          <w:rFonts w:ascii="Times New Roman" w:hAnsi="Times New Roman"/>
          <w:b/>
          <w:i/>
          <w:noProof/>
          <w:sz w:val="20"/>
        </w:rPr>
        <w:t>CZ</w:t>
      </w:r>
      <w:r>
        <w:rPr>
          <w:rFonts w:ascii="Times New Roman" w:hAnsi="Times New Roman"/>
          <w:i/>
          <w:noProof/>
          <w:sz w:val="20"/>
        </w:rPr>
        <w:t xml:space="preserve">, </w:t>
      </w:r>
      <w:r>
        <w:rPr>
          <w:rFonts w:ascii="Times New Roman" w:hAnsi="Times New Roman"/>
          <w:b/>
          <w:i/>
          <w:noProof/>
          <w:sz w:val="20"/>
        </w:rPr>
        <w:t>EL</w:t>
      </w:r>
      <w:r>
        <w:rPr>
          <w:rFonts w:ascii="Times New Roman" w:hAnsi="Times New Roman"/>
          <w:i/>
          <w:noProof/>
          <w:sz w:val="20"/>
        </w:rPr>
        <w:t xml:space="preserve">, </w:t>
      </w:r>
      <w:r>
        <w:rPr>
          <w:rFonts w:ascii="Times New Roman" w:hAnsi="Times New Roman"/>
          <w:b/>
          <w:i/>
          <w:noProof/>
          <w:sz w:val="20"/>
        </w:rPr>
        <w:t>HU</w:t>
      </w:r>
      <w:r>
        <w:rPr>
          <w:rFonts w:ascii="Times New Roman" w:hAnsi="Times New Roman"/>
          <w:i/>
          <w:noProof/>
          <w:sz w:val="20"/>
        </w:rPr>
        <w:t xml:space="preserve">). </w:t>
      </w:r>
    </w:p>
    <w:p w:rsidR="00461018" w:rsidRDefault="00461018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highlight w:val="yellow"/>
        </w:rPr>
      </w:pPr>
    </w:p>
    <w:p w:rsidR="00461018" w:rsidRDefault="00461018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highlight w:val="yellow"/>
        </w:rPr>
      </w:pPr>
    </w:p>
    <w:p w:rsidR="00461018" w:rsidRDefault="000329C3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t>– Il-komunikazzjonijiet elettroniċi –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L-objettiv tal-leġiżlazzjoni tal-UE dwar il-komunikazzjonijiet elettroniċi huwa li żżid il-kompetizzjoni, tikkontribwixxi għall-iżvilupp tas-suq uni</w:t>
      </w:r>
      <w:r>
        <w:rPr>
          <w:rFonts w:ascii="Times New Roman" w:hAnsi="Times New Roman"/>
          <w:noProof/>
          <w:sz w:val="24"/>
          <w:szCs w:val="24"/>
        </w:rPr>
        <w:t>ku u tiġġenera l-investiment, l-innovazzjoni u t-tkabbir. L-effetti pożittivi għall-konsumaturi jistgħu jinkisbu permezz ta’ infurzar effettiv ta’ din il-leġiżlazzjoni li tista’ twassal għal prezzijiet tal-utent aħħari aktar baxxi u servizzi ta’ kwalità aħ</w:t>
      </w:r>
      <w:r>
        <w:rPr>
          <w:rFonts w:ascii="Times New Roman" w:hAnsi="Times New Roman"/>
          <w:noProof/>
          <w:sz w:val="24"/>
          <w:szCs w:val="24"/>
        </w:rPr>
        <w:t>jar. L-Illustrazzjoni 17 tippreżenta t-tul medju tal-kawżi ta’ stħarriġ ġudizzjarju kontra d-deċiżjonijiet tal-awtoritajiet regolatorji nazzjonali li japplikaw id-dritt tal-UE dwar il-komunikazzjonijiet elettroniċi(</w:t>
      </w: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footnoteReference w:id="44"/>
      </w:r>
      <w:r>
        <w:rPr>
          <w:rFonts w:ascii="Times New Roman" w:hAnsi="Times New Roman"/>
          <w:noProof/>
          <w:sz w:val="24"/>
          <w:szCs w:val="24"/>
        </w:rPr>
        <w:t>). Hija tkopri firxa wiesgħa ta’ każijie</w:t>
      </w:r>
      <w:r>
        <w:rPr>
          <w:rFonts w:ascii="Times New Roman" w:hAnsi="Times New Roman"/>
          <w:noProof/>
          <w:sz w:val="24"/>
          <w:szCs w:val="24"/>
        </w:rPr>
        <w:t>t, li jvarjaw mill-istħarriġ aktar kumpless ta’ “analiżi tas-suq” għal kwistjonijiet iffokati fuq il-konsumatur.</w:t>
      </w:r>
    </w:p>
    <w:p w:rsidR="00461018" w:rsidRDefault="000329C3">
      <w:pPr>
        <w:spacing w:before="240" w:after="0" w:line="240" w:lineRule="auto"/>
        <w:jc w:val="both"/>
        <w:rPr>
          <w:rFonts w:ascii="Times New Roman" w:eastAsia="Calibri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17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: Il-komunikazzjonijiet elettroniċi: It-tul ta’ żmien medju tal-kawżi ta’ stħarriġ ġudizzjarju, </w:t>
      </w:r>
      <w:r>
        <w:rPr>
          <w:rFonts w:ascii="Times New Roman" w:hAnsi="Times New Roman"/>
          <w:b/>
          <w:bCs/>
          <w:noProof/>
          <w:sz w:val="24"/>
          <w:szCs w:val="24"/>
        </w:rPr>
        <w:t>2013-2018</w:t>
      </w:r>
      <w:r>
        <w:rPr>
          <w:rFonts w:ascii="Times New Roman" w:hAnsi="Times New Roman"/>
          <w:noProof/>
        </w:rPr>
        <w:t xml:space="preserve"> (</w:t>
      </w:r>
      <w:r>
        <w:rPr>
          <w:noProof/>
        </w:rPr>
        <w:t>*)</w:t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 (il-prim’istanza/f’jiem) (sors: il-Kummissjoni Ewropea mal-Kumitat tal-Komunikazzjonijiet)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481580"/>
            <wp:effectExtent l="0" t="0" r="444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/>
          <w:noProof/>
          <w:sz w:val="20"/>
          <w:szCs w:val="20"/>
        </w:rPr>
        <w:t>(*)</w:t>
      </w:r>
      <w:r>
        <w:rPr>
          <w:rFonts w:ascii="Times New Roman" w:hAnsi="Times New Roman"/>
          <w:i/>
          <w:noProof/>
        </w:rPr>
        <w:t xml:space="preserve"> L-għadd ta’ kawżi jvarja skont l-Istat Membru.</w:t>
      </w:r>
      <w:r>
        <w:rPr>
          <w:rFonts w:ascii="Times New Roman" w:hAnsi="Times New Roman"/>
          <w:i/>
          <w:noProof/>
          <w:sz w:val="20"/>
        </w:rPr>
        <w:t xml:space="preserve"> Kolonna vojta tindika li l-Istat Membru ma rrapportax kawżi għal dik is-sena (ħlief għall-</w:t>
      </w:r>
      <w:r>
        <w:rPr>
          <w:rFonts w:ascii="Times New Roman" w:hAnsi="Times New Roman"/>
          <w:b/>
          <w:i/>
          <w:noProof/>
          <w:sz w:val="20"/>
        </w:rPr>
        <w:t>PT</w:t>
      </w:r>
      <w:r>
        <w:rPr>
          <w:rFonts w:ascii="Times New Roman" w:hAnsi="Times New Roman"/>
          <w:i/>
          <w:noProof/>
          <w:sz w:val="20"/>
        </w:rPr>
        <w:t xml:space="preserve"> għall</w:t>
      </w:r>
      <w:r>
        <w:rPr>
          <w:rFonts w:ascii="Times New Roman" w:hAnsi="Times New Roman"/>
          <w:i/>
          <w:noProof/>
          <w:sz w:val="20"/>
        </w:rPr>
        <w:t>-2017 u għall-2018, u għar-</w:t>
      </w:r>
      <w:r>
        <w:rPr>
          <w:rFonts w:ascii="Times New Roman" w:hAnsi="Times New Roman"/>
          <w:b/>
          <w:i/>
          <w:noProof/>
          <w:sz w:val="20"/>
        </w:rPr>
        <w:t>RO</w:t>
      </w:r>
      <w:r>
        <w:rPr>
          <w:rFonts w:ascii="Times New Roman" w:hAnsi="Times New Roman"/>
          <w:i/>
          <w:noProof/>
          <w:sz w:val="20"/>
        </w:rPr>
        <w:t xml:space="preserve"> għall-2018: l-ebda data). </w:t>
      </w:r>
      <w:r>
        <w:rPr>
          <w:rFonts w:ascii="Times New Roman" w:hAnsi="Times New Roman"/>
          <w:b/>
          <w:i/>
          <w:noProof/>
          <w:sz w:val="20"/>
        </w:rPr>
        <w:t>LU</w:t>
      </w:r>
      <w:r>
        <w:rPr>
          <w:rFonts w:ascii="Times New Roman" w:hAnsi="Times New Roman"/>
          <w:i/>
          <w:noProof/>
          <w:sz w:val="20"/>
        </w:rPr>
        <w:t>: ebda kawża. F’ċerti istanzi tal-qorti, l-għadd limitat ta’ kawżi rilevanti (</w:t>
      </w:r>
      <w:r>
        <w:rPr>
          <w:rFonts w:ascii="Times New Roman" w:hAnsi="Times New Roman"/>
          <w:b/>
          <w:i/>
          <w:noProof/>
          <w:sz w:val="20"/>
        </w:rPr>
        <w:t>LV</w:t>
      </w:r>
      <w:r>
        <w:rPr>
          <w:rFonts w:ascii="Times New Roman" w:hAnsi="Times New Roman"/>
          <w:i/>
          <w:noProof/>
          <w:sz w:val="20"/>
        </w:rPr>
        <w:t xml:space="preserve">, </w:t>
      </w:r>
      <w:r>
        <w:rPr>
          <w:rFonts w:ascii="Times New Roman" w:hAnsi="Times New Roman"/>
          <w:b/>
          <w:i/>
          <w:noProof/>
          <w:sz w:val="20"/>
        </w:rPr>
        <w:t>LT</w:t>
      </w:r>
      <w:r>
        <w:rPr>
          <w:rFonts w:ascii="Times New Roman" w:hAnsi="Times New Roman"/>
          <w:i/>
          <w:noProof/>
          <w:sz w:val="20"/>
        </w:rPr>
        <w:t>,</w:t>
      </w:r>
      <w:r>
        <w:rPr>
          <w:rFonts w:ascii="Times New Roman" w:hAnsi="Times New Roman"/>
          <w:b/>
          <w:i/>
          <w:noProof/>
          <w:sz w:val="20"/>
        </w:rPr>
        <w:t xml:space="preserve"> MT</w:t>
      </w:r>
      <w:r>
        <w:rPr>
          <w:rFonts w:ascii="Times New Roman" w:hAnsi="Times New Roman"/>
          <w:i/>
          <w:noProof/>
          <w:sz w:val="20"/>
        </w:rPr>
        <w:t>,</w:t>
      </w:r>
      <w:r>
        <w:rPr>
          <w:rFonts w:ascii="Times New Roman" w:hAnsi="Times New Roman"/>
          <w:b/>
          <w:i/>
          <w:noProof/>
          <w:sz w:val="20"/>
        </w:rPr>
        <w:t xml:space="preserve"> SK</w:t>
      </w:r>
      <w:r>
        <w:rPr>
          <w:rFonts w:ascii="Times New Roman" w:hAnsi="Times New Roman"/>
          <w:i/>
          <w:noProof/>
          <w:sz w:val="20"/>
        </w:rPr>
        <w:t>,</w:t>
      </w:r>
      <w:r>
        <w:rPr>
          <w:rFonts w:ascii="Times New Roman" w:hAnsi="Times New Roman"/>
          <w:b/>
          <w:i/>
          <w:noProof/>
          <w:sz w:val="20"/>
        </w:rPr>
        <w:t xml:space="preserve"> SE</w:t>
      </w:r>
      <w:r>
        <w:rPr>
          <w:rFonts w:ascii="Times New Roman" w:hAnsi="Times New Roman"/>
          <w:i/>
          <w:noProof/>
          <w:sz w:val="20"/>
        </w:rPr>
        <w:t xml:space="preserve">) </w:t>
      </w:r>
      <w:r>
        <w:rPr>
          <w:rFonts w:ascii="Times New Roman" w:hAnsi="Times New Roman"/>
          <w:i/>
          <w:noProof/>
          <w:sz w:val="20"/>
          <w:szCs w:val="20"/>
        </w:rPr>
        <w:t>jista’ jfisser li d-data annwali jkollha tiddependi fuq kawża waħda twila jew qasira ħafna u jirriżu</w:t>
      </w:r>
      <w:r>
        <w:rPr>
          <w:rFonts w:ascii="Times New Roman" w:hAnsi="Times New Roman"/>
          <w:i/>
          <w:noProof/>
          <w:sz w:val="20"/>
          <w:szCs w:val="20"/>
        </w:rPr>
        <w:t xml:space="preserve">lta f’varjazzjonijiet kbar minn sena għal oħra. </w:t>
      </w:r>
      <w:r>
        <w:rPr>
          <w:rFonts w:ascii="Times New Roman" w:hAnsi="Times New Roman"/>
          <w:b/>
          <w:i/>
          <w:noProof/>
          <w:sz w:val="20"/>
        </w:rPr>
        <w:t>DK:</w:t>
      </w:r>
      <w:r>
        <w:rPr>
          <w:rFonts w:ascii="Times New Roman" w:hAnsi="Times New Roman"/>
          <w:i/>
          <w:noProof/>
          <w:sz w:val="20"/>
        </w:rPr>
        <w:t xml:space="preserve"> korp kważiġudizzjarju responsabbli mill-appelli fil-prim’istanza. </w:t>
      </w:r>
      <w:r>
        <w:rPr>
          <w:rFonts w:ascii="Times New Roman" w:hAnsi="Times New Roman"/>
          <w:b/>
          <w:i/>
          <w:noProof/>
          <w:sz w:val="20"/>
        </w:rPr>
        <w:t>ES</w:t>
      </w:r>
      <w:r>
        <w:rPr>
          <w:rFonts w:ascii="Times New Roman" w:hAnsi="Times New Roman"/>
          <w:i/>
          <w:noProof/>
          <w:sz w:val="20"/>
        </w:rPr>
        <w:t>,</w:t>
      </w:r>
      <w:r>
        <w:rPr>
          <w:rFonts w:ascii="Times New Roman" w:hAnsi="Times New Roman"/>
          <w:b/>
          <w:i/>
          <w:noProof/>
          <w:sz w:val="20"/>
        </w:rPr>
        <w:t xml:space="preserve"> l-AT</w:t>
      </w:r>
      <w:r>
        <w:rPr>
          <w:rFonts w:ascii="Times New Roman" w:hAnsi="Times New Roman"/>
          <w:i/>
          <w:noProof/>
          <w:sz w:val="20"/>
        </w:rPr>
        <w:t xml:space="preserve">, u </w:t>
      </w:r>
      <w:r>
        <w:rPr>
          <w:rFonts w:ascii="Times New Roman" w:hAnsi="Times New Roman"/>
          <w:b/>
          <w:i/>
          <w:noProof/>
          <w:sz w:val="20"/>
        </w:rPr>
        <w:t>l-PL:</w:t>
      </w:r>
      <w:r>
        <w:rPr>
          <w:rFonts w:ascii="Times New Roman" w:hAnsi="Times New Roman"/>
          <w:i/>
          <w:noProof/>
          <w:sz w:val="20"/>
        </w:rPr>
        <w:t xml:space="preserve"> qrati differenti responsabbli skont is-suġġett. </w:t>
      </w:r>
      <w:r>
        <w:rPr>
          <w:rFonts w:ascii="Times New Roman" w:hAnsi="Times New Roman"/>
          <w:b/>
          <w:i/>
          <w:noProof/>
          <w:sz w:val="20"/>
        </w:rPr>
        <w:t>MT:</w:t>
      </w:r>
      <w:r>
        <w:rPr>
          <w:rFonts w:ascii="Times New Roman" w:hAnsi="Times New Roman"/>
          <w:i/>
          <w:noProof/>
          <w:sz w:val="20"/>
        </w:rPr>
        <w:t xml:space="preserve"> fl-2016 ġiet irrapportata kawża eċċezzjonalment twila ta’ 2 500 jum, li kienet tirrelata ma’ kwistjoni kumplessa li fiha awtorità lokali, flimkien ma’ diversi residenti, ressqu proċedimenti fir-rigward ta’ emissjonijiet perikolużi allegati minn stazzjonij</w:t>
      </w:r>
      <w:r>
        <w:rPr>
          <w:rFonts w:ascii="Times New Roman" w:hAnsi="Times New Roman"/>
          <w:i/>
          <w:noProof/>
          <w:sz w:val="20"/>
        </w:rPr>
        <w:t>iet bażi tar-radjukomunikazzjoni mobbli.</w:t>
      </w:r>
    </w:p>
    <w:p w:rsidR="00461018" w:rsidRDefault="000329C3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  <w:bookmarkStart w:id="249" w:name="_Ref441766145"/>
      <w:r>
        <w:rPr>
          <w:rFonts w:ascii="Times New Roman" w:hAnsi="Times New Roman"/>
          <w:i/>
          <w:noProof/>
          <w:sz w:val="24"/>
          <w:szCs w:val="24"/>
        </w:rPr>
        <w:t>– It-trademark tal-UE–</w:t>
      </w:r>
    </w:p>
    <w:bookmarkEnd w:id="249"/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t>L-infurzar effettiv tad-drittijiet ta’ proprjetà intellettwali huwa essenzjali sabiex jistimola l-investiment f’innovazzjoni. Il-leġiżlazzjoni tal-UE dwar it-trademarks (</w:t>
      </w: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footnoteReference w:id="45"/>
      </w:r>
      <w:r>
        <w:rPr>
          <w:rFonts w:ascii="Times New Roman" w:hAnsi="Times New Roman"/>
          <w:noProof/>
          <w:sz w:val="24"/>
          <w:szCs w:val="24"/>
        </w:rPr>
        <w:t xml:space="preserve">) tagħti rwol </w:t>
      </w:r>
      <w:r>
        <w:rPr>
          <w:rFonts w:ascii="Times New Roman" w:hAnsi="Times New Roman"/>
          <w:noProof/>
          <w:sz w:val="24"/>
          <w:szCs w:val="24"/>
        </w:rPr>
        <w:t>sinifikanti lill-qrati nazzjonali, li jaġixxu bħala qrati tal-UE u jieħdu deċiżjonijiet li jaffettwaw lis-suq uniku. L-Illustrazzjoni 18 taħt turi t-tul ta’ żmien medju tal-kawżi ta’ ksur tat-trademark tal-UE f’tilwima fost partijiet privati.</w:t>
      </w:r>
    </w:p>
    <w:p w:rsidR="00461018" w:rsidRDefault="00461018">
      <w:pPr>
        <w:spacing w:after="0" w:line="240" w:lineRule="auto"/>
        <w:jc w:val="both"/>
        <w:rPr>
          <w:noProof/>
        </w:rPr>
      </w:pP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4"/>
          <w:highlight w:val="yellow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ni 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18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>: Trademark tal-UE: It-tul ta’ żmien medju tal-kawżi ta’ ksur tat-trademark tal-UE, 2013-2018</w:t>
      </w:r>
      <w:r>
        <w:rPr>
          <w:rFonts w:ascii="Times New Roman" w:hAnsi="Times New Roman"/>
          <w:noProof/>
        </w:rPr>
        <w:t xml:space="preserve"> (</w:t>
      </w:r>
      <w:r>
        <w:rPr>
          <w:noProof/>
        </w:rPr>
        <w:t>*)</w:t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 (il-prim’istanza/f’jiem) (sors: il-Kummissjoni Ewropea mal-Osservatorju Ewropew dwar il-ksur tad-drittijiet tal-proprjetà intellettwali)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644775"/>
            <wp:effectExtent l="0" t="0" r="4445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0"/>
        </w:rPr>
        <w:t xml:space="preserve"> (*) </w:t>
      </w:r>
      <w:r>
        <w:rPr>
          <w:rFonts w:ascii="Times New Roman" w:hAnsi="Times New Roman"/>
          <w:b/>
          <w:i/>
          <w:noProof/>
          <w:sz w:val="20"/>
        </w:rPr>
        <w:t>FR</w:t>
      </w:r>
      <w:r>
        <w:rPr>
          <w:rFonts w:ascii="Times New Roman" w:hAnsi="Times New Roman"/>
          <w:i/>
          <w:noProof/>
          <w:sz w:val="20"/>
        </w:rPr>
        <w:t>,</w:t>
      </w:r>
      <w:r>
        <w:rPr>
          <w:rFonts w:ascii="Times New Roman" w:hAnsi="Times New Roman"/>
          <w:b/>
          <w:i/>
          <w:noProof/>
          <w:sz w:val="20"/>
        </w:rPr>
        <w:t xml:space="preserve"> IT</w:t>
      </w:r>
      <w:r>
        <w:rPr>
          <w:rFonts w:ascii="Times New Roman" w:hAnsi="Times New Roman"/>
          <w:i/>
          <w:noProof/>
          <w:sz w:val="20"/>
        </w:rPr>
        <w:t>,</w:t>
      </w:r>
      <w:r>
        <w:rPr>
          <w:rFonts w:ascii="Times New Roman" w:hAnsi="Times New Roman"/>
          <w:b/>
          <w:i/>
          <w:noProof/>
          <w:sz w:val="20"/>
        </w:rPr>
        <w:t xml:space="preserve"> LT</w:t>
      </w:r>
      <w:r>
        <w:rPr>
          <w:rFonts w:ascii="Times New Roman" w:hAnsi="Times New Roman"/>
          <w:i/>
          <w:noProof/>
          <w:sz w:val="20"/>
        </w:rPr>
        <w:t>,</w:t>
      </w:r>
      <w:r>
        <w:rPr>
          <w:rFonts w:ascii="Times New Roman" w:hAnsi="Times New Roman"/>
          <w:b/>
          <w:i/>
          <w:noProof/>
          <w:sz w:val="20"/>
        </w:rPr>
        <w:t xml:space="preserve"> LU: </w:t>
      </w:r>
      <w:r>
        <w:rPr>
          <w:rFonts w:ascii="Times New Roman" w:hAnsi="Times New Roman"/>
          <w:i/>
          <w:noProof/>
          <w:sz w:val="20"/>
        </w:rPr>
        <w:t>kampjun ta’ kawżi użat għal data għal ċerti snin.</w:t>
      </w:r>
      <w:r>
        <w:rPr>
          <w:rFonts w:ascii="Times New Roman" w:hAnsi="Times New Roman"/>
          <w:i/>
          <w:noProof/>
        </w:rPr>
        <w:t xml:space="preserve"> </w:t>
      </w:r>
      <w:r>
        <w:rPr>
          <w:rFonts w:ascii="Times New Roman" w:hAnsi="Times New Roman"/>
          <w:b/>
          <w:i/>
          <w:noProof/>
          <w:sz w:val="20"/>
        </w:rPr>
        <w:t>BG:</w:t>
      </w:r>
      <w:r>
        <w:rPr>
          <w:rFonts w:ascii="Times New Roman" w:hAnsi="Times New Roman"/>
          <w:i/>
          <w:noProof/>
          <w:sz w:val="20"/>
        </w:rPr>
        <w:t xml:space="preserve"> stima mill-qrati użata għall-2016. </w:t>
      </w:r>
      <w:r>
        <w:rPr>
          <w:rFonts w:ascii="Times New Roman" w:hAnsi="Times New Roman"/>
          <w:b/>
          <w:i/>
          <w:noProof/>
          <w:sz w:val="20"/>
        </w:rPr>
        <w:t xml:space="preserve">PL: </w:t>
      </w:r>
      <w:r>
        <w:rPr>
          <w:rFonts w:ascii="Times New Roman" w:hAnsi="Times New Roman"/>
          <w:i/>
          <w:noProof/>
          <w:sz w:val="20"/>
        </w:rPr>
        <w:t>sti</w:t>
      </w:r>
      <w:r>
        <w:rPr>
          <w:rFonts w:ascii="Times New Roman" w:hAnsi="Times New Roman"/>
          <w:i/>
          <w:noProof/>
          <w:sz w:val="20"/>
        </w:rPr>
        <w:t>ma mill-qrati użata għall-2015. Ġew irrapportati kawżi partikolarment twal li jaffettwaw il-medja fl-</w:t>
      </w:r>
      <w:r>
        <w:rPr>
          <w:rFonts w:ascii="Times New Roman" w:hAnsi="Times New Roman"/>
          <w:b/>
          <w:bCs/>
          <w:i/>
          <w:noProof/>
          <w:sz w:val="20"/>
        </w:rPr>
        <w:t>EE</w:t>
      </w:r>
      <w:r>
        <w:rPr>
          <w:rFonts w:ascii="Times New Roman" w:hAnsi="Times New Roman"/>
          <w:i/>
          <w:noProof/>
          <w:sz w:val="20"/>
        </w:rPr>
        <w:t>, fl-</w:t>
      </w:r>
      <w:r>
        <w:rPr>
          <w:rFonts w:ascii="Times New Roman" w:hAnsi="Times New Roman"/>
          <w:b/>
          <w:bCs/>
          <w:i/>
          <w:noProof/>
          <w:sz w:val="20"/>
        </w:rPr>
        <w:t>IE</w:t>
      </w:r>
      <w:r>
        <w:rPr>
          <w:rFonts w:ascii="Times New Roman" w:hAnsi="Times New Roman"/>
          <w:i/>
          <w:noProof/>
          <w:sz w:val="20"/>
        </w:rPr>
        <w:t>, fil-</w:t>
      </w:r>
      <w:r>
        <w:rPr>
          <w:rFonts w:ascii="Times New Roman" w:hAnsi="Times New Roman"/>
          <w:b/>
          <w:bCs/>
          <w:i/>
          <w:noProof/>
          <w:sz w:val="20"/>
        </w:rPr>
        <w:t>LV</w:t>
      </w:r>
      <w:r>
        <w:rPr>
          <w:rFonts w:ascii="Times New Roman" w:hAnsi="Times New Roman"/>
          <w:i/>
          <w:noProof/>
          <w:sz w:val="20"/>
        </w:rPr>
        <w:t xml:space="preserve"> u fl-</w:t>
      </w:r>
      <w:r>
        <w:rPr>
          <w:rFonts w:ascii="Times New Roman" w:hAnsi="Times New Roman"/>
          <w:b/>
          <w:bCs/>
          <w:i/>
          <w:noProof/>
          <w:sz w:val="20"/>
        </w:rPr>
        <w:t>SE</w:t>
      </w:r>
      <w:r>
        <w:rPr>
          <w:rFonts w:ascii="Times New Roman" w:hAnsi="Times New Roman"/>
          <w:i/>
          <w:noProof/>
          <w:sz w:val="20"/>
        </w:rPr>
        <w:t xml:space="preserve">. </w:t>
      </w:r>
      <w:r>
        <w:rPr>
          <w:rFonts w:ascii="Times New Roman" w:hAnsi="Times New Roman"/>
          <w:b/>
          <w:i/>
          <w:noProof/>
          <w:sz w:val="20"/>
        </w:rPr>
        <w:t>EL:</w:t>
      </w:r>
      <w:r>
        <w:rPr>
          <w:rFonts w:ascii="Times New Roman" w:hAnsi="Times New Roman"/>
          <w:i/>
          <w:noProof/>
          <w:sz w:val="20"/>
        </w:rPr>
        <w:t xml:space="preserve"> data bbażata fuq it-tul ta’ żmien medju ponderat minn żewġ qrati. </w:t>
      </w:r>
      <w:r>
        <w:rPr>
          <w:rFonts w:ascii="Times New Roman" w:hAnsi="Times New Roman"/>
          <w:b/>
          <w:i/>
          <w:noProof/>
          <w:sz w:val="20"/>
          <w:szCs w:val="20"/>
        </w:rPr>
        <w:t>DK:</w:t>
      </w:r>
      <w:r>
        <w:rPr>
          <w:rFonts w:ascii="Times New Roman" w:hAnsi="Times New Roman"/>
          <w:i/>
          <w:noProof/>
          <w:sz w:val="20"/>
          <w:szCs w:val="20"/>
        </w:rPr>
        <w:t xml:space="preserve"> data mill-kawżi kollha dwar it-trademarks - mhux biss </w:t>
      </w:r>
      <w:r>
        <w:rPr>
          <w:rFonts w:ascii="Times New Roman" w:hAnsi="Times New Roman"/>
          <w:i/>
          <w:noProof/>
          <w:sz w:val="20"/>
          <w:szCs w:val="20"/>
        </w:rPr>
        <w:t>tal-UE - fil-Qrati Superjuri Kummerċjali u Marittimi; għall-2018, l-ebda data dwar it-tul ta’ żmien medju minħabba sistema ġdida tal-ICT.</w:t>
      </w:r>
      <w:r>
        <w:rPr>
          <w:rFonts w:ascii="Times New Roman" w:hAnsi="Times New Roman"/>
          <w:b/>
          <w:i/>
          <w:noProof/>
          <w:sz w:val="20"/>
        </w:rPr>
        <w:t xml:space="preserve"> ES:</w:t>
      </w:r>
      <w:r>
        <w:rPr>
          <w:rFonts w:ascii="Times New Roman" w:hAnsi="Times New Roman"/>
          <w:i/>
          <w:noProof/>
          <w:sz w:val="20"/>
        </w:rPr>
        <w:t xml:space="preserve"> il-kawżi li jikkonċernaw titoli oħrajn tal-IP tal-UE huma inklużi fil-kalkolu tat-tul ta’ żmien medju; għall-2018 </w:t>
      </w:r>
      <w:r>
        <w:rPr>
          <w:rFonts w:ascii="Times New Roman" w:hAnsi="Times New Roman"/>
          <w:i/>
          <w:noProof/>
          <w:sz w:val="20"/>
        </w:rPr>
        <w:t>tintuża stima.</w:t>
      </w:r>
    </w:p>
    <w:p w:rsidR="00461018" w:rsidRDefault="000329C3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t>– Il-protezzjoni tal-konsumatur –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L-infurzar effettiv tal-liġi tal-konsumatur jiżgura li l-konsumaturi jibbenifikaw mid-drittijiet tagħhom u li l-kumpaniji li jiksru r-regoli tal-konsumatur ma jiksbu ebda vantaġġ inġust. L-awtoritajiet </w:t>
      </w:r>
      <w:r>
        <w:rPr>
          <w:rFonts w:ascii="Times New Roman" w:hAnsi="Times New Roman"/>
          <w:noProof/>
          <w:sz w:val="24"/>
          <w:szCs w:val="24"/>
        </w:rPr>
        <w:t>tal-konsumatur u l-qrati għandhom rwol ewlieni fl-infurzar tal-liġi tal-konsumatur tal-UE (</w:t>
      </w: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footnoteReference w:id="46"/>
      </w:r>
      <w:r>
        <w:rPr>
          <w:rFonts w:ascii="Times New Roman" w:hAnsi="Times New Roman"/>
          <w:noProof/>
          <w:sz w:val="24"/>
          <w:szCs w:val="24"/>
        </w:rPr>
        <w:t>) fi ħdan id-diversi sistemi tal-infurzar nazzjonali. L-Illustrazzjoni 19 turi t-tul ta’ żmien medju tal-kawżi ta’ stħarriġ ġudizzjarju kontra deċiżjonijiet tal-awt</w:t>
      </w:r>
      <w:r>
        <w:rPr>
          <w:rFonts w:ascii="Times New Roman" w:hAnsi="Times New Roman"/>
          <w:noProof/>
          <w:sz w:val="24"/>
          <w:szCs w:val="24"/>
        </w:rPr>
        <w:t xml:space="preserve">oritajiet għall-protezzjoni tal-konsumatur li japplikaw id-dritt tal-Unjoni. </w:t>
      </w:r>
    </w:p>
    <w:p w:rsidR="00461018" w:rsidRDefault="000329C3">
      <w:pPr>
        <w:spacing w:before="120" w:after="0" w:line="240" w:lineRule="auto"/>
        <w:jc w:val="both"/>
        <w:rPr>
          <w:rFonts w:ascii="Times New Roman" w:eastAsia="Calibri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Għall-konsumaturi jew għall-kumpaniji, l-infurzar effettiv jista’ jinvolvi katina ta’ atturi, mhux biss il-qrati iżda anke l-awtoritajiet amministrattivi. Sabiex titkompla l-eżam</w:t>
      </w:r>
      <w:r>
        <w:rPr>
          <w:rFonts w:ascii="Times New Roman" w:hAnsi="Times New Roman"/>
          <w:noProof/>
          <w:sz w:val="24"/>
        </w:rPr>
        <w:t>inazzjoni ta’ din il-katina ta’ infurzar, jerġa’ jiġi ppreżentat it-tul tal-proċedimenti mill-awtoritajiet tal-konsumaturi. L-Illustrazzjoni 20 turi t-tul ta’ żmien medju tad-deċiżjonijiet amministrattivi meħuda mill-awtoritajiet nazzjonali għall-protezzjo</w:t>
      </w:r>
      <w:r>
        <w:rPr>
          <w:rFonts w:ascii="Times New Roman" w:hAnsi="Times New Roman"/>
          <w:noProof/>
          <w:sz w:val="24"/>
        </w:rPr>
        <w:t xml:space="preserve">ni tal-konsumatur mill-2014 sal-2018 mill-mument li tinfetaħ kawża. Id-deċiżjonijiet rilevanti jinkludu d-dikjarazzjoni ta’ ksur tar-regoli sostantivi, il-miżuri interim, l-ordnijiet ta’ waqfien u ta’ ebda tkomplija, il-bidu ta’ proċedimenti fil-qorti jew </w:t>
      </w:r>
      <w:r>
        <w:rPr>
          <w:rFonts w:ascii="Times New Roman" w:hAnsi="Times New Roman"/>
          <w:noProof/>
          <w:sz w:val="24"/>
        </w:rPr>
        <w:t>l-għeluq tal-kawżi.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highlight w:val="yellow"/>
        </w:rPr>
      </w:pPr>
      <w:r>
        <w:rPr>
          <w:noProof/>
        </w:rPr>
        <w:br w:type="page"/>
      </w:r>
    </w:p>
    <w:p w:rsidR="00461018" w:rsidRDefault="000329C3">
      <w:pPr>
        <w:spacing w:before="240" w:after="0" w:line="240" w:lineRule="auto"/>
        <w:jc w:val="both"/>
        <w:rPr>
          <w:rFonts w:ascii="Times New Roman" w:eastAsia="Calibri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19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>: Protezzjoni tal-konsumaturi: It-tul ta’ żmien medju ta’ stħarriġ ġudizzjarju, 2013-2018</w:t>
      </w:r>
      <w:r>
        <w:rPr>
          <w:rFonts w:ascii="Times New Roman" w:hAnsi="Times New Roman"/>
          <w:noProof/>
        </w:rPr>
        <w:t>(</w:t>
      </w:r>
      <w:r>
        <w:rPr>
          <w:noProof/>
        </w:rPr>
        <w:t>*)</w:t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 (il-prim’istanza/f’jiem) (sors: il-Kummissjoni Ewropea man-Network ta’ Kooperazzjoni għall-Protezzj</w:t>
      </w:r>
      <w:r>
        <w:rPr>
          <w:rFonts w:ascii="Times New Roman" w:hAnsi="Times New Roman"/>
          <w:i/>
          <w:iCs/>
          <w:noProof/>
          <w:sz w:val="24"/>
          <w:szCs w:val="24"/>
        </w:rPr>
        <w:t>oni tal-Konsumatur)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990850"/>
            <wp:effectExtent l="0" t="0" r="444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rFonts w:ascii="Times New Roman" w:hAnsi="Times New Roman"/>
          <w:i/>
          <w:noProof/>
          <w:sz w:val="20"/>
        </w:rPr>
        <w:t>(*) L-</w:t>
      </w:r>
      <w:r>
        <w:rPr>
          <w:rFonts w:ascii="Times New Roman" w:hAnsi="Times New Roman"/>
          <w:b/>
          <w:i/>
          <w:noProof/>
          <w:sz w:val="20"/>
        </w:rPr>
        <w:t>AT</w:t>
      </w:r>
      <w:r>
        <w:rPr>
          <w:rFonts w:ascii="Times New Roman" w:hAnsi="Times New Roman"/>
          <w:i/>
          <w:noProof/>
          <w:sz w:val="20"/>
        </w:rPr>
        <w:t>, il-</w:t>
      </w:r>
      <w:r>
        <w:rPr>
          <w:rFonts w:ascii="Times New Roman" w:hAnsi="Times New Roman"/>
          <w:b/>
          <w:i/>
          <w:noProof/>
          <w:sz w:val="20"/>
        </w:rPr>
        <w:t>FI</w:t>
      </w:r>
      <w:r>
        <w:rPr>
          <w:rFonts w:ascii="Times New Roman" w:hAnsi="Times New Roman"/>
          <w:i/>
          <w:noProof/>
          <w:sz w:val="20"/>
        </w:rPr>
        <w:t>, il-</w:t>
      </w:r>
      <w:r>
        <w:rPr>
          <w:rFonts w:ascii="Times New Roman" w:hAnsi="Times New Roman"/>
          <w:b/>
          <w:i/>
          <w:noProof/>
          <w:sz w:val="20"/>
        </w:rPr>
        <w:t>DE</w:t>
      </w:r>
      <w:r>
        <w:rPr>
          <w:rFonts w:ascii="Times New Roman" w:hAnsi="Times New Roman"/>
          <w:i/>
          <w:noProof/>
          <w:sz w:val="20"/>
        </w:rPr>
        <w:t>, il-</w:t>
      </w:r>
      <w:r>
        <w:rPr>
          <w:rFonts w:ascii="Times New Roman" w:hAnsi="Times New Roman"/>
          <w:b/>
          <w:i/>
          <w:noProof/>
          <w:sz w:val="20"/>
        </w:rPr>
        <w:t>LU</w:t>
      </w:r>
      <w:r>
        <w:rPr>
          <w:rFonts w:ascii="Times New Roman" w:hAnsi="Times New Roman"/>
          <w:i/>
          <w:noProof/>
          <w:sz w:val="20"/>
        </w:rPr>
        <w:t xml:space="preserve">: ix-xenarju mhuwiex applikabbli minħabba li l-awtoritajiet tal-konsumatur ma għandhomx is-setgħa li jiddeċiedu fuq il-ksur tar-regoli rilevanti tal-konsumatur. L-għadd ta’ każijiet rilevanti huwa baxx </w:t>
      </w:r>
      <w:r>
        <w:rPr>
          <w:rFonts w:ascii="Times New Roman" w:hAnsi="Times New Roman"/>
          <w:i/>
          <w:noProof/>
          <w:sz w:val="20"/>
        </w:rPr>
        <w:t>(anqas minn ħamsa) f’</w:t>
      </w:r>
      <w:r>
        <w:rPr>
          <w:rFonts w:ascii="Times New Roman" w:hAnsi="Times New Roman"/>
          <w:b/>
          <w:i/>
          <w:noProof/>
          <w:sz w:val="20"/>
        </w:rPr>
        <w:t>CY</w:t>
      </w:r>
      <w:r>
        <w:rPr>
          <w:rFonts w:ascii="Times New Roman" w:hAnsi="Times New Roman"/>
          <w:i/>
          <w:noProof/>
          <w:sz w:val="20"/>
        </w:rPr>
        <w:t>, fl-</w:t>
      </w:r>
      <w:r>
        <w:rPr>
          <w:rFonts w:ascii="Times New Roman" w:hAnsi="Times New Roman"/>
          <w:b/>
          <w:i/>
          <w:noProof/>
          <w:sz w:val="20"/>
        </w:rPr>
        <w:t>IE</w:t>
      </w:r>
      <w:r>
        <w:rPr>
          <w:rFonts w:ascii="Times New Roman" w:hAnsi="Times New Roman"/>
          <w:i/>
          <w:noProof/>
          <w:sz w:val="20"/>
        </w:rPr>
        <w:t>, fin-</w:t>
      </w:r>
      <w:r>
        <w:rPr>
          <w:rFonts w:ascii="Times New Roman" w:hAnsi="Times New Roman"/>
          <w:b/>
          <w:i/>
          <w:noProof/>
          <w:sz w:val="20"/>
        </w:rPr>
        <w:t>NL</w:t>
      </w:r>
      <w:r>
        <w:rPr>
          <w:rFonts w:ascii="Times New Roman" w:hAnsi="Times New Roman"/>
          <w:i/>
          <w:noProof/>
          <w:sz w:val="20"/>
        </w:rPr>
        <w:t xml:space="preserve"> u fl-</w:t>
      </w:r>
      <w:r>
        <w:rPr>
          <w:rFonts w:ascii="Times New Roman" w:hAnsi="Times New Roman"/>
          <w:b/>
          <w:i/>
          <w:noProof/>
          <w:sz w:val="20"/>
        </w:rPr>
        <w:t>SE</w:t>
      </w:r>
      <w:r>
        <w:rPr>
          <w:rFonts w:ascii="Times New Roman" w:hAnsi="Times New Roman"/>
          <w:i/>
          <w:noProof/>
          <w:sz w:val="20"/>
        </w:rPr>
        <w:t>. Stima tat-tul ta’ żmien medju ngħatat mill-</w:t>
      </w:r>
      <w:r>
        <w:rPr>
          <w:rFonts w:ascii="Times New Roman" w:hAnsi="Times New Roman"/>
          <w:b/>
          <w:i/>
          <w:noProof/>
          <w:sz w:val="20"/>
        </w:rPr>
        <w:t>EL</w:t>
      </w:r>
      <w:r>
        <w:rPr>
          <w:rFonts w:ascii="Times New Roman" w:hAnsi="Times New Roman"/>
          <w:i/>
          <w:noProof/>
          <w:sz w:val="20"/>
        </w:rPr>
        <w:t xml:space="preserve"> u mir-</w:t>
      </w:r>
      <w:r>
        <w:rPr>
          <w:rFonts w:ascii="Times New Roman" w:hAnsi="Times New Roman"/>
          <w:b/>
          <w:i/>
          <w:noProof/>
          <w:sz w:val="20"/>
        </w:rPr>
        <w:t>RO</w:t>
      </w:r>
      <w:r>
        <w:rPr>
          <w:rFonts w:ascii="Times New Roman" w:hAnsi="Times New Roman"/>
          <w:i/>
          <w:noProof/>
          <w:sz w:val="20"/>
        </w:rPr>
        <w:t>.</w:t>
      </w:r>
      <w:r>
        <w:rPr>
          <w:rFonts w:ascii="Times New Roman" w:hAnsi="Times New Roman"/>
          <w:i/>
          <w:noProof/>
          <w:sz w:val="20"/>
          <w:szCs w:val="20"/>
        </w:rPr>
        <w:t xml:space="preserve"> </w:t>
      </w:r>
    </w:p>
    <w:p w:rsidR="00461018" w:rsidRDefault="00461018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4"/>
        </w:rPr>
      </w:pP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20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: Protezzjoni tal-konsumaturi: It-tul ta’ żmien medju ta’ deċiżjonijiet amministrattivi mill-awtoritajiet </w:t>
      </w:r>
      <w:r>
        <w:rPr>
          <w:rFonts w:ascii="Times New Roman" w:hAnsi="Times New Roman"/>
          <w:b/>
          <w:bCs/>
          <w:noProof/>
          <w:sz w:val="24"/>
          <w:szCs w:val="24"/>
        </w:rPr>
        <w:t>tal-protezzjoni tal-konsumatur, 2014-2018</w:t>
      </w:r>
      <w:r>
        <w:rPr>
          <w:rFonts w:ascii="Times New Roman" w:hAnsi="Times New Roman"/>
          <w:noProof/>
        </w:rPr>
        <w:t>(</w:t>
      </w:r>
      <w:r>
        <w:rPr>
          <w:noProof/>
        </w:rPr>
        <w:t>*)</w:t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 (il-prim’istanza/f’jiem) (sors: il-Kummissjoni Ewropea man-Network ta’ Kooperazzjoni għall-Protezzjoni tal-Konsumatur)</w:t>
      </w:r>
    </w:p>
    <w:p w:rsidR="00461018" w:rsidRDefault="000329C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990850"/>
            <wp:effectExtent l="0" t="0" r="444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0"/>
          <w:szCs w:val="20"/>
        </w:rPr>
        <w:t xml:space="preserve"> (*) L-</w:t>
      </w:r>
      <w:r>
        <w:rPr>
          <w:rFonts w:ascii="Times New Roman" w:hAnsi="Times New Roman"/>
          <w:b/>
          <w:i/>
          <w:noProof/>
          <w:sz w:val="20"/>
          <w:szCs w:val="20"/>
        </w:rPr>
        <w:t>AT</w:t>
      </w:r>
      <w:r>
        <w:rPr>
          <w:rFonts w:ascii="Times New Roman" w:hAnsi="Times New Roman"/>
          <w:i/>
          <w:noProof/>
          <w:sz w:val="20"/>
          <w:szCs w:val="20"/>
        </w:rPr>
        <w:t>, il-</w:t>
      </w:r>
      <w:r>
        <w:rPr>
          <w:rFonts w:ascii="Times New Roman" w:hAnsi="Times New Roman"/>
          <w:b/>
          <w:i/>
          <w:noProof/>
          <w:sz w:val="20"/>
          <w:szCs w:val="20"/>
        </w:rPr>
        <w:t>DE</w:t>
      </w:r>
      <w:r>
        <w:rPr>
          <w:rFonts w:ascii="Times New Roman" w:hAnsi="Times New Roman"/>
          <w:i/>
          <w:noProof/>
          <w:sz w:val="20"/>
          <w:szCs w:val="20"/>
        </w:rPr>
        <w:t>, il-</w:t>
      </w:r>
      <w:r>
        <w:rPr>
          <w:rFonts w:ascii="Times New Roman" w:hAnsi="Times New Roman"/>
          <w:b/>
          <w:i/>
          <w:noProof/>
          <w:sz w:val="20"/>
          <w:szCs w:val="20"/>
        </w:rPr>
        <w:t>LU</w:t>
      </w:r>
      <w:r>
        <w:rPr>
          <w:rFonts w:ascii="Times New Roman" w:hAnsi="Times New Roman"/>
          <w:i/>
          <w:noProof/>
          <w:sz w:val="20"/>
          <w:szCs w:val="20"/>
        </w:rPr>
        <w:t>: ix-xenarju mhuwiex applikabbli minħabba li l-awtoritajiet tal-kons</w:t>
      </w:r>
      <w:r>
        <w:rPr>
          <w:rFonts w:ascii="Times New Roman" w:hAnsi="Times New Roman"/>
          <w:i/>
          <w:noProof/>
          <w:sz w:val="20"/>
          <w:szCs w:val="20"/>
        </w:rPr>
        <w:t>umatur ma għandhomx is-setgħa li jiddeċiedu fuq il-ksur tar-regoli rilevanti tal-konsumatur. L-għadd ta’ każijiet rilevanti huwa baxx (anqas minn ħamsa) fin-</w:t>
      </w:r>
      <w:r>
        <w:rPr>
          <w:rFonts w:ascii="Times New Roman" w:hAnsi="Times New Roman"/>
          <w:b/>
          <w:i/>
          <w:noProof/>
          <w:sz w:val="20"/>
          <w:szCs w:val="20"/>
        </w:rPr>
        <w:t>NL</w:t>
      </w:r>
      <w:r>
        <w:rPr>
          <w:rFonts w:ascii="Times New Roman" w:hAnsi="Times New Roman"/>
          <w:i/>
          <w:noProof/>
          <w:sz w:val="20"/>
          <w:szCs w:val="20"/>
        </w:rPr>
        <w:t xml:space="preserve"> u fl-</w:t>
      </w:r>
      <w:r>
        <w:rPr>
          <w:rFonts w:ascii="Times New Roman" w:hAnsi="Times New Roman"/>
          <w:b/>
          <w:i/>
          <w:noProof/>
          <w:sz w:val="20"/>
          <w:szCs w:val="20"/>
        </w:rPr>
        <w:t>SE</w:t>
      </w:r>
      <w:r>
        <w:rPr>
          <w:rFonts w:ascii="Times New Roman" w:hAnsi="Times New Roman"/>
          <w:i/>
          <w:noProof/>
          <w:sz w:val="20"/>
          <w:szCs w:val="20"/>
        </w:rPr>
        <w:t>. Stima tat-tul ta’ żmien medju ngħatat mid-</w:t>
      </w:r>
      <w:r>
        <w:rPr>
          <w:rFonts w:ascii="Times New Roman" w:hAnsi="Times New Roman"/>
          <w:b/>
          <w:i/>
          <w:noProof/>
          <w:sz w:val="20"/>
          <w:szCs w:val="20"/>
        </w:rPr>
        <w:t>DK</w:t>
      </w:r>
      <w:r>
        <w:rPr>
          <w:rFonts w:ascii="Times New Roman" w:hAnsi="Times New Roman"/>
          <w:i/>
          <w:noProof/>
          <w:sz w:val="20"/>
          <w:szCs w:val="20"/>
        </w:rPr>
        <w:t>, mill-</w:t>
      </w:r>
      <w:r>
        <w:rPr>
          <w:rFonts w:ascii="Times New Roman" w:hAnsi="Times New Roman"/>
          <w:b/>
          <w:i/>
          <w:noProof/>
          <w:sz w:val="20"/>
          <w:szCs w:val="20"/>
        </w:rPr>
        <w:t>FI</w:t>
      </w:r>
      <w:r>
        <w:rPr>
          <w:rFonts w:ascii="Times New Roman" w:hAnsi="Times New Roman"/>
          <w:i/>
          <w:noProof/>
          <w:sz w:val="20"/>
          <w:szCs w:val="20"/>
        </w:rPr>
        <w:t xml:space="preserve">, minn </w:t>
      </w:r>
      <w:r>
        <w:rPr>
          <w:rFonts w:ascii="Times New Roman" w:hAnsi="Times New Roman"/>
          <w:b/>
          <w:i/>
          <w:noProof/>
          <w:sz w:val="20"/>
          <w:szCs w:val="20"/>
        </w:rPr>
        <w:t>FR</w:t>
      </w:r>
      <w:r>
        <w:rPr>
          <w:rFonts w:ascii="Times New Roman" w:hAnsi="Times New Roman"/>
          <w:i/>
          <w:noProof/>
          <w:sz w:val="20"/>
          <w:szCs w:val="20"/>
        </w:rPr>
        <w:t>, mill-</w:t>
      </w:r>
      <w:r>
        <w:rPr>
          <w:rFonts w:ascii="Times New Roman" w:hAnsi="Times New Roman"/>
          <w:b/>
          <w:i/>
          <w:noProof/>
          <w:sz w:val="20"/>
          <w:szCs w:val="20"/>
        </w:rPr>
        <w:t>EL</w:t>
      </w:r>
      <w:r>
        <w:rPr>
          <w:rFonts w:ascii="Times New Roman" w:hAnsi="Times New Roman"/>
          <w:i/>
          <w:noProof/>
          <w:sz w:val="20"/>
          <w:szCs w:val="20"/>
        </w:rPr>
        <w:t xml:space="preserve">, minn </w:t>
      </w:r>
      <w:r>
        <w:rPr>
          <w:rFonts w:ascii="Times New Roman" w:hAnsi="Times New Roman"/>
          <w:b/>
          <w:i/>
          <w:noProof/>
          <w:sz w:val="20"/>
          <w:szCs w:val="20"/>
        </w:rPr>
        <w:t>FR</w:t>
      </w:r>
      <w:r>
        <w:rPr>
          <w:rFonts w:ascii="Times New Roman" w:hAnsi="Times New Roman"/>
          <w:i/>
          <w:noProof/>
          <w:sz w:val="20"/>
          <w:szCs w:val="20"/>
        </w:rPr>
        <w:t xml:space="preserve"> u mir-</w:t>
      </w:r>
      <w:r>
        <w:rPr>
          <w:rFonts w:ascii="Times New Roman" w:hAnsi="Times New Roman"/>
          <w:b/>
          <w:i/>
          <w:noProof/>
          <w:sz w:val="20"/>
          <w:szCs w:val="20"/>
        </w:rPr>
        <w:t>RO</w:t>
      </w:r>
      <w:r>
        <w:rPr>
          <w:rFonts w:ascii="Times New Roman" w:hAnsi="Times New Roman"/>
          <w:i/>
          <w:noProof/>
          <w:sz w:val="20"/>
          <w:szCs w:val="20"/>
        </w:rPr>
        <w:t>.</w:t>
      </w:r>
      <w:r>
        <w:rPr>
          <w:rFonts w:ascii="Times New Roman" w:hAnsi="Times New Roman"/>
          <w:i/>
          <w:noProof/>
        </w:rPr>
        <w:br w:type="page"/>
      </w:r>
    </w:p>
    <w:p w:rsidR="00461018" w:rsidRDefault="000329C3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t>– Il-Ħasil tal-Flus –</w:t>
      </w:r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Minbarra l-kontribut għall-ġlieda kontra l-kriminalità, l-effettività tal-ġlieda kontra l-ħasil tal-flus hija kruċjali għas-solidità, għall-integrità u għall-istabbiltà tas-settur finanzjarju, għall-fiduċja fis-sistema </w:t>
      </w:r>
      <w:r>
        <w:rPr>
          <w:rFonts w:ascii="Times New Roman" w:hAnsi="Times New Roman"/>
          <w:noProof/>
          <w:sz w:val="24"/>
          <w:szCs w:val="24"/>
        </w:rPr>
        <w:t>finanzjarja u għall-kompetizzjoni ġusta fis-suq uniku (</w:t>
      </w: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footnoteReference w:id="47"/>
      </w:r>
      <w:r>
        <w:rPr>
          <w:rFonts w:ascii="Times New Roman" w:hAnsi="Times New Roman"/>
          <w:noProof/>
          <w:sz w:val="24"/>
          <w:szCs w:val="24"/>
        </w:rPr>
        <w:t>). Kif issottolinjat mill-Fond Monetarju Internazzjonali, il-ħasil tal-flus jista’ jiskoraġġixxi l-investiment barrani, ifixkel il-flussi tal-kapital internazzjonali u jkollu konsegwenzi negattivi fuq</w:t>
      </w:r>
      <w:r>
        <w:rPr>
          <w:rFonts w:ascii="Times New Roman" w:hAnsi="Times New Roman"/>
          <w:noProof/>
          <w:sz w:val="24"/>
          <w:szCs w:val="24"/>
        </w:rPr>
        <w:t xml:space="preserve"> il-prestazzjoni makroekonomika ta’ pajjiż, li jirriżultaw fi tnaqqis tal-benesseri, u jieħdu r-riżorsi minn attivitajiet ekonomiċi aktar produttivi (</w:t>
      </w: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footnoteReference w:id="48"/>
      </w:r>
      <w:r>
        <w:rPr>
          <w:rFonts w:ascii="Times New Roman" w:hAnsi="Times New Roman"/>
          <w:noProof/>
          <w:sz w:val="24"/>
          <w:szCs w:val="24"/>
        </w:rPr>
        <w:t>). Id-Direttiva kontra l-ħasil tal-flus titlob li l-Istati Membri jżommu statistika dwar l-effettività ta</w:t>
      </w:r>
      <w:r>
        <w:rPr>
          <w:rFonts w:ascii="Times New Roman" w:hAnsi="Times New Roman"/>
          <w:noProof/>
          <w:sz w:val="24"/>
          <w:szCs w:val="24"/>
        </w:rPr>
        <w:t>s-sistemi tagħhom sabiex jiġġieldu kontra l-ħasil tal-flus jew il-finanzjament tat-terroriżmu(</w:t>
      </w: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footnoteReference w:id="49"/>
      </w:r>
      <w:r>
        <w:rPr>
          <w:rFonts w:ascii="Times New Roman" w:hAnsi="Times New Roman"/>
          <w:noProof/>
          <w:sz w:val="24"/>
          <w:szCs w:val="24"/>
        </w:rPr>
        <w:t xml:space="preserve">). F’kooperazzjoni mal-Istati Membri, intuża kwestjonarju aġġornat sabiex tinġabar </w:t>
      </w:r>
      <w:r>
        <w:rPr>
          <w:rFonts w:ascii="Times New Roman" w:hAnsi="Times New Roman"/>
          <w:i/>
          <w:noProof/>
          <w:sz w:val="24"/>
          <w:szCs w:val="24"/>
        </w:rPr>
        <w:t>data</w:t>
      </w:r>
      <w:r>
        <w:rPr>
          <w:rFonts w:ascii="Times New Roman" w:hAnsi="Times New Roman"/>
          <w:noProof/>
          <w:sz w:val="24"/>
          <w:szCs w:val="24"/>
        </w:rPr>
        <w:t xml:space="preserve"> dwar il-fażijiet ġudizzjarji tas-sistemi nazzjonali kontra l-ħasil tal-fl</w:t>
      </w:r>
      <w:r>
        <w:rPr>
          <w:rFonts w:ascii="Times New Roman" w:hAnsi="Times New Roman"/>
          <w:noProof/>
          <w:sz w:val="24"/>
          <w:szCs w:val="24"/>
        </w:rPr>
        <w:t xml:space="preserve">us. L-Illustrazzjoni 21 turi t-tul ta’ żmien medju tal-kawżi tal-qorti tal-prim’istanza li jittrattaw reati ta’ ħasil tal-flus. 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>21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>: Ħasil tal-flus: It-tul ta’ żmien medju tal-kawżi l-qorti, 2014-2018</w:t>
      </w:r>
      <w:r>
        <w:rPr>
          <w:rFonts w:ascii="Times New Roman" w:hAnsi="Times New Roman"/>
          <w:noProof/>
        </w:rPr>
        <w:t xml:space="preserve"> (</w:t>
      </w:r>
      <w:r>
        <w:rPr>
          <w:noProof/>
        </w:rPr>
        <w:t>*</w:t>
      </w:r>
      <w:r>
        <w:rPr>
          <w:rFonts w:ascii="Times New Roman" w:hAnsi="Times New Roman"/>
          <w:noProof/>
        </w:rPr>
        <w:t>)</w:t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 (il-prim’is</w:t>
      </w:r>
      <w:r>
        <w:rPr>
          <w:rFonts w:ascii="Times New Roman" w:hAnsi="Times New Roman"/>
          <w:i/>
          <w:iCs/>
          <w:noProof/>
          <w:sz w:val="24"/>
          <w:szCs w:val="24"/>
        </w:rPr>
        <w:t>tanza/f’jiem) (sors: il-Kummissjoni Ewropea flimkien mal-Grupp ta’ Esperti dwar il-Ħasil tal-Flus u l-Finanzjament tat-Terroriżmu)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5977255" cy="3134995"/>
            <wp:effectExtent l="0" t="0" r="4445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0"/>
        </w:rPr>
        <w:t xml:space="preserve"> (*) L-ebda data għall-2018: </w:t>
      </w:r>
      <w:r>
        <w:rPr>
          <w:rFonts w:ascii="Times New Roman" w:hAnsi="Times New Roman"/>
          <w:b/>
          <w:i/>
          <w:noProof/>
          <w:sz w:val="20"/>
        </w:rPr>
        <w:t>BE</w:t>
      </w:r>
      <w:r>
        <w:rPr>
          <w:rFonts w:ascii="Times New Roman" w:hAnsi="Times New Roman"/>
          <w:i/>
          <w:noProof/>
          <w:sz w:val="20"/>
        </w:rPr>
        <w:t xml:space="preserve">, </w:t>
      </w:r>
      <w:r>
        <w:rPr>
          <w:rFonts w:ascii="Times New Roman" w:hAnsi="Times New Roman"/>
          <w:b/>
          <w:i/>
          <w:noProof/>
          <w:sz w:val="20"/>
        </w:rPr>
        <w:t>EE</w:t>
      </w:r>
      <w:r>
        <w:rPr>
          <w:rFonts w:ascii="Times New Roman" w:hAnsi="Times New Roman"/>
          <w:i/>
          <w:noProof/>
          <w:sz w:val="20"/>
        </w:rPr>
        <w:t xml:space="preserve">, </w:t>
      </w:r>
      <w:r>
        <w:rPr>
          <w:rFonts w:ascii="Times New Roman" w:hAnsi="Times New Roman"/>
          <w:b/>
          <w:i/>
          <w:noProof/>
          <w:sz w:val="20"/>
        </w:rPr>
        <w:t>CY</w:t>
      </w:r>
      <w:r>
        <w:rPr>
          <w:rFonts w:ascii="Times New Roman" w:hAnsi="Times New Roman"/>
          <w:i/>
          <w:noProof/>
          <w:sz w:val="20"/>
        </w:rPr>
        <w:t xml:space="preserve">, </w:t>
      </w:r>
      <w:r>
        <w:rPr>
          <w:rFonts w:ascii="Times New Roman" w:hAnsi="Times New Roman"/>
          <w:b/>
          <w:i/>
          <w:noProof/>
          <w:sz w:val="20"/>
        </w:rPr>
        <w:t>AT</w:t>
      </w:r>
      <w:r>
        <w:rPr>
          <w:rFonts w:ascii="Times New Roman" w:hAnsi="Times New Roman"/>
          <w:i/>
          <w:noProof/>
          <w:sz w:val="20"/>
        </w:rPr>
        <w:t xml:space="preserve">, </w:t>
      </w:r>
      <w:r>
        <w:rPr>
          <w:rFonts w:ascii="Times New Roman" w:hAnsi="Times New Roman"/>
          <w:b/>
          <w:i/>
          <w:noProof/>
          <w:sz w:val="20"/>
        </w:rPr>
        <w:t>PL</w:t>
      </w:r>
      <w:r>
        <w:rPr>
          <w:rFonts w:ascii="Times New Roman" w:hAnsi="Times New Roman"/>
          <w:i/>
          <w:noProof/>
          <w:sz w:val="20"/>
        </w:rPr>
        <w:t xml:space="preserve">, u </w:t>
      </w:r>
      <w:r>
        <w:rPr>
          <w:rFonts w:ascii="Times New Roman" w:hAnsi="Times New Roman"/>
          <w:b/>
          <w:i/>
          <w:noProof/>
          <w:sz w:val="20"/>
        </w:rPr>
        <w:t>PT</w:t>
      </w:r>
      <w:r>
        <w:rPr>
          <w:rFonts w:ascii="Times New Roman" w:hAnsi="Times New Roman"/>
          <w:i/>
          <w:noProof/>
          <w:sz w:val="20"/>
        </w:rPr>
        <w:t xml:space="preserve">. </w:t>
      </w:r>
      <w:r>
        <w:rPr>
          <w:rFonts w:ascii="Times New Roman" w:hAnsi="Times New Roman"/>
          <w:b/>
          <w:i/>
          <w:noProof/>
          <w:sz w:val="20"/>
        </w:rPr>
        <w:t>ES, NL:</w:t>
      </w:r>
      <w:r>
        <w:rPr>
          <w:rFonts w:ascii="Times New Roman" w:hAnsi="Times New Roman"/>
          <w:i/>
          <w:noProof/>
          <w:sz w:val="20"/>
        </w:rPr>
        <w:t xml:space="preserve"> tul stmat. </w:t>
      </w:r>
      <w:r>
        <w:rPr>
          <w:rFonts w:ascii="Times New Roman" w:hAnsi="Times New Roman"/>
          <w:b/>
          <w:i/>
          <w:noProof/>
          <w:sz w:val="20"/>
        </w:rPr>
        <w:t>LV</w:t>
      </w:r>
      <w:r>
        <w:rPr>
          <w:rFonts w:ascii="Times New Roman" w:hAnsi="Times New Roman"/>
          <w:i/>
          <w:noProof/>
          <w:sz w:val="20"/>
        </w:rPr>
        <w:t xml:space="preserve">: Minħabba għadd relattivament baxx ta’ kawżi fl-2016, hemm diversi fatturi li possibbilment jaffettwaw it-tul ta’ proċediment, eż. sospensjoni ta’ kawża waħda minħabba raġunijiet oġġettivi. </w:t>
      </w:r>
      <w:r>
        <w:rPr>
          <w:rFonts w:ascii="Times New Roman" w:hAnsi="Times New Roman"/>
          <w:b/>
          <w:i/>
          <w:noProof/>
          <w:sz w:val="20"/>
        </w:rPr>
        <w:t>PL:</w:t>
      </w:r>
      <w:r>
        <w:rPr>
          <w:rFonts w:ascii="Times New Roman" w:hAnsi="Times New Roman"/>
          <w:i/>
          <w:noProof/>
          <w:sz w:val="20"/>
        </w:rPr>
        <w:t xml:space="preserve"> Il-kalkolu tat-tul għall-2016 ibbażat fuq kampjun ta’ kawżi m</w:t>
      </w:r>
      <w:r>
        <w:rPr>
          <w:rFonts w:ascii="Times New Roman" w:hAnsi="Times New Roman"/>
          <w:i/>
          <w:noProof/>
          <w:sz w:val="20"/>
        </w:rPr>
        <w:t>agħżul b’mod każwali.</w:t>
      </w:r>
      <w:bookmarkStart w:id="250" w:name="_Toc441571131"/>
      <w:bookmarkStart w:id="251" w:name="_Toc441581633"/>
      <w:bookmarkStart w:id="252" w:name="_Toc441585900"/>
      <w:bookmarkStart w:id="253" w:name="_Toc441595835"/>
      <w:bookmarkStart w:id="254" w:name="_Toc441596012"/>
      <w:bookmarkStart w:id="255" w:name="_Toc441748137"/>
      <w:bookmarkStart w:id="256" w:name="_Toc441755422"/>
      <w:bookmarkStart w:id="257" w:name="_Toc441756459"/>
      <w:bookmarkStart w:id="258" w:name="_Toc441757503"/>
      <w:bookmarkStart w:id="259" w:name="_Toc441766632"/>
      <w:bookmarkStart w:id="260" w:name="_Toc441766971"/>
      <w:bookmarkStart w:id="261" w:name="_Toc442187972"/>
      <w:bookmarkStart w:id="262" w:name="_Toc442262064"/>
      <w:bookmarkStart w:id="263" w:name="_Toc442362471"/>
      <w:bookmarkStart w:id="264" w:name="_Toc442374807"/>
      <w:bookmarkStart w:id="265" w:name="_Toc442425947"/>
      <w:bookmarkStart w:id="266" w:name="_Toc442453073"/>
      <w:bookmarkStart w:id="267" w:name="_Toc443484531"/>
      <w:bookmarkStart w:id="268" w:name="_Toc443484753"/>
      <w:bookmarkStart w:id="269" w:name="_Toc443509494"/>
      <w:bookmarkStart w:id="270" w:name="_Toc446014823"/>
      <w:r>
        <w:rPr>
          <w:rFonts w:ascii="Times New Roman" w:hAnsi="Times New Roman"/>
          <w:i/>
          <w:noProof/>
          <w:sz w:val="20"/>
        </w:rPr>
        <w:t xml:space="preserve"> </w:t>
      </w:r>
      <w:r>
        <w:rPr>
          <w:rFonts w:ascii="Times New Roman" w:hAnsi="Times New Roman"/>
          <w:b/>
          <w:i/>
          <w:noProof/>
          <w:sz w:val="20"/>
        </w:rPr>
        <w:t>SE:</w:t>
      </w:r>
      <w:r>
        <w:rPr>
          <w:rFonts w:ascii="Times New Roman" w:hAnsi="Times New Roman"/>
          <w:i/>
          <w:noProof/>
          <w:sz w:val="20"/>
        </w:rPr>
        <w:t xml:space="preserve"> il-kalkolu fl-2017 ibbażat fuq kampjun ta’ kawżi solvuti; id-data għall-2018 hija preliminari.</w:t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b/>
          <w:i/>
          <w:noProof/>
          <w:sz w:val="20"/>
        </w:rPr>
        <w:t>IT:</w:t>
      </w:r>
      <w:r>
        <w:rPr>
          <w:rFonts w:ascii="Times New Roman" w:hAnsi="Times New Roman"/>
          <w:i/>
          <w:noProof/>
          <w:sz w:val="20"/>
        </w:rPr>
        <w:t xml:space="preserve"> id-data tirreferi għall-qrati korrispondenti, u tkopri madwar 91 % tal-proċedimenti totali fl-2015, u madwar 99 % fl-2016 u fl-2017</w:t>
      </w:r>
      <w:r>
        <w:rPr>
          <w:rFonts w:ascii="Times New Roman" w:hAnsi="Times New Roman"/>
          <w:i/>
          <w:noProof/>
          <w:sz w:val="20"/>
        </w:rPr>
        <w:t>; id-data tirreferi kemm għas-seduti ta’ smigħ tal-qorti tal-proċess kif ukoll dawk preliminari.</w:t>
      </w:r>
    </w:p>
    <w:p w:rsidR="00461018" w:rsidRDefault="000329C3">
      <w:pPr>
        <w:spacing w:line="240" w:lineRule="auto"/>
        <w:jc w:val="both"/>
        <w:rPr>
          <w:noProof/>
        </w:rPr>
      </w:pPr>
      <w:r>
        <w:rPr>
          <w:noProof/>
        </w:rPr>
        <w:br w:type="page"/>
      </w:r>
    </w:p>
    <w:tbl>
      <w:tblPr>
        <w:tblpPr w:leftFromText="180" w:rightFromText="180" w:vertAnchor="text" w:horzAnchor="margin" w:tblpY="1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29"/>
      </w:tblGrid>
      <w:tr w:rsidR="00461018">
        <w:trPr>
          <w:trHeight w:val="614"/>
        </w:trPr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8" w:rsidRDefault="000329C3">
            <w:pPr>
              <w:keepNext/>
              <w:spacing w:before="120" w:after="12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3.1.4.</w:t>
            </w:r>
            <w:r>
              <w:rPr>
                <w:rFonts w:ascii="Times New Roman" w:hAnsi="Times New Roman"/>
                <w:b/>
                <w:noProof/>
                <w:sz w:val="18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Sommarju dwar l-effiċjenza tas-sistemi tal-ġustizzja</w:t>
            </w:r>
            <w:bookmarkEnd w:id="250"/>
            <w:bookmarkEnd w:id="251"/>
            <w:bookmarkEnd w:id="252"/>
            <w:bookmarkEnd w:id="253"/>
            <w:bookmarkEnd w:id="254"/>
            <w:bookmarkEnd w:id="255"/>
            <w:bookmarkEnd w:id="256"/>
            <w:bookmarkEnd w:id="257"/>
            <w:bookmarkEnd w:id="258"/>
            <w:bookmarkEnd w:id="259"/>
            <w:bookmarkEnd w:id="260"/>
            <w:bookmarkEnd w:id="261"/>
            <w:bookmarkEnd w:id="262"/>
            <w:bookmarkEnd w:id="263"/>
            <w:bookmarkEnd w:id="264"/>
            <w:bookmarkEnd w:id="265"/>
            <w:bookmarkEnd w:id="266"/>
            <w:bookmarkEnd w:id="267"/>
            <w:bookmarkEnd w:id="268"/>
            <w:bookmarkEnd w:id="269"/>
            <w:bookmarkEnd w:id="270"/>
          </w:p>
          <w:p w:rsidR="00461018" w:rsidRDefault="000329C3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Sistema tal-ġustizzja effiċjenti timmaniġġja l-volum tal-kawżi u l-kawżi pendenti tagħha u tieħu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deċiżjonijiet mingħajr dewmien żejjed. Għalhekk, il-parametri ewlenin użati mit-Tabella ta’ Valutazzjoni tal-UE għall-monitoraġġ tal-effiċjenza tas-sistemi ġudizzjarji huma t-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tul tal-proċedimenti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(iż-żmien stmat jew medju f’jiem meħtieġ sabiex tinqata’ kaw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ża), ir-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rata tal-għeluq tal-kawżi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(il-proporzjon tal-għadd ta’ kawżi solvuti għall-għadd ta’ kawżi li jidħlu) u l-għadd ta’ 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kawżi pendenti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(li għadhom iridu jiġu indirizzati fi tmiem is-sena).</w:t>
            </w:r>
          </w:p>
          <w:p w:rsidR="00461018" w:rsidRDefault="000329C3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i/>
                <w:noProof/>
                <w:sz w:val="24"/>
              </w:rPr>
            </w:pPr>
            <w:r>
              <w:rPr>
                <w:rFonts w:ascii="Times New Roman" w:hAnsi="Times New Roman"/>
                <w:i/>
                <w:noProof/>
                <w:sz w:val="24"/>
              </w:rPr>
              <w:t>Data ġenerali dwar l-effiċjenza</w:t>
            </w:r>
          </w:p>
          <w:p w:rsidR="00461018" w:rsidRDefault="000329C3">
            <w:pPr>
              <w:spacing w:after="6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t xml:space="preserve">It-Tabella ta’ Valutazzjoni tal-Ġustizzja tal-UE tal-2020 tinkludi </w:t>
            </w:r>
            <w:r>
              <w:rPr>
                <w:rFonts w:ascii="Times New Roman" w:hAnsi="Times New Roman"/>
                <w:i/>
                <w:noProof/>
                <w:sz w:val="24"/>
              </w:rPr>
              <w:t>data</w:t>
            </w:r>
            <w:r>
              <w:rPr>
                <w:rFonts w:ascii="Times New Roman" w:hAnsi="Times New Roman"/>
                <w:noProof/>
                <w:sz w:val="24"/>
              </w:rPr>
              <w:t xml:space="preserve"> dwar l-effiċjenza li tkopri seba’ snin (2012-2018). Dan iż-żmien jippermetti li jiġu identifikati ċerti xejriet u li jiġi kkunsidrat li r-riformi tal-ġustizzja ħafna drabi jieħdu ż-żmi</w:t>
            </w:r>
            <w:r>
              <w:rPr>
                <w:rFonts w:ascii="Times New Roman" w:hAnsi="Times New Roman"/>
                <w:noProof/>
                <w:sz w:val="24"/>
              </w:rPr>
              <w:t>en sabiex juru l-impatt tagħhom.</w:t>
            </w:r>
          </w:p>
          <w:p w:rsidR="00461018" w:rsidRDefault="000329C3">
            <w:pPr>
              <w:spacing w:after="6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t>Jekk wieħed iħares lejn id-</w:t>
            </w:r>
            <w:r>
              <w:rPr>
                <w:rFonts w:ascii="Times New Roman" w:hAnsi="Times New Roman"/>
                <w:i/>
                <w:noProof/>
                <w:sz w:val="24"/>
              </w:rPr>
              <w:t>data</w:t>
            </w:r>
            <w:r>
              <w:rPr>
                <w:rFonts w:ascii="Times New Roman" w:hAnsi="Times New Roman"/>
                <w:noProof/>
                <w:sz w:val="24"/>
              </w:rPr>
              <w:t xml:space="preserve"> disponibbli sa mill-2012 fil-kawżi ċivili, kummerċjali u amministrattivi, l-effiċjenza tjiebet jew baqgħet stabbli fi 11-il Stat Membru, filwaqt li naqset, minkejja li ħafna drabi b’mod marġi</w:t>
            </w:r>
            <w:r>
              <w:rPr>
                <w:rFonts w:ascii="Times New Roman" w:hAnsi="Times New Roman"/>
                <w:noProof/>
                <w:sz w:val="24"/>
              </w:rPr>
              <w:t>nali biss, fi tmien Stati Membri.</w:t>
            </w:r>
          </w:p>
          <w:p w:rsidR="00461018" w:rsidRDefault="000329C3">
            <w:pPr>
              <w:spacing w:after="6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Jistgħu jiġu osservati żviluppi pożittivi fil-maġġoranza tal-Istati Membri li kienu identifikati fil-kuntest tas-Semestru Ewropew bħala li qed jaffaċċjaw sfidi speċifiċi (</w:t>
            </w:r>
            <w:bookmarkStart w:id="271" w:name="_Ref4705096"/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vertAlign w:val="superscript"/>
              </w:rPr>
              <w:footnoteReference w:id="50"/>
            </w:r>
            <w:bookmarkEnd w:id="271"/>
            <w:r>
              <w:rPr>
                <w:rFonts w:ascii="Times New Roman" w:hAnsi="Times New Roman"/>
                <w:noProof/>
                <w:sz w:val="24"/>
                <w:szCs w:val="24"/>
              </w:rPr>
              <w:t>):</w:t>
            </w:r>
          </w:p>
          <w:p w:rsidR="00461018" w:rsidRDefault="000329C3">
            <w:pPr>
              <w:numPr>
                <w:ilvl w:val="0"/>
                <w:numId w:val="7"/>
              </w:numPr>
              <w:spacing w:after="60" w:line="240" w:lineRule="auto"/>
              <w:ind w:left="397" w:hanging="357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Mill-2012, fi kważi l-Istati Membri kollha, it-</w:t>
            </w: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tul tal-proċedimenti tal-qorti tal-prim’istanza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fil-kategorija wiesgħa “kawżi kollha” (Illustrazzjoni 5) u l-kawżi ċivili u kummerċjali kontenzjużi (Illustrazzjoni 6) naqas jew baqa’ stabbli. Fil-kawżi amministrattivi (Illustrazzjoni 8), it-tul tal-proċedi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menti sa mill-2012 naqas jew baqa’ stabbli fil-maġġoranza ta’ dawn l-Istati Membri. B’mod ġenerali, ftit Stati Membri biss raw żieda fit-tul tal-proċedimenti fl-2018.</w:t>
            </w:r>
          </w:p>
          <w:p w:rsidR="00461018" w:rsidRDefault="000329C3">
            <w:pPr>
              <w:numPr>
                <w:ilvl w:val="0"/>
                <w:numId w:val="7"/>
              </w:num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It-Tabella ta’ Valutazzjoni tippreżenta 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data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dwar it-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tul tal-proċedimenti fl-istanzi koll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ha tal-qorti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għall-kawżi ċivili u kummerċjali kontenzjużi (Illustrazzjoni 7) u għall-kawżi amministrattivi (Illustrazzjoni 9). Id-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data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turi li f’għadd ta’ Stati Membri identifikati bħala li jaffaċċjaw sfidi minħabba t-tul tal-proċedimenti fil-qrati tal-pri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m’ istanza, il-qrati ta’ istanza ogħla għandhom prestazzjoni aktar effiċjenti. Għall-kuntrarju ta’ dan, għal uħud mill-Istati Membri l-oħra li qed jaffaċċjaw sfidi, it-tul medju tal-proċedimenti fil-qrati ta’ istanza ogħla huwa anke itwal milli fil-qrati t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al-prim’istanza.</w:t>
            </w:r>
          </w:p>
          <w:p w:rsidR="00461018" w:rsidRDefault="000329C3">
            <w:pPr>
              <w:numPr>
                <w:ilvl w:val="0"/>
                <w:numId w:val="7"/>
              </w:num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Fil-kategorija wiesgħa “kawżi kollha”, u fil-kategorija tal-kawżi ċivili u kummerċjali kontenzjużi (Illustrazzjonijiet 10 u 11), l-għadd kumplessiv tal-Istati Membri fejn ir-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rata ta’ għeluq tal-kawżi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hija aktar minn 100 % żdied mill-2012 ’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l hawn. Fl-2018, kważi l-Istati Membri kollha, inklużi dawk li jaffaċċjaw sfidi, irrapportaw rata għolja ta’ għeluq tal-kawżi (aktar minn 97 %), li jfisser li b’mod ġenerali l-qrati għandhom il-kapaċità li jittrattaw il-kawżi li jidħlu f’dawn il-kategoriji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. Fil-kawżi amministrattivi (Illustrazzjoni 12), tista’ tiġi osservata varjazzjoni akbar tar-rata ta’ għeluq tal-kawżi minn sena għall-oħra u filwaqt li ġeneralment din għadha aktar baxxa milli f’kategoriji oħrajn ta’ kawżi, ċerti Stati Membri għamlu progr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ess tajjeb. B’mod partikolari, il-biċċa l-kbira tal-Istati Membri li qed jaffaċċjaw sfidi jirrapportaw żieda fir-rata ta’ għeluq tal-kawżi amministrattivi mill-2012 ’l hawn. </w:t>
            </w:r>
          </w:p>
          <w:p w:rsidR="00461018" w:rsidRDefault="000329C3">
            <w:pPr>
              <w:numPr>
                <w:ilvl w:val="0"/>
                <w:numId w:val="7"/>
              </w:num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Sa mill-2012, il-progress qed ikompli kważi fl-Istati Membri kollha li jaffaċċjaw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l-aktar sfidi sostanzjali bil-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volum ta’ kawżi b’lura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tagħhom, irrispettivament mill-kategorija tal-kawżi. Ħafna drabi sar progress sostanzjali fit-tnaqqis tal-kawżi pendenti kemm għall-kawżi ċivili u kummerċjali kontenzjużi (Illustrazzjoni 14) kif ukoll g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ħall-kawżi amministrattivi (Illustrazzjoni 15). Minkejja dan it-titjib, għadd hemm differenzi sinifikanti bejn l-Istati Membri b’relattivament ftit kawżi pendenti u dawk b’għadd kbir ta’ kawżi pendenti, u f’xi Stati Membri, il-volum ta’ kawżi b’lura jidher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li qed jakkumula.</w:t>
            </w:r>
          </w:p>
          <w:p w:rsidR="00461018" w:rsidRDefault="000329C3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i/>
                <w:noProof/>
                <w:sz w:val="24"/>
              </w:rPr>
            </w:pPr>
            <w:r>
              <w:rPr>
                <w:rFonts w:ascii="Times New Roman" w:hAnsi="Times New Roman"/>
                <w:i/>
                <w:noProof/>
                <w:sz w:val="24"/>
              </w:rPr>
              <w:t>L-effiċjenza f’oqsma speċifiċi tad-dritt tal-UE</w:t>
            </w:r>
          </w:p>
          <w:p w:rsidR="00461018" w:rsidRDefault="000329C3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Id-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data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dwar it-tul ta’ żmien medju tal-proċedimenti f’oqsma speċifiċi tad-dritt tal-Unjoni (Illustrazzjonijiet 16-21) tipprovdi għarfien dwar il-funzjonament tas-sistemi tal-ġustizzja f’da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wn it-tipi ta’ tilwim relatat man-negozju. </w:t>
            </w:r>
          </w:p>
          <w:p w:rsidR="00461018" w:rsidRDefault="000329C3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Id-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data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dwar l-effiċjenza f’oqsma speċifiċi tad-dritt tinġabar abbażi ta’ xenarji definiti b’mod ristrett u l-għadd ta’ kawżi rilevanti jista’ jidher baxx. Madankollu, meta mqabbla mat-tul ikkalkolat tal-proċedim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enti ppreżentat fid-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data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ġenerali dwar l-effiċjenza, dawn l-illustrazzjonijiet jipprevedu tul medju attwali tal-kawżi kollha rilevanti f’oqsma speċifiċi f’sena. Għalhekk, ta’ min jinnota li diversi Stati Membri li ma jidhrux li qegħdin jaffaċċjaw sfidi abb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ażi tad-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data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ġenerali dwar l-effiċjenza jirrapportaw tul medju ta’ kawżi ferm itwal f’oqsma speċifiċi tad-dritt tal-UE. Fl-istess ħin, it-tul tal-proċedimenti f’oqsma speċifiċi differenti jista’ wkoll ivarja b’mod konsiderevoli fl-istess Stat Membru.</w:t>
            </w:r>
          </w:p>
          <w:p w:rsidR="00461018" w:rsidRDefault="000329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L-illustrazzjonijiet f’oqsma speċifiċi tad-dritt tal-Unjoni juru x-xejriet li ġejjin:</w:t>
            </w:r>
          </w:p>
          <w:p w:rsidR="00461018" w:rsidRDefault="000329C3">
            <w:pPr>
              <w:numPr>
                <w:ilvl w:val="0"/>
                <w:numId w:val="7"/>
              </w:num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Għal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kawżi dwar il-kompetizzjoni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(Illustrazzjoni 16), għad li l-volum kumplessiv ta’ kawżi b’lura affaċċjat mill-qrati madwar l-Istati Membri żdied bi ftit, it-tul tal-is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tħarriġ ġudizzjarju naqas jew baqa’ stabbli f’sitt Stati Membri, filwaqt li żdied f’ħames Stati Membri oħra. Fl-2018, kompliet ix-xejra pożittiva, b’żewġ Stati Membri biss li rrapportaw tul medju li jaqbeż l-1 000 jum (meta mqabbel ma’ tlieta fl-2017).</w:t>
            </w:r>
          </w:p>
          <w:p w:rsidR="00461018" w:rsidRDefault="000329C3">
            <w:pPr>
              <w:numPr>
                <w:ilvl w:val="0"/>
                <w:numId w:val="7"/>
              </w:num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Fil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-qasam tal-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komunikazzjonijiet elettroniċi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(Illustrazzjoni 17), il-volumi ta’ kawżi affaċċjati mill-qrati komplew jiżdiedu, u b’hekk temmew ix-xejra pożittiva f’termini ta’ tnaqqis fit-tul tal-proċedimenti osservati fis-snin preċedenti. Fl-2018, il-biċċa l-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kbira tal-Istati Membri rreġistraw żieda fit-tul medju tal-proċedimenti, meta mqabbla kemm mal-2017 kif ukoll mal-2013.</w:t>
            </w:r>
          </w:p>
          <w:p w:rsidR="00461018" w:rsidRDefault="000329C3">
            <w:pPr>
              <w:numPr>
                <w:ilvl w:val="0"/>
                <w:numId w:val="7"/>
              </w:num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Fir-rigward tal-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kawżi ta’ ksur tat-trademark tal-UE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(Illustrazzjoni 18), fl-2018 ix-xejriet fit-tul medju tal-proċedimenti varjaw b’mod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sinifikanti. Xi Stati Membri rreġistraw żidiet qawwija, filwaqt li oħrajn irnexxielhom ilaħħqu aħjar mal-volum ta’ kawżi tagħhom u naqqsu ż-żmien meħtieġ sabiex isolvu l-kawżi. </w:t>
            </w:r>
          </w:p>
          <w:p w:rsidR="00461018" w:rsidRDefault="000329C3">
            <w:pPr>
              <w:numPr>
                <w:ilvl w:val="0"/>
                <w:numId w:val="7"/>
              </w:num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L-effett possibbli kkombinat tal-katina ta’ infurzar li jikkonsisti kemm fi pr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oċedimenti ta’ reviżjoni amministrattiva kif ukoll f’dawk ta’ stħarriġ ġudizzjarju huwa ppreżentat fil-qasam tal-liġi tal-konsumatur (Illustrazzjonijiet 19 u 20). Fl-2018, seba’ Stati Membri rrapportaw li l-awtoritajiet tal-protezzjoni tal-konsumatur tagħh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om kellhom medja ta’ anqas minn tliet xhur sabiex joħorġu deċiżjoni f’kawża koperta mid-dritt tal-UE dwar il-konsumatur, filwaqt li f’disa’ Stati Membri huma ħadu aktar minn sitt xhur. Meta d-deċiżjonijiet tal-awtoritajiet tal-protezzjoni tal-konsumatur ki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enu kkontestati fil-qrati, fl-2018 l-istħarriġ ġudizzjarju ta’ deċiżjoni amministrattiva ħa medja ta’ anqas minn sena fil-maġġoranza tal-Istati Membri. </w:t>
            </w:r>
          </w:p>
          <w:p w:rsidR="00461018" w:rsidRDefault="000329C3">
            <w:pPr>
              <w:numPr>
                <w:ilvl w:val="0"/>
                <w:numId w:val="7"/>
              </w:num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Il-ġlieda effettiva kontra l-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ħasil tal-flus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hija kruċjali sabiex tipproteġi s-sistema finanzjarja, il-k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ompetizzjoni ġusta u tipprevjeni l-konsegwenzi ekonomiċi negattivi. L-isfidi fit-tul tal-proċedimenti tal-qorti meta jiġu ttrattati reati ta’ ħasil tal-flus, jistgħu jinfluwenzaw il-ġlieda effettiva kontra l-ħasil tal-flus. It-Tabella ta’ Valutazzjoni tal-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Ġ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ustizzja tal-UE tal-2020 tippreżenta 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data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aġġornata dwar it-tul tal-proċedimenti ġudizzjarji li jittrattaw ir-reati ta’ ħasil tal-flus (Illustrazzjoni 21), li turi li waqt li f’madwar nofs l-Istati Membri l-proċedimenti tal-qorti tal-prim’istanza jieħdu s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a medja ta’ sena, dawn il-proċedimenti jieħdu medja ta’ madwar sentejn f’diversi Stati Membri li jaffaċċjaw sfidi rigward il-prosekuzzjoni ta’ reati ta’ ħasil tal-flus (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perscript"/>
              </w:rPr>
              <w:footnoteReference w:id="51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).</w:t>
            </w:r>
          </w:p>
        </w:tc>
      </w:tr>
    </w:tbl>
    <w:p w:rsidR="00461018" w:rsidRDefault="000329C3">
      <w:pPr>
        <w:keepNext/>
        <w:spacing w:before="36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noProof/>
          <w:sz w:val="24"/>
          <w:szCs w:val="28"/>
        </w:rPr>
      </w:pPr>
      <w:bookmarkStart w:id="272" w:name="_Toc409512290"/>
      <w:bookmarkStart w:id="273" w:name="_Toc409530222"/>
      <w:bookmarkStart w:id="274" w:name="_Toc438545672"/>
      <w:bookmarkStart w:id="275" w:name="_Toc438548322"/>
      <w:bookmarkStart w:id="276" w:name="_Toc438548508"/>
      <w:bookmarkStart w:id="277" w:name="_Toc440017698"/>
      <w:bookmarkStart w:id="278" w:name="_Toc440018082"/>
      <w:bookmarkStart w:id="279" w:name="_Toc440033380"/>
      <w:bookmarkStart w:id="280" w:name="_Toc440035231"/>
      <w:bookmarkStart w:id="281" w:name="_Toc440036526"/>
      <w:bookmarkStart w:id="282" w:name="_Toc440042468"/>
      <w:bookmarkStart w:id="283" w:name="_Toc440291121"/>
      <w:bookmarkStart w:id="284" w:name="_Toc440294684"/>
      <w:bookmarkStart w:id="285" w:name="_Toc440295186"/>
      <w:bookmarkStart w:id="286" w:name="_Toc440296591"/>
      <w:bookmarkStart w:id="287" w:name="_Toc440625075"/>
      <w:bookmarkStart w:id="288" w:name="_Toc440626405"/>
      <w:bookmarkStart w:id="289" w:name="_Toc440628859"/>
      <w:bookmarkStart w:id="290" w:name="_Toc441571132"/>
      <w:bookmarkStart w:id="291" w:name="_Toc441581634"/>
      <w:bookmarkStart w:id="292" w:name="_Toc441585901"/>
      <w:bookmarkStart w:id="293" w:name="_Toc441595836"/>
      <w:bookmarkStart w:id="294" w:name="_Toc441596013"/>
      <w:bookmarkStart w:id="295" w:name="_Toc441748138"/>
      <w:bookmarkStart w:id="296" w:name="_Toc441755423"/>
      <w:bookmarkStart w:id="297" w:name="_Toc441756460"/>
      <w:bookmarkStart w:id="298" w:name="_Toc441757504"/>
      <w:bookmarkStart w:id="299" w:name="_Toc441766633"/>
      <w:bookmarkStart w:id="300" w:name="_Toc441766972"/>
      <w:bookmarkStart w:id="301" w:name="_Toc442187973"/>
      <w:bookmarkStart w:id="302" w:name="_Toc442262065"/>
      <w:bookmarkStart w:id="303" w:name="_Toc442362472"/>
      <w:bookmarkStart w:id="304" w:name="_Toc442374808"/>
      <w:bookmarkStart w:id="305" w:name="_Toc442425948"/>
      <w:bookmarkStart w:id="306" w:name="_Toc442453074"/>
      <w:bookmarkStart w:id="307" w:name="_Toc443484532"/>
      <w:bookmarkStart w:id="308" w:name="_Toc443484754"/>
      <w:bookmarkStart w:id="309" w:name="_Toc443509495"/>
      <w:bookmarkStart w:id="310" w:name="_Toc446014824"/>
      <w:r>
        <w:rPr>
          <w:rFonts w:ascii="Times New Roman" w:hAnsi="Times New Roman"/>
          <w:b/>
          <w:bCs/>
          <w:iCs/>
          <w:noProof/>
          <w:sz w:val="24"/>
          <w:szCs w:val="28"/>
        </w:rPr>
        <w:t>3.2. Il-kwalità tas-sistemi ġudizzjarji</w:t>
      </w:r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Ma hemmx mod wieħed ta’ kif titkejjel il-k</w:t>
      </w:r>
      <w:r>
        <w:rPr>
          <w:rFonts w:ascii="Times New Roman" w:hAnsi="Times New Roman"/>
          <w:noProof/>
          <w:sz w:val="24"/>
        </w:rPr>
        <w:t>walità tas-sistemi ġudizzjarji. It-Tabella ta’ Valutazzjoni tal-Ġustizzja tal-UE tal-2020 tkompli teżamina fatturi li ġeneralment huma aċċettati bħala rilevanti sabiex titjieb il-kwalità tal-ġustizzja. Bħal fis-snin preċedenti, dawn huma raggruppati f’erba</w:t>
      </w:r>
      <w:r>
        <w:rPr>
          <w:rFonts w:ascii="Times New Roman" w:hAnsi="Times New Roman"/>
          <w:noProof/>
          <w:sz w:val="24"/>
        </w:rPr>
        <w:t>’ kategoriji:</w:t>
      </w:r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1) l-aċċessibbiltà tal-ġustizzja għaċ-ċittadini u għan-negozji;</w:t>
      </w:r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2) riżorsi finanzjarji u umani adegwati;</w:t>
      </w:r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3) l-implimentazzjoni ta’ għodod għall-valutazzjoni; u</w:t>
      </w:r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4) l-użu ta’ standards ta’ kwalità.</w:t>
      </w:r>
    </w:p>
    <w:p w:rsidR="00461018" w:rsidRDefault="000329C3">
      <w:pPr>
        <w:keepNext/>
        <w:tabs>
          <w:tab w:val="left" w:pos="850"/>
        </w:tabs>
        <w:spacing w:before="240" w:after="120" w:line="240" w:lineRule="auto"/>
        <w:ind w:left="850" w:hanging="850"/>
        <w:jc w:val="both"/>
        <w:outlineLvl w:val="2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bookmarkStart w:id="311" w:name="_Toc440017699"/>
      <w:bookmarkStart w:id="312" w:name="_Toc440018083"/>
      <w:bookmarkStart w:id="313" w:name="_Toc440033381"/>
      <w:bookmarkStart w:id="314" w:name="_Toc440035232"/>
      <w:bookmarkStart w:id="315" w:name="_Toc440036527"/>
      <w:bookmarkStart w:id="316" w:name="_Toc440042469"/>
      <w:bookmarkStart w:id="317" w:name="_Toc440291122"/>
      <w:bookmarkStart w:id="318" w:name="_Toc440294685"/>
      <w:bookmarkStart w:id="319" w:name="_Toc440295187"/>
      <w:bookmarkStart w:id="320" w:name="_Toc440296592"/>
      <w:bookmarkStart w:id="321" w:name="_Toc440625076"/>
      <w:bookmarkStart w:id="322" w:name="_Toc440626406"/>
      <w:bookmarkStart w:id="323" w:name="_Toc440628860"/>
      <w:bookmarkStart w:id="324" w:name="_Toc441571133"/>
      <w:bookmarkStart w:id="325" w:name="_Toc441581635"/>
      <w:bookmarkStart w:id="326" w:name="_Toc441585902"/>
      <w:bookmarkStart w:id="327" w:name="_Toc441595837"/>
      <w:bookmarkStart w:id="328" w:name="_Toc441596014"/>
      <w:bookmarkStart w:id="329" w:name="_Toc441748139"/>
      <w:bookmarkStart w:id="330" w:name="_Toc441755424"/>
      <w:bookmarkStart w:id="331" w:name="_Toc441756461"/>
      <w:bookmarkStart w:id="332" w:name="_Toc441757505"/>
      <w:bookmarkStart w:id="333" w:name="_Toc441766634"/>
      <w:bookmarkStart w:id="334" w:name="_Toc441766973"/>
      <w:bookmarkStart w:id="335" w:name="_Toc442187974"/>
      <w:bookmarkStart w:id="336" w:name="_Toc442262066"/>
      <w:bookmarkStart w:id="337" w:name="_Toc442362473"/>
      <w:bookmarkStart w:id="338" w:name="_Toc442374809"/>
      <w:bookmarkStart w:id="339" w:name="_Toc442425949"/>
      <w:bookmarkStart w:id="340" w:name="_Toc442453075"/>
      <w:bookmarkStart w:id="341" w:name="_Toc443484533"/>
      <w:bookmarkStart w:id="342" w:name="_Toc443484755"/>
      <w:bookmarkStart w:id="343" w:name="_Toc443509496"/>
      <w:bookmarkStart w:id="344" w:name="_Toc446014825"/>
      <w:bookmarkStart w:id="345" w:name="_Toc409530223"/>
      <w:bookmarkStart w:id="346" w:name="_Toc438545673"/>
      <w:bookmarkStart w:id="347" w:name="_Toc438548323"/>
      <w:bookmarkStart w:id="348" w:name="_Toc438548509"/>
      <w:r>
        <w:rPr>
          <w:rFonts w:ascii="Times New Roman" w:hAnsi="Times New Roman"/>
          <w:b/>
          <w:noProof/>
          <w:sz w:val="24"/>
          <w:szCs w:val="24"/>
        </w:rPr>
        <w:t>3.2.1. Aċċessibbiltà</w:t>
      </w:r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</w:p>
    <w:bookmarkEnd w:id="345"/>
    <w:bookmarkEnd w:id="346"/>
    <w:bookmarkEnd w:id="347"/>
    <w:bookmarkEnd w:id="348"/>
    <w:p w:rsidR="00461018" w:rsidRDefault="000329C3"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L-aċċessibbiltà hija </w:t>
      </w:r>
      <w:r>
        <w:rPr>
          <w:rFonts w:ascii="Times New Roman" w:hAnsi="Times New Roman"/>
          <w:noProof/>
          <w:sz w:val="24"/>
          <w:szCs w:val="24"/>
        </w:rPr>
        <w:t>meħtieġa matul il-katina kollha tal-ġustizzja sabiex tippermetti lin-nies jiksbu informazzjoni rilevanti — dwar is-sistema tal-ġustizzja, kif jippreżentaw talba u l-aspetti finanzjarji relatati, l-istat attwali tal-proċedimenti sat-tmiem tagħhom — sabiex i</w:t>
      </w:r>
      <w:r>
        <w:rPr>
          <w:rFonts w:ascii="Times New Roman" w:hAnsi="Times New Roman"/>
          <w:noProof/>
          <w:sz w:val="24"/>
          <w:szCs w:val="24"/>
        </w:rPr>
        <w:t>s-sentenza tkun tista’ tiġi aċċessata malajr online.</w:t>
      </w:r>
    </w:p>
    <w:p w:rsidR="00461018" w:rsidRDefault="000329C3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t>– L-għoti ta’ informazzjoni dwar is-sistema tal-ġustizzja –</w:t>
      </w:r>
    </w:p>
    <w:p w:rsidR="00461018" w:rsidRDefault="000329C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bookmarkStart w:id="349" w:name="_Ref441218478"/>
      <w:r>
        <w:rPr>
          <w:rFonts w:ascii="Times New Roman" w:hAnsi="Times New Roman"/>
          <w:noProof/>
          <w:sz w:val="24"/>
          <w:szCs w:val="24"/>
        </w:rPr>
        <w:t>Ġ</w:t>
      </w:r>
      <w:r>
        <w:rPr>
          <w:rFonts w:ascii="Times New Roman" w:hAnsi="Times New Roman"/>
          <w:noProof/>
          <w:sz w:val="24"/>
          <w:szCs w:val="24"/>
        </w:rPr>
        <w:t>ustizzja li tiffavorixxi liċ-ċittadini tirrikjedi li l-informazzjoni dwar is-sistema ġudizzjarja ma tkunx biss faċilment aċċessibbli iżda tkun</w:t>
      </w:r>
      <w:r>
        <w:rPr>
          <w:rFonts w:ascii="Times New Roman" w:hAnsi="Times New Roman"/>
          <w:noProof/>
          <w:sz w:val="24"/>
          <w:szCs w:val="24"/>
        </w:rPr>
        <w:t xml:space="preserve"> imfassla wkoll għal gruppi speċifiċi tas-soċjetà li kieku kienu jsibu diffikultajiet sabiex jaċċessaw l-informazzjoni. L-Illustrazzjoni 22 turi d-disponibbiltà ta’ informazzjoni online dwar aspetti speċifiċi tas-sistema ġudizzjarja u għal gruppi speċifiċi</w:t>
      </w:r>
      <w:r>
        <w:rPr>
          <w:rFonts w:ascii="Times New Roman" w:hAnsi="Times New Roman"/>
          <w:noProof/>
          <w:sz w:val="24"/>
          <w:szCs w:val="24"/>
        </w:rPr>
        <w:t xml:space="preserve"> tas-soċjetà.</w:t>
      </w:r>
    </w:p>
    <w:p w:rsidR="00461018" w:rsidRDefault="000329C3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t xml:space="preserve">Illustrazzjoni </w:t>
      </w:r>
      <w:r>
        <w:rPr>
          <w:noProof/>
        </w:rPr>
        <w:fldChar w:fldCharType="begin"/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instrText xml:space="preserve"> SEQ Figure \* ARABIC </w:instrTex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fldChar w:fldCharType="separate"/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t>22</w:t>
      </w:r>
      <w:r>
        <w:rPr>
          <w:noProof/>
        </w:rPr>
        <w:fldChar w:fldCharType="end"/>
      </w:r>
      <w:bookmarkEnd w:id="349"/>
      <w:r>
        <w:rPr>
          <w:rFonts w:ascii="Times New Roman" w:hAnsi="Times New Roman"/>
          <w:noProof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noProof/>
          <w:sz w:val="24"/>
          <w:szCs w:val="24"/>
        </w:rPr>
        <w:t>Id-disponibbiltà ta’ informazzjoni online dwar is-sistema ġudizzjarja għall-pubbliku ġenerali, 2019</w:t>
      </w:r>
      <w:r>
        <w:rPr>
          <w:rFonts w:ascii="Times New Roman" w:hAnsi="Times New Roman"/>
          <w:noProof/>
          <w:sz w:val="24"/>
          <w:szCs w:val="24"/>
        </w:rPr>
        <w:t>(</w:t>
      </w:r>
      <w:r>
        <w:rPr>
          <w:noProof/>
          <w:sz w:val="24"/>
          <w:szCs w:val="24"/>
        </w:rPr>
        <w:t>*</w:t>
      </w:r>
      <w:r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>(sors: Il-Kummissjoni Ewropea (</w:t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vertAlign w:val="superscript"/>
          <w:lang w:eastAsia="en-GB"/>
        </w:rPr>
        <w:footnoteReference w:id="52"/>
      </w:r>
      <w:r>
        <w:rPr>
          <w:rFonts w:ascii="Times New Roman" w:hAnsi="Times New Roman"/>
          <w:i/>
          <w:iCs/>
          <w:noProof/>
          <w:sz w:val="24"/>
          <w:szCs w:val="24"/>
        </w:rPr>
        <w:t>))</w:t>
      </w:r>
    </w:p>
    <w:p w:rsidR="00461018" w:rsidRDefault="000329C3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noProof/>
          <w:color w:val="000000"/>
          <w:sz w:val="20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985770"/>
            <wp:effectExtent l="0" t="0" r="4445" b="50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noProof/>
          <w:color w:val="000000"/>
          <w:sz w:val="20"/>
          <w:szCs w:val="24"/>
        </w:rPr>
      </w:pPr>
      <w:r>
        <w:rPr>
          <w:rFonts w:ascii="Times New Roman" w:hAnsi="Times New Roman"/>
          <w:i/>
          <w:noProof/>
          <w:color w:val="000000"/>
          <w:sz w:val="20"/>
          <w:szCs w:val="24"/>
        </w:rPr>
        <w:t xml:space="preserve">(*) </w:t>
      </w:r>
      <w:r>
        <w:rPr>
          <w:rFonts w:ascii="Times New Roman" w:hAnsi="Times New Roman"/>
          <w:b/>
          <w:i/>
          <w:noProof/>
          <w:color w:val="000000"/>
          <w:sz w:val="20"/>
          <w:szCs w:val="24"/>
        </w:rPr>
        <w:t>DE</w:t>
      </w:r>
      <w:r>
        <w:rPr>
          <w:rFonts w:ascii="Times New Roman" w:hAnsi="Times New Roman"/>
          <w:i/>
          <w:noProof/>
          <w:color w:val="000000"/>
          <w:sz w:val="20"/>
          <w:szCs w:val="24"/>
        </w:rPr>
        <w:t xml:space="preserve">: Kull stat federali kif ukoll il-livell federali </w:t>
      </w:r>
      <w:r>
        <w:rPr>
          <w:rFonts w:ascii="Times New Roman" w:hAnsi="Times New Roman"/>
          <w:i/>
          <w:noProof/>
          <w:color w:val="000000"/>
          <w:sz w:val="20"/>
          <w:szCs w:val="24"/>
        </w:rPr>
        <w:t>jiddeċiedu individwalment liema informazzjoni jipprovdu online.</w:t>
      </w:r>
    </w:p>
    <w:p w:rsidR="00461018" w:rsidRDefault="00461018">
      <w:pPr>
        <w:spacing w:before="240" w:after="120" w:line="240" w:lineRule="auto"/>
        <w:jc w:val="both"/>
        <w:rPr>
          <w:rFonts w:ascii="Times New Roman" w:eastAsia="Calibri" w:hAnsi="Times New Roman" w:cs="Times New Roman"/>
          <w:i/>
          <w:iCs/>
          <w:noProof/>
        </w:rPr>
      </w:pPr>
    </w:p>
    <w:p w:rsidR="00461018" w:rsidRDefault="00461018">
      <w:pPr>
        <w:spacing w:before="240" w:after="120" w:line="240" w:lineRule="auto"/>
        <w:jc w:val="both"/>
        <w:rPr>
          <w:rFonts w:ascii="Times New Roman" w:eastAsia="Calibri" w:hAnsi="Times New Roman" w:cs="Times New Roman"/>
          <w:i/>
          <w:iCs/>
          <w:noProof/>
        </w:rPr>
      </w:pPr>
    </w:p>
    <w:p w:rsidR="00461018" w:rsidRDefault="00461018">
      <w:pPr>
        <w:spacing w:before="240" w:after="120" w:line="240" w:lineRule="auto"/>
        <w:jc w:val="both"/>
        <w:rPr>
          <w:rFonts w:ascii="Times New Roman" w:eastAsia="Calibri" w:hAnsi="Times New Roman" w:cs="Times New Roman"/>
          <w:i/>
          <w:iCs/>
          <w:noProof/>
        </w:rPr>
      </w:pPr>
    </w:p>
    <w:p w:rsidR="00461018" w:rsidRDefault="000329C3">
      <w:pPr>
        <w:spacing w:before="240" w:after="120" w:line="240" w:lineRule="auto"/>
        <w:jc w:val="both"/>
        <w:rPr>
          <w:rFonts w:ascii="Times New Roman" w:eastAsia="Calibri" w:hAnsi="Times New Roman" w:cs="Times New Roman"/>
          <w:i/>
          <w:noProof/>
          <w:sz w:val="24"/>
        </w:rPr>
      </w:pPr>
      <w:r>
        <w:rPr>
          <w:rFonts w:ascii="Times New Roman" w:hAnsi="Times New Roman"/>
          <w:i/>
          <w:iCs/>
          <w:noProof/>
        </w:rPr>
        <w:t>— Għajnuna legali, tariffi tal-qorti u tariffi legali —</w:t>
      </w:r>
    </w:p>
    <w:p w:rsidR="00461018" w:rsidRDefault="000329C3">
      <w:pPr>
        <w:spacing w:before="120"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L-ispiża tal-litigazzjoni hija fattur ewlieni għall-aċċess għall-ġustizzja. Spejjeż għoljin ta’ litigazzjoni, inklużi t-tariffi tal-q</w:t>
      </w:r>
      <w:r>
        <w:rPr>
          <w:rFonts w:ascii="Times New Roman" w:hAnsi="Times New Roman"/>
          <w:noProof/>
          <w:sz w:val="24"/>
          <w:szCs w:val="24"/>
        </w:rPr>
        <w:t>orti (</w:t>
      </w: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footnoteReference w:id="53"/>
      </w:r>
      <w:r>
        <w:rPr>
          <w:rFonts w:ascii="Times New Roman" w:hAnsi="Times New Roman"/>
          <w:noProof/>
          <w:sz w:val="24"/>
          <w:szCs w:val="24"/>
        </w:rPr>
        <w:t>) u t-tariffi legali (</w:t>
      </w: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footnoteReference w:id="54"/>
      </w:r>
      <w:r>
        <w:rPr>
          <w:rFonts w:ascii="Times New Roman" w:hAnsi="Times New Roman"/>
          <w:noProof/>
          <w:sz w:val="24"/>
          <w:szCs w:val="24"/>
        </w:rPr>
        <w:t>), jistgħu jfixklu l-aċċess għall-ġustizzja. L-ispejjeż tal-litigazzjoni f’materji ċivili u kummerċjali mhumiex armonizzati fil-livell tal-UE.</w:t>
      </w:r>
      <w:r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 xml:space="preserve">Dawn huma rregolati minn leġiżlazzjoni nazzjonali u, għalhekk, ivarjaw minn Stat Membru għal ieħor. </w:t>
      </w:r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bookmarkStart w:id="350" w:name="_Ref441218501"/>
      <w:r>
        <w:rPr>
          <w:rFonts w:ascii="Times New Roman" w:hAnsi="Times New Roman"/>
          <w:noProof/>
          <w:sz w:val="24"/>
          <w:szCs w:val="24"/>
        </w:rPr>
        <w:t>L-aċċess għall-għajnuna legali huwa dritt fundamentali mnaqqax fil-Karta(</w:t>
      </w: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footnoteReference w:id="55"/>
      </w:r>
      <w:r>
        <w:rPr>
          <w:rFonts w:ascii="Times New Roman" w:hAnsi="Times New Roman"/>
          <w:noProof/>
          <w:sz w:val="24"/>
          <w:szCs w:val="24"/>
        </w:rPr>
        <w:t xml:space="preserve">). Dan jippermetti aċċess għall-ġustizzja għal dawk li ma jkunux jistgħu jġarrbu </w:t>
      </w:r>
      <w:r>
        <w:rPr>
          <w:rFonts w:ascii="Times New Roman" w:hAnsi="Times New Roman"/>
          <w:noProof/>
          <w:sz w:val="24"/>
          <w:szCs w:val="24"/>
        </w:rPr>
        <w:t>jew iħallsu bil-quddiem l-ispejjeż ta’ litigazzjoni. Il-maġġoranza tal-Istati Membri tagħti għajnuna legali abbażi tal-introjtu tal-applikant(</w:t>
      </w: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footnoteReference w:id="56"/>
      </w:r>
      <w:r>
        <w:rPr>
          <w:rFonts w:ascii="Times New Roman" w:hAnsi="Times New Roman"/>
          <w:noProof/>
          <w:sz w:val="24"/>
          <w:szCs w:val="24"/>
        </w:rPr>
        <w:t>).</w:t>
      </w:r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L-Illustrazzjoni 23 turi d-disponibbiltà ta’ għajnuna legali sħiħa jew parzjali f’kawża speċifika ta’ konsumat</w:t>
      </w:r>
      <w:r>
        <w:rPr>
          <w:rFonts w:ascii="Times New Roman" w:hAnsi="Times New Roman"/>
          <w:noProof/>
          <w:sz w:val="24"/>
          <w:szCs w:val="24"/>
        </w:rPr>
        <w:t>ur li tinvolvi talba ta’ EUR 6 000. Dan iqabbel il-limiti ta’ introjtu għall-għoti ta’ għajnuna legali, espressi bħala perċentwal tal-limitu tal-Eurostat għall-faqar f’kull Stat Membru (</w:t>
      </w: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footnoteReference w:id="57"/>
      </w:r>
      <w:r>
        <w:rPr>
          <w:rFonts w:ascii="Times New Roman" w:hAnsi="Times New Roman"/>
          <w:noProof/>
          <w:sz w:val="24"/>
          <w:szCs w:val="24"/>
        </w:rPr>
        <w:t>). Pereżempju, jekk il-limitu għall-għajnuna legali huwa ta’ 20 %, da</w:t>
      </w:r>
      <w:r>
        <w:rPr>
          <w:rFonts w:ascii="Times New Roman" w:hAnsi="Times New Roman"/>
          <w:noProof/>
          <w:sz w:val="24"/>
          <w:szCs w:val="24"/>
        </w:rPr>
        <w:t>n ifisser li applikant b’introjtu ta’ 20 % aktar mil-limitu rispettiv tal-Eurostat għall-faqar fl-Istat Membru tiegħu jew tagħha xorta jista’ jkun eliġibbli għall-għajnuna legali. Għall-kuntrarju ta’ dan, jekk il-limitu għall-għajnuna legali jidher li jkun</w:t>
      </w:r>
      <w:r>
        <w:rPr>
          <w:rFonts w:ascii="Times New Roman" w:hAnsi="Times New Roman"/>
          <w:noProof/>
          <w:sz w:val="24"/>
          <w:szCs w:val="24"/>
        </w:rPr>
        <w:t xml:space="preserve"> taħt iż-0, dan ifisser li persuna b’introjtu taħt il-limitu tal-faqar tista’ ma tkunx eliġibbli għall-għajnuna legali.</w:t>
      </w:r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Xi Stati Membri jħaddmu sistema ta’ għajnuna legali li tipprovdi għal kopertura ta’ 100 % tal-ispejjeż marbuta mal-litigazzjoni (għajnun</w:t>
      </w:r>
      <w:r>
        <w:rPr>
          <w:rFonts w:ascii="Times New Roman" w:hAnsi="Times New Roman"/>
          <w:noProof/>
          <w:sz w:val="24"/>
          <w:szCs w:val="24"/>
        </w:rPr>
        <w:t>a legali sħiħa), ikkumplimentata minn sistema li tkopri spejjeż parzjali (għajnuna legali parzjali), b’din tal-aħħar tapplika kriterji ta’ eliġibbiltà differenti minn dik ta’ qabel. Stati Membri oħrajn iħaddmu sistema ta’ għajnuna legali sħiħa biss jew ink</w:t>
      </w:r>
      <w:r>
        <w:rPr>
          <w:rFonts w:ascii="Times New Roman" w:hAnsi="Times New Roman"/>
          <w:noProof/>
          <w:sz w:val="24"/>
          <w:szCs w:val="24"/>
        </w:rPr>
        <w:t>ella parzjali biss.</w:t>
      </w:r>
    </w:p>
    <w:p w:rsidR="00461018" w:rsidRDefault="000329C3">
      <w:pPr>
        <w:keepNext/>
        <w:spacing w:before="240" w:after="0" w:line="240" w:lineRule="auto"/>
        <w:jc w:val="both"/>
        <w:rPr>
          <w:rFonts w:ascii="Times New Roman" w:eastAsia="Calibri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 xml:space="preserve">Illustrazzjoni 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</w:rPr>
        <w:t>23</w:t>
      </w:r>
      <w:r>
        <w:rPr>
          <w:noProof/>
        </w:rPr>
        <w:fldChar w:fldCharType="end"/>
      </w:r>
      <w:bookmarkEnd w:id="350"/>
      <w:r>
        <w:rPr>
          <w:rFonts w:ascii="Times New Roman" w:hAnsi="Times New Roman"/>
          <w:b/>
          <w:bCs/>
          <w:noProof/>
          <w:sz w:val="24"/>
          <w:szCs w:val="24"/>
        </w:rPr>
        <w:t>: Limitu tal-introjtu għall-għajnuna legali f’kawża ta’ konsumatur speċifika, 2019</w:t>
      </w:r>
      <w:r>
        <w:rPr>
          <w:rFonts w:ascii="Times New Roman" w:hAnsi="Times New Roman"/>
          <w:noProof/>
          <w:sz w:val="24"/>
          <w:szCs w:val="24"/>
        </w:rPr>
        <w:t>(</w:t>
      </w:r>
      <w:r>
        <w:rPr>
          <w:noProof/>
          <w:sz w:val="24"/>
          <w:szCs w:val="24"/>
        </w:rPr>
        <w:t>*</w:t>
      </w:r>
      <w:r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>(id-differenzi f’% mil-limitu tal-Eurostat għall-faqar) (sors: il-Kummissjoni Ewropea mas-CCBE(</w:t>
      </w:r>
      <w:r>
        <w:rPr>
          <w:rFonts w:ascii="Times New Roman" w:eastAsia="Calibri" w:hAnsi="Times New Roman" w:cs="Times New Roman"/>
          <w:i/>
          <w:iCs/>
          <w:noProof/>
          <w:sz w:val="24"/>
          <w:szCs w:val="24"/>
          <w:vertAlign w:val="superscript"/>
        </w:rPr>
        <w:footnoteReference w:id="58"/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)) </w:t>
      </w:r>
    </w:p>
    <w:p w:rsidR="00461018" w:rsidRDefault="000329C3">
      <w:pPr>
        <w:keepNext/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color w:val="000000"/>
          <w:sz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595880"/>
            <wp:effectExtent l="0" t="0" r="444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keepNext/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  <w:highlight w:val="yellow"/>
        </w:rPr>
      </w:pPr>
      <w:r>
        <w:rPr>
          <w:rFonts w:ascii="Times New Roman" w:hAnsi="Times New Roman"/>
          <w:i/>
          <w:noProof/>
          <w:color w:val="000000"/>
          <w:sz w:val="20"/>
        </w:rPr>
        <w:t xml:space="preserve">(*) </w:t>
      </w:r>
      <w:r>
        <w:rPr>
          <w:rFonts w:ascii="Times New Roman" w:hAnsi="Times New Roman"/>
          <w:b/>
          <w:i/>
          <w:noProof/>
          <w:color w:val="000000"/>
          <w:sz w:val="20"/>
        </w:rPr>
        <w:t xml:space="preserve">EE: </w:t>
      </w:r>
      <w:r>
        <w:rPr>
          <w:rFonts w:ascii="Times New Roman" w:hAnsi="Times New Roman"/>
          <w:i/>
          <w:noProof/>
          <w:sz w:val="20"/>
        </w:rPr>
        <w:t xml:space="preserve">id-deċiżjoni li tingħata għajnuna legali mhijiex ibbażata fuq il-livell ta’ riżorsi finanzjarji tal-applikant. </w:t>
      </w:r>
      <w:r>
        <w:rPr>
          <w:rFonts w:ascii="Times New Roman" w:hAnsi="Times New Roman"/>
          <w:b/>
          <w:i/>
          <w:noProof/>
          <w:sz w:val="20"/>
        </w:rPr>
        <w:t>IE:</w:t>
      </w:r>
      <w:r>
        <w:rPr>
          <w:rFonts w:ascii="Times New Roman" w:hAnsi="Times New Roman"/>
          <w:i/>
          <w:noProof/>
          <w:sz w:val="20"/>
        </w:rPr>
        <w:t xml:space="preserve"> l-għajnuna legali parzjali trid tikkunsidra wkoll l-assi disponibbli tal-applikant. </w:t>
      </w:r>
      <w:r>
        <w:rPr>
          <w:rFonts w:ascii="Times New Roman" w:hAnsi="Times New Roman"/>
          <w:b/>
          <w:i/>
          <w:noProof/>
          <w:sz w:val="20"/>
        </w:rPr>
        <w:t>LV:</w:t>
      </w:r>
      <w:r>
        <w:rPr>
          <w:rFonts w:ascii="Times New Roman" w:hAnsi="Times New Roman"/>
          <w:i/>
          <w:noProof/>
          <w:sz w:val="20"/>
        </w:rPr>
        <w:t xml:space="preserve"> il-limiti jvarjaw skont il-muniċipalità, il-limit</w:t>
      </w:r>
      <w:r>
        <w:rPr>
          <w:rFonts w:ascii="Times New Roman" w:hAnsi="Times New Roman"/>
          <w:i/>
          <w:noProof/>
          <w:sz w:val="20"/>
        </w:rPr>
        <w:t>u superjuri huwa rrappreżentat fiċ-ċart.</w:t>
      </w:r>
    </w:p>
    <w:p w:rsidR="00461018" w:rsidRDefault="000329C3">
      <w:pPr>
        <w:spacing w:before="240" w:after="12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Ħafna mill-Istati Membri jitolbu lill-partijiet iħallsu tariffa tal-qorti meta jibdew proċedimenti ġudizzjarji. Il-benefiċjarji tal-għajnuna legali spiss ikunu eżentati milli jħallsu t-tariffi tal-qrati. Fil-BG, l-E</w:t>
      </w:r>
      <w:r>
        <w:rPr>
          <w:rFonts w:ascii="Times New Roman" w:hAnsi="Times New Roman"/>
          <w:noProof/>
          <w:sz w:val="24"/>
          <w:szCs w:val="24"/>
        </w:rPr>
        <w:t>E, l-IE, in-NL, il-PL u s-SI biss ir-riċevituri tal-għajnuna legali mhumiex awtomatikament eżenti milli jħallsu t-tariffi tal-qorti. Fir-CZ, il-qorti tiddeċiedi fuq bażi individwali jekk teżentax lil benefiċjarju tal-għajnuna legali milli jħallas it-tariff</w:t>
      </w:r>
      <w:r>
        <w:rPr>
          <w:rFonts w:ascii="Times New Roman" w:hAnsi="Times New Roman"/>
          <w:noProof/>
          <w:sz w:val="24"/>
          <w:szCs w:val="24"/>
        </w:rPr>
        <w:t>i tal-qorti. L-Illustrazzjoni 24 tqabbel, għaż-żewġ xenarji, il-livell tat-tariffa tal-qorti ppreżentat bħala sehem tal-valur tat-talba. Jekk, pereżempju, fl-Illustrazzjoni ta’ hawn taħt, it-tariffa tal-qorti tidher bħala 10 % ta’ talba ta’ EUR 6 000, il-k</w:t>
      </w:r>
      <w:r>
        <w:rPr>
          <w:rFonts w:ascii="Times New Roman" w:hAnsi="Times New Roman"/>
          <w:noProof/>
          <w:sz w:val="24"/>
          <w:szCs w:val="24"/>
        </w:rPr>
        <w:t>onsumatur ikollu jħallas tariffa tal-qorti ta’ EUR 600 sabiex jibda proċedimenti ġudizzjarji. It-talba b’valur baxx hija bbażata fuq il-limitu tal-Eurostat għall-faqar għal kull Stat Membru.</w:t>
      </w:r>
      <w:bookmarkStart w:id="351" w:name="_Toc409530224"/>
      <w:bookmarkStart w:id="352" w:name="_Toc438545674"/>
      <w:bookmarkStart w:id="353" w:name="_Toc438548324"/>
      <w:bookmarkStart w:id="354" w:name="_Toc438548510"/>
    </w:p>
    <w:p w:rsidR="00461018" w:rsidRDefault="00461018">
      <w:pPr>
        <w:spacing w:after="0" w:line="240" w:lineRule="auto"/>
        <w:jc w:val="both"/>
        <w:rPr>
          <w:noProof/>
        </w:rPr>
      </w:pP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</w:rPr>
        <w:t>24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>: It-tariffa tal-qorti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sabiex jinbdew proċedimenti ġudizzjarji f’kawża speċifika ta’ konsumatur, 2019</w:t>
      </w:r>
      <w:r>
        <w:rPr>
          <w:rFonts w:ascii="Times New Roman" w:hAnsi="Times New Roman"/>
          <w:noProof/>
          <w:sz w:val="24"/>
          <w:szCs w:val="24"/>
        </w:rPr>
        <w:t>(</w:t>
      </w:r>
      <w:r>
        <w:rPr>
          <w:noProof/>
          <w:sz w:val="24"/>
          <w:szCs w:val="24"/>
        </w:rPr>
        <w:t>*</w:t>
      </w:r>
      <w:r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>(il-livell ta’ tariffa tal-qorti bħala sehem mill-valur tat-talba</w:t>
      </w:r>
      <w:r>
        <w:rPr>
          <w:rFonts w:ascii="Times New Roman" w:hAnsi="Times New Roman"/>
          <w:noProof/>
          <w:sz w:val="24"/>
          <w:szCs w:val="24"/>
        </w:rPr>
        <w:t xml:space="preserve">) </w:t>
      </w:r>
      <w:r>
        <w:rPr>
          <w:rFonts w:ascii="Times New Roman" w:hAnsi="Times New Roman"/>
          <w:i/>
          <w:iCs/>
          <w:noProof/>
          <w:sz w:val="24"/>
          <w:szCs w:val="24"/>
        </w:rPr>
        <w:t>(sors: il-Kummissjoni Ewropea mas-CCBE(</w:t>
      </w:r>
      <w:r>
        <w:rPr>
          <w:rFonts w:ascii="Times New Roman" w:eastAsia="Calibri" w:hAnsi="Times New Roman" w:cs="Times New Roman"/>
          <w:i/>
          <w:iCs/>
          <w:noProof/>
          <w:sz w:val="24"/>
          <w:szCs w:val="24"/>
          <w:vertAlign w:val="superscript"/>
        </w:rPr>
        <w:footnoteReference w:id="59"/>
      </w:r>
      <w:r>
        <w:rPr>
          <w:rFonts w:ascii="Times New Roman" w:hAnsi="Times New Roman"/>
          <w:i/>
          <w:iCs/>
          <w:noProof/>
          <w:sz w:val="24"/>
          <w:szCs w:val="24"/>
        </w:rPr>
        <w:t>))</w:t>
      </w:r>
    </w:p>
    <w:p w:rsidR="00461018" w:rsidRDefault="000329C3">
      <w:pPr>
        <w:keepNext/>
        <w:spacing w:after="0" w:line="240" w:lineRule="auto"/>
        <w:jc w:val="both"/>
        <w:rPr>
          <w:rFonts w:ascii="Times New Roman" w:eastAsia="Calibri" w:hAnsi="Times New Roman" w:cs="Times New Roman"/>
          <w:i/>
          <w:iCs/>
          <w:noProof/>
          <w:color w:val="000000" w:themeColor="text1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613025"/>
            <wp:effectExtent l="0" t="0" r="444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keepNext/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color w:val="000000"/>
          <w:sz w:val="20"/>
        </w:rPr>
      </w:pP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>(*)“Talba ta’ valur baxx” hija talba li tikkorrispondi għal-l</w:t>
      </w: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>imitu tal-Eurostat għall-faqar għal persuna waħedha f’kull Stat Membru, mibdul f’introjtu fix-xahar (eż. fl-2019, dan il-valur kien ivarja bejn EUR 164 fir-</w:t>
      </w:r>
      <w:r>
        <w:rPr>
          <w:rFonts w:ascii="Times New Roman" w:hAnsi="Times New Roman"/>
          <w:b/>
          <w:bCs/>
          <w:i/>
          <w:iCs/>
          <w:noProof/>
          <w:color w:val="000000" w:themeColor="text1"/>
          <w:sz w:val="20"/>
          <w:szCs w:val="20"/>
        </w:rPr>
        <w:t>RO</w:t>
      </w: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 xml:space="preserve"> u EUR 1 804 fil-</w:t>
      </w:r>
      <w:r>
        <w:rPr>
          <w:rFonts w:ascii="Times New Roman" w:hAnsi="Times New Roman"/>
          <w:b/>
          <w:bCs/>
          <w:i/>
          <w:iCs/>
          <w:noProof/>
          <w:color w:val="000000" w:themeColor="text1"/>
          <w:sz w:val="20"/>
          <w:szCs w:val="20"/>
        </w:rPr>
        <w:t>LU</w:t>
      </w: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 xml:space="preserve">). </w:t>
      </w:r>
      <w:r>
        <w:rPr>
          <w:rFonts w:ascii="Times New Roman" w:hAnsi="Times New Roman"/>
          <w:b/>
          <w:bCs/>
          <w:i/>
          <w:iCs/>
          <w:noProof/>
          <w:color w:val="000000" w:themeColor="text1"/>
          <w:sz w:val="20"/>
          <w:szCs w:val="20"/>
        </w:rPr>
        <w:t>BE</w:t>
      </w: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 xml:space="preserve">, </w:t>
      </w:r>
      <w:r>
        <w:rPr>
          <w:rFonts w:ascii="Times New Roman" w:hAnsi="Times New Roman"/>
          <w:b/>
          <w:bCs/>
          <w:i/>
          <w:iCs/>
          <w:noProof/>
          <w:color w:val="000000" w:themeColor="text1"/>
          <w:sz w:val="20"/>
          <w:szCs w:val="20"/>
        </w:rPr>
        <w:t>EL</w:t>
      </w: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 xml:space="preserve"> u </w:t>
      </w:r>
      <w:r>
        <w:rPr>
          <w:rFonts w:ascii="Times New Roman" w:hAnsi="Times New Roman"/>
          <w:b/>
          <w:bCs/>
          <w:i/>
          <w:iCs/>
          <w:noProof/>
          <w:color w:val="000000" w:themeColor="text1"/>
          <w:sz w:val="20"/>
          <w:szCs w:val="20"/>
        </w:rPr>
        <w:t>RO:</w:t>
      </w: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 xml:space="preserve"> ma kienet ipprovduta l-ebda informazzjoni dwar it-tariffi tal-q</w:t>
      </w: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 xml:space="preserve">orti għal talba ta’ valur baxx. </w:t>
      </w:r>
      <w:r>
        <w:rPr>
          <w:rFonts w:ascii="Times New Roman" w:hAnsi="Times New Roman"/>
          <w:b/>
          <w:bCs/>
          <w:i/>
          <w:iCs/>
          <w:noProof/>
          <w:color w:val="000000" w:themeColor="text1"/>
          <w:sz w:val="20"/>
          <w:szCs w:val="20"/>
        </w:rPr>
        <w:t>LU:</w:t>
      </w: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 xml:space="preserve"> il-litiganti jridu jħallsu tariffi ta’ uffiċjal ġudizzjarju sabiex jibdew proċedimenti bħala rikorrenti sakemm ma jkunux jibbenefikaw minn għajnuna legali. </w:t>
      </w:r>
      <w:r>
        <w:rPr>
          <w:rFonts w:ascii="Times New Roman" w:hAnsi="Times New Roman"/>
          <w:b/>
          <w:bCs/>
          <w:i/>
          <w:iCs/>
          <w:noProof/>
          <w:color w:val="000000" w:themeColor="text1"/>
          <w:sz w:val="20"/>
          <w:szCs w:val="20"/>
        </w:rPr>
        <w:t>NL:</w:t>
      </w: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 xml:space="preserve"> It-tariffi tal-qorti għal introjtu ta’ &lt; EUR 2 275/xahar. </w:t>
      </w:r>
    </w:p>
    <w:p w:rsidR="00461018" w:rsidRDefault="00461018">
      <w:pPr>
        <w:spacing w:before="240"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461018" w:rsidRDefault="000329C3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noProof/>
        </w:rPr>
        <w:br w:type="page"/>
      </w:r>
    </w:p>
    <w:p w:rsidR="00461018" w:rsidRDefault="000329C3">
      <w:pPr>
        <w:spacing w:before="240"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Eżekuzzjoni effiċjenti tal-kuntratti hija essenzjali għall-ekonomija. Il-probabbiltà li jiġu rkuprati l-ispejjeż reali tal-litigazzjoni ssaħħaħ il-pożizzjoni tal-kreditur li jfittex li jeżegwixxi kuntratt. Tipikament, il-kreditur, bħala rikorrent, ikun m</w:t>
      </w:r>
      <w:r>
        <w:rPr>
          <w:rFonts w:ascii="Times New Roman" w:hAnsi="Times New Roman"/>
          <w:noProof/>
          <w:sz w:val="24"/>
          <w:szCs w:val="24"/>
        </w:rPr>
        <w:t>eħtieġ iħallas tariffa tal-qorti sabiex jippreżenta kawża l-qorti. Il-qrati ġeneralment jordnaw lill-konvenut li jitlef irodd lura bis-sħiħ it-tariffi tal-qorti mħallsa mir-rikorrent li jkun rebaħ. L-Illustrazzjoni 25 turi l-livell tat-tariffa tal-qorti me</w:t>
      </w:r>
      <w:r>
        <w:rPr>
          <w:rFonts w:ascii="Times New Roman" w:hAnsi="Times New Roman"/>
          <w:noProof/>
          <w:sz w:val="24"/>
          <w:szCs w:val="24"/>
        </w:rPr>
        <w:t xml:space="preserve">ħtieġa sabiex jinfetaħ proċediment ġudizzjarju f’każ kummerċjali speċifiku (ara n-nota 59 f’qiegħ il-paġna). </w:t>
      </w:r>
    </w:p>
    <w:p w:rsidR="00461018" w:rsidRDefault="000329C3">
      <w:pPr>
        <w:keepNext/>
        <w:spacing w:before="240" w:after="0" w:line="240" w:lineRule="auto"/>
        <w:jc w:val="both"/>
        <w:rPr>
          <w:rFonts w:ascii="Times New Roman" w:eastAsia="Calibri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</w:rPr>
        <w:t>25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>: It-tariffa tal-qorti sabiex jinfetħu proċedimenti ġudizzjarji f’kawża kummerċjali speċifika, 2019</w:t>
      </w:r>
      <w:r>
        <w:rPr>
          <w:rFonts w:ascii="Times New Roman" w:hAnsi="Times New Roman"/>
          <w:noProof/>
          <w:sz w:val="24"/>
          <w:szCs w:val="24"/>
        </w:rPr>
        <w:t>(</w:t>
      </w:r>
      <w:r>
        <w:rPr>
          <w:noProof/>
          <w:sz w:val="24"/>
          <w:szCs w:val="24"/>
        </w:rPr>
        <w:t>*</w:t>
      </w:r>
      <w:r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(</w:t>
      </w:r>
      <w:r>
        <w:rPr>
          <w:rFonts w:ascii="Times New Roman" w:hAnsi="Times New Roman"/>
          <w:i/>
          <w:iCs/>
          <w:noProof/>
          <w:sz w:val="24"/>
          <w:szCs w:val="24"/>
        </w:rPr>
        <w:t>f’EUR</w:t>
      </w:r>
      <w:r>
        <w:rPr>
          <w:rFonts w:ascii="Times New Roman" w:hAnsi="Times New Roman"/>
          <w:noProof/>
          <w:sz w:val="24"/>
          <w:szCs w:val="24"/>
        </w:rPr>
        <w:t xml:space="preserve">) </w:t>
      </w:r>
      <w:r>
        <w:rPr>
          <w:rFonts w:ascii="Times New Roman" w:hAnsi="Times New Roman"/>
          <w:i/>
          <w:iCs/>
          <w:noProof/>
          <w:sz w:val="24"/>
          <w:szCs w:val="24"/>
        </w:rPr>
        <w:t>(sors: il-Kummissjoni Ewropea mas-CCBE(</w:t>
      </w:r>
      <w:r>
        <w:rPr>
          <w:rStyle w:val="FootnoteReference"/>
          <w:rFonts w:ascii="Times New Roman" w:eastAsia="Calibri" w:hAnsi="Times New Roman" w:cs="Times New Roman"/>
          <w:i/>
          <w:iCs/>
          <w:noProof/>
          <w:sz w:val="24"/>
          <w:szCs w:val="24"/>
        </w:rPr>
        <w:footnoteReference w:id="60"/>
      </w:r>
      <w:r>
        <w:rPr>
          <w:rFonts w:ascii="Times New Roman" w:hAnsi="Times New Roman"/>
          <w:i/>
          <w:iCs/>
          <w:noProof/>
          <w:sz w:val="24"/>
          <w:szCs w:val="24"/>
        </w:rPr>
        <w:t>))</w:t>
      </w:r>
    </w:p>
    <w:p w:rsidR="00461018" w:rsidRDefault="000329C3">
      <w:pPr>
        <w:keepNext/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color w:val="000000" w:themeColor="text1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3270250"/>
            <wp:effectExtent l="0" t="0" r="4445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 xml:space="preserve"> (*) L-irkupru tat-tariffi tal-qorti jiġi deċiż fuq bażi ta’ każ b’każ fi </w:t>
      </w:r>
      <w:r>
        <w:rPr>
          <w:rFonts w:ascii="Times New Roman" w:hAnsi="Times New Roman"/>
          <w:b/>
          <w:i/>
          <w:iCs/>
          <w:noProof/>
          <w:color w:val="000000" w:themeColor="text1"/>
          <w:sz w:val="20"/>
          <w:szCs w:val="20"/>
        </w:rPr>
        <w:t>ES,</w:t>
      </w: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iCs/>
          <w:noProof/>
          <w:color w:val="000000" w:themeColor="text1"/>
          <w:sz w:val="20"/>
          <w:szCs w:val="20"/>
        </w:rPr>
        <w:t>PT</w:t>
      </w: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 xml:space="preserve"> u </w:t>
      </w:r>
      <w:r>
        <w:rPr>
          <w:rFonts w:ascii="Times New Roman" w:hAnsi="Times New Roman"/>
          <w:b/>
          <w:i/>
          <w:iCs/>
          <w:noProof/>
          <w:color w:val="000000" w:themeColor="text1"/>
          <w:sz w:val="20"/>
          <w:szCs w:val="20"/>
        </w:rPr>
        <w:t>RO</w:t>
      </w: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>. Ma hemm l-ebda rkupru komplut tat-tariffi tal-qorti mill-parti rebbieħa fil-</w:t>
      </w:r>
      <w:r>
        <w:rPr>
          <w:rFonts w:ascii="Times New Roman" w:hAnsi="Times New Roman"/>
          <w:b/>
          <w:i/>
          <w:iCs/>
          <w:noProof/>
          <w:color w:val="000000" w:themeColor="text1"/>
          <w:sz w:val="20"/>
          <w:szCs w:val="20"/>
        </w:rPr>
        <w:t>EL</w:t>
      </w: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 xml:space="preserve"> u </w:t>
      </w:r>
      <w:r>
        <w:rPr>
          <w:rFonts w:ascii="Times New Roman" w:hAnsi="Times New Roman"/>
          <w:b/>
          <w:i/>
          <w:iCs/>
          <w:noProof/>
          <w:color w:val="000000" w:themeColor="text1"/>
          <w:sz w:val="20"/>
          <w:szCs w:val="20"/>
        </w:rPr>
        <w:t>HU</w:t>
      </w: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 xml:space="preserve">. </w:t>
      </w:r>
    </w:p>
    <w:p w:rsidR="00461018" w:rsidRDefault="000329C3">
      <w:pPr>
        <w:spacing w:before="240"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Normalment, il-kreditur ikollu jħallas minn qabel it-tariffi tal-avukat tiegħu stess mhux biss matul il-fażi kontenzjuża iżda diġà sa mill-fażi prekontenzjuża. Fir-rigward tar-rimborż, il-biċċa l-kbira tal-Istati Membri tapplika r-regola li tgħid li parti </w:t>
      </w:r>
      <w:r>
        <w:rPr>
          <w:rFonts w:ascii="Times New Roman" w:hAnsi="Times New Roman"/>
          <w:noProof/>
          <w:sz w:val="24"/>
          <w:szCs w:val="24"/>
        </w:rPr>
        <w:t>li titlef il-kawża hija mistennija ġġarrab mhux biss l-ispejjeż legali tagħha stess, iżda anki dawk tal-parti rebbieħa. Tali regola ta’ trasferiment tat-tariffi tiskoraġġixxi l-preżentazzjoni ta’ kawżi bi probabbiltà baxxa ta’ rebħ, filwaqt li tħeġġeġ il-p</w:t>
      </w:r>
      <w:r>
        <w:rPr>
          <w:rFonts w:ascii="Times New Roman" w:hAnsi="Times New Roman"/>
          <w:noProof/>
          <w:sz w:val="24"/>
          <w:szCs w:val="24"/>
        </w:rPr>
        <w:t>reżentazzjoni ta’ kawżi bi probabbiltà għolja ta’ rebħ. L-Illustrazzjoni 26 turi l-ammont li l-qorti tagħti lir-rikorrent li jirbaħ f’xenarju ta’ kawża kummerċjali speċifika (ara n-nota 60 f’qiegħ il-paġna). Tista’ ssir distinzjoni bejn tliet sistemi ewlen</w:t>
      </w:r>
      <w:r>
        <w:rPr>
          <w:rFonts w:ascii="Times New Roman" w:hAnsi="Times New Roman"/>
          <w:noProof/>
          <w:sz w:val="24"/>
          <w:szCs w:val="24"/>
        </w:rPr>
        <w:t xml:space="preserve">in: (1) fl-Istati Membri b’sistema ta’ tariffi statutorji, ir-rimborż tat-tariffi legali jiddependi mil-livell tat-tariffa statutorja prevista għall-ħidma mwettqa mill-avukat, li tvarja b’mod sinifikanti bejn l-Istati Membri; (2) fl-Istati Membri mingħajr </w:t>
      </w:r>
      <w:r>
        <w:rPr>
          <w:rFonts w:ascii="Times New Roman" w:hAnsi="Times New Roman"/>
          <w:noProof/>
          <w:sz w:val="24"/>
          <w:szCs w:val="24"/>
        </w:rPr>
        <w:t xml:space="preserve">sistema ta’ tariffi statutorji, ikun hemm rimborż sħiħ (HU, PT, FI) jew parzjali (PL, LV, LU) tat-tariffi legali; u (3) f’għadd ta’ Stati Membri r-rimborż jiġi deċiż mill-qorti fuq bażi ta’ każ b’każ. </w:t>
      </w:r>
    </w:p>
    <w:p w:rsidR="00461018" w:rsidRDefault="000329C3">
      <w:pPr>
        <w:keepNext/>
        <w:spacing w:before="240" w:after="120" w:line="240" w:lineRule="auto"/>
        <w:jc w:val="both"/>
        <w:rPr>
          <w:rFonts w:ascii="Times New Roman" w:eastAsia="Calibri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</w:rPr>
        <w:t>26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>: Il-potenzj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al ta’ rkupru tat-tariffi legali fi proċess kummerċjali, 2019 </w:t>
      </w:r>
      <w:r>
        <w:rPr>
          <w:rFonts w:ascii="Times New Roman" w:hAnsi="Times New Roman"/>
          <w:noProof/>
          <w:sz w:val="24"/>
          <w:szCs w:val="24"/>
        </w:rPr>
        <w:t>(</w:t>
      </w:r>
      <w:r>
        <w:rPr>
          <w:noProof/>
          <w:sz w:val="24"/>
          <w:szCs w:val="24"/>
        </w:rPr>
        <w:t>*</w:t>
      </w:r>
      <w:r>
        <w:rPr>
          <w:rFonts w:ascii="Times New Roman" w:hAnsi="Times New Roman"/>
          <w:noProof/>
          <w:sz w:val="24"/>
          <w:szCs w:val="24"/>
        </w:rPr>
        <w:t xml:space="preserve">) (f’EUR) </w:t>
      </w:r>
      <w:r>
        <w:rPr>
          <w:rFonts w:ascii="Times New Roman" w:hAnsi="Times New Roman"/>
          <w:i/>
          <w:iCs/>
          <w:noProof/>
          <w:sz w:val="24"/>
          <w:szCs w:val="24"/>
        </w:rPr>
        <w:t>(sors: il-Kummissjoni Ewropea mas-CCBE(</w:t>
      </w: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footnoteReference w:id="61"/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)) </w:t>
      </w:r>
    </w:p>
    <w:p w:rsidR="00461018" w:rsidRDefault="000329C3">
      <w:pPr>
        <w:keepNext/>
        <w:spacing w:after="0" w:line="240" w:lineRule="auto"/>
        <w:jc w:val="both"/>
        <w:rPr>
          <w:rFonts w:ascii="Times New Roman" w:eastAsia="Calibri" w:hAnsi="Times New Roman" w:cs="Times New Roman"/>
          <w:i/>
          <w:iCs/>
          <w:noProof/>
          <w:color w:val="000000" w:themeColor="text1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993029"/>
            <wp:effectExtent l="0" t="0" r="4445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99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keepNext/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color w:val="000000" w:themeColor="text1"/>
          <w:sz w:val="20"/>
          <w:szCs w:val="20"/>
        </w:rPr>
      </w:pP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>(*) Għal din l-illustrazzjoni, it-tariffi legali ma jinkludux l-ispejjeż klerikali u l-VAT, jekk ikunu pagabbli. It-tariffa legali ipotetika għall-fażi kontenzjuża prevista fix-xenarju hija ta’ EUR 1 650. L-irkupru sħiħ f’sistemi mingħajr tariffa statutorj</w:t>
      </w: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>a jfisser li dan l-ammont (EUR 1 650) jista’ jiġi rkuprat. L-Istati Membri bi rkupru parzjali (PL, LV, LU) huma mqassma skont l-ordni tat-tariffa legali li tista’ tiġi rkuprata (l-aktar sal-anqas, b’ammonti li jvarjaw minn EUR 1 275 – EUR 500). L-Illustraz</w:t>
      </w: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 xml:space="preserve">zjoni ma tinkludix informazzjoni dwar il-potenzjal ta’ rkupru ta’ tariffi legali għall-fażi prekontenzjuża, li mhijiex prevista fl-Istati Membri kollha. </w:t>
      </w:r>
      <w:r>
        <w:rPr>
          <w:rFonts w:ascii="Times New Roman" w:hAnsi="Times New Roman"/>
          <w:b/>
          <w:i/>
          <w:iCs/>
          <w:noProof/>
          <w:color w:val="000000" w:themeColor="text1"/>
          <w:sz w:val="20"/>
          <w:szCs w:val="20"/>
        </w:rPr>
        <w:t>AT</w:t>
      </w: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 xml:space="preserve">: ix-xenarju ma japplikax għalkollox għas-sistema ta’ rimborż tal-AT. </w:t>
      </w:r>
      <w:r>
        <w:rPr>
          <w:rFonts w:ascii="Times New Roman" w:hAnsi="Times New Roman"/>
          <w:b/>
          <w:i/>
          <w:iCs/>
          <w:noProof/>
          <w:color w:val="000000" w:themeColor="text1"/>
          <w:sz w:val="20"/>
          <w:szCs w:val="20"/>
        </w:rPr>
        <w:t>MT</w:t>
      </w: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 xml:space="preserve">: ma hemm l-ebda kunċett ta’ </w:t>
      </w: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 xml:space="preserve">tariffa legali fis-siegħa f’MT, ir-rimborż jiġi ddeterminat abbażi tal-valur tat-talba. </w:t>
      </w:r>
      <w:r>
        <w:rPr>
          <w:rFonts w:ascii="Times New Roman" w:hAnsi="Times New Roman"/>
          <w:b/>
          <w:i/>
          <w:iCs/>
          <w:noProof/>
          <w:color w:val="000000" w:themeColor="text1"/>
          <w:sz w:val="20"/>
          <w:szCs w:val="20"/>
        </w:rPr>
        <w:t>IT</w:t>
      </w: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 xml:space="preserve">: hemm tariffa statutorja fl-IT (EUR 3235 fix-xenarju), iżda l-qorti tista’ tiddeċiedi dwar rimborż sa limitu stabbilit. </w:t>
      </w:r>
      <w:r>
        <w:rPr>
          <w:rFonts w:ascii="Times New Roman" w:hAnsi="Times New Roman"/>
          <w:b/>
          <w:i/>
          <w:iCs/>
          <w:noProof/>
          <w:color w:val="000000" w:themeColor="text1"/>
          <w:sz w:val="20"/>
          <w:szCs w:val="20"/>
        </w:rPr>
        <w:t>LT</w:t>
      </w: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>: il-qorti tiddeċiedi filwaqt li tieħu kont</w:t>
      </w: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 xml:space="preserve"> tal-gwida tal-Ministeru tal-Ġustizzja, l-ammont massimu fix-xenarju jkun ta’ EUR 3 350. </w:t>
      </w:r>
    </w:p>
    <w:p w:rsidR="00461018" w:rsidRDefault="000329C3">
      <w:pPr>
        <w:keepNext/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color w:val="000000" w:themeColor="text1"/>
          <w:sz w:val="20"/>
          <w:szCs w:val="20"/>
        </w:rPr>
      </w:pPr>
      <w:r>
        <w:rPr>
          <w:rFonts w:ascii="Times New Roman" w:hAnsi="Times New Roman"/>
          <w:i/>
          <w:iCs/>
          <w:noProof/>
          <w:color w:val="000000" w:themeColor="text1"/>
          <w:sz w:val="20"/>
          <w:szCs w:val="20"/>
        </w:rPr>
        <w:t xml:space="preserve"> </w:t>
      </w:r>
    </w:p>
    <w:p w:rsidR="00461018" w:rsidRDefault="000329C3">
      <w:pPr>
        <w:spacing w:before="240" w:after="120" w:line="240" w:lineRule="auto"/>
        <w:jc w:val="both"/>
        <w:rPr>
          <w:rFonts w:ascii="Times New Roman" w:eastAsia="Calibri" w:hAnsi="Times New Roman" w:cs="Times New Roman"/>
          <w:i/>
          <w:noProof/>
        </w:rPr>
      </w:pPr>
      <w:r>
        <w:rPr>
          <w:rFonts w:ascii="Times New Roman" w:hAnsi="Times New Roman"/>
          <w:i/>
          <w:noProof/>
        </w:rPr>
        <w:t>–</w:t>
      </w:r>
      <w:r>
        <w:rPr>
          <w:rFonts w:ascii="Times New Roman" w:hAnsi="Times New Roman"/>
          <w:i/>
          <w:noProof/>
          <w:sz w:val="24"/>
        </w:rPr>
        <w:t xml:space="preserve"> Il-preżentazzjoni u s-segwitu ta’ talba online </w:t>
      </w:r>
      <w:bookmarkEnd w:id="351"/>
      <w:bookmarkEnd w:id="352"/>
      <w:bookmarkEnd w:id="353"/>
      <w:bookmarkEnd w:id="354"/>
      <w:r>
        <w:rPr>
          <w:rFonts w:ascii="Times New Roman" w:hAnsi="Times New Roman"/>
          <w:i/>
          <w:noProof/>
        </w:rPr>
        <w:t>–</w:t>
      </w:r>
    </w:p>
    <w:p w:rsidR="00461018" w:rsidRDefault="000329C3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Il-kapaċità li wieħed ilesti passi speċifiċi fil-proċedura ġudizzjarja b’mezzi elettroniċi hija parti importanti </w:t>
      </w:r>
      <w:r>
        <w:rPr>
          <w:rFonts w:ascii="Times New Roman" w:hAnsi="Times New Roman"/>
          <w:noProof/>
          <w:sz w:val="24"/>
        </w:rPr>
        <w:t>mill-kwalità tas-sistemi tal-ġustizzja minħabba li s-sottomissjoni elettronika tat-talbiet kif ukoll il-possibbiltà li wieħed jimmonitorja u javvanza proċediment online jistgħu jiffaċilitaw l-aċċess għall-ġustizzja u jnaqqsu d-dewmien u l-ispejjeż. Is-sist</w:t>
      </w:r>
      <w:r>
        <w:rPr>
          <w:rFonts w:ascii="Times New Roman" w:hAnsi="Times New Roman"/>
          <w:noProof/>
          <w:sz w:val="24"/>
        </w:rPr>
        <w:t xml:space="preserve">emi tal-ICT fil-qrati wkoll għandhom rwol dejjem akbar fil-kooperazzjoni transfruntiera bejn l-awtoritajiet ġudizzjarji u jiffaċilitaw ukoll l-implimentazzjoni tal-leġiżlazzjoni tal-UE, pereżempju, fir-rigward ta’ proċeduri għal talbiet żgħar. </w:t>
      </w:r>
      <w:bookmarkStart w:id="355" w:name="_Ref441218509"/>
      <w:bookmarkStart w:id="356" w:name="_Ref442360381"/>
    </w:p>
    <w:p w:rsidR="00461018" w:rsidRDefault="000329C3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br w:type="page"/>
      </w:r>
    </w:p>
    <w:p w:rsidR="00461018" w:rsidRDefault="000329C3">
      <w:pPr>
        <w:spacing w:before="240" w:after="120" w:line="240" w:lineRule="auto"/>
        <w:jc w:val="both"/>
        <w:rPr>
          <w:rFonts w:ascii="Times New Roman" w:eastAsia="Calibri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 xml:space="preserve">Illustrazzjoni 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>27</w:t>
      </w:r>
      <w:r>
        <w:rPr>
          <w:noProof/>
        </w:rPr>
        <w:fldChar w:fldCharType="end"/>
      </w:r>
      <w:bookmarkEnd w:id="355"/>
      <w:bookmarkEnd w:id="356"/>
      <w:r>
        <w:rPr>
          <w:rFonts w:ascii="Times New Roman" w:hAnsi="Times New Roman"/>
          <w:b/>
          <w:bCs/>
          <w:noProof/>
          <w:sz w:val="24"/>
          <w:szCs w:val="24"/>
        </w:rPr>
        <w:t xml:space="preserve">: Id-disponibbiltà ta’ mezzi elettroniċi, 2018 </w:t>
      </w:r>
      <w:r>
        <w:rPr>
          <w:rFonts w:ascii="Times New Roman" w:hAnsi="Times New Roman"/>
          <w:noProof/>
          <w:sz w:val="24"/>
          <w:szCs w:val="24"/>
        </w:rPr>
        <w:t>(</w:t>
      </w:r>
      <w:r>
        <w:rPr>
          <w:noProof/>
          <w:sz w:val="24"/>
          <w:szCs w:val="24"/>
        </w:rPr>
        <w:t>*</w:t>
      </w:r>
      <w:r>
        <w:rPr>
          <w:i/>
          <w:iCs/>
          <w:noProof/>
          <w:sz w:val="24"/>
          <w:szCs w:val="24"/>
        </w:rPr>
        <w:t>)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>(0 = disponibbli f’0 % tal-qrati, 4 = disponibbli f’100 % tal-qrati (</w:t>
      </w:r>
      <w:r>
        <w:rPr>
          <w:rFonts w:ascii="Times New Roman" w:eastAsia="Calibri" w:hAnsi="Times New Roman" w:cs="Times New Roman"/>
          <w:i/>
          <w:iCs/>
          <w:noProof/>
          <w:sz w:val="24"/>
          <w:szCs w:val="24"/>
          <w:vertAlign w:val="superscript"/>
        </w:rPr>
        <w:footnoteReference w:id="62"/>
      </w:r>
      <w:r>
        <w:rPr>
          <w:rFonts w:ascii="Times New Roman" w:hAnsi="Times New Roman"/>
          <w:i/>
          <w:iCs/>
          <w:noProof/>
          <w:sz w:val="24"/>
          <w:szCs w:val="24"/>
        </w:rPr>
        <w:t>)) (sors: studju tas-CEPEJ)</w:t>
      </w:r>
    </w:p>
    <w:p w:rsidR="00461018" w:rsidRDefault="000329C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1994535"/>
            <wp:effectExtent l="0" t="0" r="4445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noProof/>
          <w:sz w:val="20"/>
          <w:szCs w:val="20"/>
          <w:highlight w:val="yellow"/>
        </w:rPr>
      </w:pPr>
      <w:r>
        <w:rPr>
          <w:rFonts w:ascii="Times New Roman" w:hAnsi="Times New Roman"/>
          <w:i/>
          <w:noProof/>
          <w:sz w:val="20"/>
        </w:rPr>
        <w:t>(* ) Metodoloġija ġdida, id-data mhijiex komparabbli mas-snin p</w:t>
      </w:r>
      <w:r>
        <w:rPr>
          <w:rFonts w:ascii="Times New Roman" w:hAnsi="Times New Roman"/>
          <w:i/>
          <w:noProof/>
          <w:sz w:val="20"/>
        </w:rPr>
        <w:t>reċedenti.</w:t>
      </w:r>
      <w:r>
        <w:rPr>
          <w:rFonts w:ascii="Times New Roman" w:hAnsi="Times New Roman"/>
          <w:i/>
          <w:noProof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noProof/>
          <w:sz w:val="20"/>
          <w:szCs w:val="20"/>
        </w:rPr>
        <w:t xml:space="preserve">DK </w:t>
      </w:r>
      <w:r>
        <w:rPr>
          <w:rFonts w:ascii="Times New Roman" w:hAnsi="Times New Roman"/>
          <w:i/>
          <w:noProof/>
          <w:sz w:val="20"/>
          <w:szCs w:val="20"/>
        </w:rPr>
        <w:t xml:space="preserve">u </w:t>
      </w:r>
      <w:r>
        <w:rPr>
          <w:rFonts w:ascii="Times New Roman" w:hAnsi="Times New Roman"/>
          <w:b/>
          <w:i/>
          <w:noProof/>
          <w:sz w:val="20"/>
          <w:szCs w:val="20"/>
        </w:rPr>
        <w:t>RO:</w:t>
      </w:r>
      <w:r>
        <w:rPr>
          <w:rFonts w:ascii="Times New Roman" w:hAnsi="Times New Roman"/>
          <w:i/>
          <w:noProof/>
          <w:sz w:val="20"/>
          <w:szCs w:val="20"/>
        </w:rPr>
        <w:t xml:space="preserve"> il-kawżi jistgħu jitressqu quddiem il-qrati permezz tal-posta elettronika. </w:t>
      </w:r>
    </w:p>
    <w:p w:rsidR="00461018" w:rsidRDefault="000329C3">
      <w:pPr>
        <w:spacing w:before="240" w:after="120" w:line="240" w:lineRule="auto"/>
        <w:jc w:val="both"/>
        <w:rPr>
          <w:rFonts w:ascii="Times New Roman" w:eastAsia="Calibri" w:hAnsi="Times New Roman" w:cs="Helvetica Neue"/>
          <w:i/>
          <w:noProof/>
          <w:color w:val="000000"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t>–</w:t>
      </w:r>
      <w:r>
        <w:rPr>
          <w:rFonts w:ascii="Times New Roman" w:hAnsi="Times New Roman"/>
          <w:i/>
          <w:noProof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noProof/>
          <w:sz w:val="24"/>
          <w:szCs w:val="24"/>
        </w:rPr>
        <w:t>L-aċċess għas-sentenzi –</w:t>
      </w:r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Helvetica Neue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t xml:space="preserve">L-iżgurar tal-aċċess għas-sentenza online jżid it-trasparenza tas-sistemi tal-ġustizzja, jgħin liċ-ċittadini u n-negozji jifhmu </w:t>
      </w:r>
      <w:r>
        <w:rPr>
          <w:rFonts w:ascii="Times New Roman" w:hAnsi="Times New Roman"/>
          <w:noProof/>
          <w:color w:val="000000"/>
          <w:sz w:val="24"/>
          <w:szCs w:val="24"/>
        </w:rPr>
        <w:t>drittijiethom, u jista’ jikkontribwixxi għall-konsistenza fil-ġurisprudenza. L-arranġamenti għall-pubblikazzjoni online tas-sentenzi huma essenzjali sabiex jinħolqu faċilitajiet ta’ tiftix faċli għall-utent(</w:t>
      </w:r>
      <w:r>
        <w:rPr>
          <w:rStyle w:val="FootnoteReference"/>
          <w:rFonts w:ascii="Times New Roman" w:eastAsia="Calibri" w:hAnsi="Times New Roman" w:cs="Helvetica Neue"/>
          <w:noProof/>
          <w:color w:val="000000"/>
          <w:sz w:val="24"/>
          <w:szCs w:val="24"/>
        </w:rPr>
        <w:footnoteReference w:id="63"/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), li jagħmlu l-ġurisprudenza aktar aċċessibbli </w:t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għall-professjonijiet legali u għall-pubbliku ġenerali. Aċċess bla xkiel għall-ġurisprudenza u użu mill-ġdid faċli tal-ġurisprudenza jippermettu applikazzjonijiet innovattivi ta’ “teknoloġija legali” li jappoġġaw lill-prattikanti. </w:t>
      </w:r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Helvetica Neue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t>Il-pubblikazzjoni online</w:t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 tad-deċiżjonijiet tal-qrati teħtieġ li jiġu bbilanċjati diversi interessi, fil-limiti stabbiliti mill-oqfsa ġuridiċi u ta’ politika. Ir-Regolament Ġenerali dwar il-Protezzjoni tad-</w:t>
      </w:r>
      <w:r>
        <w:rPr>
          <w:rFonts w:ascii="Times New Roman" w:hAnsi="Times New Roman"/>
          <w:i/>
          <w:noProof/>
          <w:color w:val="000000"/>
          <w:sz w:val="24"/>
          <w:szCs w:val="24"/>
        </w:rPr>
        <w:t>Data</w:t>
      </w:r>
      <w:r>
        <w:rPr>
          <w:rFonts w:ascii="Times New Roman" w:hAnsi="Times New Roman"/>
          <w:noProof/>
          <w:color w:val="000000"/>
          <w:sz w:val="24"/>
          <w:szCs w:val="24"/>
        </w:rPr>
        <w:t>(</w:t>
      </w:r>
      <w:r>
        <w:rPr>
          <w:rStyle w:val="FootnoteReference"/>
          <w:rFonts w:ascii="Times New Roman" w:eastAsia="Calibri" w:hAnsi="Times New Roman" w:cs="Helvetica Neue"/>
          <w:noProof/>
          <w:color w:val="000000"/>
          <w:sz w:val="24"/>
          <w:szCs w:val="24"/>
        </w:rPr>
        <w:footnoteReference w:id="64"/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) japplika bis-sħiħ għall-ipproċessar ta’ </w:t>
      </w:r>
      <w:r>
        <w:rPr>
          <w:rFonts w:ascii="Times New Roman" w:hAnsi="Times New Roman"/>
          <w:i/>
          <w:noProof/>
          <w:color w:val="000000"/>
          <w:sz w:val="24"/>
          <w:szCs w:val="24"/>
        </w:rPr>
        <w:t>data</w:t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 personali mill-qrati. </w:t>
      </w:r>
      <w:r>
        <w:rPr>
          <w:rFonts w:ascii="Times New Roman" w:hAnsi="Times New Roman"/>
          <w:noProof/>
          <w:color w:val="000000"/>
          <w:sz w:val="24"/>
          <w:szCs w:val="24"/>
        </w:rPr>
        <w:t>Irid jinstab bilanċ ġust bejn id-dritt għall-protezzjoni tad-</w:t>
      </w:r>
      <w:r>
        <w:rPr>
          <w:rFonts w:ascii="Times New Roman" w:hAnsi="Times New Roman"/>
          <w:i/>
          <w:noProof/>
          <w:color w:val="000000"/>
          <w:sz w:val="24"/>
          <w:szCs w:val="24"/>
        </w:rPr>
        <w:t>data</w:t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 u d-dritt għall-pubbliċità tad-deċiżjonijiet tal-qrati u għat-trasparenza tas-sistema tal-ġustizzja meta jiġi vvalutat liema </w:t>
      </w:r>
      <w:r>
        <w:rPr>
          <w:rFonts w:ascii="Times New Roman" w:hAnsi="Times New Roman"/>
          <w:i/>
          <w:noProof/>
          <w:color w:val="000000"/>
          <w:sz w:val="24"/>
          <w:szCs w:val="24"/>
        </w:rPr>
        <w:t>data</w:t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 għandha ssir pubblika. Dan huwa partikolarment il-każ fejn h</w:t>
      </w:r>
      <w:r>
        <w:rPr>
          <w:rFonts w:ascii="Times New Roman" w:hAnsi="Times New Roman"/>
          <w:noProof/>
          <w:color w:val="000000"/>
          <w:sz w:val="24"/>
          <w:szCs w:val="24"/>
        </w:rPr>
        <w:t>emm interess pubbliku prevalenti li jiġġustifika l-iżvelar ta’ dik id-</w:t>
      </w:r>
      <w:r>
        <w:rPr>
          <w:rFonts w:ascii="Times New Roman" w:hAnsi="Times New Roman"/>
          <w:i/>
          <w:noProof/>
          <w:color w:val="000000"/>
          <w:sz w:val="24"/>
          <w:szCs w:val="24"/>
        </w:rPr>
        <w:t>data</w:t>
      </w:r>
      <w:r>
        <w:rPr>
          <w:rFonts w:ascii="Times New Roman" w:hAnsi="Times New Roman"/>
          <w:noProof/>
          <w:color w:val="000000"/>
          <w:sz w:val="24"/>
          <w:szCs w:val="24"/>
        </w:rPr>
        <w:t>. F’ħafna pajjiżi, il-liġi jew il-prattika teħtieġ l-anonimizzazzjoni jew il-psewdonimizzazzjoni(</w:t>
      </w:r>
      <w:r>
        <w:rPr>
          <w:rStyle w:val="FootnoteReference"/>
          <w:rFonts w:ascii="Times New Roman" w:eastAsia="Calibri" w:hAnsi="Times New Roman" w:cs="Helvetica Neue"/>
          <w:noProof/>
          <w:color w:val="000000"/>
          <w:sz w:val="24"/>
          <w:szCs w:val="24"/>
        </w:rPr>
        <w:footnoteReference w:id="65"/>
      </w:r>
      <w:r>
        <w:rPr>
          <w:rFonts w:ascii="Times New Roman" w:hAnsi="Times New Roman"/>
          <w:noProof/>
          <w:color w:val="000000"/>
          <w:sz w:val="24"/>
          <w:szCs w:val="24"/>
        </w:rPr>
        <w:t>) ta’ deċiżjonijiet ġudizzjarji qabel il-pubblikazzjoni, jew b’mod sistematiku jew f</w:t>
      </w:r>
      <w:r>
        <w:rPr>
          <w:rFonts w:ascii="Times New Roman" w:hAnsi="Times New Roman"/>
          <w:noProof/>
          <w:color w:val="000000"/>
          <w:sz w:val="24"/>
          <w:szCs w:val="24"/>
        </w:rPr>
        <w:t>uq talba. Id-</w:t>
      </w:r>
      <w:r>
        <w:rPr>
          <w:rFonts w:ascii="Times New Roman" w:hAnsi="Times New Roman"/>
          <w:i/>
          <w:noProof/>
          <w:color w:val="000000"/>
          <w:sz w:val="24"/>
          <w:szCs w:val="24"/>
        </w:rPr>
        <w:t>data</w:t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 prodotta mill-ġudikatura hija rregolata wkoll mil-leġiżlazzjoni Ewropea dwar id-</w:t>
      </w:r>
      <w:r>
        <w:rPr>
          <w:rFonts w:ascii="Times New Roman" w:hAnsi="Times New Roman"/>
          <w:i/>
          <w:noProof/>
          <w:color w:val="000000"/>
          <w:sz w:val="24"/>
          <w:szCs w:val="24"/>
        </w:rPr>
        <w:t>data</w:t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 miftuħa u l-użu mill-ġdid tal-informazzjoni tas-settur pubbliku(</w:t>
      </w:r>
      <w:r>
        <w:rPr>
          <w:rStyle w:val="FootnoteReference"/>
          <w:rFonts w:ascii="Times New Roman" w:eastAsia="Calibri" w:hAnsi="Times New Roman" w:cs="Helvetica Neue"/>
          <w:noProof/>
          <w:color w:val="000000"/>
          <w:sz w:val="24"/>
          <w:szCs w:val="24"/>
        </w:rPr>
        <w:footnoteReference w:id="66"/>
      </w:r>
      <w:r>
        <w:rPr>
          <w:rFonts w:ascii="Times New Roman" w:hAnsi="Times New Roman"/>
          <w:noProof/>
          <w:color w:val="000000"/>
          <w:sz w:val="24"/>
          <w:szCs w:val="24"/>
        </w:rPr>
        <w:t>).</w:t>
      </w:r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Helvetica Neue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t>Id-disponibbiltà ta’ deċiżjonijiet ġudizzjarji f’format li jinqara mill-magni (</w:t>
      </w:r>
      <w:r>
        <w:rPr>
          <w:rStyle w:val="FootnoteReference"/>
          <w:rFonts w:ascii="Times New Roman" w:eastAsia="Calibri" w:hAnsi="Times New Roman" w:cs="Helvetica Neue"/>
          <w:noProof/>
          <w:color w:val="000000"/>
          <w:sz w:val="24"/>
          <w:szCs w:val="24"/>
        </w:rPr>
        <w:footnoteReference w:id="67"/>
      </w:r>
      <w:r>
        <w:rPr>
          <w:rFonts w:ascii="Times New Roman" w:hAnsi="Times New Roman"/>
          <w:noProof/>
          <w:color w:val="000000"/>
          <w:sz w:val="24"/>
          <w:szCs w:val="24"/>
        </w:rPr>
        <w:t>) tif</w:t>
      </w:r>
      <w:r>
        <w:rPr>
          <w:rFonts w:ascii="Times New Roman" w:hAnsi="Times New Roman"/>
          <w:noProof/>
          <w:color w:val="000000"/>
          <w:sz w:val="24"/>
          <w:szCs w:val="24"/>
        </w:rPr>
        <w:t>faċilita sistema tal-ġustizzja li tiffavorixxi l-użu tal-algoritmi(</w:t>
      </w:r>
      <w:r>
        <w:rPr>
          <w:rStyle w:val="FootnoteReference"/>
          <w:rFonts w:ascii="Times New Roman" w:eastAsia="Calibri" w:hAnsi="Times New Roman" w:cs="Helvetica Neue"/>
          <w:noProof/>
          <w:color w:val="000000"/>
          <w:sz w:val="24"/>
          <w:szCs w:val="24"/>
        </w:rPr>
        <w:footnoteReference w:id="68"/>
      </w:r>
      <w:r>
        <w:rPr>
          <w:rFonts w:ascii="Times New Roman" w:hAnsi="Times New Roman"/>
          <w:noProof/>
          <w:color w:val="000000"/>
          <w:sz w:val="24"/>
          <w:szCs w:val="24"/>
        </w:rPr>
        <w:t>).</w:t>
      </w:r>
    </w:p>
    <w:p w:rsidR="00461018" w:rsidRDefault="000329C3">
      <w:pPr>
        <w:spacing w:before="240" w:after="0" w:line="240" w:lineRule="auto"/>
        <w:jc w:val="both"/>
        <w:rPr>
          <w:rFonts w:ascii="Times New Roman" w:eastAsia="Calibri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</w:rPr>
        <w:t>28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: L-aċċess online mill-pubbliku ġenerali għas-sentenzi ppubblikati, 2019 </w:t>
      </w:r>
      <w:r>
        <w:rPr>
          <w:rFonts w:ascii="Times New Roman" w:hAnsi="Times New Roman"/>
          <w:noProof/>
          <w:sz w:val="24"/>
          <w:szCs w:val="24"/>
        </w:rPr>
        <w:t>(</w:t>
      </w:r>
      <w:r>
        <w:rPr>
          <w:noProof/>
          <w:sz w:val="24"/>
          <w:szCs w:val="24"/>
        </w:rPr>
        <w:t>*</w:t>
      </w:r>
      <w:r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(kawżi ċivili/kummerċjali, amministrattivi u kriminali, l-istanzi </w:t>
      </w:r>
      <w:r>
        <w:rPr>
          <w:rFonts w:ascii="Times New Roman" w:hAnsi="Times New Roman"/>
          <w:i/>
          <w:iCs/>
          <w:noProof/>
          <w:sz w:val="24"/>
          <w:szCs w:val="24"/>
        </w:rPr>
        <w:t>kollha) (sors: il-Kummissjoni Ewropea (</w:t>
      </w:r>
      <w:r>
        <w:rPr>
          <w:rFonts w:ascii="Times New Roman" w:eastAsia="Calibri" w:hAnsi="Times New Roman" w:cs="Times New Roman"/>
          <w:i/>
          <w:iCs/>
          <w:noProof/>
          <w:sz w:val="24"/>
          <w:szCs w:val="24"/>
          <w:vertAlign w:val="superscript"/>
        </w:rPr>
        <w:footnoteReference w:id="69"/>
      </w:r>
      <w:r>
        <w:rPr>
          <w:rFonts w:ascii="Times New Roman" w:hAnsi="Times New Roman"/>
          <w:i/>
          <w:iCs/>
          <w:noProof/>
          <w:sz w:val="24"/>
          <w:szCs w:val="24"/>
        </w:rPr>
        <w:t>))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3177540"/>
            <wp:effectExtent l="0" t="0" r="4445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  <w:highlight w:val="yellow"/>
        </w:rPr>
      </w:pPr>
      <w:r>
        <w:rPr>
          <w:rFonts w:ascii="Times New Roman" w:hAnsi="Times New Roman"/>
          <w:i/>
          <w:noProof/>
          <w:sz w:val="20"/>
        </w:rPr>
        <w:t>(*) Il-massimu possibbli: 9 punti. Għal kull istanza tal-qorti, ingħata punt wieħed jekk ikunu disponibbli s-sentenzi kollha għall-kawżi ċivili/kummerċjali u amministrattivi u kriminali, rispettivament, u 0,5 ta</w:t>
      </w:r>
      <w:r>
        <w:rPr>
          <w:rFonts w:ascii="Times New Roman" w:hAnsi="Times New Roman"/>
          <w:i/>
          <w:noProof/>
          <w:sz w:val="20"/>
        </w:rPr>
        <w:t>’ punt meta jkunu disponibbli wħud mis-sentenzi. Għall-Istati Membri li għandhom żewġ istanzi biss tal-qorti, ingħataw punti għat-tliet istanzi billi ġiet riflessa l-ogħla istanza rispettiva tal-istanza li ma teżistix. Għal dawk l-Istati Membri li ma jagħm</w:t>
      </w:r>
      <w:r>
        <w:rPr>
          <w:rFonts w:ascii="Times New Roman" w:hAnsi="Times New Roman"/>
          <w:i/>
          <w:noProof/>
          <w:sz w:val="20"/>
        </w:rPr>
        <w:t xml:space="preserve">lu ebda distinzjoni bejn iż-żewġ oqsma tal-liġi (ċivili/kummerċjali u amministrattiva), ingħata l-istess numru ta’ punti għaż-żewġ oqsma. </w:t>
      </w:r>
      <w:r>
        <w:rPr>
          <w:rFonts w:ascii="Times New Roman" w:hAnsi="Times New Roman"/>
          <w:b/>
          <w:i/>
          <w:noProof/>
          <w:sz w:val="20"/>
        </w:rPr>
        <w:t>BE</w:t>
      </w:r>
      <w:r>
        <w:rPr>
          <w:rFonts w:ascii="Times New Roman" w:hAnsi="Times New Roman"/>
          <w:i/>
          <w:noProof/>
          <w:sz w:val="20"/>
        </w:rPr>
        <w:t>: għall-kawżi ċivili u kriminali, kull qorti hija inkarigata li tiddeċiedi dwar il-pubblikazzjoni tas-sentenzi tagħh</w:t>
      </w:r>
      <w:r>
        <w:rPr>
          <w:rFonts w:ascii="Times New Roman" w:hAnsi="Times New Roman"/>
          <w:i/>
          <w:noProof/>
          <w:sz w:val="20"/>
        </w:rPr>
        <w:t xml:space="preserve">a. </w:t>
      </w:r>
      <w:r>
        <w:rPr>
          <w:rFonts w:ascii="Times New Roman" w:hAnsi="Times New Roman"/>
          <w:b/>
          <w:i/>
          <w:noProof/>
          <w:sz w:val="20"/>
        </w:rPr>
        <w:t>BG:</w:t>
      </w:r>
      <w:r>
        <w:rPr>
          <w:rFonts w:ascii="Times New Roman" w:hAnsi="Times New Roman"/>
          <w:i/>
          <w:noProof/>
          <w:sz w:val="20"/>
        </w:rPr>
        <w:t xml:space="preserve"> Id-deċiżjonijiet kriminali tal-Qorti tal-Kassazzjoni jiġu ppubblikati kollha ħlief dawk li fihom informazzjoni klassifikata. </w:t>
      </w:r>
      <w:r>
        <w:rPr>
          <w:rFonts w:ascii="Times New Roman" w:hAnsi="Times New Roman"/>
          <w:b/>
          <w:i/>
          <w:noProof/>
          <w:sz w:val="20"/>
        </w:rPr>
        <w:t>DE:</w:t>
      </w:r>
      <w:r>
        <w:rPr>
          <w:rFonts w:ascii="Times New Roman" w:hAnsi="Times New Roman"/>
          <w:i/>
          <w:noProof/>
          <w:sz w:val="20"/>
        </w:rPr>
        <w:t xml:space="preserve"> kull stat federali jiddeċiedi dwar id-disponibbiltà online tas-sentenzi tal-prim’istanza. </w:t>
      </w:r>
      <w:r>
        <w:rPr>
          <w:rFonts w:ascii="Times New Roman" w:hAnsi="Times New Roman"/>
          <w:b/>
          <w:i/>
          <w:noProof/>
          <w:sz w:val="20"/>
        </w:rPr>
        <w:t>IE:</w:t>
      </w:r>
      <w:r>
        <w:rPr>
          <w:rFonts w:ascii="Times New Roman" w:hAnsi="Times New Roman"/>
          <w:i/>
          <w:noProof/>
          <w:sz w:val="20"/>
        </w:rPr>
        <w:t xml:space="preserve"> għal kawżi kriminali, il-k</w:t>
      </w:r>
      <w:r>
        <w:rPr>
          <w:rFonts w:ascii="Times New Roman" w:hAnsi="Times New Roman"/>
          <w:i/>
          <w:noProof/>
          <w:sz w:val="20"/>
        </w:rPr>
        <w:t xml:space="preserve">awżi sommarji ġeneralment mhumiex soġġetti għal sentenza bil-miktub. </w:t>
      </w:r>
      <w:r>
        <w:rPr>
          <w:rFonts w:ascii="Times New Roman" w:hAnsi="Times New Roman"/>
          <w:b/>
          <w:i/>
          <w:noProof/>
          <w:sz w:val="20"/>
        </w:rPr>
        <w:t>CY:</w:t>
      </w:r>
      <w:r>
        <w:rPr>
          <w:rFonts w:ascii="Times New Roman" w:hAnsi="Times New Roman"/>
          <w:i/>
          <w:noProof/>
          <w:sz w:val="20"/>
        </w:rPr>
        <w:t xml:space="preserve"> għal kawżi amministrattivi u kriminali, l-imħallfin jiddeċiedu liema sentenzi jiġu ppubblikati. </w:t>
      </w:r>
      <w:r>
        <w:rPr>
          <w:rFonts w:ascii="Times New Roman" w:hAnsi="Times New Roman"/>
          <w:b/>
          <w:i/>
          <w:noProof/>
          <w:sz w:val="20"/>
        </w:rPr>
        <w:t xml:space="preserve">LU </w:t>
      </w:r>
      <w:r>
        <w:rPr>
          <w:rFonts w:ascii="Times New Roman" w:hAnsi="Times New Roman"/>
          <w:i/>
          <w:noProof/>
          <w:sz w:val="20"/>
        </w:rPr>
        <w:t xml:space="preserve">u </w:t>
      </w:r>
      <w:r>
        <w:rPr>
          <w:rFonts w:ascii="Times New Roman" w:hAnsi="Times New Roman"/>
          <w:b/>
          <w:i/>
          <w:noProof/>
          <w:sz w:val="20"/>
        </w:rPr>
        <w:t>SE:</w:t>
      </w:r>
      <w:r>
        <w:rPr>
          <w:rFonts w:ascii="Times New Roman" w:hAnsi="Times New Roman"/>
          <w:i/>
          <w:noProof/>
          <w:sz w:val="20"/>
        </w:rPr>
        <w:t xml:space="preserve"> il-qrati ma jippubblikawx is-sentenzi tagħhom online b'mod regolari (il-kawżi li jistabbilixxu preċedent biss). </w:t>
      </w:r>
      <w:r>
        <w:rPr>
          <w:rFonts w:ascii="Times New Roman" w:hAnsi="Times New Roman"/>
          <w:b/>
          <w:i/>
          <w:noProof/>
          <w:sz w:val="20"/>
        </w:rPr>
        <w:t>AT:</w:t>
      </w:r>
      <w:r>
        <w:rPr>
          <w:rFonts w:ascii="Times New Roman" w:hAnsi="Times New Roman"/>
          <w:i/>
          <w:noProof/>
          <w:sz w:val="20"/>
        </w:rPr>
        <w:t xml:space="preserve"> għall-prim’istanza u għat-tieni istanza, l-imħallfin jiddeċiedu liema sentenzi jiġu ppubblikati. </w:t>
      </w:r>
      <w:r>
        <w:rPr>
          <w:rFonts w:ascii="Times New Roman" w:hAnsi="Times New Roman"/>
          <w:b/>
          <w:i/>
          <w:noProof/>
          <w:sz w:val="20"/>
        </w:rPr>
        <w:t>NL:</w:t>
      </w:r>
      <w:r>
        <w:rPr>
          <w:rFonts w:ascii="Times New Roman" w:hAnsi="Times New Roman"/>
          <w:i/>
          <w:noProof/>
          <w:sz w:val="20"/>
        </w:rPr>
        <w:t xml:space="preserve"> il-qrati jiddeċiedu dwar il-pubblikazz</w:t>
      </w:r>
      <w:r>
        <w:rPr>
          <w:rFonts w:ascii="Times New Roman" w:hAnsi="Times New Roman"/>
          <w:i/>
          <w:noProof/>
          <w:sz w:val="20"/>
        </w:rPr>
        <w:t xml:space="preserve">joni skont kriterji pubblikati. </w:t>
      </w:r>
      <w:r>
        <w:rPr>
          <w:rFonts w:ascii="Times New Roman" w:hAnsi="Times New Roman"/>
          <w:b/>
          <w:i/>
          <w:noProof/>
          <w:sz w:val="20"/>
        </w:rPr>
        <w:t>PL:</w:t>
      </w:r>
      <w:r>
        <w:rPr>
          <w:rFonts w:ascii="Times New Roman" w:hAnsi="Times New Roman"/>
          <w:i/>
          <w:noProof/>
          <w:sz w:val="20"/>
        </w:rPr>
        <w:t xml:space="preserve"> għal kawżi amministrattivi, il-kap tal-unità f’kull qorti jiddeċiedi dwar il-pubblikazzjoni. </w:t>
      </w:r>
      <w:r>
        <w:rPr>
          <w:rFonts w:ascii="Times New Roman" w:hAnsi="Times New Roman"/>
          <w:b/>
          <w:i/>
          <w:noProof/>
          <w:sz w:val="20"/>
        </w:rPr>
        <w:t>PT:</w:t>
      </w:r>
      <w:r>
        <w:rPr>
          <w:rFonts w:ascii="Times New Roman" w:hAnsi="Times New Roman"/>
          <w:i/>
          <w:noProof/>
          <w:sz w:val="20"/>
        </w:rPr>
        <w:t xml:space="preserve"> għal kawżi ċivili u kriminali, kummissjoni fil-qorti tiddeċiedi dwar il-pubblikazzjoni. </w:t>
      </w:r>
    </w:p>
    <w:p w:rsidR="00461018" w:rsidRDefault="00461018">
      <w:pPr>
        <w:spacing w:line="240" w:lineRule="auto"/>
        <w:jc w:val="both"/>
        <w:rPr>
          <w:rFonts w:ascii="Times New Roman" w:eastAsia="Calibri" w:hAnsi="Times New Roman" w:cs="Times New Roman"/>
          <w:b/>
          <w:noProof/>
          <w:sz w:val="24"/>
          <w:highlight w:val="yellow"/>
        </w:rPr>
      </w:pPr>
    </w:p>
    <w:p w:rsidR="00461018" w:rsidRDefault="000329C3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</w:instrText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</w:rPr>
        <w:t>29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: Arranġamenti għall-produzzjoni ta’ deċiżjonijiet ġudizzjarji li jinqraw mill-magni, 2019 </w:t>
      </w:r>
      <w:r>
        <w:rPr>
          <w:rFonts w:ascii="Times New Roman" w:hAnsi="Times New Roman"/>
          <w:noProof/>
          <w:sz w:val="24"/>
          <w:szCs w:val="24"/>
        </w:rPr>
        <w:t>(</w:t>
      </w:r>
      <w:r>
        <w:rPr>
          <w:noProof/>
          <w:sz w:val="24"/>
          <w:szCs w:val="24"/>
        </w:rPr>
        <w:t>*</w:t>
      </w:r>
      <w:r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 (kawżi ċivili/kummerċjali, amministrattivi u kriminali, l-istanzi kollha) (sors: il-Kummissjoni Ewropea (</w:t>
      </w:r>
      <w:r>
        <w:rPr>
          <w:rFonts w:ascii="Times New Roman" w:eastAsia="Calibri" w:hAnsi="Times New Roman" w:cs="Times New Roman"/>
          <w:i/>
          <w:iCs/>
          <w:noProof/>
          <w:sz w:val="24"/>
          <w:szCs w:val="24"/>
          <w:vertAlign w:val="superscript"/>
        </w:rPr>
        <w:footnoteReference w:id="70"/>
      </w:r>
      <w:r>
        <w:rPr>
          <w:rFonts w:ascii="Times New Roman" w:hAnsi="Times New Roman"/>
          <w:i/>
          <w:iCs/>
          <w:noProof/>
          <w:sz w:val="24"/>
          <w:szCs w:val="24"/>
        </w:rPr>
        <w:t>))</w:t>
      </w:r>
    </w:p>
    <w:p w:rsidR="00461018" w:rsidRDefault="000329C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Helvetica Neue"/>
          <w:i/>
          <w:noProof/>
          <w:sz w:val="18"/>
          <w:szCs w:val="18"/>
        </w:rPr>
      </w:pPr>
      <w:r>
        <w:rPr>
          <w:noProof/>
          <w:lang w:val="en-GB" w:eastAsia="en-GB"/>
        </w:rPr>
        <w:drawing>
          <wp:inline distT="0" distB="0" distL="0" distR="0">
            <wp:extent cx="5977255" cy="5588000"/>
            <wp:effectExtent l="0" t="0" r="4445" b="0"/>
            <wp:docPr id="306" name="Chart 30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C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461018" w:rsidRDefault="000329C3">
      <w:pPr>
        <w:jc w:val="both"/>
        <w:rPr>
          <w:noProof/>
        </w:rPr>
      </w:pPr>
      <w:r>
        <w:rPr>
          <w:rFonts w:ascii="Times New Roman" w:hAnsi="Times New Roman"/>
          <w:i/>
          <w:noProof/>
          <w:sz w:val="18"/>
        </w:rPr>
        <w:t xml:space="preserve">(*) Il-massimu possibbli: 24 punt għal </w:t>
      </w:r>
      <w:r>
        <w:rPr>
          <w:rFonts w:ascii="Times New Roman" w:hAnsi="Times New Roman"/>
          <w:i/>
          <w:noProof/>
          <w:sz w:val="18"/>
        </w:rPr>
        <w:t>kull tip ta’ kawża. Għal kull waħda mit-tliet istanzi (il-prim’istanza, it-tieni istanza, l-istanza finali) jista’ jingħata punt wieħed jekk jiġu koperti d-deċiżjonijiet ġudizzjarji kollha. Jekk jiġu koperti biss xi deċiżjonijiet ġudizzjarji f’istanza part</w:t>
      </w:r>
      <w:r>
        <w:rPr>
          <w:rFonts w:ascii="Times New Roman" w:hAnsi="Times New Roman"/>
          <w:i/>
          <w:noProof/>
          <w:sz w:val="18"/>
        </w:rPr>
        <w:t>ikolari, jingħata nofs punt biss. Meta Stat Membru jkollu żewġ istanzi biss, ingħataw punti għat-tliet istanzi billi ġiet riflessa l-ogħla istanza rispettiva tal-istanza li ma teżistix.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i/>
          <w:noProof/>
          <w:sz w:val="18"/>
        </w:rPr>
        <w:t>Għal dawk l-Istati Membri li ma jagħmlux distinzjoni bejn kawżi ammini</w:t>
      </w:r>
      <w:r>
        <w:rPr>
          <w:rFonts w:ascii="Times New Roman" w:hAnsi="Times New Roman"/>
          <w:i/>
          <w:noProof/>
          <w:sz w:val="18"/>
        </w:rPr>
        <w:t xml:space="preserve">strattivi u ċivili/kummerċjali, ġew allokati l-istess punti għaż-żewġ oqsma tal-liġi. </w:t>
      </w:r>
      <w:r>
        <w:rPr>
          <w:rFonts w:ascii="Times New Roman" w:hAnsi="Times New Roman"/>
          <w:b/>
          <w:i/>
          <w:noProof/>
          <w:sz w:val="18"/>
        </w:rPr>
        <w:t>ES:</w:t>
      </w:r>
      <w:r>
        <w:rPr>
          <w:rFonts w:ascii="Times New Roman" w:hAnsi="Times New Roman"/>
          <w:i/>
          <w:noProof/>
          <w:sz w:val="18"/>
        </w:rPr>
        <w:t xml:space="preserve"> L-użu tal-bażi ta’ data tal-Kunsill Ġenerali għall-Ġudikatura (CGPJ) għal finijiet kummerċjali, jew it-tniżżil massiv ta’ informazzjoni mhuwiex permess. L-użu mill-ġd</w:t>
      </w:r>
      <w:r>
        <w:rPr>
          <w:rFonts w:ascii="Times New Roman" w:hAnsi="Times New Roman"/>
          <w:i/>
          <w:noProof/>
          <w:sz w:val="18"/>
        </w:rPr>
        <w:t xml:space="preserve">id ta’ din l-informazzjoni għall-elaborazzjoni ta’ bażijiet ta’ data jew għal finijiet kummerċjali jrid isegwi l-proċedura u l-kundizzjonijiet stabbiliti mis-CGPJ permezz taċ-Ċentru ta’ Dokumentazzjoni Ġudizzjarja tiegħu. </w:t>
      </w:r>
      <w:r>
        <w:rPr>
          <w:rFonts w:ascii="Times New Roman" w:hAnsi="Times New Roman"/>
          <w:b/>
          <w:i/>
          <w:noProof/>
          <w:sz w:val="18"/>
        </w:rPr>
        <w:t>FR:</w:t>
      </w:r>
      <w:r>
        <w:rPr>
          <w:rFonts w:ascii="Times New Roman" w:hAnsi="Times New Roman"/>
          <w:i/>
          <w:noProof/>
          <w:sz w:val="18"/>
        </w:rPr>
        <w:t xml:space="preserve"> Huma biss is-sentenzi ppubblik</w:t>
      </w:r>
      <w:r>
        <w:rPr>
          <w:rFonts w:ascii="Times New Roman" w:hAnsi="Times New Roman"/>
          <w:i/>
          <w:noProof/>
          <w:sz w:val="18"/>
        </w:rPr>
        <w:t>ati mill-Qorti ta’ Kassazzjoni (“Cour de Cassation”) li huma aċċessibbli għall-pubbliku mingħajr ħlas. Dawk ippubblikati mill-qrati tal-appell fuq Jurica huma aċċessibbli permezz tan-network virtwali privat tal-ġustizzja, u għall-pubblikaturi legali. Is-se</w:t>
      </w:r>
      <w:r>
        <w:rPr>
          <w:rFonts w:ascii="Times New Roman" w:hAnsi="Times New Roman"/>
          <w:i/>
          <w:noProof/>
          <w:sz w:val="18"/>
        </w:rPr>
        <w:t>ntenzi trażmessi mill-prim’istanza u mill-qrati għolja lill-Qorti tal-Kassazzjoni (“Cour de Cassation”) mhumiex soġġetti għall-anonimizzazzjoni jew għall-psewdonimizzazzjoni. Ġie stabbilit l-aċċess miftuħ għal sentenzi tal-qorti – bl-esklużjoni ta’ talbiet</w:t>
      </w:r>
      <w:r>
        <w:rPr>
          <w:rFonts w:ascii="Times New Roman" w:hAnsi="Times New Roman"/>
          <w:i/>
          <w:noProof/>
          <w:sz w:val="18"/>
        </w:rPr>
        <w:t xml:space="preserve"> ripetittivi u sistematiċi. L-użu mill-ġdid ta’ data personali ta’ mħallfin u ta’ persunal ġudizzjarju għall-evalwazzjoni, għall-analiżi, għat-tqabbil jew għat-tbassir tal-prattiki professjonali attwali jew preżunti tagħhom huwa punibbli. </w:t>
      </w:r>
      <w:r>
        <w:rPr>
          <w:rFonts w:ascii="Times New Roman" w:hAnsi="Times New Roman"/>
          <w:b/>
          <w:i/>
          <w:noProof/>
          <w:sz w:val="18"/>
        </w:rPr>
        <w:t>IE:</w:t>
      </w:r>
      <w:r>
        <w:rPr>
          <w:rFonts w:ascii="Times New Roman" w:hAnsi="Times New Roman"/>
          <w:i/>
          <w:noProof/>
          <w:sz w:val="18"/>
        </w:rPr>
        <w:t xml:space="preserve"> L-ordinament </w:t>
      </w:r>
      <w:r>
        <w:rPr>
          <w:rFonts w:ascii="Times New Roman" w:hAnsi="Times New Roman"/>
          <w:i/>
          <w:noProof/>
          <w:sz w:val="18"/>
        </w:rPr>
        <w:t>ġ</w:t>
      </w:r>
      <w:r>
        <w:rPr>
          <w:rFonts w:ascii="Times New Roman" w:hAnsi="Times New Roman"/>
          <w:i/>
          <w:noProof/>
          <w:sz w:val="18"/>
        </w:rPr>
        <w:t xml:space="preserve">uridiku Irlandiż ma għandux ġuriżdizzjoni tal-qorti speċjalizzata sabiex tittratta kawżi tal-liġi amministrattiva. </w:t>
      </w:r>
      <w:r>
        <w:rPr>
          <w:rFonts w:ascii="Times New Roman" w:hAnsi="Times New Roman"/>
          <w:b/>
          <w:i/>
          <w:noProof/>
          <w:sz w:val="18"/>
        </w:rPr>
        <w:t>LU:</w:t>
      </w:r>
      <w:r>
        <w:rPr>
          <w:rFonts w:ascii="Times New Roman" w:hAnsi="Times New Roman"/>
          <w:i/>
          <w:noProof/>
          <w:sz w:val="18"/>
        </w:rPr>
        <w:t xml:space="preserve"> F’kawżi amministrattivi, hemm biss żewġ livelli tal-qorti.</w:t>
      </w:r>
      <w:bookmarkStart w:id="357" w:name="_Toc409530226"/>
      <w:bookmarkStart w:id="358" w:name="_Toc438545676"/>
      <w:bookmarkStart w:id="359" w:name="_Toc438548326"/>
      <w:bookmarkStart w:id="360" w:name="_Toc438548512"/>
    </w:p>
    <w:p w:rsidR="00461018" w:rsidRDefault="000329C3">
      <w:pPr>
        <w:jc w:val="both"/>
        <w:rPr>
          <w:rFonts w:ascii="Times New Roman" w:eastAsia="Calibri" w:hAnsi="Times New Roman" w:cs="Times New Roman"/>
          <w:i/>
          <w:noProof/>
        </w:rPr>
      </w:pPr>
      <w:r>
        <w:rPr>
          <w:rFonts w:ascii="Times New Roman" w:hAnsi="Times New Roman"/>
          <w:i/>
          <w:noProof/>
        </w:rPr>
        <w:t>–</w:t>
      </w:r>
      <w:r>
        <w:rPr>
          <w:rFonts w:ascii="Times New Roman" w:hAnsi="Times New Roman"/>
          <w:i/>
          <w:noProof/>
          <w:color w:val="000000"/>
          <w:sz w:val="24"/>
          <w:szCs w:val="18"/>
        </w:rPr>
        <w:t xml:space="preserve"> Aċċess għal metodi ta’ soluzzjoni alternattiva għat-tilwim</w:t>
      </w:r>
      <w:bookmarkEnd w:id="357"/>
      <w:bookmarkEnd w:id="358"/>
      <w:bookmarkEnd w:id="359"/>
      <w:bookmarkEnd w:id="360"/>
      <w:r>
        <w:rPr>
          <w:rFonts w:ascii="Times New Roman" w:hAnsi="Times New Roman"/>
          <w:i/>
          <w:noProof/>
          <w:color w:val="000000"/>
          <w:sz w:val="24"/>
          <w:szCs w:val="18"/>
        </w:rPr>
        <w:t xml:space="preserve"> </w:t>
      </w:r>
      <w:r>
        <w:rPr>
          <w:rFonts w:ascii="Times New Roman" w:hAnsi="Times New Roman"/>
          <w:i/>
          <w:noProof/>
        </w:rPr>
        <w:t>–</w:t>
      </w:r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  <w:szCs w:val="24"/>
        </w:rPr>
        <w:t>L-Illustrazzjo</w:t>
      </w:r>
      <w:r>
        <w:rPr>
          <w:rFonts w:ascii="Times New Roman" w:hAnsi="Times New Roman"/>
          <w:noProof/>
          <w:sz w:val="24"/>
          <w:szCs w:val="24"/>
        </w:rPr>
        <w:t>ni 30 turi l-isforzi tal-Istati Membri fil-promozzjoni tal-użu volontarju ta’ metodi ta’ soluzzjoni alternattiva għat-tilwim permezz ta’ inċentivi speċifiċi, li jistgħu jvarjaw skont il-qasam tal-liġi (</w:t>
      </w: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footnoteReference w:id="71"/>
      </w:r>
      <w:r>
        <w:rPr>
          <w:rFonts w:ascii="Times New Roman" w:hAnsi="Times New Roman"/>
          <w:noProof/>
          <w:sz w:val="24"/>
          <w:szCs w:val="24"/>
        </w:rPr>
        <w:t xml:space="preserve">). </w:t>
      </w:r>
    </w:p>
    <w:p w:rsidR="00461018" w:rsidRDefault="000329C3">
      <w:pPr>
        <w:spacing w:before="240" w:after="120" w:line="240" w:lineRule="auto"/>
        <w:ind w:left="40"/>
        <w:jc w:val="both"/>
        <w:rPr>
          <w:rFonts w:ascii="Times New Roman" w:eastAsia="Calibri" w:hAnsi="Times New Roman" w:cs="Times New Roman"/>
          <w:i/>
          <w:iCs/>
          <w:noProof/>
          <w:sz w:val="24"/>
          <w:szCs w:val="24"/>
        </w:rPr>
      </w:pPr>
      <w:bookmarkStart w:id="361" w:name="_Ref441218564"/>
      <w:bookmarkStart w:id="362" w:name="_Ref442346571"/>
      <w:r>
        <w:rPr>
          <w:rFonts w:ascii="Times New Roman" w:hAnsi="Times New Roman"/>
          <w:b/>
          <w:bCs/>
          <w:noProof/>
          <w:sz w:val="24"/>
          <w:szCs w:val="24"/>
        </w:rPr>
        <w:t xml:space="preserve">Illustrazzjoni </w:t>
      </w:r>
      <w:bookmarkEnd w:id="361"/>
      <w:bookmarkEnd w:id="362"/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 \* MERGEFOR</w:instrText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MAT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30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: Il-promozzjoni tal-metodi ADR u l-inċentivi biex jintużaw, 2019 </w:t>
      </w:r>
      <w:r>
        <w:rPr>
          <w:rFonts w:ascii="Times New Roman" w:hAnsi="Times New Roman"/>
          <w:noProof/>
          <w:sz w:val="24"/>
          <w:szCs w:val="24"/>
        </w:rPr>
        <w:t>(</w:t>
      </w:r>
      <w:r>
        <w:rPr>
          <w:noProof/>
          <w:sz w:val="24"/>
          <w:szCs w:val="24"/>
        </w:rPr>
        <w:t>*</w:t>
      </w:r>
      <w:r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>(sors: il-Kummissjoni Ewropea (</w:t>
      </w:r>
      <w:r>
        <w:rPr>
          <w:rFonts w:ascii="Times New Roman" w:eastAsia="Calibri" w:hAnsi="Times New Roman" w:cs="Times New Roman"/>
          <w:i/>
          <w:iCs/>
          <w:noProof/>
          <w:sz w:val="24"/>
          <w:szCs w:val="24"/>
          <w:vertAlign w:val="superscript"/>
        </w:rPr>
        <w:footnoteReference w:id="72"/>
      </w:r>
      <w:r>
        <w:rPr>
          <w:rFonts w:ascii="Times New Roman" w:hAnsi="Times New Roman"/>
          <w:i/>
          <w:iCs/>
          <w:noProof/>
          <w:sz w:val="24"/>
          <w:szCs w:val="24"/>
        </w:rPr>
        <w:t>))</w:t>
      </w:r>
    </w:p>
    <w:p w:rsidR="00461018" w:rsidRDefault="000329C3">
      <w:pPr>
        <w:spacing w:after="0" w:line="240" w:lineRule="auto"/>
        <w:ind w:left="40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593074"/>
            <wp:effectExtent l="0" t="0" r="4445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59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rFonts w:ascii="Times New Roman" w:hAnsi="Times New Roman"/>
          <w:i/>
          <w:noProof/>
          <w:sz w:val="20"/>
        </w:rPr>
        <w:t>(*) Il-massimu possibbli: 52 punt. Indikaturi aggregati bbażati fuq l-indikaturi li ġejjin: (1) sit web li jipprovdi informazzjoni dwar l-ADR, (2) Kampanji pubbliċitarji fil-midja, (3) Fuljetti għall-pubbliku ġenerali, (4) Il-qorti tipprovdi sessjonijiet t</w:t>
      </w:r>
      <w:r>
        <w:rPr>
          <w:rFonts w:ascii="Times New Roman" w:hAnsi="Times New Roman"/>
          <w:i/>
          <w:noProof/>
          <w:sz w:val="20"/>
        </w:rPr>
        <w:t>a’ informazzjoni speċifiċi dwar l-ADR fuq talba, (5) Koordinatur tal-ADR/medjazzjoni fil-qrati, (6) Pubblikazzjoni tal-evalwazzjonijiet dwar l-użu tal-ADR, (7) Pubblikazzjoni tal-istatistika dwar l-użu tal-ADR, (8) L-għajnuna legali tkopri l-ispejjeż (parz</w:t>
      </w:r>
      <w:r>
        <w:rPr>
          <w:rFonts w:ascii="Times New Roman" w:hAnsi="Times New Roman"/>
          <w:i/>
          <w:noProof/>
          <w:sz w:val="20"/>
        </w:rPr>
        <w:t>jali jew sħaħ) imġarrba għall-ADR, (9) Rifużjoni sħiħa jew parzjali tat-tariffi tal-qorti, inklużi t-taxxi tal-boll, jekk l-ADR tirnexxi, (10) Ma huwa meħtieġ l-ebda avukat għall-proċedura tal-ADR, (11) L-imħallef jista’ jaġixxi bħala medjatur, (12) Il-fte</w:t>
      </w:r>
      <w:r>
        <w:rPr>
          <w:rFonts w:ascii="Times New Roman" w:hAnsi="Times New Roman"/>
          <w:i/>
          <w:noProof/>
          <w:sz w:val="20"/>
        </w:rPr>
        <w:t xml:space="preserve">him milħuq mill-partijiet ikun jista’ jiġi eżegwit mill-qorti, (13) L-użu ta’ għodod elettroniċi sabiex tiġi solvuta t-tilwima permezz ta’ metodi tal-ADR. Għal kull wieħed minn dawn it-13-il indikatur, ingħata punt wieħed għal kull qasam tal-liġi. </w:t>
      </w:r>
      <w:r>
        <w:rPr>
          <w:rFonts w:ascii="Times New Roman" w:hAnsi="Times New Roman"/>
          <w:b/>
          <w:i/>
          <w:noProof/>
          <w:sz w:val="20"/>
        </w:rPr>
        <w:t>CZ:</w:t>
      </w:r>
      <w:r>
        <w:rPr>
          <w:rFonts w:ascii="Times New Roman" w:hAnsi="Times New Roman"/>
          <w:i/>
          <w:noProof/>
          <w:sz w:val="20"/>
        </w:rPr>
        <w:t xml:space="preserve"> id-d</w:t>
      </w:r>
      <w:r>
        <w:rPr>
          <w:rFonts w:ascii="Times New Roman" w:hAnsi="Times New Roman"/>
          <w:i/>
          <w:noProof/>
          <w:sz w:val="20"/>
        </w:rPr>
        <w:t xml:space="preserve">ata għal tilwim amministrattiv mhijiex disponibbli. </w:t>
      </w:r>
      <w:r>
        <w:rPr>
          <w:rFonts w:ascii="Times New Roman" w:hAnsi="Times New Roman"/>
          <w:b/>
          <w:i/>
          <w:noProof/>
          <w:sz w:val="20"/>
        </w:rPr>
        <w:t>DK:</w:t>
      </w:r>
      <w:r>
        <w:rPr>
          <w:rFonts w:ascii="Times New Roman" w:hAnsi="Times New Roman"/>
          <w:i/>
          <w:noProof/>
          <w:sz w:val="20"/>
        </w:rPr>
        <w:t xml:space="preserve"> kull qorti għandha ambaxxatur responsabbli għall-promozzjoni tal-użu tal-medjazzjoni. Il-qrati amministrattivi għandhom il-possibbiltà li jipproponu lill-partijiet sabiex jirrikorru għall-medjazzjoni.</w:t>
      </w:r>
      <w:r>
        <w:rPr>
          <w:rFonts w:ascii="Times New Roman" w:hAnsi="Times New Roman"/>
          <w:i/>
          <w:noProof/>
          <w:sz w:val="20"/>
        </w:rPr>
        <w:t xml:space="preserve"> </w:t>
      </w:r>
      <w:r>
        <w:rPr>
          <w:rFonts w:ascii="Times New Roman" w:hAnsi="Times New Roman"/>
          <w:b/>
          <w:i/>
          <w:noProof/>
          <w:sz w:val="20"/>
        </w:rPr>
        <w:t>IE:</w:t>
      </w:r>
      <w:r>
        <w:rPr>
          <w:rFonts w:ascii="Times New Roman" w:hAnsi="Times New Roman"/>
          <w:i/>
          <w:noProof/>
          <w:sz w:val="20"/>
        </w:rPr>
        <w:t xml:space="preserve"> il-kawżi amministrattivi huma inklużi fil-kategorija tal-kawżi ċivili u kummerċjali. </w:t>
      </w:r>
      <w:r>
        <w:rPr>
          <w:rFonts w:ascii="Times New Roman" w:hAnsi="Times New Roman"/>
          <w:b/>
          <w:i/>
          <w:noProof/>
          <w:sz w:val="20"/>
        </w:rPr>
        <w:t>EL:</w:t>
      </w:r>
      <w:r>
        <w:rPr>
          <w:rFonts w:ascii="Times New Roman" w:hAnsi="Times New Roman"/>
          <w:i/>
          <w:noProof/>
          <w:sz w:val="20"/>
        </w:rPr>
        <w:t xml:space="preserve"> l-ADR teżisti fil-qasam tal-proċedura tal-akkwist pubbliku quddiem il-Qrati Amministrattivi tal-Appell.</w:t>
      </w:r>
      <w:r>
        <w:rPr>
          <w:rFonts w:ascii="Times New Roman" w:hAnsi="Times New Roman"/>
          <w:b/>
          <w:i/>
          <w:noProof/>
          <w:sz w:val="20"/>
        </w:rPr>
        <w:t xml:space="preserve"> ES:</w:t>
      </w:r>
      <w:r>
        <w:rPr>
          <w:rFonts w:ascii="Times New Roman" w:hAnsi="Times New Roman"/>
          <w:i/>
          <w:noProof/>
          <w:sz w:val="20"/>
        </w:rPr>
        <w:t xml:space="preserve"> l-ADR hija obbligatorja fil-kawżi dwar il-liġi dwar ix</w:t>
      </w:r>
      <w:r>
        <w:rPr>
          <w:rFonts w:ascii="Times New Roman" w:hAnsi="Times New Roman"/>
          <w:i/>
          <w:noProof/>
          <w:sz w:val="20"/>
        </w:rPr>
        <w:t xml:space="preserve">-xogħol. </w:t>
      </w:r>
      <w:r>
        <w:rPr>
          <w:rFonts w:ascii="Times New Roman" w:hAnsi="Times New Roman"/>
          <w:b/>
          <w:i/>
          <w:noProof/>
          <w:sz w:val="20"/>
        </w:rPr>
        <w:t>LT:</w:t>
      </w:r>
      <w:r>
        <w:rPr>
          <w:rFonts w:ascii="Times New Roman" w:hAnsi="Times New Roman"/>
          <w:i/>
          <w:noProof/>
          <w:sz w:val="20"/>
        </w:rPr>
        <w:t xml:space="preserve"> segretarju fl-Amministrazzjoni tal-Qrati Nazzjonali jikkoordina l-proċessi ġudizzjarji tal-medjazzjoni fil-qrati. </w:t>
      </w:r>
      <w:r>
        <w:rPr>
          <w:rFonts w:ascii="Times New Roman" w:hAnsi="Times New Roman"/>
          <w:b/>
          <w:i/>
          <w:noProof/>
          <w:sz w:val="20"/>
        </w:rPr>
        <w:t>PT:</w:t>
      </w:r>
      <w:r>
        <w:rPr>
          <w:rFonts w:ascii="Times New Roman" w:hAnsi="Times New Roman"/>
          <w:i/>
          <w:noProof/>
          <w:sz w:val="20"/>
        </w:rPr>
        <w:t xml:space="preserve"> għat-tilwim ċivili/kummerċjali, it-tariffi tal-qorti jiġu rifużi biss fil-każ tal-Kummissarji tal-Ġustizzja. </w:t>
      </w:r>
      <w:r>
        <w:rPr>
          <w:rFonts w:ascii="Times New Roman" w:hAnsi="Times New Roman"/>
          <w:b/>
          <w:i/>
          <w:noProof/>
          <w:sz w:val="20"/>
        </w:rPr>
        <w:t>SK:</w:t>
      </w:r>
      <w:r>
        <w:rPr>
          <w:rFonts w:ascii="Times New Roman" w:hAnsi="Times New Roman"/>
          <w:i/>
          <w:noProof/>
          <w:sz w:val="20"/>
        </w:rPr>
        <w:t xml:space="preserve"> l-ordni ġuri</w:t>
      </w:r>
      <w:r>
        <w:rPr>
          <w:rFonts w:ascii="Times New Roman" w:hAnsi="Times New Roman"/>
          <w:i/>
          <w:noProof/>
          <w:sz w:val="20"/>
        </w:rPr>
        <w:t xml:space="preserve">diku Slovakk ma jappoġġjax l-użu tal-ADR għal skopijiet amministrattivi. </w:t>
      </w:r>
      <w:r>
        <w:rPr>
          <w:rFonts w:ascii="Times New Roman" w:hAnsi="Times New Roman"/>
          <w:b/>
          <w:i/>
          <w:noProof/>
          <w:sz w:val="20"/>
        </w:rPr>
        <w:t>SE:</w:t>
      </w:r>
      <w:r>
        <w:rPr>
          <w:rFonts w:ascii="Times New Roman" w:hAnsi="Times New Roman"/>
          <w:i/>
          <w:noProof/>
          <w:sz w:val="20"/>
        </w:rPr>
        <w:t xml:space="preserve"> l-imħallfin għandhom diskrezzjoni proċedurali dwar l-ADR. It-tfittxija ta’ ftehim bonarju dwar it-tilwima hija kompitu obbligatorju għall-imħallef għajr jekk din ma tkunx xierqa m</w:t>
      </w:r>
      <w:r>
        <w:rPr>
          <w:rFonts w:ascii="Times New Roman" w:hAnsi="Times New Roman"/>
          <w:i/>
          <w:noProof/>
          <w:sz w:val="20"/>
        </w:rPr>
        <w:t>inħabba n-natura tal-każ.</w:t>
      </w:r>
      <w:bookmarkStart w:id="363" w:name="_Toc438545678"/>
      <w:bookmarkStart w:id="364" w:name="_Toc438548328"/>
      <w:bookmarkStart w:id="365" w:name="_Toc438548514"/>
      <w:bookmarkStart w:id="366" w:name="_Toc440010581"/>
      <w:bookmarkStart w:id="367" w:name="_Toc440017700"/>
      <w:bookmarkStart w:id="368" w:name="_Toc440033382"/>
      <w:bookmarkStart w:id="369" w:name="_Toc440035233"/>
      <w:bookmarkStart w:id="370" w:name="_Toc440036528"/>
      <w:bookmarkStart w:id="371" w:name="_Toc440042470"/>
      <w:bookmarkStart w:id="372" w:name="_Toc440291123"/>
      <w:bookmarkStart w:id="373" w:name="_Toc440294686"/>
      <w:bookmarkStart w:id="374" w:name="_Toc440295188"/>
      <w:bookmarkStart w:id="375" w:name="_Toc440296593"/>
      <w:bookmarkStart w:id="376" w:name="_Toc440625077"/>
      <w:bookmarkStart w:id="377" w:name="_Toc440626407"/>
      <w:bookmarkStart w:id="378" w:name="_Toc440628861"/>
      <w:bookmarkStart w:id="379" w:name="_Toc441571134"/>
      <w:bookmarkStart w:id="380" w:name="_Toc441581636"/>
      <w:bookmarkStart w:id="381" w:name="_Toc441585903"/>
      <w:bookmarkStart w:id="382" w:name="_Toc441595838"/>
      <w:bookmarkStart w:id="383" w:name="_Toc441596015"/>
      <w:bookmarkStart w:id="384" w:name="_Toc441748140"/>
      <w:bookmarkStart w:id="385" w:name="_Toc441755425"/>
      <w:bookmarkStart w:id="386" w:name="_Toc441756462"/>
      <w:bookmarkStart w:id="387" w:name="_Toc441757506"/>
      <w:bookmarkStart w:id="388" w:name="_Toc441766635"/>
      <w:bookmarkStart w:id="389" w:name="_Toc441766974"/>
      <w:r>
        <w:rPr>
          <w:rFonts w:ascii="Times New Roman" w:hAnsi="Times New Roman"/>
          <w:i/>
          <w:noProof/>
          <w:sz w:val="20"/>
        </w:rPr>
        <w:t xml:space="preserve"> </w:t>
      </w:r>
    </w:p>
    <w:p w:rsidR="00461018" w:rsidRDefault="000329C3">
      <w:pPr>
        <w:jc w:val="both"/>
        <w:rPr>
          <w:rFonts w:ascii="Times New Roman" w:eastAsia="Calibri" w:hAnsi="Times New Roman" w:cs="Times New Roman"/>
          <w:i/>
          <w:noProof/>
          <w:sz w:val="24"/>
        </w:rPr>
      </w:pPr>
      <w:r>
        <w:rPr>
          <w:noProof/>
        </w:rPr>
        <w:br w:type="page"/>
      </w:r>
    </w:p>
    <w:p w:rsidR="00461018" w:rsidRDefault="000329C3">
      <w:pPr>
        <w:spacing w:before="240" w:after="120" w:line="240" w:lineRule="auto"/>
        <w:ind w:left="40"/>
        <w:jc w:val="both"/>
        <w:rPr>
          <w:rFonts w:ascii="Times New Roman" w:eastAsia="Calibri" w:hAnsi="Times New Roman" w:cs="Times New Roman"/>
          <w:i/>
          <w:noProof/>
          <w:sz w:val="24"/>
        </w:rPr>
      </w:pPr>
      <w:r>
        <w:rPr>
          <w:rFonts w:ascii="Times New Roman" w:hAnsi="Times New Roman"/>
          <w:i/>
          <w:noProof/>
          <w:sz w:val="24"/>
        </w:rPr>
        <w:t xml:space="preserve">– Ġustizzja adattata għat-tfal – </w:t>
      </w:r>
    </w:p>
    <w:p w:rsidR="00461018" w:rsidRDefault="000329C3">
      <w:pPr>
        <w:spacing w:after="0" w:line="240" w:lineRule="auto"/>
        <w:ind w:left="40"/>
        <w:jc w:val="both"/>
        <w:rPr>
          <w:rFonts w:ascii="Times New Roman" w:eastAsia="Calibri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L-Illustrazzjoni 31 turi d-diversi arranġamenti fl-Istati Membri li jagħmlu s-sistema tal-ġustizzja aktar aċċessibbli għat-tfal u xierqa għall-ħtiġijiet tagħhom, pereżempju billi tipprovdi informazzjoni adattata għat-tfal dwar il-proċedimenti jew tieħu miż</w:t>
      </w:r>
      <w:r>
        <w:rPr>
          <w:rFonts w:ascii="Times New Roman" w:hAnsi="Times New Roman"/>
          <w:noProof/>
          <w:sz w:val="24"/>
        </w:rPr>
        <w:t xml:space="preserve">uri sabiex tipprevjeni milli t-tfal ikollhom jattendu diversi seduti. </w:t>
      </w:r>
    </w:p>
    <w:p w:rsidR="00461018" w:rsidRDefault="00461018">
      <w:pPr>
        <w:spacing w:after="0" w:line="240" w:lineRule="auto"/>
        <w:ind w:left="40"/>
        <w:jc w:val="both"/>
        <w:rPr>
          <w:rFonts w:ascii="Times New Roman" w:eastAsia="Calibri" w:hAnsi="Times New Roman" w:cs="Times New Roman"/>
          <w:i/>
          <w:noProof/>
          <w:sz w:val="24"/>
        </w:rPr>
      </w:pPr>
    </w:p>
    <w:p w:rsidR="00461018" w:rsidRDefault="000329C3">
      <w:pPr>
        <w:keepNext/>
        <w:spacing w:before="240" w:after="120" w:line="240" w:lineRule="auto"/>
        <w:ind w:left="40"/>
        <w:jc w:val="both"/>
        <w:rPr>
          <w:rFonts w:ascii="Times New Roman" w:eastAsia="Calibri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 \* MERGEFORMAT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31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: Ġustizzja adattata għat-tfal, 2019 </w:t>
      </w:r>
      <w:r>
        <w:rPr>
          <w:rFonts w:ascii="Times New Roman" w:hAnsi="Times New Roman"/>
          <w:noProof/>
          <w:sz w:val="24"/>
          <w:szCs w:val="24"/>
        </w:rPr>
        <w:t>(</w:t>
      </w:r>
      <w:r>
        <w:rPr>
          <w:noProof/>
          <w:sz w:val="24"/>
          <w:szCs w:val="24"/>
        </w:rPr>
        <w:t>*</w:t>
      </w:r>
      <w:r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>(sors: il-Kummissjoni Ewropea (</w:t>
      </w:r>
      <w:r>
        <w:rPr>
          <w:rFonts w:ascii="Times New Roman" w:eastAsia="Calibri" w:hAnsi="Times New Roman" w:cs="Times New Roman"/>
          <w:i/>
          <w:iCs/>
          <w:noProof/>
          <w:sz w:val="24"/>
          <w:szCs w:val="24"/>
          <w:vertAlign w:val="superscript"/>
        </w:rPr>
        <w:footnoteReference w:id="73"/>
      </w:r>
      <w:r>
        <w:rPr>
          <w:rFonts w:ascii="Times New Roman" w:hAnsi="Times New Roman"/>
          <w:i/>
          <w:iCs/>
          <w:noProof/>
          <w:sz w:val="24"/>
          <w:szCs w:val="24"/>
        </w:rPr>
        <w:t>))</w:t>
      </w:r>
    </w:p>
    <w:p w:rsidR="00461018" w:rsidRDefault="000329C3">
      <w:pPr>
        <w:keepNext/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4"/>
        </w:rPr>
      </w:pPr>
      <w:r>
        <w:rPr>
          <w:noProof/>
          <w:lang w:val="en-GB" w:eastAsia="en-GB"/>
        </w:rPr>
        <w:drawing>
          <wp:inline distT="0" distB="0" distL="0" distR="0">
            <wp:extent cx="6127667" cy="450562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667" cy="450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keepNext/>
        <w:tabs>
          <w:tab w:val="left" w:pos="850"/>
        </w:tabs>
        <w:spacing w:before="240" w:after="120" w:line="240" w:lineRule="auto"/>
        <w:ind w:left="850" w:hanging="850"/>
        <w:jc w:val="both"/>
        <w:outlineLvl w:val="2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bookmarkStart w:id="390" w:name="_Toc442187975"/>
      <w:bookmarkStart w:id="391" w:name="_Toc442262067"/>
      <w:bookmarkStart w:id="392" w:name="_Toc442362474"/>
      <w:bookmarkStart w:id="393" w:name="_Toc442374810"/>
      <w:bookmarkStart w:id="394" w:name="_Toc442425950"/>
      <w:bookmarkStart w:id="395" w:name="_Toc442453076"/>
      <w:bookmarkStart w:id="396" w:name="_Toc443484534"/>
      <w:bookmarkStart w:id="397" w:name="_Toc443484756"/>
      <w:bookmarkStart w:id="398" w:name="_Toc443509497"/>
      <w:bookmarkStart w:id="399" w:name="_Toc446014826"/>
      <w:r>
        <w:rPr>
          <w:rFonts w:ascii="Times New Roman" w:hAnsi="Times New Roman"/>
          <w:b/>
          <w:noProof/>
          <w:sz w:val="24"/>
          <w:szCs w:val="24"/>
        </w:rPr>
        <w:t>3.2.2. Riżorsi</w:t>
      </w:r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Riżorsi suffiċjenti, li jinkludu </w:t>
      </w:r>
      <w:r>
        <w:rPr>
          <w:rFonts w:ascii="Times New Roman" w:hAnsi="Times New Roman"/>
          <w:noProof/>
          <w:sz w:val="24"/>
        </w:rPr>
        <w:t>l-investimenti neċessarji fl-infrastruttura fiżika u teknika, u persunal tal-kategoriji kollha li huwa kwalifikat sew, imħarreġ u mħallas b’mod adegwat, huma neċessarji għall-funzjonament tajjeb tas-sistema ġuridika. Mingħajr għadd suffiċjenti ta’ faċilita</w:t>
      </w:r>
      <w:r>
        <w:rPr>
          <w:rFonts w:ascii="Times New Roman" w:hAnsi="Times New Roman"/>
          <w:noProof/>
          <w:sz w:val="24"/>
        </w:rPr>
        <w:t>jiet, ta’ għodod jew ta’ persunal bil-kwalifiki u bil-ħiliet meħtieġa u b’aċċess għal taħriġ kontinwu, il-kwalità tal-proċedimenti u tad-deċiżjonijiet ikunu f’riskju.</w:t>
      </w:r>
    </w:p>
    <w:p w:rsidR="00461018" w:rsidRDefault="000329C3">
      <w:pPr>
        <w:spacing w:before="240" w:after="120" w:line="240" w:lineRule="auto"/>
        <w:jc w:val="both"/>
        <w:rPr>
          <w:rFonts w:ascii="Times New Roman" w:eastAsia="Calibri" w:hAnsi="Times New Roman" w:cs="Times New Roman"/>
          <w:i/>
          <w:noProof/>
          <w:sz w:val="24"/>
        </w:rPr>
      </w:pPr>
      <w:r>
        <w:rPr>
          <w:rFonts w:ascii="Times New Roman" w:hAnsi="Times New Roman"/>
          <w:i/>
          <w:noProof/>
        </w:rPr>
        <w:t>–</w:t>
      </w:r>
      <w:r>
        <w:rPr>
          <w:rFonts w:ascii="Times New Roman" w:hAnsi="Times New Roman"/>
          <w:i/>
          <w:noProof/>
          <w:sz w:val="24"/>
        </w:rPr>
        <w:t xml:space="preserve"> </w:t>
      </w:r>
      <w:r>
        <w:rPr>
          <w:rFonts w:ascii="Times New Roman" w:hAnsi="Times New Roman"/>
          <w:i/>
          <w:noProof/>
        </w:rPr>
        <w:t>Riżorsi finanzjarji –</w:t>
      </w:r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  <w:szCs w:val="24"/>
        </w:rPr>
        <w:t>L-illustrazzjonijiet ta’ hawn taħt juru n-nefqa reali tal-gvern f</w:t>
      </w:r>
      <w:r>
        <w:rPr>
          <w:rFonts w:ascii="Times New Roman" w:hAnsi="Times New Roman"/>
          <w:noProof/>
          <w:sz w:val="24"/>
          <w:szCs w:val="24"/>
        </w:rPr>
        <w:t>uq it-tħaddim tas-sistema tal-ġustizzja (ħlief għall-ħabsijiet), kemm għal kull abitant (Illustrazzjoni 32) kif ukoll bħala sehem mill-prodott domestiku gross (PDG) (Illustrazzjoni 33), u, fl-aħħar nett, il-kategoriji ewlenin tan-nefqa fuq il-qrati (Illust</w:t>
      </w:r>
      <w:r>
        <w:rPr>
          <w:rFonts w:ascii="Times New Roman" w:hAnsi="Times New Roman"/>
          <w:noProof/>
          <w:sz w:val="24"/>
          <w:szCs w:val="24"/>
        </w:rPr>
        <w:t>razzjoni 34) (</w:t>
      </w: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footnoteReference w:id="74"/>
      </w:r>
      <w:r>
        <w:rPr>
          <w:rFonts w:ascii="Times New Roman" w:hAnsi="Times New Roman"/>
          <w:noProof/>
          <w:sz w:val="24"/>
          <w:szCs w:val="24"/>
        </w:rPr>
        <w:t>).</w:t>
      </w:r>
      <w:bookmarkStart w:id="400" w:name="_Ref441218579"/>
    </w:p>
    <w:p w:rsidR="00461018" w:rsidRDefault="000329C3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Illustrazzjoni</w:t>
      </w:r>
      <w:bookmarkEnd w:id="400"/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 \* MERGEFORMAT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32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: In-nefqa totali tal-gvern estiż fuq il-qrati, 2012, 2016-2018 </w:t>
      </w:r>
      <w:r>
        <w:rPr>
          <w:rFonts w:ascii="Times New Roman" w:hAnsi="Times New Roman"/>
          <w:noProof/>
          <w:sz w:val="24"/>
          <w:szCs w:val="24"/>
        </w:rPr>
        <w:t>(</w:t>
      </w:r>
      <w:r>
        <w:rPr>
          <w:noProof/>
          <w:sz w:val="24"/>
          <w:szCs w:val="24"/>
        </w:rPr>
        <w:t>*</w:t>
      </w:r>
      <w:r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>(f’EUR għal kull abitant) (sors: il-Eurostat)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rFonts w:ascii="Times New Roman" w:hAnsi="Times New Roman"/>
          <w:i/>
          <w:noProof/>
          <w:sz w:val="20"/>
          <w:lang w:val="en-GB" w:eastAsia="en-GB"/>
        </w:rPr>
        <w:drawing>
          <wp:inline distT="0" distB="0" distL="0" distR="0">
            <wp:extent cx="5976000" cy="2482833"/>
            <wp:effectExtent l="0" t="0" r="5715" b="0"/>
            <wp:docPr id="97294" name="Picture 97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2482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rFonts w:ascii="Times New Roman" w:hAnsi="Times New Roman"/>
          <w:i/>
          <w:noProof/>
          <w:sz w:val="20"/>
        </w:rPr>
        <w:t xml:space="preserve">(*) L-Istati Membri huma f’ordni skont in-nefqa tagħhom fl-2018 (mill-ogħla għall-anqas). Id-data tal-2018 għal </w:t>
      </w:r>
      <w:r>
        <w:rPr>
          <w:rFonts w:ascii="Times New Roman" w:hAnsi="Times New Roman"/>
          <w:b/>
          <w:i/>
          <w:noProof/>
          <w:sz w:val="20"/>
        </w:rPr>
        <w:t>ES</w:t>
      </w:r>
      <w:r>
        <w:rPr>
          <w:rFonts w:ascii="Times New Roman" w:hAnsi="Times New Roman"/>
          <w:i/>
          <w:noProof/>
          <w:sz w:val="20"/>
        </w:rPr>
        <w:t xml:space="preserve">, </w:t>
      </w:r>
      <w:r>
        <w:rPr>
          <w:rFonts w:ascii="Times New Roman" w:hAnsi="Times New Roman"/>
          <w:b/>
          <w:i/>
          <w:noProof/>
          <w:sz w:val="20"/>
        </w:rPr>
        <w:t>FR</w:t>
      </w:r>
      <w:r>
        <w:rPr>
          <w:rFonts w:ascii="Times New Roman" w:hAnsi="Times New Roman"/>
          <w:i/>
          <w:noProof/>
          <w:sz w:val="20"/>
        </w:rPr>
        <w:t xml:space="preserve">, </w:t>
      </w:r>
      <w:r>
        <w:rPr>
          <w:rFonts w:ascii="Times New Roman" w:hAnsi="Times New Roman"/>
          <w:b/>
          <w:i/>
          <w:noProof/>
          <w:sz w:val="20"/>
        </w:rPr>
        <w:t>HR</w:t>
      </w:r>
      <w:r>
        <w:rPr>
          <w:rFonts w:ascii="Times New Roman" w:hAnsi="Times New Roman"/>
          <w:i/>
          <w:noProof/>
          <w:sz w:val="20"/>
        </w:rPr>
        <w:t xml:space="preserve">, </w:t>
      </w:r>
      <w:r>
        <w:rPr>
          <w:rFonts w:ascii="Times New Roman" w:hAnsi="Times New Roman"/>
          <w:b/>
          <w:i/>
          <w:noProof/>
          <w:sz w:val="20"/>
        </w:rPr>
        <w:t xml:space="preserve">PT </w:t>
      </w:r>
      <w:r>
        <w:rPr>
          <w:rFonts w:ascii="Times New Roman" w:hAnsi="Times New Roman"/>
          <w:i/>
          <w:noProof/>
          <w:sz w:val="20"/>
        </w:rPr>
        <w:t xml:space="preserve">u </w:t>
      </w:r>
      <w:r>
        <w:rPr>
          <w:rFonts w:ascii="Times New Roman" w:hAnsi="Times New Roman"/>
          <w:b/>
          <w:i/>
          <w:noProof/>
          <w:sz w:val="20"/>
        </w:rPr>
        <w:t>SK</w:t>
      </w:r>
      <w:r>
        <w:rPr>
          <w:rFonts w:ascii="Times New Roman" w:hAnsi="Times New Roman"/>
          <w:i/>
          <w:noProof/>
          <w:sz w:val="20"/>
        </w:rPr>
        <w:t xml:space="preserve"> hija proviżorja. </w:t>
      </w:r>
    </w:p>
    <w:p w:rsidR="00461018" w:rsidRDefault="000329C3">
      <w:pPr>
        <w:keepNext/>
        <w:spacing w:before="240" w:after="120" w:line="240" w:lineRule="auto"/>
        <w:jc w:val="both"/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instrText xml:space="preserve"> SEQ Figure \* ARABIC  \* MERGEFORMAT </w:instrTex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33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: In-nefqa totali tal-gvern estiż fuq il-qrati, 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2012, 2016-2018 </w:t>
      </w:r>
      <w:r>
        <w:rPr>
          <w:rFonts w:ascii="Times New Roman" w:hAnsi="Times New Roman"/>
          <w:noProof/>
          <w:sz w:val="24"/>
          <w:szCs w:val="24"/>
        </w:rPr>
        <w:t>(</w:t>
      </w:r>
      <w:r>
        <w:rPr>
          <w:noProof/>
          <w:sz w:val="24"/>
          <w:szCs w:val="24"/>
        </w:rPr>
        <w:t>*</w:t>
      </w:r>
      <w:r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>(bħala perċentwal tal-PDG) (sors: il-Eurostat)</w:t>
      </w:r>
      <w:bookmarkStart w:id="401" w:name="_Ref440969342"/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rFonts w:ascii="Times New Roman" w:hAnsi="Times New Roman"/>
          <w:i/>
          <w:noProof/>
          <w:sz w:val="20"/>
          <w:lang w:val="en-GB" w:eastAsia="en-GB"/>
        </w:rPr>
        <w:drawing>
          <wp:inline distT="0" distB="0" distL="0" distR="0">
            <wp:extent cx="5976000" cy="2482833"/>
            <wp:effectExtent l="0" t="0" r="5715" b="0"/>
            <wp:docPr id="97295" name="Picture 97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2482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noProof/>
        </w:rPr>
      </w:pPr>
      <w:r>
        <w:rPr>
          <w:rFonts w:ascii="Times New Roman" w:hAnsi="Times New Roman"/>
          <w:i/>
          <w:noProof/>
          <w:sz w:val="20"/>
        </w:rPr>
        <w:t xml:space="preserve">(*) L-Istati Membri huma f’ordni skont in-nefqa tagħhom fl-2018 (mill-ogħla għall-anqas). Id-data tal-2018 għal </w:t>
      </w:r>
      <w:r>
        <w:rPr>
          <w:rFonts w:ascii="Times New Roman" w:hAnsi="Times New Roman"/>
          <w:b/>
          <w:i/>
          <w:noProof/>
          <w:sz w:val="20"/>
        </w:rPr>
        <w:t>ES</w:t>
      </w:r>
      <w:r>
        <w:rPr>
          <w:rFonts w:ascii="Times New Roman" w:hAnsi="Times New Roman"/>
          <w:i/>
          <w:noProof/>
          <w:sz w:val="20"/>
        </w:rPr>
        <w:t xml:space="preserve">, </w:t>
      </w:r>
      <w:r>
        <w:rPr>
          <w:rFonts w:ascii="Times New Roman" w:hAnsi="Times New Roman"/>
          <w:b/>
          <w:i/>
          <w:noProof/>
          <w:sz w:val="20"/>
        </w:rPr>
        <w:t>FR</w:t>
      </w:r>
      <w:r>
        <w:rPr>
          <w:rFonts w:ascii="Times New Roman" w:hAnsi="Times New Roman"/>
          <w:i/>
          <w:noProof/>
          <w:sz w:val="20"/>
        </w:rPr>
        <w:t xml:space="preserve">, </w:t>
      </w:r>
      <w:r>
        <w:rPr>
          <w:rFonts w:ascii="Times New Roman" w:hAnsi="Times New Roman"/>
          <w:b/>
          <w:i/>
          <w:noProof/>
          <w:sz w:val="20"/>
        </w:rPr>
        <w:t>HR</w:t>
      </w:r>
      <w:r>
        <w:rPr>
          <w:rFonts w:ascii="Times New Roman" w:hAnsi="Times New Roman"/>
          <w:i/>
          <w:noProof/>
          <w:sz w:val="20"/>
        </w:rPr>
        <w:t xml:space="preserve">, </w:t>
      </w:r>
      <w:r>
        <w:rPr>
          <w:rFonts w:ascii="Times New Roman" w:hAnsi="Times New Roman"/>
          <w:b/>
          <w:i/>
          <w:noProof/>
          <w:sz w:val="20"/>
        </w:rPr>
        <w:t xml:space="preserve">PT </w:t>
      </w:r>
      <w:r>
        <w:rPr>
          <w:rFonts w:ascii="Times New Roman" w:hAnsi="Times New Roman"/>
          <w:i/>
          <w:noProof/>
          <w:sz w:val="20"/>
        </w:rPr>
        <w:t xml:space="preserve">u </w:t>
      </w:r>
      <w:r>
        <w:rPr>
          <w:rFonts w:ascii="Times New Roman" w:hAnsi="Times New Roman"/>
          <w:b/>
          <w:i/>
          <w:noProof/>
          <w:sz w:val="20"/>
        </w:rPr>
        <w:t>SK</w:t>
      </w:r>
      <w:r>
        <w:rPr>
          <w:rFonts w:ascii="Times New Roman" w:hAnsi="Times New Roman"/>
          <w:i/>
          <w:noProof/>
          <w:sz w:val="20"/>
        </w:rPr>
        <w:t xml:space="preserve"> hija proviżorja. 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</w:rPr>
      </w:pPr>
      <w:r>
        <w:rPr>
          <w:noProof/>
        </w:rPr>
        <w:br w:type="page"/>
      </w:r>
    </w:p>
    <w:bookmarkEnd w:id="401"/>
    <w:p w:rsidR="00461018" w:rsidRDefault="000329C3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noProof/>
        </w:rPr>
      </w:pPr>
      <w:r>
        <w:rPr>
          <w:rFonts w:ascii="Times New Roman" w:hAnsi="Times New Roman"/>
          <w:noProof/>
          <w:sz w:val="24"/>
          <w:szCs w:val="24"/>
        </w:rPr>
        <w:t xml:space="preserve">L-Illustrazzjoni 34 turi l-kategoriji ekonomiċi ewlenin li jifformaw in-nefqa tal-gvern fuq il-qrati: </w:t>
      </w:r>
      <w:r>
        <w:rPr>
          <w:rFonts w:ascii="Times New Roman" w:hAnsi="Times New Roman"/>
          <w:noProof/>
        </w:rPr>
        <w:t>(1) il-pagi u s-salarji tal-imħallfin u tal-persunal tal-qorti, inklużi l-kontribuzzjonijiet soċjali (“kumpens tal-impjegati” 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75"/>
      </w:r>
      <w:r>
        <w:rPr>
          <w:rFonts w:ascii="Times New Roman" w:hAnsi="Times New Roman"/>
          <w:noProof/>
        </w:rPr>
        <w:t>)), (2) il-kostijiet opera</w:t>
      </w:r>
      <w:r>
        <w:rPr>
          <w:rFonts w:ascii="Times New Roman" w:hAnsi="Times New Roman"/>
          <w:noProof/>
        </w:rPr>
        <w:t>torji għall-oġġetti u għas-servizzi li l-qrati jikkonsmaw bħal kirjiet tal-bini, oġġetti konsumabbli tal-uffiċċju, enerġija u għajnuna legali (“konsum intermedju” 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76"/>
      </w:r>
      <w:r>
        <w:rPr>
          <w:rFonts w:ascii="Times New Roman" w:hAnsi="Times New Roman"/>
          <w:noProof/>
        </w:rPr>
        <w:t>)), (3) investiment f’assi fissi, bħall-bini tal-qorti u s-software (“formazzjoni grossa ta</w:t>
      </w:r>
      <w:r>
        <w:rPr>
          <w:rFonts w:ascii="Times New Roman" w:hAnsi="Times New Roman"/>
          <w:noProof/>
        </w:rPr>
        <w:t>l-kapital fiss” (</w:t>
      </w:r>
      <w:r>
        <w:rPr>
          <w:rFonts w:ascii="Times New Roman" w:eastAsia="Calibri" w:hAnsi="Times New Roman" w:cs="Times New Roman"/>
          <w:noProof/>
          <w:sz w:val="24"/>
          <w:szCs w:val="24"/>
        </w:rPr>
        <w:footnoteReference w:id="77"/>
      </w:r>
      <w:r>
        <w:rPr>
          <w:rFonts w:ascii="Times New Roman" w:hAnsi="Times New Roman"/>
          <w:noProof/>
        </w:rPr>
        <w:t>)), u (4) nefqa oħra.</w:t>
      </w:r>
    </w:p>
    <w:p w:rsidR="00461018" w:rsidRDefault="000329C3">
      <w:pPr>
        <w:keepNext/>
        <w:spacing w:before="240" w:after="12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Illustrazzjoni </w: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instrText xml:space="preserve"> SEQ Figure \* ARABIC  \* MERGEFORMAT </w:instrTex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>34</w: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fldChar w:fldCharType="end"/>
      </w:r>
      <w:r>
        <w:rPr>
          <w:rFonts w:ascii="Times New Roman" w:hAnsi="Times New Roman"/>
          <w:b/>
          <w:noProof/>
          <w:sz w:val="24"/>
          <w:szCs w:val="24"/>
        </w:rPr>
        <w:t xml:space="preserve">: In-nefqa totali tal-gvern estiż fuq il-qrati skont il-kategorija (*) </w:t>
      </w:r>
      <w:r>
        <w:rPr>
          <w:rFonts w:ascii="Times New Roman" w:hAnsi="Times New Roman"/>
          <w:i/>
          <w:noProof/>
          <w:sz w:val="24"/>
          <w:szCs w:val="24"/>
        </w:rPr>
        <w:t>(fl-2018, bħala perċentwal tan-nefqa totali) (sors: il-Eurostat)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897505"/>
            <wp:effectExtent l="0" t="0" r="444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rFonts w:ascii="Times New Roman" w:hAnsi="Times New Roman"/>
          <w:i/>
          <w:noProof/>
          <w:sz w:val="20"/>
        </w:rPr>
        <w:t xml:space="preserve">(*) Id-data għal </w:t>
      </w:r>
      <w:r>
        <w:rPr>
          <w:rFonts w:ascii="Times New Roman" w:hAnsi="Times New Roman"/>
          <w:b/>
          <w:i/>
          <w:noProof/>
          <w:sz w:val="20"/>
        </w:rPr>
        <w:t>ES</w:t>
      </w:r>
      <w:r>
        <w:rPr>
          <w:rFonts w:ascii="Times New Roman" w:hAnsi="Times New Roman"/>
          <w:i/>
          <w:noProof/>
          <w:sz w:val="20"/>
        </w:rPr>
        <w:t xml:space="preserve"> , </w:t>
      </w:r>
      <w:r>
        <w:rPr>
          <w:rFonts w:ascii="Times New Roman" w:hAnsi="Times New Roman"/>
          <w:b/>
          <w:i/>
          <w:noProof/>
          <w:sz w:val="20"/>
        </w:rPr>
        <w:t>FR</w:t>
      </w:r>
      <w:r>
        <w:rPr>
          <w:rFonts w:ascii="Times New Roman" w:hAnsi="Times New Roman"/>
          <w:i/>
          <w:noProof/>
          <w:sz w:val="20"/>
        </w:rPr>
        <w:t xml:space="preserve"> , il-</w:t>
      </w:r>
      <w:r>
        <w:rPr>
          <w:rFonts w:ascii="Times New Roman" w:hAnsi="Times New Roman"/>
          <w:b/>
          <w:i/>
          <w:noProof/>
          <w:sz w:val="20"/>
        </w:rPr>
        <w:t>HR</w:t>
      </w:r>
      <w:r>
        <w:rPr>
          <w:rFonts w:ascii="Times New Roman" w:hAnsi="Times New Roman"/>
          <w:i/>
          <w:noProof/>
          <w:sz w:val="20"/>
        </w:rPr>
        <w:t xml:space="preserve"> u s-</w:t>
      </w:r>
      <w:r>
        <w:rPr>
          <w:rFonts w:ascii="Times New Roman" w:hAnsi="Times New Roman"/>
          <w:b/>
          <w:i/>
          <w:noProof/>
          <w:sz w:val="20"/>
        </w:rPr>
        <w:t>SK</w:t>
      </w:r>
      <w:r>
        <w:rPr>
          <w:rFonts w:ascii="Times New Roman" w:hAnsi="Times New Roman"/>
          <w:i/>
          <w:noProof/>
          <w:sz w:val="20"/>
        </w:rPr>
        <w:t xml:space="preserve"> hija proviżorja, id-data għall-</w:t>
      </w:r>
      <w:r>
        <w:rPr>
          <w:rFonts w:ascii="Times New Roman" w:hAnsi="Times New Roman"/>
          <w:b/>
          <w:i/>
          <w:noProof/>
          <w:sz w:val="20"/>
        </w:rPr>
        <w:t>PT</w:t>
      </w:r>
      <w:r>
        <w:rPr>
          <w:rFonts w:ascii="Times New Roman" w:hAnsi="Times New Roman"/>
          <w:i/>
          <w:noProof/>
          <w:sz w:val="20"/>
        </w:rPr>
        <w:t xml:space="preserve"> hija stmata. </w:t>
      </w:r>
    </w:p>
    <w:p w:rsidR="00461018" w:rsidRDefault="000329C3">
      <w:pPr>
        <w:spacing w:before="240" w:after="120" w:line="240" w:lineRule="auto"/>
        <w:jc w:val="both"/>
        <w:rPr>
          <w:rFonts w:ascii="Times New Roman" w:eastAsia="Calibri" w:hAnsi="Times New Roman" w:cs="Times New Roman"/>
          <w:noProof/>
          <w:sz w:val="24"/>
        </w:rPr>
      </w:pPr>
      <w:r>
        <w:rPr>
          <w:rFonts w:ascii="Times New Roman" w:hAnsi="Times New Roman"/>
          <w:i/>
          <w:noProof/>
        </w:rPr>
        <w:t>–</w:t>
      </w:r>
      <w:r>
        <w:rPr>
          <w:rFonts w:ascii="Times New Roman" w:hAnsi="Times New Roman"/>
          <w:i/>
          <w:noProof/>
          <w:sz w:val="24"/>
        </w:rPr>
        <w:t xml:space="preserve"> </w:t>
      </w:r>
      <w:r>
        <w:rPr>
          <w:rFonts w:ascii="Times New Roman" w:hAnsi="Times New Roman"/>
          <w:i/>
          <w:noProof/>
        </w:rPr>
        <w:t>Ir-riżorsi umani –</w:t>
      </w:r>
    </w:p>
    <w:p w:rsidR="00461018" w:rsidRDefault="000329C3">
      <w:pPr>
        <w:spacing w:before="120" w:after="120" w:line="240" w:lineRule="auto"/>
        <w:jc w:val="both"/>
        <w:rPr>
          <w:rFonts w:ascii="Times New Roman" w:eastAsia="Calibri" w:hAnsi="Times New Roman" w:cs="Times New Roman"/>
          <w:b/>
          <w:noProof/>
          <w:sz w:val="24"/>
        </w:rPr>
      </w:pPr>
      <w:r>
        <w:rPr>
          <w:rFonts w:ascii="Times New Roman" w:hAnsi="Times New Roman"/>
          <w:noProof/>
          <w:sz w:val="24"/>
        </w:rPr>
        <w:t>Riżorsi umani adegwati huma essenzjali għall-kwalità ta’ sistema ġudizzjarja. Id-diversità fost l-imħallfin, inkluż il-bilanċ bejn il-ġeneri, iżżid l-għarfien, il-ħil</w:t>
      </w:r>
      <w:r>
        <w:rPr>
          <w:rFonts w:ascii="Times New Roman" w:hAnsi="Times New Roman"/>
          <w:noProof/>
          <w:sz w:val="24"/>
        </w:rPr>
        <w:t>iet u l-esperjenza kumplimentari u tirrifletti r-realtà tas-soċjetà.</w:t>
      </w:r>
    </w:p>
    <w:p w:rsidR="00461018" w:rsidRDefault="000329C3">
      <w:pPr>
        <w:keepNext/>
        <w:spacing w:before="240" w:after="120" w:line="240" w:lineRule="auto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instrText xml:space="preserve"> SEQ Figure \* ARABIC  \* MERGEFORMAT </w:instrTex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35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: L-għadd ta’ mħallfin, 2012-2018 </w:t>
      </w:r>
      <w:r>
        <w:rPr>
          <w:rFonts w:ascii="Times New Roman" w:hAnsi="Times New Roman"/>
          <w:noProof/>
          <w:sz w:val="24"/>
          <w:szCs w:val="24"/>
        </w:rPr>
        <w:t>(</w:t>
      </w:r>
      <w:r>
        <w:rPr>
          <w:noProof/>
          <w:sz w:val="24"/>
          <w:szCs w:val="24"/>
        </w:rPr>
        <w:t>*</w:t>
      </w:r>
      <w:r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>(għal kull 100 000 abitant) (sors: studju tas-CEPEJ)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  <w:szCs w:val="20"/>
        </w:rPr>
      </w:pPr>
      <w:r>
        <w:rPr>
          <w:rFonts w:ascii="Times New Roman" w:hAnsi="Times New Roman"/>
          <w:i/>
          <w:noProof/>
          <w:sz w:val="20"/>
          <w:szCs w:val="20"/>
          <w:lang w:val="en-GB" w:eastAsia="en-GB"/>
        </w:rPr>
        <w:drawing>
          <wp:inline distT="0" distB="0" distL="0" distR="0">
            <wp:extent cx="5976000" cy="2658928"/>
            <wp:effectExtent l="0" t="0" r="5715" b="8255"/>
            <wp:docPr id="97300" name="Picture 97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2658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  <w:szCs w:val="20"/>
        </w:rPr>
      </w:pPr>
      <w:r>
        <w:rPr>
          <w:rFonts w:ascii="Times New Roman" w:hAnsi="Times New Roman"/>
          <w:i/>
          <w:noProof/>
          <w:sz w:val="20"/>
          <w:szCs w:val="20"/>
        </w:rPr>
        <w:t xml:space="preserve">(*) Din il-kategorija tikkonsisti minn imħallfin li jaħdmu fuq bażi full-time, skont il-metodoloġija tas-CEPEJ. Dan ma jinkludix Rechtspfleger/l-iskrivani tal-qorti li hemm f’ċerti Stati Membri. </w:t>
      </w:r>
      <w:r>
        <w:rPr>
          <w:rFonts w:ascii="Times New Roman" w:hAnsi="Times New Roman"/>
          <w:b/>
          <w:i/>
          <w:noProof/>
          <w:sz w:val="20"/>
          <w:szCs w:val="20"/>
        </w:rPr>
        <w:t>AT:</w:t>
      </w:r>
      <w:r>
        <w:rPr>
          <w:rFonts w:ascii="Times New Roman" w:hAnsi="Times New Roman"/>
          <w:i/>
          <w:noProof/>
          <w:sz w:val="20"/>
          <w:szCs w:val="20"/>
        </w:rPr>
        <w:t xml:space="preserve"> Għaċ-ċiklu tal-2016 ġiet introdotta għall-ewwel darba d-d</w:t>
      </w:r>
      <w:r>
        <w:rPr>
          <w:rFonts w:ascii="Times New Roman" w:hAnsi="Times New Roman"/>
          <w:i/>
          <w:noProof/>
          <w:sz w:val="20"/>
          <w:szCs w:val="20"/>
        </w:rPr>
        <w:t xml:space="preserve">ata dwar il-ġustizzja amministrattiva. </w:t>
      </w:r>
      <w:r>
        <w:rPr>
          <w:rFonts w:ascii="Times New Roman" w:hAnsi="Times New Roman"/>
          <w:b/>
          <w:i/>
          <w:noProof/>
          <w:sz w:val="20"/>
        </w:rPr>
        <w:t>EL:</w:t>
      </w:r>
      <w:r>
        <w:rPr>
          <w:rFonts w:ascii="Times New Roman" w:hAnsi="Times New Roman"/>
          <w:i/>
          <w:noProof/>
          <w:sz w:val="20"/>
        </w:rPr>
        <w:t xml:space="preserve"> l-għadd totali ta’ mħallfin jinkludi l-kategoriji differenti matul is-snin kif muri hawn fuq, li parzjalment jispjega l-varjazzjoni tagħhom. Sa mill-2016, id-data fuq l-għadd ta’ mħallfin professjonali tinkludi l-</w:t>
      </w:r>
      <w:r>
        <w:rPr>
          <w:rFonts w:ascii="Times New Roman" w:hAnsi="Times New Roman"/>
          <w:i/>
          <w:noProof/>
          <w:sz w:val="20"/>
        </w:rPr>
        <w:t xml:space="preserve">gradi kollha għall-ġustizzja kriminali u politika kif ukoll l-imħallfin amministrattivi. </w:t>
      </w:r>
      <w:r>
        <w:rPr>
          <w:rFonts w:ascii="Times New Roman" w:hAnsi="Times New Roman"/>
          <w:b/>
          <w:i/>
          <w:noProof/>
          <w:sz w:val="20"/>
        </w:rPr>
        <w:t xml:space="preserve">IT: </w:t>
      </w:r>
      <w:r>
        <w:rPr>
          <w:rFonts w:ascii="Times New Roman" w:hAnsi="Times New Roman"/>
          <w:i/>
          <w:noProof/>
          <w:sz w:val="20"/>
        </w:rPr>
        <w:t xml:space="preserve">Il-kummissjonijiet tal-awditjar reġjonali, il-kummissjonijiet tat-taxxa lokali, u l-qrati militari mhumiex ikkunsidrati. </w:t>
      </w:r>
      <w:r>
        <w:rPr>
          <w:rFonts w:ascii="Times New Roman" w:hAnsi="Times New Roman"/>
          <w:b/>
          <w:i/>
          <w:noProof/>
          <w:sz w:val="20"/>
        </w:rPr>
        <w:t>LU:</w:t>
      </w:r>
      <w:r>
        <w:rPr>
          <w:rFonts w:ascii="Times New Roman" w:hAnsi="Times New Roman"/>
          <w:i/>
          <w:noProof/>
          <w:sz w:val="20"/>
        </w:rPr>
        <w:t xml:space="preserve"> in-numri ġew riveduti abbażi ta’ metodoloġija mtejba.</w:t>
      </w:r>
    </w:p>
    <w:p w:rsidR="00461018" w:rsidRDefault="000329C3">
      <w:pPr>
        <w:spacing w:before="240" w:after="120" w:line="240" w:lineRule="auto"/>
        <w:jc w:val="both"/>
        <w:rPr>
          <w:rFonts w:ascii="Times New Roman" w:eastAsia="Calibri" w:hAnsi="Times New Roman" w:cs="Times New Roman"/>
          <w:i/>
          <w:iCs/>
          <w:noProof/>
          <w:color w:val="000000"/>
          <w:sz w:val="24"/>
          <w:szCs w:val="24"/>
        </w:rPr>
      </w:pPr>
      <w:bookmarkStart w:id="402" w:name="_Ref441218695"/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t xml:space="preserve">Illustrazzjoni 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instrText xml:space="preserve"> SEQ Figure \* ARABIC  \* MERGEFORMAT  \* MERGEFORMAT </w:instrTex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36</w:t>
      </w:r>
      <w:r>
        <w:rPr>
          <w:noProof/>
        </w:rPr>
        <w:fldChar w:fldCharType="end"/>
      </w:r>
      <w:bookmarkStart w:id="403" w:name="_Toc409530229"/>
      <w:bookmarkEnd w:id="402"/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t xml:space="preserve">: Proporzjon ta’ mħallfin professjonali nisa fil-Qrati Supremi fl-2017-2019 </w:t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(*) </w:t>
      </w:r>
      <w:r>
        <w:rPr>
          <w:rFonts w:ascii="Times New Roman" w:hAnsi="Times New Roman"/>
          <w:i/>
          <w:iCs/>
          <w:noProof/>
          <w:color w:val="000000"/>
          <w:sz w:val="24"/>
          <w:szCs w:val="24"/>
        </w:rPr>
        <w:t>(sors: il-Kummissjoni Ewropea (</w:t>
      </w:r>
      <w:r>
        <w:rPr>
          <w:rFonts w:ascii="Times New Roman" w:eastAsia="Calibri" w:hAnsi="Times New Roman" w:cs="Times New Roman"/>
          <w:i/>
          <w:iCs/>
          <w:noProof/>
          <w:color w:val="000000"/>
          <w:sz w:val="24"/>
          <w:szCs w:val="24"/>
          <w:vertAlign w:val="superscript"/>
        </w:rPr>
        <w:footnoteReference w:id="78"/>
      </w:r>
      <w:r>
        <w:rPr>
          <w:rFonts w:ascii="Times New Roman" w:hAnsi="Times New Roman"/>
          <w:i/>
          <w:iCs/>
          <w:noProof/>
          <w:color w:val="000000"/>
          <w:sz w:val="24"/>
          <w:szCs w:val="24"/>
        </w:rPr>
        <w:t>))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color w:val="000000"/>
          <w:sz w:val="20"/>
          <w:szCs w:val="24"/>
        </w:rPr>
      </w:pPr>
      <w:r>
        <w:rPr>
          <w:rFonts w:ascii="Times New Roman" w:hAnsi="Times New Roman"/>
          <w:i/>
          <w:noProof/>
          <w:color w:val="000000"/>
          <w:sz w:val="20"/>
          <w:szCs w:val="24"/>
          <w:lang w:val="en-GB" w:eastAsia="en-GB"/>
        </w:rPr>
        <w:drawing>
          <wp:inline distT="0" distB="0" distL="0" distR="0">
            <wp:extent cx="5976000" cy="2321658"/>
            <wp:effectExtent l="0" t="0" r="5715" b="2540"/>
            <wp:docPr id="97301" name="Picture 97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2321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color w:val="000000"/>
          <w:sz w:val="24"/>
          <w:szCs w:val="24"/>
        </w:rPr>
      </w:pPr>
      <w:r>
        <w:rPr>
          <w:rFonts w:ascii="Times New Roman" w:hAnsi="Times New Roman"/>
          <w:i/>
          <w:noProof/>
          <w:color w:val="000000"/>
          <w:sz w:val="20"/>
          <w:szCs w:val="24"/>
        </w:rPr>
        <w:t xml:space="preserve">(*) </w:t>
      </w:r>
      <w:r>
        <w:rPr>
          <w:rFonts w:ascii="Times New Roman" w:hAnsi="Times New Roman"/>
          <w:i/>
          <w:noProof/>
          <w:color w:val="000000"/>
          <w:sz w:val="20"/>
          <w:szCs w:val="24"/>
        </w:rPr>
        <w:t>imqassmin skont iċ-ċifri tal-2019, l-ogħla sal-anqas.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color w:val="000000"/>
          <w:sz w:val="20"/>
          <w:szCs w:val="24"/>
        </w:rPr>
      </w:pPr>
      <w:r>
        <w:rPr>
          <w:noProof/>
        </w:rPr>
        <w:br w:type="page"/>
      </w:r>
    </w:p>
    <w:p w:rsidR="00461018" w:rsidRDefault="000329C3">
      <w:pPr>
        <w:spacing w:before="240" w:after="120" w:line="240" w:lineRule="auto"/>
        <w:jc w:val="both"/>
        <w:rPr>
          <w:rFonts w:ascii="Times New Roman" w:eastAsia="Calibri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instrText xml:space="preserve"> SEQ Figure \* ARABIC  \* MERGEFORMAT  \* MERGEFORMAT </w:instrTex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37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: L-għadd ta’ avukati, 2012 - 2018 </w:t>
      </w:r>
      <w:r>
        <w:rPr>
          <w:rFonts w:ascii="Times New Roman" w:hAnsi="Times New Roman"/>
          <w:noProof/>
          <w:sz w:val="24"/>
          <w:szCs w:val="24"/>
        </w:rPr>
        <w:t>(</w:t>
      </w:r>
      <w:r>
        <w:rPr>
          <w:noProof/>
          <w:sz w:val="24"/>
          <w:szCs w:val="24"/>
        </w:rPr>
        <w:t>*</w:t>
      </w:r>
      <w:r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>(għal kull 100 000 abitant) (sors: studju tas-CEPEJ)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  <w:szCs w:val="20"/>
        </w:rPr>
      </w:pPr>
      <w:r>
        <w:rPr>
          <w:rFonts w:ascii="Times New Roman" w:hAnsi="Times New Roman"/>
          <w:i/>
          <w:noProof/>
          <w:sz w:val="20"/>
          <w:szCs w:val="20"/>
          <w:lang w:val="en-GB" w:eastAsia="en-GB"/>
        </w:rPr>
        <w:drawing>
          <wp:inline distT="0" distB="0" distL="0" distR="0">
            <wp:extent cx="5976000" cy="2524254"/>
            <wp:effectExtent l="0" t="0" r="5715" b="9525"/>
            <wp:docPr id="97302" name="Picture 97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2524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  <w:szCs w:val="20"/>
        </w:rPr>
      </w:pPr>
      <w:r>
        <w:rPr>
          <w:rFonts w:ascii="Times New Roman" w:hAnsi="Times New Roman"/>
          <w:i/>
          <w:noProof/>
          <w:sz w:val="20"/>
          <w:szCs w:val="20"/>
        </w:rPr>
        <w:t>(*) Skont il-metodoloġija tas-CEPEJ, avukat huwa persuna kkwalifikata u awtorizzata skont il-liġi nazzjonali sabiex tinvoka u taġixxi f’isem il-klijenti tagħha, sabiex tinvolvi ruħha fil-prattika tal-liġi, sabiex tidher quddiem il-qrati jew tagħti pariri u</w:t>
      </w:r>
      <w:r>
        <w:rPr>
          <w:rFonts w:ascii="Times New Roman" w:hAnsi="Times New Roman"/>
          <w:i/>
          <w:noProof/>
          <w:sz w:val="20"/>
          <w:szCs w:val="20"/>
        </w:rPr>
        <w:t xml:space="preserve"> tirrappreżenta lill-klijenti tagħha fi kwistjonijiet legali (Rakkomandazzjoni Rec(2000)21 tal-Kumitat tal-Ministri tal-Kunsill tal-Ewropa dwar il-libertà tal-eżerċitar tal-professjoni ta’ avukat). </w:t>
      </w:r>
      <w:r>
        <w:rPr>
          <w:rFonts w:ascii="Times New Roman" w:hAnsi="Times New Roman"/>
          <w:b/>
          <w:i/>
          <w:noProof/>
          <w:sz w:val="20"/>
          <w:szCs w:val="20"/>
        </w:rPr>
        <w:t>DE:</w:t>
      </w:r>
      <w:r>
        <w:rPr>
          <w:rFonts w:ascii="Times New Roman" w:hAnsi="Times New Roman"/>
          <w:i/>
          <w:noProof/>
          <w:sz w:val="20"/>
          <w:szCs w:val="20"/>
        </w:rPr>
        <w:t xml:space="preserve"> ma ssir l-ebda distinzjoni bejn gruppi differenti ta’ </w:t>
      </w:r>
      <w:r>
        <w:rPr>
          <w:rFonts w:ascii="Times New Roman" w:hAnsi="Times New Roman"/>
          <w:i/>
          <w:noProof/>
          <w:sz w:val="20"/>
          <w:szCs w:val="20"/>
        </w:rPr>
        <w:t xml:space="preserve">avukati fil-Ġermanja, bħal solicitors u barristers. </w:t>
      </w:r>
      <w:r>
        <w:rPr>
          <w:rFonts w:ascii="Times New Roman" w:hAnsi="Times New Roman"/>
          <w:b/>
          <w:i/>
          <w:noProof/>
          <w:sz w:val="20"/>
          <w:szCs w:val="20"/>
        </w:rPr>
        <w:t>FI:</w:t>
      </w:r>
      <w:r>
        <w:rPr>
          <w:rFonts w:ascii="Times New Roman" w:hAnsi="Times New Roman"/>
          <w:i/>
          <w:noProof/>
          <w:sz w:val="20"/>
          <w:szCs w:val="20"/>
        </w:rPr>
        <w:t xml:space="preserve"> sa mill-2015, l-għadd ta’ avukati pprovduti jinkludi kemm l-għadd ta’ avukati fis-settur privat kif ukoll l-għadd ta’ avukati li qed jaħdmu fis-settur pubbliku.</w:t>
      </w:r>
      <w:r>
        <w:rPr>
          <w:rFonts w:ascii="Times New Roman" w:hAnsi="Times New Roman"/>
          <w:noProof/>
        </w:rPr>
        <w:t xml:space="preserve"> </w:t>
      </w:r>
    </w:p>
    <w:p w:rsidR="00461018" w:rsidRDefault="000329C3">
      <w:pPr>
        <w:keepNext/>
        <w:spacing w:before="240" w:after="120" w:line="240" w:lineRule="auto"/>
        <w:jc w:val="both"/>
        <w:rPr>
          <w:rFonts w:ascii="Times New Roman" w:eastAsia="Calibri" w:hAnsi="Times New Roman" w:cs="Times New Roman"/>
          <w:i/>
          <w:noProof/>
          <w:sz w:val="24"/>
        </w:rPr>
      </w:pPr>
      <w:r>
        <w:rPr>
          <w:rFonts w:ascii="Times New Roman" w:hAnsi="Times New Roman"/>
          <w:i/>
          <w:noProof/>
          <w:sz w:val="24"/>
        </w:rPr>
        <w:t xml:space="preserve">– Taħriġ </w:t>
      </w:r>
      <w:r>
        <w:rPr>
          <w:rFonts w:ascii="Times New Roman" w:hAnsi="Times New Roman"/>
          <w:i/>
          <w:noProof/>
        </w:rPr>
        <w:t>–</w:t>
      </w:r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It-taħriġ ġudizzjarju huwa </w:t>
      </w:r>
      <w:r>
        <w:rPr>
          <w:rFonts w:ascii="Times New Roman" w:hAnsi="Times New Roman"/>
          <w:noProof/>
          <w:sz w:val="24"/>
        </w:rPr>
        <w:t>importanti sabiex jikkontribwixxi għall-kwalità tad-deċiżjonijiet ġudizzjarji u s-servizz tal-ġustizzja li jitwassal liċ-ċittadini. Id-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stabbilita hawn taħt tkopri t-taħriġ ġudizzjarju f’firxa wiesgħa ta’ oqsma, inkluż dwar il-komunikazzjoni mal-partij</w:t>
      </w:r>
      <w:r>
        <w:rPr>
          <w:rFonts w:ascii="Times New Roman" w:hAnsi="Times New Roman"/>
          <w:noProof/>
          <w:sz w:val="24"/>
        </w:rPr>
        <w:t xml:space="preserve">iet u l-istampa u dwar il-ħiliet ġudizzjarji. </w:t>
      </w:r>
    </w:p>
    <w:p w:rsidR="00461018" w:rsidRDefault="000329C3">
      <w:pPr>
        <w:spacing w:before="240" w:after="120" w:line="240" w:lineRule="auto"/>
        <w:jc w:val="both"/>
        <w:rPr>
          <w:rFonts w:ascii="Times New Roman" w:eastAsia="Calibri" w:hAnsi="Times New Roman" w:cs="Times New Roman"/>
          <w:i/>
          <w:iCs/>
          <w:noProof/>
          <w:sz w:val="24"/>
          <w:szCs w:val="24"/>
        </w:rPr>
      </w:pPr>
      <w:bookmarkStart w:id="404" w:name="_Ref441218667"/>
      <w:r>
        <w:rPr>
          <w:rFonts w:ascii="Times New Roman" w:hAnsi="Times New Roman"/>
          <w:b/>
          <w:bCs/>
          <w:noProof/>
          <w:sz w:val="24"/>
          <w:szCs w:val="24"/>
        </w:rPr>
        <w:t xml:space="preserve">Illustrazzjoni 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</w:rPr>
        <w:t>38</w:t>
      </w:r>
      <w:r>
        <w:rPr>
          <w:noProof/>
        </w:rPr>
        <w:fldChar w:fldCharType="end"/>
      </w:r>
      <w:bookmarkEnd w:id="404"/>
      <w:r>
        <w:rPr>
          <w:rFonts w:ascii="Times New Roman" w:hAnsi="Times New Roman"/>
          <w:b/>
          <w:bCs/>
          <w:noProof/>
          <w:sz w:val="24"/>
          <w:szCs w:val="24"/>
        </w:rPr>
        <w:t xml:space="preserve">: Is-sehem ta’ taħriġ kontinwu tal-imħallfin dwar diversi tipi ta’ ħiliet, 2018 </w:t>
      </w:r>
      <w:r>
        <w:rPr>
          <w:rFonts w:ascii="Times New Roman" w:hAnsi="Times New Roman"/>
          <w:noProof/>
          <w:sz w:val="24"/>
          <w:szCs w:val="24"/>
        </w:rPr>
        <w:t>(</w:t>
      </w:r>
      <w:r>
        <w:rPr>
          <w:noProof/>
          <w:sz w:val="24"/>
          <w:szCs w:val="24"/>
        </w:rPr>
        <w:t>*</w:t>
      </w:r>
      <w:r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>(bħala perċentwal tal-għadd totali ta’ mħallfin li jingħataw dan it-tip ta’ taħriġ)</w:t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 (sors: il-Kummissjoni Ewropea (</w:t>
      </w:r>
      <w:r>
        <w:rPr>
          <w:rFonts w:ascii="Times New Roman" w:eastAsia="Calibri" w:hAnsi="Times New Roman" w:cs="Times New Roman"/>
          <w:i/>
          <w:iCs/>
          <w:noProof/>
          <w:sz w:val="24"/>
          <w:szCs w:val="24"/>
          <w:vertAlign w:val="superscript"/>
          <w:lang w:eastAsia="en-GB"/>
        </w:rPr>
        <w:footnoteReference w:id="79"/>
      </w:r>
      <w:r>
        <w:rPr>
          <w:rFonts w:ascii="Times New Roman" w:hAnsi="Times New Roman"/>
          <w:i/>
          <w:iCs/>
          <w:noProof/>
          <w:sz w:val="24"/>
          <w:szCs w:val="24"/>
        </w:rPr>
        <w:t>))</w:t>
      </w:r>
      <w:bookmarkEnd w:id="403"/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bookmarkStart w:id="405" w:name="_Ref441218678"/>
      <w:r>
        <w:rPr>
          <w:noProof/>
          <w:lang w:val="en-GB" w:eastAsia="en-GB"/>
        </w:rPr>
        <w:drawing>
          <wp:inline distT="0" distB="0" distL="0" distR="0">
            <wp:extent cx="5977255" cy="1999615"/>
            <wp:effectExtent l="0" t="0" r="4445" b="635"/>
            <wp:docPr id="97281" name="Picture 97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rFonts w:ascii="Times New Roman" w:hAnsi="Times New Roman"/>
          <w:i/>
          <w:noProof/>
          <w:sz w:val="20"/>
        </w:rPr>
        <w:t>(*) (*) L-Illustrazzjoni 38 turi d-distribuzzjoni tal-imħallfin li jieħdu sehem f’attivitajiet ta’ taħriġ kontinwu (jiġifieri dawk li jseħħu wara l-perjodu ta’ taħriġ inizjali sabiex wieħed isir imħallef) f’kull wieħed</w:t>
      </w:r>
      <w:r>
        <w:rPr>
          <w:rFonts w:ascii="Times New Roman" w:hAnsi="Times New Roman"/>
          <w:i/>
          <w:noProof/>
          <w:sz w:val="20"/>
        </w:rPr>
        <w:t xml:space="preserve"> mill-erba’ oqsma identifikati bħala perċentwal tal-għadd totali ta’ mħallfin imħarrġa f’dawn it-tipi ta’ taħriġ. L-attivitajiet ta’ taħriġ legali ma jiġux ikkunsidrati. L-awtoritajiet ta’ taħriġ ġudizzjarju fil-</w:t>
      </w:r>
      <w:r>
        <w:rPr>
          <w:rFonts w:ascii="Times New Roman" w:hAnsi="Times New Roman"/>
          <w:b/>
          <w:i/>
          <w:noProof/>
          <w:sz w:val="20"/>
        </w:rPr>
        <w:t>EL</w:t>
      </w:r>
      <w:r>
        <w:rPr>
          <w:rFonts w:ascii="Times New Roman" w:hAnsi="Times New Roman"/>
          <w:i/>
          <w:noProof/>
          <w:sz w:val="20"/>
        </w:rPr>
        <w:t xml:space="preserve">, </w:t>
      </w:r>
      <w:r>
        <w:rPr>
          <w:rFonts w:ascii="Times New Roman" w:hAnsi="Times New Roman"/>
          <w:b/>
          <w:i/>
          <w:noProof/>
          <w:sz w:val="20"/>
        </w:rPr>
        <w:t>MT</w:t>
      </w:r>
      <w:r>
        <w:rPr>
          <w:rFonts w:ascii="Times New Roman" w:hAnsi="Times New Roman"/>
          <w:i/>
          <w:noProof/>
          <w:sz w:val="20"/>
        </w:rPr>
        <w:t xml:space="preserve"> u </w:t>
      </w:r>
      <w:r>
        <w:rPr>
          <w:rFonts w:ascii="Times New Roman" w:hAnsi="Times New Roman"/>
          <w:b/>
          <w:i/>
          <w:noProof/>
          <w:sz w:val="20"/>
        </w:rPr>
        <w:t>PT</w:t>
      </w:r>
      <w:r>
        <w:rPr>
          <w:rFonts w:ascii="Times New Roman" w:hAnsi="Times New Roman"/>
          <w:i/>
          <w:noProof/>
          <w:sz w:val="20"/>
        </w:rPr>
        <w:t xml:space="preserve"> ma pprovdewx attivitajiet ta’ ta</w:t>
      </w:r>
      <w:r>
        <w:rPr>
          <w:rFonts w:ascii="Times New Roman" w:hAnsi="Times New Roman"/>
          <w:i/>
          <w:noProof/>
          <w:sz w:val="20"/>
        </w:rPr>
        <w:t xml:space="preserve">ħriġ speċifiku dwar il-ħiliet magħżula. </w:t>
      </w:r>
      <w:r>
        <w:rPr>
          <w:rFonts w:ascii="Times New Roman" w:hAnsi="Times New Roman"/>
          <w:b/>
          <w:i/>
          <w:noProof/>
          <w:sz w:val="20"/>
        </w:rPr>
        <w:t>DK:</w:t>
      </w:r>
      <w:r>
        <w:rPr>
          <w:rFonts w:ascii="Times New Roman" w:hAnsi="Times New Roman"/>
          <w:i/>
          <w:noProof/>
          <w:sz w:val="20"/>
        </w:rPr>
        <w:t xml:space="preserve"> tinkludi l-persunal tal-qorti. </w:t>
      </w:r>
      <w:r>
        <w:rPr>
          <w:rFonts w:ascii="Times New Roman" w:hAnsi="Times New Roman"/>
          <w:b/>
          <w:i/>
          <w:noProof/>
          <w:sz w:val="20"/>
        </w:rPr>
        <w:t>AT:</w:t>
      </w:r>
      <w:r>
        <w:rPr>
          <w:rFonts w:ascii="Times New Roman" w:hAnsi="Times New Roman"/>
          <w:i/>
          <w:noProof/>
          <w:sz w:val="20"/>
        </w:rPr>
        <w:t xml:space="preserve"> tinkludi l-prosekuturi.</w:t>
      </w:r>
    </w:p>
    <w:p w:rsidR="00461018" w:rsidRDefault="000329C3">
      <w:pPr>
        <w:spacing w:before="240" w:after="120" w:line="240" w:lineRule="auto"/>
        <w:jc w:val="both"/>
        <w:rPr>
          <w:rFonts w:ascii="Times New Roman" w:eastAsia="Calibri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t xml:space="preserve">Illustrazzjoni </w:t>
      </w:r>
      <w:bookmarkEnd w:id="405"/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</w:rPr>
        <w:instrText xml:space="preserve"> SEQ Figure \* ARABIC  \* MERGEFORMAT </w:instrText>
      </w:r>
      <w:r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</w:rPr>
        <w:fldChar w:fldCharType="separate"/>
      </w:r>
      <w:r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</w:rPr>
        <w:t>39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t xml:space="preserve">: </w:t>
      </w:r>
      <w:r>
        <w:rPr>
          <w:rFonts w:ascii="Times New Roman" w:hAnsi="Times New Roman"/>
          <w:b/>
          <w:noProof/>
          <w:sz w:val="24"/>
          <w:szCs w:val="24"/>
        </w:rPr>
        <w:t>Disponibbiltà ta’ taħriġ fil-komunikazzjoni għall-imħallfin, 2019</w:t>
      </w:r>
      <w:r>
        <w:rPr>
          <w:rFonts w:ascii="Times New Roman" w:hAnsi="Times New Roman"/>
          <w:noProof/>
          <w:sz w:val="24"/>
          <w:szCs w:val="24"/>
        </w:rPr>
        <w:t xml:space="preserve"> (*) </w:t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(sors: Il-Kummissjoni </w:t>
      </w:r>
      <w:r>
        <w:rPr>
          <w:rFonts w:ascii="Times New Roman" w:hAnsi="Times New Roman"/>
          <w:i/>
          <w:iCs/>
          <w:noProof/>
          <w:sz w:val="24"/>
          <w:szCs w:val="24"/>
        </w:rPr>
        <w:t>Ewropea (</w:t>
      </w:r>
      <w:r>
        <w:rPr>
          <w:rFonts w:ascii="Times New Roman" w:eastAsia="Calibri" w:hAnsi="Times New Roman" w:cs="Times New Roman"/>
          <w:i/>
          <w:iCs/>
          <w:noProof/>
          <w:sz w:val="24"/>
          <w:szCs w:val="24"/>
          <w:vertAlign w:val="superscript"/>
          <w:lang w:eastAsia="en-GB"/>
        </w:rPr>
        <w:footnoteReference w:id="80"/>
      </w:r>
      <w:r>
        <w:rPr>
          <w:rFonts w:ascii="Times New Roman" w:hAnsi="Times New Roman"/>
          <w:i/>
          <w:iCs/>
          <w:noProof/>
          <w:sz w:val="24"/>
          <w:szCs w:val="24"/>
        </w:rPr>
        <w:t>))</w:t>
      </w:r>
      <w:bookmarkStart w:id="406" w:name="_Toc440017701"/>
      <w:bookmarkStart w:id="407" w:name="_Toc440018085"/>
      <w:bookmarkStart w:id="408" w:name="_Toc440033383"/>
      <w:bookmarkStart w:id="409" w:name="_Toc440035234"/>
      <w:bookmarkStart w:id="410" w:name="_Toc440036529"/>
      <w:bookmarkStart w:id="411" w:name="_Toc440042471"/>
      <w:bookmarkStart w:id="412" w:name="_Toc440291124"/>
      <w:bookmarkStart w:id="413" w:name="_Toc440294687"/>
      <w:bookmarkStart w:id="414" w:name="_Toc440295189"/>
      <w:bookmarkStart w:id="415" w:name="_Toc440296594"/>
      <w:bookmarkStart w:id="416" w:name="_Toc440625078"/>
      <w:bookmarkStart w:id="417" w:name="_Toc440626408"/>
      <w:bookmarkStart w:id="418" w:name="_Toc440628862"/>
      <w:bookmarkStart w:id="419" w:name="_Toc441571135"/>
      <w:bookmarkStart w:id="420" w:name="_Toc441581637"/>
      <w:bookmarkStart w:id="421" w:name="_Toc441585904"/>
      <w:bookmarkStart w:id="422" w:name="_Toc441595839"/>
      <w:bookmarkStart w:id="423" w:name="_Toc441596016"/>
      <w:bookmarkStart w:id="424" w:name="_Toc441748141"/>
      <w:bookmarkStart w:id="425" w:name="_Toc441755426"/>
      <w:bookmarkStart w:id="426" w:name="_Toc441756463"/>
      <w:bookmarkStart w:id="427" w:name="_Toc441757507"/>
      <w:bookmarkStart w:id="428" w:name="_Toc441766636"/>
      <w:bookmarkStart w:id="429" w:name="_Toc441766975"/>
      <w:bookmarkStart w:id="430" w:name="_Toc442187976"/>
      <w:bookmarkStart w:id="431" w:name="_Toc442262068"/>
      <w:bookmarkStart w:id="432" w:name="_Toc442362475"/>
      <w:bookmarkStart w:id="433" w:name="_Toc442374811"/>
      <w:bookmarkStart w:id="434" w:name="_Toc442425951"/>
      <w:bookmarkStart w:id="435" w:name="_Toc442453077"/>
      <w:bookmarkStart w:id="436" w:name="_Toc443484535"/>
      <w:bookmarkStart w:id="437" w:name="_Toc443484757"/>
      <w:bookmarkStart w:id="438" w:name="_Toc443509498"/>
      <w:bookmarkStart w:id="439" w:name="_Toc446014827"/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663168"/>
            <wp:effectExtent l="0" t="0" r="4445" b="444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66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  <w:szCs w:val="20"/>
        </w:rPr>
      </w:pPr>
      <w:r>
        <w:rPr>
          <w:rFonts w:ascii="Times New Roman" w:hAnsi="Times New Roman"/>
          <w:i/>
          <w:noProof/>
          <w:sz w:val="20"/>
          <w:szCs w:val="20"/>
        </w:rPr>
        <w:t xml:space="preserve">(*) Il-massimu possibbli: 14-il punt. L-Istati Membri ngħataw punt wieħed jekk kellhom taħriġ inizjali u punt wieħed jekk kellhom taħriġ kontinwu (massimu ta’ 2 punti għal kull tip ta’ taħriġ). </w:t>
      </w:r>
      <w:r>
        <w:rPr>
          <w:rFonts w:ascii="Times New Roman" w:hAnsi="Times New Roman"/>
          <w:b/>
          <w:i/>
          <w:noProof/>
          <w:sz w:val="20"/>
          <w:szCs w:val="20"/>
        </w:rPr>
        <w:t>DK:</w:t>
      </w:r>
      <w:r>
        <w:rPr>
          <w:rFonts w:ascii="Times New Roman" w:hAnsi="Times New Roman"/>
          <w:i/>
          <w:noProof/>
          <w:sz w:val="20"/>
          <w:szCs w:val="20"/>
        </w:rPr>
        <w:t xml:space="preserve"> ma jingħata l-ebda taħriġ dwar il-komunikaz</w:t>
      </w:r>
      <w:r>
        <w:rPr>
          <w:rFonts w:ascii="Times New Roman" w:hAnsi="Times New Roman"/>
          <w:i/>
          <w:noProof/>
          <w:sz w:val="20"/>
          <w:szCs w:val="20"/>
        </w:rPr>
        <w:t>zjoni mal-persuni li huma neqsin mid-dawl jew mis-smigħ minħabba li l-istat joffri appoġġ f’forma ta’ għodod jew ta’ assistent fl-awla tal-qorti lill-persuni neqsin mid-dawl jew mis-smigħ, eż. interpretu għall-persuni neqsin mis-smigħ. Taħriġ ieħor relatat</w:t>
      </w:r>
      <w:r>
        <w:rPr>
          <w:rFonts w:ascii="Times New Roman" w:hAnsi="Times New Roman"/>
          <w:i/>
          <w:noProof/>
          <w:sz w:val="20"/>
          <w:szCs w:val="20"/>
        </w:rPr>
        <w:t xml:space="preserve"> mal-komunikazzjoni jinkludi: korsijiet immirati lejn it-tisħiħ tal-ħiliet ta’ komunikazzjoni pubblika u ta’ komunikazzjoni mal-midja (</w:t>
      </w:r>
      <w:r>
        <w:rPr>
          <w:rFonts w:ascii="Times New Roman" w:hAnsi="Times New Roman"/>
          <w:b/>
          <w:i/>
          <w:noProof/>
          <w:sz w:val="20"/>
          <w:szCs w:val="20"/>
        </w:rPr>
        <w:t>BE, BG</w:t>
      </w:r>
      <w:r>
        <w:rPr>
          <w:rFonts w:ascii="Times New Roman" w:hAnsi="Times New Roman"/>
          <w:i/>
          <w:noProof/>
          <w:sz w:val="20"/>
          <w:szCs w:val="20"/>
        </w:rPr>
        <w:t xml:space="preserve">, </w:t>
      </w:r>
      <w:r>
        <w:rPr>
          <w:rFonts w:ascii="Times New Roman" w:hAnsi="Times New Roman"/>
          <w:b/>
          <w:i/>
          <w:noProof/>
          <w:sz w:val="20"/>
          <w:szCs w:val="20"/>
        </w:rPr>
        <w:t>EE, LV</w:t>
      </w:r>
      <w:r>
        <w:rPr>
          <w:rFonts w:ascii="Times New Roman" w:hAnsi="Times New Roman"/>
          <w:i/>
          <w:noProof/>
          <w:sz w:val="20"/>
          <w:szCs w:val="20"/>
        </w:rPr>
        <w:t xml:space="preserve">, </w:t>
      </w:r>
      <w:r>
        <w:rPr>
          <w:rFonts w:ascii="Times New Roman" w:hAnsi="Times New Roman"/>
          <w:b/>
          <w:i/>
          <w:noProof/>
          <w:sz w:val="20"/>
          <w:szCs w:val="20"/>
        </w:rPr>
        <w:t>NL</w:t>
      </w:r>
      <w:r>
        <w:rPr>
          <w:rFonts w:ascii="Times New Roman" w:hAnsi="Times New Roman"/>
          <w:i/>
          <w:noProof/>
          <w:sz w:val="20"/>
          <w:szCs w:val="20"/>
        </w:rPr>
        <w:t xml:space="preserve">, </w:t>
      </w:r>
      <w:r>
        <w:rPr>
          <w:rFonts w:ascii="Times New Roman" w:hAnsi="Times New Roman"/>
          <w:b/>
          <w:i/>
          <w:noProof/>
          <w:sz w:val="20"/>
          <w:szCs w:val="20"/>
        </w:rPr>
        <w:t>PL</w:t>
      </w:r>
      <w:r>
        <w:rPr>
          <w:rFonts w:ascii="Times New Roman" w:hAnsi="Times New Roman"/>
          <w:i/>
          <w:noProof/>
          <w:sz w:val="20"/>
          <w:szCs w:val="20"/>
        </w:rPr>
        <w:t xml:space="preserve">, </w:t>
      </w:r>
      <w:r>
        <w:rPr>
          <w:rFonts w:ascii="Times New Roman" w:hAnsi="Times New Roman"/>
          <w:b/>
          <w:i/>
          <w:noProof/>
          <w:sz w:val="20"/>
          <w:szCs w:val="20"/>
        </w:rPr>
        <w:t>RO</w:t>
      </w:r>
      <w:r>
        <w:rPr>
          <w:rFonts w:ascii="Times New Roman" w:hAnsi="Times New Roman"/>
          <w:i/>
          <w:noProof/>
          <w:sz w:val="20"/>
          <w:szCs w:val="20"/>
        </w:rPr>
        <w:t xml:space="preserve">, </w:t>
      </w:r>
      <w:r>
        <w:rPr>
          <w:rFonts w:ascii="Times New Roman" w:hAnsi="Times New Roman"/>
          <w:b/>
          <w:i/>
          <w:noProof/>
          <w:sz w:val="20"/>
          <w:szCs w:val="20"/>
        </w:rPr>
        <w:t>SK</w:t>
      </w:r>
      <w:r>
        <w:rPr>
          <w:rFonts w:ascii="Times New Roman" w:hAnsi="Times New Roman"/>
          <w:i/>
          <w:noProof/>
          <w:sz w:val="20"/>
          <w:szCs w:val="20"/>
        </w:rPr>
        <w:t>); korsijiet dwar il-ħiliet ta’ interrogazzjoni (</w:t>
      </w:r>
      <w:r>
        <w:rPr>
          <w:rFonts w:ascii="Times New Roman" w:hAnsi="Times New Roman"/>
          <w:b/>
          <w:i/>
          <w:noProof/>
          <w:sz w:val="20"/>
          <w:szCs w:val="20"/>
        </w:rPr>
        <w:t xml:space="preserve">DE </w:t>
      </w:r>
      <w:r>
        <w:rPr>
          <w:rFonts w:ascii="Times New Roman" w:hAnsi="Times New Roman"/>
          <w:i/>
          <w:noProof/>
          <w:sz w:val="20"/>
          <w:szCs w:val="20"/>
        </w:rPr>
        <w:t xml:space="preserve">u </w:t>
      </w:r>
      <w:r>
        <w:rPr>
          <w:rFonts w:ascii="Times New Roman" w:hAnsi="Times New Roman"/>
          <w:b/>
          <w:i/>
          <w:noProof/>
          <w:sz w:val="20"/>
          <w:szCs w:val="20"/>
        </w:rPr>
        <w:t>AT</w:t>
      </w:r>
      <w:r>
        <w:rPr>
          <w:rFonts w:ascii="Times New Roman" w:hAnsi="Times New Roman"/>
          <w:i/>
          <w:noProof/>
          <w:sz w:val="20"/>
          <w:szCs w:val="20"/>
        </w:rPr>
        <w:t xml:space="preserve">), korsijiet dwar il-ġestjoni </w:t>
      </w:r>
      <w:r>
        <w:rPr>
          <w:rFonts w:ascii="Times New Roman" w:hAnsi="Times New Roman"/>
          <w:i/>
          <w:noProof/>
          <w:sz w:val="20"/>
          <w:szCs w:val="20"/>
        </w:rPr>
        <w:t>tan-nies (</w:t>
      </w:r>
      <w:r>
        <w:rPr>
          <w:rFonts w:ascii="Times New Roman" w:hAnsi="Times New Roman"/>
          <w:b/>
          <w:i/>
          <w:noProof/>
          <w:sz w:val="20"/>
          <w:szCs w:val="20"/>
        </w:rPr>
        <w:t>BE, ES</w:t>
      </w:r>
      <w:r>
        <w:rPr>
          <w:rFonts w:ascii="Times New Roman" w:hAnsi="Times New Roman"/>
          <w:i/>
          <w:noProof/>
          <w:sz w:val="20"/>
          <w:szCs w:val="20"/>
        </w:rPr>
        <w:t xml:space="preserve">, </w:t>
      </w:r>
      <w:r>
        <w:rPr>
          <w:rFonts w:ascii="Times New Roman" w:hAnsi="Times New Roman"/>
          <w:b/>
          <w:i/>
          <w:noProof/>
          <w:sz w:val="20"/>
          <w:szCs w:val="20"/>
        </w:rPr>
        <w:t>PL</w:t>
      </w:r>
      <w:r>
        <w:rPr>
          <w:rFonts w:ascii="Times New Roman" w:hAnsi="Times New Roman"/>
          <w:i/>
          <w:noProof/>
          <w:sz w:val="20"/>
          <w:szCs w:val="20"/>
        </w:rPr>
        <w:t>) u taħriġ ta’ ħiliet personali jkopru t-titjib taċ-ċarezza tad-deċiżjonijiet tal-qorti u tal-metodi ta’ preżentazzjoni (</w:t>
      </w:r>
      <w:r>
        <w:rPr>
          <w:rFonts w:ascii="Times New Roman" w:hAnsi="Times New Roman"/>
          <w:b/>
          <w:i/>
          <w:noProof/>
          <w:sz w:val="20"/>
          <w:szCs w:val="20"/>
        </w:rPr>
        <w:t>CZ</w:t>
      </w:r>
      <w:r>
        <w:rPr>
          <w:rFonts w:ascii="Times New Roman" w:hAnsi="Times New Roman"/>
          <w:i/>
          <w:noProof/>
          <w:sz w:val="20"/>
          <w:szCs w:val="20"/>
        </w:rPr>
        <w:t xml:space="preserve">, </w:t>
      </w:r>
      <w:r>
        <w:rPr>
          <w:rFonts w:ascii="Times New Roman" w:hAnsi="Times New Roman"/>
          <w:b/>
          <w:i/>
          <w:noProof/>
          <w:sz w:val="20"/>
          <w:szCs w:val="20"/>
        </w:rPr>
        <w:t>DK, LV</w:t>
      </w:r>
      <w:r>
        <w:rPr>
          <w:rFonts w:ascii="Times New Roman" w:hAnsi="Times New Roman"/>
          <w:i/>
          <w:noProof/>
          <w:sz w:val="20"/>
          <w:szCs w:val="20"/>
        </w:rPr>
        <w:t xml:space="preserve">, </w:t>
      </w:r>
      <w:r>
        <w:rPr>
          <w:rFonts w:ascii="Times New Roman" w:hAnsi="Times New Roman"/>
          <w:b/>
          <w:i/>
          <w:noProof/>
          <w:sz w:val="20"/>
          <w:szCs w:val="20"/>
        </w:rPr>
        <w:t>HU</w:t>
      </w:r>
      <w:r>
        <w:rPr>
          <w:rFonts w:ascii="Times New Roman" w:hAnsi="Times New Roman"/>
          <w:i/>
          <w:noProof/>
          <w:sz w:val="20"/>
          <w:szCs w:val="20"/>
        </w:rPr>
        <w:t xml:space="preserve">, </w:t>
      </w:r>
      <w:r>
        <w:rPr>
          <w:rFonts w:ascii="Times New Roman" w:hAnsi="Times New Roman"/>
          <w:b/>
          <w:i/>
          <w:noProof/>
          <w:sz w:val="20"/>
          <w:szCs w:val="20"/>
        </w:rPr>
        <w:t>PL</w:t>
      </w:r>
      <w:r>
        <w:rPr>
          <w:rFonts w:ascii="Times New Roman" w:hAnsi="Times New Roman"/>
          <w:i/>
          <w:noProof/>
          <w:sz w:val="20"/>
          <w:szCs w:val="20"/>
        </w:rPr>
        <w:t xml:space="preserve">, </w:t>
      </w:r>
      <w:r>
        <w:rPr>
          <w:rFonts w:ascii="Times New Roman" w:hAnsi="Times New Roman"/>
          <w:b/>
          <w:i/>
          <w:noProof/>
          <w:sz w:val="20"/>
          <w:szCs w:val="20"/>
        </w:rPr>
        <w:t>SK</w:t>
      </w:r>
      <w:r>
        <w:rPr>
          <w:rFonts w:ascii="Times New Roman" w:hAnsi="Times New Roman"/>
          <w:i/>
          <w:noProof/>
          <w:sz w:val="20"/>
          <w:szCs w:val="20"/>
        </w:rPr>
        <w:t xml:space="preserve">). </w:t>
      </w:r>
    </w:p>
    <w:p w:rsidR="00461018" w:rsidRDefault="000329C3">
      <w:pPr>
        <w:keepNext/>
        <w:tabs>
          <w:tab w:val="left" w:pos="850"/>
        </w:tabs>
        <w:spacing w:before="240" w:after="120" w:line="240" w:lineRule="auto"/>
        <w:ind w:left="851" w:hanging="851"/>
        <w:jc w:val="both"/>
        <w:outlineLvl w:val="2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3.2.3. Għodod ta’ valutazzjoni</w:t>
      </w:r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</w:p>
    <w:p w:rsidR="00461018" w:rsidRDefault="000329C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Il-monitoraġġ u l-evalwazzjoni tal-attivitajiet tal-qorti </w:t>
      </w:r>
      <w:r>
        <w:rPr>
          <w:rFonts w:ascii="Times New Roman" w:hAnsi="Times New Roman"/>
          <w:noProof/>
          <w:sz w:val="24"/>
          <w:szCs w:val="24"/>
        </w:rPr>
        <w:t>jgħinu sabiex jiġu identifikati nuqqasijiet u ħtiġijiet, u għalhekk jgħinu lis-sistema ġudizzjarja żżid il-kwalità tagħha. Evalwazzjoni regolari tista’ ttejjeb ir-rispons tas-sistema ġudizzjarja għall-isfidi attwali u futuri. Għodod adegwati tal-ICT jistgħ</w:t>
      </w:r>
      <w:r>
        <w:rPr>
          <w:rFonts w:ascii="Times New Roman" w:hAnsi="Times New Roman"/>
          <w:noProof/>
          <w:sz w:val="24"/>
          <w:szCs w:val="24"/>
        </w:rPr>
        <w:t>u jipprovdu sistemi ta’ ġestjoni tal-każijiet f’ħin reali u jistgħu jgħinu sabiex jipprovdu statistika tal-qorti standardizzata fuq livell nazzjonali. Barra minn hekk, huma jistgħu jintużaw għall-ġestjoni tal-volumi ta’ kawżi b’lura u tas-sistemi awtomatiz</w:t>
      </w:r>
      <w:r>
        <w:rPr>
          <w:rFonts w:ascii="Times New Roman" w:hAnsi="Times New Roman"/>
          <w:noProof/>
          <w:sz w:val="24"/>
          <w:szCs w:val="24"/>
        </w:rPr>
        <w:t>zati ta’ twissija bikrija. L-istħarriġijiet huma essenzjali sabiex jiġi vvalutat kif is-sistemi tal-ġustizzja joperaw mill-perspettiva tal-professjonisti legali u tal-utenti tal-qrati. Segwitu adegwat għas-sejbiet tal-istħarriġijiet huwa prerekwiżit sabiex</w:t>
      </w:r>
      <w:r>
        <w:rPr>
          <w:rFonts w:ascii="Times New Roman" w:hAnsi="Times New Roman"/>
          <w:noProof/>
          <w:sz w:val="24"/>
          <w:szCs w:val="24"/>
        </w:rPr>
        <w:t xml:space="preserve"> tittejjeb il-kwalità tas-sistemi tal-ġustizzja.</w:t>
      </w:r>
      <w:bookmarkStart w:id="440" w:name="_Ref441218732"/>
    </w:p>
    <w:p w:rsidR="00461018" w:rsidRDefault="000329C3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br w:type="page"/>
      </w:r>
    </w:p>
    <w:p w:rsidR="00461018" w:rsidRDefault="000329C3">
      <w:pPr>
        <w:spacing w:before="240" w:after="120" w:line="240" w:lineRule="auto"/>
        <w:jc w:val="both"/>
        <w:rPr>
          <w:rFonts w:ascii="Times New Roman" w:hAnsi="Times New Roman"/>
          <w:i/>
          <w:i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 xml:space="preserve">Illustrazzjoni 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</w:rPr>
        <w:t>40</w:t>
      </w:r>
      <w:r>
        <w:rPr>
          <w:noProof/>
        </w:rPr>
        <w:fldChar w:fldCharType="end"/>
      </w:r>
      <w:bookmarkEnd w:id="440"/>
      <w:r>
        <w:rPr>
          <w:rFonts w:ascii="Times New Roman" w:hAnsi="Times New Roman"/>
          <w:b/>
          <w:bCs/>
          <w:noProof/>
          <w:sz w:val="24"/>
          <w:szCs w:val="24"/>
        </w:rPr>
        <w:t xml:space="preserve">: Id-disponibbiltà tal-ICT għall-ġestjoni tal-kawżi u l-istatistika dwar l-attivitajiet tal-qorti, 2018 </w:t>
      </w:r>
      <w:r>
        <w:rPr>
          <w:rFonts w:ascii="Times New Roman" w:hAnsi="Times New Roman"/>
          <w:noProof/>
          <w:sz w:val="24"/>
          <w:szCs w:val="24"/>
        </w:rPr>
        <w:t xml:space="preserve">(*) </w:t>
      </w:r>
      <w:r>
        <w:rPr>
          <w:noProof/>
        </w:rPr>
        <w:t xml:space="preserve"> </w:t>
      </w:r>
      <w:r>
        <w:rPr>
          <w:noProof/>
        </w:rPr>
        <w:br/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(0 = disponibbli f’0 % tal-qrati, 4 = disponibbli </w:t>
      </w:r>
      <w:r>
        <w:rPr>
          <w:rFonts w:ascii="Times New Roman" w:hAnsi="Times New Roman"/>
          <w:i/>
          <w:iCs/>
          <w:noProof/>
          <w:sz w:val="24"/>
          <w:szCs w:val="24"/>
        </w:rPr>
        <w:t>f’100 % tal-qrati (</w:t>
      </w:r>
      <w:r>
        <w:rPr>
          <w:rFonts w:ascii="Times New Roman" w:eastAsia="Calibri" w:hAnsi="Times New Roman" w:cs="Times New Roman"/>
          <w:i/>
          <w:iCs/>
          <w:noProof/>
          <w:sz w:val="24"/>
          <w:szCs w:val="24"/>
          <w:vertAlign w:val="superscript"/>
        </w:rPr>
        <w:footnoteReference w:id="81"/>
      </w:r>
      <w:r>
        <w:rPr>
          <w:rFonts w:ascii="Times New Roman" w:hAnsi="Times New Roman"/>
          <w:i/>
          <w:iCs/>
          <w:noProof/>
          <w:sz w:val="24"/>
          <w:szCs w:val="24"/>
        </w:rPr>
        <w:t>))</w:t>
      </w:r>
      <w:r>
        <w:rPr>
          <w:rFonts w:ascii="Times New Roman" w:hAnsi="Times New Roman"/>
          <w:i/>
          <w:iCs/>
          <w:noProof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>(sors: studju tas-CEPEJ)</w:t>
      </w:r>
    </w:p>
    <w:p w:rsidR="00461018" w:rsidRDefault="000329C3">
      <w:pPr>
        <w:spacing w:before="240" w:after="120" w:line="240" w:lineRule="auto"/>
        <w:jc w:val="both"/>
        <w:rPr>
          <w:rFonts w:ascii="Times New Roman" w:hAnsi="Times New Roman"/>
          <w:i/>
          <w:iCs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5977255" cy="1764030"/>
            <wp:effectExtent l="0" t="0" r="4445" b="7620"/>
            <wp:docPr id="97284" name="Picture 9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keepNext/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rFonts w:ascii="Times New Roman" w:hAnsi="Times New Roman"/>
          <w:i/>
          <w:noProof/>
          <w:sz w:val="20"/>
        </w:rPr>
        <w:t xml:space="preserve">(*) Metodoloġija ġdida, id-data mhijiex komparabbli mas-snin preċedenti. </w:t>
      </w:r>
    </w:p>
    <w:p w:rsidR="00461018" w:rsidRDefault="000329C3">
      <w:pPr>
        <w:keepNext/>
        <w:spacing w:before="240" w:after="120" w:line="240" w:lineRule="auto"/>
        <w:jc w:val="both"/>
        <w:rPr>
          <w:rFonts w:ascii="Times New Roman" w:hAnsi="Times New Roman"/>
          <w:i/>
          <w:i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 xml:space="preserve">Illustrazzjoni 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</w:rPr>
        <w:t>41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>: Suġġetti tal-istħarriġijiet imwettqa fost l-utenti tal-qrati jew il-professjonisti legal</w:t>
      </w:r>
      <w:r>
        <w:rPr>
          <w:rFonts w:ascii="Times New Roman" w:hAnsi="Times New Roman"/>
          <w:b/>
          <w:bCs/>
          <w:noProof/>
          <w:sz w:val="24"/>
          <w:szCs w:val="24"/>
        </w:rPr>
        <w:t>i, 2018</w:t>
      </w:r>
      <w:r>
        <w:rPr>
          <w:rFonts w:ascii="Times New Roman" w:hAnsi="Times New Roman"/>
          <w:noProof/>
          <w:sz w:val="24"/>
          <w:szCs w:val="24"/>
        </w:rPr>
        <w:t xml:space="preserve"> (*) </w:t>
      </w:r>
      <w:r>
        <w:rPr>
          <w:rFonts w:ascii="Times New Roman" w:hAnsi="Times New Roman"/>
          <w:i/>
          <w:iCs/>
          <w:noProof/>
          <w:sz w:val="24"/>
          <w:szCs w:val="24"/>
        </w:rPr>
        <w:t>(sors: il-Kummissjoni Ewropea (</w:t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vertAlign w:val="superscript"/>
        </w:rPr>
        <w:footnoteReference w:id="82"/>
      </w:r>
      <w:r>
        <w:rPr>
          <w:rFonts w:ascii="Times New Roman" w:hAnsi="Times New Roman"/>
          <w:i/>
          <w:iCs/>
          <w:noProof/>
          <w:sz w:val="24"/>
          <w:szCs w:val="24"/>
        </w:rPr>
        <w:t>))</w:t>
      </w:r>
    </w:p>
    <w:p w:rsidR="00461018" w:rsidRDefault="00461018">
      <w:pPr>
        <w:spacing w:before="240" w:after="120" w:line="240" w:lineRule="auto"/>
        <w:jc w:val="both"/>
        <w:rPr>
          <w:rFonts w:ascii="Times New Roman" w:hAnsi="Times New Roman"/>
          <w:i/>
          <w:iCs/>
          <w:noProof/>
          <w:sz w:val="24"/>
          <w:szCs w:val="24"/>
        </w:rPr>
      </w:pPr>
    </w:p>
    <w:p w:rsidR="00461018" w:rsidRDefault="000329C3">
      <w:pPr>
        <w:keepNext/>
        <w:spacing w:before="240" w:after="120" w:line="240" w:lineRule="auto"/>
        <w:jc w:val="both"/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5977255" cy="4560124"/>
            <wp:effectExtent l="0" t="0" r="4445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026" cy="456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461018">
      <w:pPr>
        <w:spacing w:before="240" w:after="120" w:line="240" w:lineRule="auto"/>
        <w:jc w:val="both"/>
        <w:rPr>
          <w:rFonts w:ascii="Times New Roman" w:hAnsi="Times New Roman"/>
          <w:i/>
          <w:iCs/>
          <w:noProof/>
          <w:sz w:val="24"/>
          <w:szCs w:val="24"/>
        </w:rPr>
      </w:pPr>
    </w:p>
    <w:p w:rsidR="00461018" w:rsidRDefault="00461018">
      <w:pPr>
        <w:spacing w:before="240" w:after="120" w:line="240" w:lineRule="auto"/>
        <w:jc w:val="both"/>
        <w:rPr>
          <w:rFonts w:ascii="Times New Roman" w:hAnsi="Times New Roman"/>
          <w:i/>
          <w:iCs/>
          <w:noProof/>
          <w:sz w:val="24"/>
          <w:szCs w:val="24"/>
        </w:rPr>
      </w:pPr>
    </w:p>
    <w:p w:rsidR="00461018" w:rsidRDefault="00461018">
      <w:pPr>
        <w:spacing w:before="240" w:after="120" w:line="240" w:lineRule="auto"/>
        <w:jc w:val="both"/>
        <w:rPr>
          <w:rFonts w:ascii="Times New Roman" w:hAnsi="Times New Roman"/>
          <w:i/>
          <w:iCs/>
          <w:noProof/>
          <w:sz w:val="24"/>
          <w:szCs w:val="24"/>
        </w:rPr>
      </w:pPr>
    </w:p>
    <w:p w:rsidR="00461018" w:rsidRDefault="00461018">
      <w:pPr>
        <w:spacing w:before="240" w:after="120" w:line="240" w:lineRule="auto"/>
        <w:jc w:val="both"/>
        <w:rPr>
          <w:rFonts w:ascii="Times New Roman" w:hAnsi="Times New Roman"/>
          <w:i/>
          <w:iCs/>
          <w:noProof/>
          <w:sz w:val="24"/>
          <w:szCs w:val="24"/>
        </w:rPr>
      </w:pPr>
    </w:p>
    <w:p w:rsidR="00461018" w:rsidRDefault="00461018">
      <w:pPr>
        <w:spacing w:before="240" w:after="120" w:line="240" w:lineRule="auto"/>
        <w:jc w:val="both"/>
        <w:rPr>
          <w:rFonts w:ascii="Times New Roman" w:hAnsi="Times New Roman"/>
          <w:i/>
          <w:iCs/>
          <w:noProof/>
          <w:sz w:val="24"/>
          <w:szCs w:val="24"/>
        </w:rPr>
      </w:pPr>
    </w:p>
    <w:p w:rsidR="00461018" w:rsidRDefault="00461018">
      <w:pPr>
        <w:spacing w:before="240" w:after="120" w:line="240" w:lineRule="auto"/>
        <w:jc w:val="both"/>
        <w:rPr>
          <w:rFonts w:ascii="Times New Roman" w:hAnsi="Times New Roman"/>
          <w:i/>
          <w:iCs/>
          <w:noProof/>
          <w:sz w:val="24"/>
          <w:szCs w:val="24"/>
        </w:rPr>
      </w:pPr>
    </w:p>
    <w:p w:rsidR="00461018" w:rsidRDefault="00461018">
      <w:pPr>
        <w:spacing w:before="240" w:after="120" w:line="240" w:lineRule="auto"/>
        <w:jc w:val="both"/>
        <w:rPr>
          <w:rFonts w:ascii="Times New Roman" w:hAnsi="Times New Roman"/>
          <w:i/>
          <w:iCs/>
          <w:noProof/>
          <w:sz w:val="24"/>
          <w:szCs w:val="24"/>
        </w:rPr>
      </w:pPr>
    </w:p>
    <w:p w:rsidR="00461018" w:rsidRDefault="00461018">
      <w:pPr>
        <w:spacing w:before="240" w:after="120" w:line="240" w:lineRule="auto"/>
        <w:jc w:val="both"/>
        <w:rPr>
          <w:rFonts w:ascii="Times New Roman" w:hAnsi="Times New Roman"/>
          <w:i/>
          <w:iCs/>
          <w:noProof/>
          <w:sz w:val="24"/>
          <w:szCs w:val="24"/>
        </w:rPr>
      </w:pPr>
    </w:p>
    <w:p w:rsidR="00461018" w:rsidRDefault="00461018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noProof/>
          <w:sz w:val="20"/>
          <w:szCs w:val="20"/>
        </w:rPr>
      </w:pPr>
      <w:r>
        <w:rPr>
          <w:rFonts w:ascii="Times New Roman" w:hAnsi="Times New Roman"/>
          <w:i/>
          <w:noProof/>
          <w:sz w:val="20"/>
        </w:rPr>
        <w:t xml:space="preserve">(*) </w:t>
      </w:r>
      <w:r>
        <w:rPr>
          <w:rFonts w:ascii="Times New Roman" w:hAnsi="Times New Roman"/>
          <w:i/>
          <w:noProof/>
        </w:rPr>
        <w:t>L-Istati Membri ngħataw punt wieħed għal kull suġġett tal-istħarriġ indikat irrispettivament minn jekk l-istħarriġ twettaqx fil-livell nazzjonali, reġjonali jew tal-qrati.</w:t>
      </w:r>
      <w:r>
        <w:rPr>
          <w:rFonts w:ascii="Times New Roman" w:hAnsi="Times New Roman"/>
          <w:bCs/>
          <w:i/>
          <w:noProof/>
          <w:sz w:val="20"/>
          <w:szCs w:val="20"/>
        </w:rPr>
        <w:t xml:space="preserve"> “Suġġetti oħrajn” jinkludu: stħarriġijiet fost l-avukati dwar il-funzjonament ta’ ċerti qrati (</w:t>
      </w:r>
      <w:r>
        <w:rPr>
          <w:rFonts w:ascii="Times New Roman" w:hAnsi="Times New Roman"/>
          <w:b/>
          <w:bCs/>
          <w:i/>
          <w:noProof/>
          <w:sz w:val="20"/>
          <w:szCs w:val="20"/>
        </w:rPr>
        <w:t>ES</w:t>
      </w:r>
      <w:r>
        <w:rPr>
          <w:rFonts w:ascii="Times New Roman" w:hAnsi="Times New Roman"/>
          <w:bCs/>
          <w:i/>
          <w:noProof/>
          <w:sz w:val="20"/>
          <w:szCs w:val="20"/>
        </w:rPr>
        <w:t xml:space="preserve">); sensibilizzazzjoni dwar il-miżuri tal-ICT bħala mezz sabiex tittejjeb l-aċċessibbiltà għall-utenti </w:t>
      </w:r>
      <w:r>
        <w:rPr>
          <w:rFonts w:ascii="Times New Roman" w:hAnsi="Times New Roman"/>
          <w:i/>
          <w:noProof/>
          <w:sz w:val="20"/>
          <w:szCs w:val="20"/>
        </w:rPr>
        <w:t>(</w:t>
      </w:r>
      <w:r>
        <w:rPr>
          <w:rFonts w:ascii="Times New Roman" w:hAnsi="Times New Roman"/>
          <w:b/>
          <w:i/>
          <w:noProof/>
          <w:sz w:val="20"/>
          <w:szCs w:val="20"/>
        </w:rPr>
        <w:t>MT</w:t>
      </w:r>
      <w:r>
        <w:rPr>
          <w:rFonts w:ascii="Times New Roman" w:hAnsi="Times New Roman"/>
          <w:i/>
          <w:noProof/>
          <w:sz w:val="20"/>
          <w:szCs w:val="20"/>
        </w:rPr>
        <w:t>)</w:t>
      </w:r>
      <w:r>
        <w:rPr>
          <w:rFonts w:ascii="Times New Roman" w:hAnsi="Times New Roman"/>
          <w:bCs/>
          <w:i/>
          <w:noProof/>
          <w:sz w:val="20"/>
          <w:szCs w:val="20"/>
        </w:rPr>
        <w:t>; riżorsi u kundizzjonijiet materjali tal-qrati (</w:t>
      </w:r>
      <w:r>
        <w:rPr>
          <w:rFonts w:ascii="Times New Roman" w:hAnsi="Times New Roman"/>
          <w:b/>
          <w:bCs/>
          <w:i/>
          <w:noProof/>
          <w:sz w:val="20"/>
          <w:szCs w:val="20"/>
        </w:rPr>
        <w:t>PT</w:t>
      </w:r>
      <w:r>
        <w:rPr>
          <w:rFonts w:ascii="Times New Roman" w:hAnsi="Times New Roman"/>
          <w:bCs/>
          <w:i/>
          <w:noProof/>
          <w:sz w:val="20"/>
          <w:szCs w:val="20"/>
        </w:rPr>
        <w:t>)</w:t>
      </w:r>
      <w:r>
        <w:rPr>
          <w:rFonts w:ascii="Times New Roman" w:hAnsi="Times New Roman"/>
          <w:bCs/>
          <w:i/>
          <w:noProof/>
          <w:sz w:val="20"/>
          <w:szCs w:val="20"/>
        </w:rPr>
        <w:t>; mistoqsijiet relatati ma’ proġett dwar il-ġustizzja proċedurali (</w:t>
      </w:r>
      <w:r>
        <w:rPr>
          <w:rFonts w:ascii="Times New Roman" w:hAnsi="Times New Roman"/>
          <w:b/>
          <w:bCs/>
          <w:i/>
          <w:noProof/>
          <w:sz w:val="20"/>
          <w:szCs w:val="20"/>
        </w:rPr>
        <w:t>SI</w:t>
      </w:r>
      <w:r>
        <w:rPr>
          <w:rFonts w:ascii="Times New Roman" w:hAnsi="Times New Roman"/>
          <w:bCs/>
          <w:i/>
          <w:noProof/>
          <w:sz w:val="20"/>
          <w:szCs w:val="20"/>
        </w:rPr>
        <w:t>), possibilitajiet għat-titjib tal-funzjonament tal-qrati (</w:t>
      </w:r>
      <w:r>
        <w:rPr>
          <w:rFonts w:ascii="Times New Roman" w:hAnsi="Times New Roman"/>
          <w:b/>
          <w:bCs/>
          <w:i/>
          <w:noProof/>
          <w:sz w:val="20"/>
          <w:szCs w:val="20"/>
        </w:rPr>
        <w:t>SK</w:t>
      </w:r>
      <w:r>
        <w:rPr>
          <w:rFonts w:ascii="Times New Roman" w:hAnsi="Times New Roman"/>
          <w:bCs/>
          <w:i/>
          <w:noProof/>
          <w:sz w:val="20"/>
          <w:szCs w:val="20"/>
        </w:rPr>
        <w:t>); kunċetti ta’ piena xierqa (</w:t>
      </w:r>
      <w:r>
        <w:rPr>
          <w:rFonts w:ascii="Times New Roman" w:hAnsi="Times New Roman"/>
          <w:b/>
          <w:bCs/>
          <w:i/>
          <w:noProof/>
          <w:sz w:val="20"/>
          <w:szCs w:val="20"/>
        </w:rPr>
        <w:t>FI</w:t>
      </w:r>
      <w:r>
        <w:rPr>
          <w:rFonts w:ascii="Times New Roman" w:hAnsi="Times New Roman"/>
          <w:bCs/>
          <w:i/>
          <w:noProof/>
          <w:sz w:val="20"/>
          <w:szCs w:val="20"/>
        </w:rPr>
        <w:t>); u s-sodisfazzjon tal-professjonisti legali u tal-utenti tal-qrati bis-servizzi mogħtija mis</w:t>
      </w:r>
      <w:r>
        <w:rPr>
          <w:rFonts w:ascii="Times New Roman" w:hAnsi="Times New Roman"/>
          <w:bCs/>
          <w:i/>
          <w:noProof/>
          <w:sz w:val="20"/>
          <w:szCs w:val="20"/>
        </w:rPr>
        <w:t>-sistema ġudizzjarja (</w:t>
      </w:r>
      <w:r>
        <w:rPr>
          <w:rFonts w:ascii="Times New Roman" w:hAnsi="Times New Roman"/>
          <w:b/>
          <w:bCs/>
          <w:i/>
          <w:noProof/>
          <w:sz w:val="20"/>
          <w:szCs w:val="20"/>
        </w:rPr>
        <w:t>SE)</w:t>
      </w:r>
      <w:r>
        <w:rPr>
          <w:rFonts w:ascii="Times New Roman" w:hAnsi="Times New Roman"/>
          <w:bCs/>
          <w:i/>
          <w:noProof/>
          <w:sz w:val="20"/>
          <w:szCs w:val="20"/>
        </w:rPr>
        <w:t>. Fil-</w:t>
      </w:r>
      <w:r>
        <w:rPr>
          <w:rFonts w:ascii="Times New Roman" w:hAnsi="Times New Roman"/>
          <w:b/>
          <w:bCs/>
          <w:i/>
          <w:noProof/>
          <w:sz w:val="20"/>
          <w:szCs w:val="20"/>
        </w:rPr>
        <w:t>DE</w:t>
      </w:r>
      <w:r>
        <w:rPr>
          <w:rFonts w:ascii="Times New Roman" w:hAnsi="Times New Roman"/>
          <w:bCs/>
          <w:i/>
          <w:noProof/>
          <w:sz w:val="20"/>
          <w:szCs w:val="20"/>
        </w:rPr>
        <w:t xml:space="preserve"> twettqu diversi stħarriġijiet differenti fil-livell tal-istati federali. </w:t>
      </w:r>
    </w:p>
    <w:p w:rsidR="00461018" w:rsidRDefault="00461018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noProof/>
          <w:sz w:val="20"/>
          <w:szCs w:val="20"/>
          <w:highlight w:val="yellow"/>
        </w:rPr>
      </w:pPr>
    </w:p>
    <w:p w:rsidR="00461018" w:rsidRDefault="000329C3">
      <w:pPr>
        <w:keepNext/>
        <w:spacing w:before="240" w:after="12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</w:pPr>
      <w:bookmarkStart w:id="441" w:name="_Ref441218744"/>
      <w:bookmarkEnd w:id="441"/>
      <w:r>
        <w:rPr>
          <w:rFonts w:ascii="Times New Roman" w:hAnsi="Times New Roman"/>
          <w:b/>
          <w:bCs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</w:rPr>
        <w:t>42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: </w:t>
      </w:r>
      <w:r>
        <w:rPr>
          <w:rFonts w:ascii="Times New Roman" w:hAnsi="Times New Roman"/>
          <w:b/>
          <w:noProof/>
        </w:rPr>
        <w:t>Segwitu tal-istħarriġijiet imwettqa fost l-utenti tal-qrati jew il-professjonisti legali, 2018</w:t>
      </w:r>
      <w:r>
        <w:rPr>
          <w:rFonts w:ascii="Times New Roman" w:hAnsi="Times New Roman"/>
          <w:noProof/>
        </w:rPr>
        <w:t xml:space="preserve"> (*) </w:t>
      </w:r>
      <w:r>
        <w:rPr>
          <w:rFonts w:ascii="Times New Roman" w:hAnsi="Times New Roman"/>
          <w:i/>
          <w:iCs/>
          <w:noProof/>
        </w:rPr>
        <w:t>(sors:</w:t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 il-Kummissjoni Ewropea (</w:t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vertAlign w:val="superscript"/>
        </w:rPr>
        <w:footnoteReference w:id="83"/>
      </w:r>
      <w:r>
        <w:rPr>
          <w:rFonts w:ascii="Times New Roman" w:hAnsi="Times New Roman"/>
          <w:i/>
          <w:iCs/>
          <w:noProof/>
          <w:sz w:val="24"/>
          <w:szCs w:val="24"/>
        </w:rPr>
        <w:t>))</w:t>
      </w:r>
      <w:bookmarkStart w:id="442" w:name="_Toc440017702"/>
      <w:bookmarkStart w:id="443" w:name="_Toc440018086"/>
      <w:bookmarkStart w:id="444" w:name="_Toc440033384"/>
      <w:bookmarkStart w:id="445" w:name="_Toc440035235"/>
      <w:bookmarkStart w:id="446" w:name="_Toc440036530"/>
      <w:bookmarkStart w:id="447" w:name="_Toc440042472"/>
      <w:bookmarkStart w:id="448" w:name="_Toc440291125"/>
      <w:bookmarkStart w:id="449" w:name="_Toc440294688"/>
      <w:bookmarkStart w:id="450" w:name="_Toc440295190"/>
      <w:bookmarkStart w:id="451" w:name="_Toc440296595"/>
      <w:bookmarkStart w:id="452" w:name="_Toc440625079"/>
      <w:bookmarkStart w:id="453" w:name="_Toc440626409"/>
      <w:bookmarkStart w:id="454" w:name="_Toc440628863"/>
      <w:bookmarkStart w:id="455" w:name="_Toc441571136"/>
      <w:bookmarkStart w:id="456" w:name="_Toc441581638"/>
      <w:bookmarkStart w:id="457" w:name="_Toc441585905"/>
      <w:bookmarkStart w:id="458" w:name="_Toc441595840"/>
      <w:bookmarkStart w:id="459" w:name="_Toc441596017"/>
      <w:bookmarkStart w:id="460" w:name="_Toc441748142"/>
      <w:bookmarkStart w:id="461" w:name="_Toc441755427"/>
      <w:bookmarkStart w:id="462" w:name="_Toc441756464"/>
      <w:bookmarkStart w:id="463" w:name="_Toc441757508"/>
      <w:bookmarkStart w:id="464" w:name="_Toc441766637"/>
      <w:bookmarkStart w:id="465" w:name="_Toc441766976"/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bookmarkStart w:id="466" w:name="_Toc442187977"/>
      <w:bookmarkStart w:id="467" w:name="_Toc442262069"/>
      <w:bookmarkStart w:id="468" w:name="_Toc442362476"/>
      <w:bookmarkStart w:id="469" w:name="_Toc442374812"/>
      <w:bookmarkStart w:id="470" w:name="_Toc442425952"/>
      <w:bookmarkStart w:id="471" w:name="_Toc442453078"/>
      <w:bookmarkStart w:id="472" w:name="_Toc443484536"/>
      <w:bookmarkStart w:id="473" w:name="_Toc443484758"/>
      <w:bookmarkStart w:id="474" w:name="_Toc443509499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r>
        <w:rPr>
          <w:noProof/>
          <w:lang w:val="en-GB" w:eastAsia="en-GB"/>
        </w:rPr>
        <w:drawing>
          <wp:inline distT="0" distB="0" distL="0" distR="0">
            <wp:extent cx="5977255" cy="3752850"/>
            <wp:effectExtent l="0" t="0" r="4445" b="0"/>
            <wp:docPr id="97287" name="Picture 97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4"/>
          <w:highlight w:val="yellow"/>
        </w:rPr>
      </w:pPr>
      <w:r>
        <w:rPr>
          <w:rFonts w:ascii="Times New Roman" w:hAnsi="Times New Roman"/>
          <w:i/>
          <w:noProof/>
          <w:sz w:val="20"/>
        </w:rPr>
        <w:t>(*) L-Istati Membri ngħataw punt wieħed għal kull tip ta’ segwitu. Il-kategorija “segwitu ieħor speċifiku” inkludiet: spezzjoni (</w:t>
      </w:r>
      <w:r>
        <w:rPr>
          <w:rFonts w:ascii="Times New Roman" w:hAnsi="Times New Roman"/>
          <w:b/>
          <w:i/>
          <w:noProof/>
          <w:sz w:val="20"/>
        </w:rPr>
        <w:t>ES</w:t>
      </w:r>
      <w:r>
        <w:rPr>
          <w:rFonts w:ascii="Times New Roman" w:hAnsi="Times New Roman"/>
          <w:i/>
          <w:noProof/>
          <w:sz w:val="20"/>
        </w:rPr>
        <w:t>); l-użu bħala gwida għall-iżvilupp tal-politika interna (</w:t>
      </w:r>
      <w:r>
        <w:rPr>
          <w:rFonts w:ascii="Times New Roman" w:hAnsi="Times New Roman"/>
          <w:b/>
          <w:i/>
          <w:noProof/>
          <w:sz w:val="20"/>
        </w:rPr>
        <w:t>MT</w:t>
      </w:r>
      <w:r>
        <w:rPr>
          <w:rFonts w:ascii="Times New Roman" w:hAnsi="Times New Roman"/>
          <w:i/>
          <w:noProof/>
          <w:sz w:val="20"/>
        </w:rPr>
        <w:t>); pubblikazzjoni ta’ għodod</w:t>
      </w:r>
      <w:r>
        <w:rPr>
          <w:rFonts w:ascii="Times New Roman" w:hAnsi="Times New Roman"/>
          <w:i/>
          <w:noProof/>
          <w:sz w:val="20"/>
        </w:rPr>
        <w:t xml:space="preserve"> informattivi għal skopijiet ġenerali (</w:t>
      </w:r>
      <w:r>
        <w:rPr>
          <w:rFonts w:ascii="Times New Roman" w:hAnsi="Times New Roman"/>
          <w:b/>
          <w:i/>
          <w:noProof/>
          <w:sz w:val="20"/>
        </w:rPr>
        <w:t>SI</w:t>
      </w:r>
      <w:r>
        <w:rPr>
          <w:rFonts w:ascii="Times New Roman" w:hAnsi="Times New Roman"/>
          <w:i/>
          <w:noProof/>
          <w:sz w:val="20"/>
        </w:rPr>
        <w:t>); u rapporti ta’ awtovalutazzjoni tal-qrati (</w:t>
      </w:r>
      <w:r>
        <w:rPr>
          <w:rFonts w:ascii="Times New Roman" w:hAnsi="Times New Roman"/>
          <w:b/>
          <w:i/>
          <w:noProof/>
          <w:sz w:val="20"/>
        </w:rPr>
        <w:t>SK</w:t>
      </w:r>
      <w:r>
        <w:rPr>
          <w:rFonts w:ascii="Times New Roman" w:hAnsi="Times New Roman"/>
          <w:i/>
          <w:noProof/>
          <w:sz w:val="20"/>
        </w:rPr>
        <w:t>)</w:t>
      </w:r>
      <w:bookmarkStart w:id="475" w:name="_Toc446014828"/>
      <w:r>
        <w:rPr>
          <w:rFonts w:ascii="Times New Roman" w:hAnsi="Times New Roman"/>
          <w:i/>
          <w:noProof/>
          <w:sz w:val="20"/>
        </w:rPr>
        <w:t>.</w:t>
      </w:r>
    </w:p>
    <w:p w:rsidR="00461018" w:rsidRDefault="000329C3">
      <w:pPr>
        <w:spacing w:before="240" w:after="12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rFonts w:ascii="Times New Roman" w:hAnsi="Times New Roman"/>
          <w:b/>
          <w:noProof/>
          <w:sz w:val="24"/>
        </w:rPr>
        <w:t>3.2.4. Standards</w:t>
      </w:r>
      <w:bookmarkEnd w:id="475"/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  <w:szCs w:val="24"/>
        </w:rPr>
        <w:t>L-istandards jistgħu jtejbu l-kwalità tas-sistemi tal-ġustizzja. Wara l-ħarsa ġenerali lejn l-istandards dwar it-tempistika u l-informazzjoni lill-</w:t>
      </w:r>
      <w:r>
        <w:rPr>
          <w:rFonts w:ascii="Times New Roman" w:hAnsi="Times New Roman"/>
          <w:noProof/>
          <w:sz w:val="24"/>
          <w:szCs w:val="24"/>
        </w:rPr>
        <w:t>partijiet fl-edizzjoni preċedenti, it-Tabella ta’ Valutazzjoni tal-Ġustizzja tal-UE tal-2020 tiffoka fuq it-tempistika, il-volum b’lura ta’ kawżi u l-perjodi ta’ żmien bħala għodda ta’ ġestjoni fil-ġudikatura (</w:t>
      </w: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footnoteReference w:id="84"/>
      </w:r>
      <w:r>
        <w:rPr>
          <w:rFonts w:ascii="Times New Roman" w:hAnsi="Times New Roman"/>
          <w:noProof/>
          <w:sz w:val="24"/>
          <w:szCs w:val="24"/>
        </w:rPr>
        <w:t>). L-Illustrazzjoni 43 turi ħarsa ġenerali le</w:t>
      </w:r>
      <w:r>
        <w:rPr>
          <w:rFonts w:ascii="Times New Roman" w:hAnsi="Times New Roman"/>
          <w:noProof/>
          <w:sz w:val="24"/>
          <w:szCs w:val="24"/>
        </w:rPr>
        <w:t>jn liema l-Istati Membri jużaw miżuri standard dwar termini preskrittivi, perjodi ta’ żmien u volumi ta’ kawżi b’lura u tinkludi għall-ewwel darba informazzjoni mqassma skont l-oqsma tal-liġijiet u l-istanzi li fihom jeżistu standards bħal dawn. It-termini</w:t>
      </w:r>
      <w:r>
        <w:rPr>
          <w:rFonts w:ascii="Times New Roman" w:hAnsi="Times New Roman"/>
          <w:noProof/>
          <w:sz w:val="24"/>
          <w:szCs w:val="24"/>
        </w:rPr>
        <w:t xml:space="preserve"> preskrittivi huma skadenzi kwantitattivi, eż. għadd massimu ta’ jiem bejn ir-reġistrazzjoni ta’ kawża sal-ewwel seduta. Il-volumi ta’ kawżi b’lura huma kawżi li jmorru lura aktar minn perjodu ta’ żmien identifikat. Il-perjodi ta’ żmien huma miri/prattiki </w:t>
      </w:r>
      <w:r>
        <w:rPr>
          <w:rFonts w:ascii="Times New Roman" w:hAnsi="Times New Roman"/>
          <w:noProof/>
          <w:sz w:val="24"/>
          <w:szCs w:val="24"/>
        </w:rPr>
        <w:t xml:space="preserve">li jistgħu jitkejlu, pereżempju, li jispeċifikaw sehem definit minn qabel ta’ kawżi li jridu jitlestew f’ċertu perjodu ta’ żmien partikolari. </w:t>
      </w:r>
      <w:bookmarkStart w:id="476" w:name="_Ref441657918"/>
    </w:p>
    <w:bookmarkEnd w:id="476"/>
    <w:p w:rsidR="00461018" w:rsidRDefault="000329C3">
      <w:pPr>
        <w:keepNext/>
        <w:spacing w:before="240" w:after="0" w:line="240" w:lineRule="auto"/>
        <w:rPr>
          <w:rFonts w:ascii="Times New Roman" w:eastAsia="Calibri" w:hAnsi="Times New Roman" w:cs="Times New Roman"/>
          <w:b/>
          <w:bCs/>
          <w:noProof/>
          <w:sz w:val="24"/>
          <w:szCs w:val="24"/>
          <w:highlight w:val="yellow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</w:rPr>
        <w:t>43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>: L-eżistenza ta’ standards dwar it-tempistika</w:t>
      </w:r>
      <w:r>
        <w:rPr>
          <w:rFonts w:ascii="Times New Roman" w:hAnsi="Times New Roman"/>
          <w:noProof/>
          <w:sz w:val="24"/>
          <w:szCs w:val="24"/>
        </w:rPr>
        <w:t xml:space="preserve">, 2019 (*) </w:t>
      </w:r>
      <w:r>
        <w:rPr>
          <w:rFonts w:ascii="Times New Roman" w:hAnsi="Times New Roman"/>
          <w:i/>
          <w:iCs/>
          <w:noProof/>
          <w:sz w:val="24"/>
          <w:szCs w:val="24"/>
        </w:rPr>
        <w:t>(sors: il-Kumm</w:t>
      </w:r>
      <w:r>
        <w:rPr>
          <w:rFonts w:ascii="Times New Roman" w:hAnsi="Times New Roman"/>
          <w:i/>
          <w:iCs/>
          <w:noProof/>
          <w:sz w:val="24"/>
          <w:szCs w:val="24"/>
        </w:rPr>
        <w:t>issjoni Ewropea (</w:t>
      </w:r>
      <w:r>
        <w:rPr>
          <w:rFonts w:ascii="Times New Roman" w:eastAsia="Calibri" w:hAnsi="Times New Roman" w:cs="Times New Roman"/>
          <w:i/>
          <w:iCs/>
          <w:noProof/>
          <w:vertAlign w:val="superscript"/>
        </w:rPr>
        <w:footnoteReference w:id="85"/>
      </w:r>
      <w:r>
        <w:rPr>
          <w:rFonts w:ascii="Times New Roman" w:hAnsi="Times New Roman"/>
          <w:i/>
          <w:iCs/>
          <w:noProof/>
          <w:sz w:val="24"/>
          <w:szCs w:val="24"/>
        </w:rPr>
        <w:t>))</w:t>
      </w:r>
    </w:p>
    <w:p w:rsidR="00461018" w:rsidRDefault="000329C3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noProof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880591"/>
            <wp:effectExtent l="0" t="0" r="4445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88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noProof/>
          <w:sz w:val="20"/>
          <w:szCs w:val="20"/>
        </w:rPr>
      </w:pPr>
      <w:r>
        <w:rPr>
          <w:rFonts w:ascii="Times New Roman" w:hAnsi="Times New Roman"/>
          <w:i/>
          <w:noProof/>
          <w:sz w:val="20"/>
          <w:szCs w:val="20"/>
        </w:rPr>
        <w:t>(*) L-Istati Membri ngħataw punt (1) għal kull istanza (il-prim’istanza, it-tieni istanza, l-istanza finali) għal kull qasam tal-liġi (ċivili/kummerċjali, amministrattiva u kriminali) jekk huwa definit standard. Il-massimu possibbli:</w:t>
      </w:r>
      <w:r>
        <w:rPr>
          <w:rFonts w:ascii="Times New Roman" w:hAnsi="Times New Roman"/>
          <w:i/>
          <w:noProof/>
          <w:sz w:val="20"/>
          <w:szCs w:val="20"/>
        </w:rPr>
        <w:t xml:space="preserve"> 27 punt.</w:t>
      </w:r>
      <w:r>
        <w:rPr>
          <w:rFonts w:ascii="Times New Roman" w:hAnsi="Times New Roman"/>
          <w:i/>
          <w:noProof/>
          <w:sz w:val="20"/>
        </w:rPr>
        <w:t xml:space="preserve"> Għall-Istati Membri li għandhom żewġ istanzi biss tal-qorti, ingħataw punti għal tliet istanzi billi ġiet riflessa l-ogħla istanza rispettiva tal-qorti tal-istanza li ma teżistix. Għal dawk l-Istati Membri li ma jagħmlu ebda distinzjoni bejn iż-ż</w:t>
      </w:r>
      <w:r>
        <w:rPr>
          <w:rFonts w:ascii="Times New Roman" w:hAnsi="Times New Roman"/>
          <w:i/>
          <w:noProof/>
          <w:sz w:val="20"/>
        </w:rPr>
        <w:t>ewġ oqsma tal-liġi (ċivili/kummerċjali u amministrattiva), ingħata l-istess għadd ta’ punti għaż-żewġ oqsma.</w:t>
      </w:r>
      <w:r>
        <w:rPr>
          <w:rFonts w:ascii="Times New Roman" w:hAnsi="Times New Roman"/>
          <w:i/>
          <w:noProof/>
          <w:sz w:val="20"/>
          <w:szCs w:val="20"/>
        </w:rPr>
        <w:t xml:space="preserve"> </w:t>
      </w:r>
    </w:p>
    <w:p w:rsidR="00461018" w:rsidRDefault="00461018">
      <w:pPr>
        <w:spacing w:before="240" w:after="120" w:line="240" w:lineRule="auto"/>
        <w:contextualSpacing/>
        <w:jc w:val="both"/>
        <w:rPr>
          <w:rFonts w:ascii="Times New Roman Bold" w:eastAsia="Calibri" w:hAnsi="Times New Roman Bold" w:cs="Times New Roman"/>
          <w:i/>
          <w:noProof/>
          <w:spacing w:val="-6"/>
          <w:sz w:val="24"/>
        </w:rPr>
      </w:pPr>
    </w:p>
    <w:p w:rsidR="00461018" w:rsidRDefault="00461018">
      <w:pPr>
        <w:spacing w:before="240" w:after="120" w:line="240" w:lineRule="auto"/>
        <w:contextualSpacing/>
        <w:jc w:val="both"/>
        <w:rPr>
          <w:rFonts w:ascii="Times New Roman Bold" w:eastAsia="Calibri" w:hAnsi="Times New Roman Bold" w:cs="Times New Roman"/>
          <w:i/>
          <w:noProof/>
          <w:spacing w:val="-6"/>
          <w:sz w:val="24"/>
        </w:rPr>
      </w:pPr>
    </w:p>
    <w:tbl>
      <w:tblPr>
        <w:tblW w:w="0" w:type="auto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29"/>
      </w:tblGrid>
      <w:tr w:rsidR="00461018">
        <w:trPr>
          <w:trHeight w:val="839"/>
        </w:trPr>
        <w:tc>
          <w:tcPr>
            <w:tcW w:w="9729" w:type="dxa"/>
            <w:tcBorders>
              <w:bottom w:val="single" w:sz="4" w:space="0" w:color="auto"/>
            </w:tcBorders>
            <w:shd w:val="clear" w:color="auto" w:fill="auto"/>
          </w:tcPr>
          <w:p w:rsidR="00461018" w:rsidRDefault="000329C3">
            <w:pPr>
              <w:pageBreakBefore/>
              <w:widowControl w:val="0"/>
              <w:tabs>
                <w:tab w:val="left" w:pos="856"/>
              </w:tabs>
              <w:spacing w:after="0" w:line="240" w:lineRule="auto"/>
              <w:ind w:left="856" w:hanging="856"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highlight w:val="yellow"/>
                <w:u w:val="single"/>
              </w:rPr>
            </w:pPr>
            <w:r>
              <w:rPr>
                <w:noProof/>
              </w:rPr>
              <w:br w:type="page"/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3.2.5. Sommarju dwar il-kwalità tas-sistemi ġudizzjarji</w:t>
            </w:r>
          </w:p>
          <w:p w:rsidR="00461018" w:rsidRDefault="000329C3">
            <w:pPr>
              <w:widowControl w:val="0"/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Aċċess faċli, riżorsi adegwati, għodod ta’ valutazzjoni effettivi u standards xierqa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huma fatturi ewlenin li jikkontribwixxu għal kwalità għolja tas-sistemi tal-ġustizzja. Iċ-ċittadini u n-negozji jistennew deċiżjonijiet ta’ kwalità għolja minn sistema tal-ġustizzja effettiva. It-Tabella ta’ Valutazzjoni tal-Ġustizzja tal-UE tal-2020 tiżvi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luppa l-eżaminazzjoni komparattiva tagħha ta’ dawn il-fatturi.</w:t>
            </w:r>
          </w:p>
          <w:p w:rsidR="00461018" w:rsidRDefault="000329C3">
            <w:pPr>
              <w:widowControl w:val="0"/>
              <w:spacing w:before="120" w:after="60" w:line="240" w:lineRule="auto"/>
              <w:jc w:val="both"/>
              <w:rPr>
                <w:rFonts w:ascii="Times New Roman" w:eastAsia="Calibri" w:hAnsi="Times New Roman" w:cs="Times New Roman"/>
                <w:i/>
                <w:noProof/>
                <w:sz w:val="24"/>
              </w:rPr>
            </w:pPr>
            <w:r>
              <w:rPr>
                <w:rFonts w:ascii="Times New Roman" w:hAnsi="Times New Roman"/>
                <w:i/>
                <w:noProof/>
                <w:sz w:val="24"/>
              </w:rPr>
              <w:t>Aċċessibbiltà</w:t>
            </w:r>
          </w:p>
          <w:p w:rsidR="00461018" w:rsidRDefault="000329C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noProof/>
                <w:sz w:val="24"/>
                <w:szCs w:val="24"/>
              </w:rPr>
              <w:t>Din l-edizzjoni tħares mill-ġdid lejn għadd ta’ elementi li jikkontribwixxu għal sistema tal-ġustizzja li tiffavorixxi liċ-ċittadini:</w:t>
            </w:r>
          </w:p>
          <w:p w:rsidR="00461018" w:rsidRDefault="000329C3">
            <w:pPr>
              <w:widowControl w:val="0"/>
              <w:numPr>
                <w:ilvl w:val="0"/>
                <w:numId w:val="5"/>
              </w:num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Kważi l-Istati Membri kollha jipprovdu aċċess għal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xi informazzjoni online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dwar is-sistema ġudizzjarja tagħhom, inkluż portal ċentralizzat fuq il-web b’formoli online u edukazzjoni interattiva dwar id-drittijiet legali (Illustrazzjoni 22). Id-differenzi ji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dhru fil-kontenut tal-informazzjoni u f’kemm dan huwa adegwat sabiex iwieġeb għall-ħtiġijiet tal-persuni. Pereżempju, għadd limitat biss ta’ Stati Membri (9) jippermettu lin-nies jiskopru jekk humiex eliġibbli għal għajnuna legali permezz ta’ simulazzjoni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interattiva online. Madankollu, fil-maġġoranza tal-Istati Membri hemm disponibbli informazzjoni għall-kelliema mhux nattivi kif ukoll informazzjoni mmirata għal persuni neqsin mid-dawl jew mis-smigħ.</w:t>
            </w:r>
          </w:p>
          <w:p w:rsidR="00461018" w:rsidRDefault="000329C3">
            <w:pPr>
              <w:widowControl w:val="0"/>
              <w:numPr>
                <w:ilvl w:val="0"/>
                <w:numId w:val="5"/>
              </w:num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Id-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disponibbiltà tal-għajnuna legali u l-livell tat-tari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ffi tal-qrati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għandhom impatt kbir fuq l-aċċess għall-ġustizzja, b’mod partikolari għall-persuni li jgħixu fil-faqar. L-Illustrazzjoni 23 turi li, f’xi Stati Membri, il-konsumaturi li l-introjtu tagħhom huwa anqas mil-limitu tal-Eurostat għall-faqar ma jir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ċ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ievu ebda għajnuna legali. Meta mqabbla mas-sena li għaddiet, l-aċċessibbiltà għall-għajnuna legali baqgħet stabbli. Fl-istess ħin, matul is-snin, l-għajnuna legali saret anqas aċċessibbli f’xi Stati Membri. Il-livell tat-tariffi tal-qorti (Illustrazzjoni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 24) baqa’ fil-biċċa l-kbira stabbli mill-2016, għalkemm il-piż tat-tariffa tal-qorti għadu proporzjonalment ogħla għal talbiet ta’ valur baxx. Id-diffikultà sabiex wieħed jibbenefika minn għajnuna legali flimkien ma’ livelli għoljin tat-tariffi tal-qorti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f’xi Stati Membri jista’ jkollhom effett dissważiv fuq persuni li jgħixu fil-faqar sabiex jaċċessaw il-ġustizzja. </w:t>
            </w:r>
          </w:p>
          <w:p w:rsidR="00461018" w:rsidRDefault="000329C3">
            <w:pPr>
              <w:widowControl w:val="0"/>
              <w:numPr>
                <w:ilvl w:val="0"/>
                <w:numId w:val="5"/>
              </w:num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It-Tabella ta’ Valutazzjoni tal-Ġustizzja tal-UE tal-2020 għall-ewwel darba tinkludi wkoll informazzjoni dwar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it-tariffi tal-qorti u l-potenz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jal ta’ rkupru tal-ispejjeż legali f’kawża kummerċjali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. Il-livell tat-tariffi tal-qorti għal litigazzjoni kummerċjali (Illustrazzjoni 25) ivarja ħafna fost l-Istati Membri (minn 0,1 % sa 6 % tal-valur tat-talba), u żewġ Stati Membri biss ma għandhom l-ebda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tariffa tal-qorti. L-Illustrazzjoni 26 turi, għall-ewwel darba, sa liema punt l-ispejjeż legali jistgħu jiġu rkuprati mill-parti rebbieħa f’kawża kummerċjali. Differenzi kbar fir-rigward tal-potenzjal ta’ rkupru tat-tariffi legali għall-fażi kontenzjuża j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idhru kemm bejn l-Istati Membri b’sistema ta’ tariffi statutorji u dawk mingħajr, kif ukoll fi ħdan dawn il-gruppi (b’mod partikolari bejn sistemi ta’ tariffi statutorji aktar u anqas ġenerużi). Barra minn hekk, f’ħafna Stati Membri, l-irkupru tal-ispejjeż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legali jiddependi fuq id-diskrezzjoni tal-qrati. Il-livell ta’ ġenerożità tas-sistema għall-irkupru tat-tariffi legali jista’ jkollu effett ta’ inċentiv jew deterrenti fuq il-probabbiltà li tiġi ppreżentata kawża, u għalhekk fuq l-aċċess kumplessiv għall-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ġ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ustizzja.</w:t>
            </w:r>
          </w:p>
          <w:p w:rsidR="00461018" w:rsidRDefault="000329C3">
            <w:pPr>
              <w:widowControl w:val="0"/>
              <w:numPr>
                <w:ilvl w:val="0"/>
                <w:numId w:val="5"/>
              </w:num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Id-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disponibbiltà tal-mezzi elettroniċi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matul il-proċedura ġudizzjarja tikkontribwixxi għal aċċess aktar faċli għall-ġustizzja u għat-tnaqqis tad-dewmien u tal-ispejjeż. L-Illustrazzjoni 27 turi li f’aktar minn nofs l-Istati Membri, is-sottomissj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oni elettronika tat-talbiet u t-trażmissjoni taċ-ċitazzjoni għadhom mhumiex implimentati jew huma possibbli biss b’mod limitat, kif deher diġà fit-Tabella ta’ Valutazzjoni tal-Ġustizzja tal-UE tal-2019. Għad hemm diskrepanzi kbar b’mod partikolari fir-rigw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ard tal-possibbiltà li jiġu segwiti l-proċedimenti tal-qorti online, fejn l-ebda Stat Membru ma laħaq implimentazzjoni sħiħa fil-qrati kollha fl-oqsma kollha tal-liġi. </w:t>
            </w:r>
          </w:p>
          <w:p w:rsidR="00461018" w:rsidRDefault="000329C3">
            <w:pPr>
              <w:widowControl w:val="0"/>
              <w:numPr>
                <w:ilvl w:val="0"/>
                <w:numId w:val="5"/>
              </w:num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Meta mqabbel mas-snin preċedenti,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l-aċċess online għas-sentenzi tal-qorti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(Illustrazzjo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ni 28) baqa’ stabbli, b’mod partikolari fir-rigward tal-pubblikazzjoni tas-sentenzi tal-ogħla istanza: 19-il Stat Membru jippubblikaw is-sentenzi ċivili/kummerċjali u amministrattivi kollha u l-istess għadd ta’ Stati Membri jippubblikaw ukoll is-sentenzi k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riminali fl-ogħla istanza.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Dawn in-numri pożittivi jħeġġu lill-Istati Membri kollha sabiex ikomplu jagħmlu progress billi d-deċiżjonijiet tal-ogħla istanza jaqdu rwol importanti għall-konsistenza tal-ġurisprudenza. F’istanzi aktar baxxi, l-għadd ta’ Stati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Membri li jippubblikaw is-sentenzi kollha għadu ferm anqas, kemm għal sentenzi kriminali kif ukoll għal dawk ċivili/kummerċjali u għal sentenzi amministrattivi, ċifra li baqgħet stabbli mill-2017. </w:t>
            </w:r>
          </w:p>
          <w:p w:rsidR="00461018" w:rsidRDefault="000329C3">
            <w:pPr>
              <w:widowControl w:val="0"/>
              <w:numPr>
                <w:ilvl w:val="0"/>
                <w:numId w:val="5"/>
              </w:num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It-Tabella ta’ Valutazzjoni tal-Ġustizzja tal-UE tal-2020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tapprofondixxi l-eżaminazzjoni tal-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arranġamenti fis-seħħ fl-Istati Membri li jistgħu jiffaċilitaw il-produzzjoni ta’ deċiżjonijiet ġudizzjarji li jinqraw minn magna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(Illustrazzjoni 29). L-Istati Membri kollha għandhom tal-anqas xi arranġamenti fis-seħħ għa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ll-kawżi ċivili/kummerċjali, amministrattivi u kriminali. Madankollu, tista’ tiġi osservata varjazzjoni konsiderevoli fost l-Istati Membri. Jidher li l-qrati amministrattivi huma relattivament aktar avvanzati fir-rigward tal-ħolqien ta’ fatturi li jipperme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ttu sistema ta’ ġustizzja li tiffavorixxi l-algoritmi. Sistemi tal-ġustizzja fejn ġew implimentati arranġamenti għall-immudellar tas-sentenzi skont standards li jippermettu li jinqraw minn magni jidher li għandhom il-potenzjal li jiksbu riżultati aħjar fil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-futur.</w:t>
            </w:r>
          </w:p>
          <w:p w:rsidR="00461018" w:rsidRDefault="000329C3">
            <w:pPr>
              <w:widowControl w:val="0"/>
              <w:numPr>
                <w:ilvl w:val="0"/>
                <w:numId w:val="5"/>
              </w:num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L-għadd ta’ Stati Membri li jippromwovu l-użu volontarju ta’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metodi ta’ soluzzjoni alternattiva għat-tilwim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(ADR) (Illustrazzjoni 30) għal tilwim privat reġa’ kompla jikber meta mqabbel mas-snin preċedenti. Primarjament, dan jinkiseb bl-introduzzjo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ni ta’ aktar inċentivi għall-użu tal-ADR fost oqsma differenti tal-liġi. It-tilwim amministrattiv issa tqies għat-tieni sena konsekuttiva, filwaqt li wera espansjoni żgħira peress li issa aktar minn nofs l-Istati Membri jippermettu l-ADR f’dan il-qasam.</w:t>
            </w:r>
          </w:p>
          <w:p w:rsidR="00461018" w:rsidRDefault="000329C3">
            <w:pPr>
              <w:widowControl w:val="0"/>
              <w:numPr>
                <w:ilvl w:val="0"/>
                <w:numId w:val="5"/>
              </w:num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Għ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all-ewwel darba, it-Tabella ta’ Valutazzjoni tal-Ġustizzja tal-UE tal-2020 tippreżenta ħarsa ġenerali konsolidata tal-miżuri meħuda mill-Istati Membri għal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sistema tal-ġustizzja adattata għat-tfal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(Illustrazzjoni 31). Kważi l-Istati Membri kollha jagħmlu t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al-anqas xi akkomodazzjonijiet għat-tfal, b’miżuri għal smigħ adatt għat-tfal (inkluż fis-seduti) u sabiex jipprevjenu diversi seduti għal tfal partikolarment prevalenti. Madankollu, anqas minn nofs l-Istati Membri għandhom siti web iddedikati għat-tfal li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jipprovdu informazzjoni dwar is-sistema tal-ġustizzja.</w:t>
            </w:r>
          </w:p>
          <w:p w:rsidR="00461018" w:rsidRDefault="000329C3">
            <w:pPr>
              <w:widowControl w:val="0"/>
              <w:spacing w:before="120" w:after="60" w:line="240" w:lineRule="auto"/>
              <w:jc w:val="both"/>
              <w:rPr>
                <w:rFonts w:ascii="Times New Roman" w:eastAsia="Calibri" w:hAnsi="Times New Roman" w:cs="Times New Roman"/>
                <w:i/>
                <w:noProof/>
                <w:sz w:val="24"/>
              </w:rPr>
            </w:pPr>
            <w:r>
              <w:rPr>
                <w:rFonts w:ascii="Times New Roman" w:hAnsi="Times New Roman"/>
                <w:i/>
                <w:noProof/>
                <w:sz w:val="24"/>
              </w:rPr>
              <w:t>Riżorsi</w:t>
            </w:r>
          </w:p>
          <w:p w:rsidR="00461018" w:rsidRDefault="000329C3">
            <w:pPr>
              <w:widowControl w:val="0"/>
              <w:spacing w:after="0" w:line="240" w:lineRule="auto"/>
              <w:ind w:left="-20"/>
              <w:jc w:val="both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hAnsi="Times New Roman"/>
                <w:noProof/>
                <w:sz w:val="24"/>
              </w:rPr>
              <w:t xml:space="preserve">Sistemi tal-ġustizzja ta’ kwalità għolja fl-Istati Membri jirrikjedu livelli suffiċjenti ta’ riżorsi finanzjarji u umani, inklużi l-investimenti neċessarji fl-infrastruttura fiżika u teknika, </w:t>
            </w:r>
            <w:r>
              <w:rPr>
                <w:rFonts w:ascii="Times New Roman" w:hAnsi="Times New Roman"/>
                <w:noProof/>
                <w:sz w:val="24"/>
              </w:rPr>
              <w:t>taħriġ inizjali u kontinwu xieraq, kif ukoll diversità fost l-imħallfin, inkluż bilanċ bejn il-ġeneri. It-Tabella ta’ Valutazzjoni tal-Ġustizzja tal-UE tal-2020 turi dan li ġej:</w:t>
            </w:r>
          </w:p>
          <w:p w:rsidR="00461018" w:rsidRDefault="000329C3">
            <w:pPr>
              <w:widowControl w:val="0"/>
              <w:numPr>
                <w:ilvl w:val="0"/>
                <w:numId w:val="5"/>
              </w:num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F’termini ta’ </w:t>
            </w: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riżorsi finanzjarji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, id-</w:t>
            </w:r>
            <w:r>
              <w:rPr>
                <w:rFonts w:ascii="Times New Roman" w:hAnsi="Times New Roman"/>
                <w:i/>
                <w:iCs/>
                <w:noProof/>
                <w:sz w:val="24"/>
                <w:szCs w:val="24"/>
              </w:rPr>
              <w:t>data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turi li, b’mod ġenerali, fl-2018, in-nefqa totali tal-gvern estiż fuq il-qrati għadha fil-maġġor parti stabbli fl-Istati Membri, b’differenzi sinifikanti fl-ammonti attwali, kemm f’EUR għal kull abitant kif ukoll bħala perċentwal tal-PDG bejn l-Istati Mem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bri, li baqgħu jippersistu (Illustrazzjonijiet 32 u 33). Kważi l-Istati Membri kollha żiedu n-nefqa tagħhom 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per capita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fl-2018 (żieda meta mqabbla mal-2017) u l-maġġoranza żiedu wkoll in-nefqa tagħhom bħala perċentwal tal-PDG. </w:t>
            </w:r>
          </w:p>
          <w:p w:rsidR="00461018" w:rsidRDefault="000329C3">
            <w:pPr>
              <w:widowControl w:val="0"/>
              <w:numPr>
                <w:ilvl w:val="0"/>
                <w:numId w:val="5"/>
              </w:num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Bħal fl-2019, it-Tabella ta’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Valutazzjoni tal-Ġustizzja tal-UE tal-2020 turi wkoll it-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tqassim tan-nefqa totali f’kategoriji differenti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abbażi tad-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data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miġbura mill-Eurostat. L-Illustrazzjoni 34 turi differenzi kbar fix-xejriet tal-infiq fost l-Istati Membri. Minn naħa waħda, filwaqt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li l-pagi u s-salarji tal-imħallfin u tal-persunal tal-qrati (inklużi l-kontribuzzjonijiet soċjali) jirrappreżentaw l-akbar sehem fil-maġġoranza tal-Istati Membri, l-investiment f’assi fissi bħall-bini tal-qrati u software huwa baxx ħafna, u f’xi każijiet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anki nieqes. In-nefqa fuq il-kostijiet operatorji (eż. kirjiet tal-bini, għajnuna legali u oġġetti konsumabbli oħra), min-naħa l-oħra, hija ferm ogħla f’ċerti Stati Membri milli f’ħafna mill-oħrajn. Dan it-tqassim baqa’ relattivament stabbli minn sena għal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l-oħra (Illustrazzjoni 34). </w:t>
            </w:r>
          </w:p>
          <w:p w:rsidR="00461018" w:rsidRDefault="000329C3">
            <w:pPr>
              <w:widowControl w:val="0"/>
              <w:numPr>
                <w:ilvl w:val="0"/>
                <w:numId w:val="5"/>
              </w:num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In-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nisa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għadhom jirrappreżentaw anqas minn ħamsin fil-mija tal-imħallfin fil-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livell tal-Qrati Supremi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fil-biċċa l-kbira tal-Istati Membri (Illustrazzjoni 36). L-evoluzzjoni matul il-perjodu ta’ tliet snin mill-2017 sal-2019 tur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i li x-xejriet ivarjaw bejn l-Istati Membri, iżda s-sehem ta’ mħallfin nisa fil-Qrati Supremi żdied mill-2010 f’ħafna mill-Istati Membri.</w:t>
            </w:r>
          </w:p>
          <w:p w:rsidR="00461018" w:rsidRDefault="000329C3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Dwar it-</w:t>
            </w: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taħriġ tal-imħallfin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, filwaqt li kważi l-Istati Membri kollha jipprovdu tal-anqas xi taħriġ kontinwu dwar is-s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engħa tal-imħallef, anqas fosthom joffru taħriġ dwar il-ħiliet fl-IT, il-ġestjoni tal-qorti u l-etika ġudizzjarja u s-sehem tal-imħallfin li jirċievu dan it-taħriġ għadu baxx fil-parti l-kbira tal-pajjiżi (Illustrazzjoni 38). Dwar it-taħriġ għall-komunikaz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zjoni ma’ gruppi vulnerabbli ta’ partijiet, hemm xejra kontinwa ta’ titjib, b’mod partikolari fir-rigward ta’ persuni li huma neqsin mid-dawl jew mis-smigħ, ta’ vittmi ta’ vjolenza abbażi tal-ġeneru u ta’ applikanti għall-ażil (Illustrazzjoni 39). It-taħri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ġ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 dwar is-sensibilizzazzjoni u l-indirizzar tad-diżinformazzjoni sar ukoll disponibbli b’mod aktar mifrux meta mqabbel mas-sena l-oħra.</w:t>
            </w:r>
          </w:p>
          <w:p w:rsidR="00461018" w:rsidRDefault="000329C3">
            <w:pPr>
              <w:widowControl w:val="0"/>
              <w:spacing w:before="120" w:after="60" w:line="240" w:lineRule="auto"/>
              <w:jc w:val="both"/>
              <w:rPr>
                <w:rFonts w:ascii="Times New Roman" w:eastAsia="Calibri" w:hAnsi="Times New Roman" w:cs="Times New Roman"/>
                <w:i/>
                <w:noProof/>
                <w:sz w:val="24"/>
              </w:rPr>
            </w:pPr>
            <w:r>
              <w:rPr>
                <w:rFonts w:ascii="Times New Roman" w:hAnsi="Times New Roman"/>
                <w:i/>
                <w:noProof/>
                <w:sz w:val="24"/>
              </w:rPr>
              <w:t>Għodod ta’ valutazzjoni</w:t>
            </w:r>
          </w:p>
          <w:p w:rsidR="00461018" w:rsidRDefault="000329C3">
            <w:pPr>
              <w:widowControl w:val="0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Filwaqt li l-biċċa l-kbira tal-Istati Membri implimentaw bis-sħiħ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is-sistemi ta’ ġestjoni tal-ka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żijiet tal-ICT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(bi ftit eċċezzjonijiet), id-differenzi għadhom jippersistu fir-rigward tal-għodod tal-produzzjoni tal-istatistika tal-attività tal-qorti (Illustrazzjoni 40). Dawn is-sistemi jservu għal diversi skopijiet, inkluża l-ġenerazzjoni ta’ statisti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ka, u għandhom jiġu implimentati b’mod konsistenti fis-sistema tal-ġustizzja kollha kemm hi. Ċerti Stati Membri għandhom sistemi ta’ twissija bikrija maħsuba sabiex jiskopru problemi jew nuqqas ta’ konformità mal-istandards tal-ipproċessar tal-kawżi, li ji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ppermettu li jinstabu soluzzjonijiet f’waqthom. F’xi Stati Membri, għadu mhuwiex possibbli li jiġi żgurat il-ġbir tad-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data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fuq livell nazzjonali fl-oqsma kollha tal-ġustizzja.</w:t>
            </w:r>
          </w:p>
          <w:p w:rsidR="00461018" w:rsidRDefault="000329C3">
            <w:pPr>
              <w:widowControl w:val="0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L-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użu ta’ stħarriġijiet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fost l-utenti tal-qrati u l-professjonisti legali (Illus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trazzjoni 41) reġa’ naqas, b’numru li qed jikber ta’ Stati Membri li qed jagħżlu li ma jwettqux stħarriġijiet. Madankollu, jidher li hemm xi differenzi fir-rigward ta’ liema Stati Membri ma wettqux stħarriġijiet, li jindika li kultant l-istħarriġijiet jitw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ettqu biss kull sentejn jew kull ftit snin. L-aċċessibbiltà, is-servizz għall-klijenti, is-seduti tal-qorti u s-sentenzi, kif ukoll il-fiduċja ġenerali fis-sistema tal-ġustizzja, għadhom suġġetti rikorrenti tal-istħarriġijiet, iżda huma biss ftit l-Istati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Membri li staqsew dwar is-sodisfazzjon tal-gruppi bi bżonnijiet speċjali u dwar l-għarfien dwar id-drittijiet tal-individwi. Kważi l-Istati Membri kollha li użaw stħarriġijiet żguraw ukoll segwitu (Illustrazzjoni 42), filwaqt li l-firxa tas-segwitu komplie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t tvarja bil-bosta. Ir-riżultati ġeneralment ikkontribwew għal rapporti annwali jew speċifiċi u f’ħafna Stati Membri kkontribwew għal evalwazzjoni jew intużaw sabiex tiġi identifikata l-ħtieġa li tiġi emendata l-leġiżlazzjoni.</w:t>
            </w:r>
          </w:p>
          <w:p w:rsidR="00461018" w:rsidRDefault="000329C3">
            <w:pPr>
              <w:widowControl w:val="0"/>
              <w:spacing w:before="12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Standards</w:t>
            </w:r>
          </w:p>
          <w:p w:rsidR="00461018" w:rsidRDefault="000329C3">
            <w:pPr>
              <w:widowControl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t>L-istandards jistgħu jgħollu l-kwalità tas-sistemi ġudizzjarji. Din l-edizzjoni tat-Tabella ta’ Valutazzjoni tal-Ġustizzja tal-UE tkompli teżamina f’aktar dettall ċerti standards li għandhom l-għan li jtejbu ż-żmien tal-proċedimenti u tqassam dawn l-istand</w:t>
            </w:r>
            <w:r>
              <w:rPr>
                <w:rFonts w:ascii="Times New Roman" w:hAnsi="Times New Roman"/>
                <w:noProof/>
                <w:sz w:val="24"/>
              </w:rPr>
              <w:t xml:space="preserve">ards b’mod aktar granulari filwaqt li tqis l-istanza u l-oqsma tal-liġi fejn jeżistu dawn l-istandards. </w:t>
            </w:r>
          </w:p>
          <w:p w:rsidR="00461018" w:rsidRDefault="000329C3">
            <w:pPr>
              <w:pStyle w:val="ListParagraph"/>
              <w:widowControl w:val="0"/>
              <w:numPr>
                <w:ilvl w:val="0"/>
                <w:numId w:val="10"/>
              </w:numPr>
              <w:spacing w:after="120"/>
              <w:ind w:left="385"/>
              <w:rPr>
                <w:rFonts w:eastAsia="Calibri"/>
                <w:b w:val="0"/>
                <w:noProof/>
              </w:rPr>
            </w:pPr>
            <w:r>
              <w:rPr>
                <w:b w:val="0"/>
                <w:noProof/>
              </w:rPr>
              <w:t>Kważi l-Istati Membri kollha jużaw standards dwar it-tempistika, għalkemm mhux dejjem ikunu żviluppati sal-istess grad fl-istanzi kollha u fl-oqsma kollha tal-liġi. L-istandards li jistabbilixxu termini preskrittivi (eż. żmien fiss mir-reġistrazzjoni ta’ k</w:t>
            </w:r>
            <w:r>
              <w:rPr>
                <w:b w:val="0"/>
                <w:noProof/>
              </w:rPr>
              <w:t>awża sal-ewwel seduta) qed ikomplu jinfirxu dejjem aktar, filwaqt li dawk dwar il-perjodi ta’ żmien (eż. li jispeċifikaw sehem predefinit ta’ kawżi li jridu jitlestew sa ċertu żmien) u l-volumi ta’ xogħol b’lura għadhom anqas komuni (Illustrazzjoni 43) met</w:t>
            </w:r>
            <w:r>
              <w:rPr>
                <w:b w:val="0"/>
                <w:noProof/>
              </w:rPr>
              <w:t xml:space="preserve">a mqabbla magħhom. Madankollu, ċerti Stati Membri li jaffaċċjaw sfidi partikolari fl-effiċjenza bħalissa mhumiex qed jużaw dawn l-istandards jew sa ċertu punt limitat biss. </w:t>
            </w:r>
          </w:p>
        </w:tc>
      </w:tr>
    </w:tbl>
    <w:p w:rsidR="00461018" w:rsidRDefault="00461018">
      <w:pPr>
        <w:keepNext/>
        <w:spacing w:before="36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noProof/>
          <w:sz w:val="24"/>
          <w:szCs w:val="28"/>
        </w:rPr>
      </w:pPr>
    </w:p>
    <w:p w:rsidR="00461018" w:rsidRDefault="000329C3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Cs/>
          <w:noProof/>
          <w:sz w:val="24"/>
          <w:szCs w:val="28"/>
        </w:rPr>
      </w:pPr>
      <w:r>
        <w:rPr>
          <w:noProof/>
        </w:rPr>
        <w:br w:type="page"/>
      </w:r>
    </w:p>
    <w:p w:rsidR="00461018" w:rsidRDefault="000329C3">
      <w:pPr>
        <w:keepNext/>
        <w:spacing w:before="36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noProof/>
          <w:sz w:val="24"/>
          <w:szCs w:val="28"/>
        </w:rPr>
      </w:pPr>
      <w:r>
        <w:rPr>
          <w:rFonts w:ascii="Times New Roman" w:hAnsi="Times New Roman"/>
          <w:b/>
          <w:bCs/>
          <w:iCs/>
          <w:noProof/>
          <w:sz w:val="24"/>
          <w:szCs w:val="28"/>
        </w:rPr>
        <w:t>3.3. Indipendenza</w:t>
      </w:r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Times New Roman"/>
          <w:noProof/>
          <w:color w:val="1D1D1D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t xml:space="preserve">L-indipendenza ġudizzjarja, li hija integrali għall-kompitu </w:t>
      </w:r>
      <w:r>
        <w:rPr>
          <w:rFonts w:ascii="Times New Roman" w:hAnsi="Times New Roman"/>
          <w:noProof/>
          <w:sz w:val="24"/>
          <w:szCs w:val="24"/>
        </w:rPr>
        <w:t>tat-teħid ta’ deċiżjonijiet ġudizzjarji, hija rekwiżit li joħroġ mill-prinċipju ta’ protezzjoni ġudizzjarja effettiva msemmi fl-Artikolu 19 TUE, u mid-dritt għal rimedju effettiv quddiem qorti jew tribunal imnaqqax fil-Karta tad-Drittijiet Fundamentali tal</w:t>
      </w:r>
      <w:r>
        <w:rPr>
          <w:rFonts w:ascii="Times New Roman" w:hAnsi="Times New Roman"/>
          <w:noProof/>
          <w:sz w:val="24"/>
          <w:szCs w:val="24"/>
        </w:rPr>
        <w:t>-UE (Artikolu 47) (</w:t>
      </w: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footnoteReference w:id="86"/>
      </w:r>
      <w:r>
        <w:rPr>
          <w:rFonts w:ascii="Times New Roman" w:hAnsi="Times New Roman"/>
          <w:noProof/>
          <w:sz w:val="24"/>
          <w:szCs w:val="24"/>
        </w:rPr>
        <w:t>). Dak ir-rekwiżit jippreżumi (a) indipendenza esterna, meta l-korp ikkonċernat jeżerċita l-funzjonijiet tiegħu b’mod kompletament awtonomu, mingħajr ma jkun soġġett għal kwalunkwe restrizzjoni ġerarkika jew subordinat għal kwalunkwe ko</w:t>
      </w:r>
      <w:r>
        <w:rPr>
          <w:rFonts w:ascii="Times New Roman" w:hAnsi="Times New Roman"/>
          <w:noProof/>
          <w:sz w:val="24"/>
          <w:szCs w:val="24"/>
        </w:rPr>
        <w:t>rp ieħor u mingħajr ma jieħu ordnijiet jew istruzzjonijiet minn kwalunkwe sors, li b’hekk ikun protett kontra interventi esterni jew pressjoni li tista’ tfixkel il-ġudizzju indipendenti tal-membri tiegħu u jinfluwenza d-deċiżjonijiet tagħhom, u (b) l-indip</w:t>
      </w:r>
      <w:r>
        <w:rPr>
          <w:rFonts w:ascii="Times New Roman" w:hAnsi="Times New Roman"/>
          <w:noProof/>
          <w:sz w:val="24"/>
          <w:szCs w:val="24"/>
        </w:rPr>
        <w:t>endenza u l-imparzjalità interni, meta tinżamm distanza ugwali mill-partijiet għall-proċedimenti u mill-interessi rispettivi tagħhom fir-rigward tas-suġġett ta’ dawk il-proċedimenti(</w:t>
      </w:r>
      <w:r>
        <w:rPr>
          <w:rStyle w:val="FootnoteReference"/>
          <w:rFonts w:ascii="Times New Roman" w:eastAsia="Calibri" w:hAnsi="Times New Roman" w:cs="Times New Roman"/>
          <w:noProof/>
          <w:sz w:val="24"/>
          <w:szCs w:val="24"/>
        </w:rPr>
        <w:footnoteReference w:id="87"/>
      </w:r>
      <w:r>
        <w:rPr>
          <w:rFonts w:ascii="Times New Roman" w:hAnsi="Times New Roman"/>
          <w:noProof/>
          <w:sz w:val="24"/>
          <w:szCs w:val="24"/>
        </w:rPr>
        <w:t>) . L-indipendenza ġudizzjarja tiggarantixxi li jkunu protetti d-drittiji</w:t>
      </w:r>
      <w:r>
        <w:rPr>
          <w:rFonts w:ascii="Times New Roman" w:hAnsi="Times New Roman"/>
          <w:noProof/>
          <w:sz w:val="24"/>
          <w:szCs w:val="24"/>
        </w:rPr>
        <w:t>et kollha li l-individwi jiksbu mid-dritt tal-UE u li jkunu ssalvagwardjati l-valuri komuni għall-Istati Membri stabbiliti fl-Artikolu 2 TUE, b’mod partikolari l-valur tal-istat tad-dritt(</w:t>
      </w:r>
      <w:r>
        <w:rPr>
          <w:rStyle w:val="FootnoteReference"/>
          <w:rFonts w:ascii="Times New Roman" w:eastAsia="Calibri" w:hAnsi="Times New Roman" w:cs="Times New Roman"/>
          <w:noProof/>
          <w:sz w:val="24"/>
          <w:szCs w:val="24"/>
        </w:rPr>
        <w:footnoteReference w:id="88"/>
      </w:r>
      <w:r>
        <w:rPr>
          <w:rFonts w:ascii="Times New Roman" w:hAnsi="Times New Roman"/>
          <w:noProof/>
          <w:sz w:val="24"/>
          <w:szCs w:val="24"/>
        </w:rPr>
        <w:t>). Il-preservazzjoni tal-ordinament ġuridiku tal-UE hija fundamenta</w:t>
      </w:r>
      <w:r>
        <w:rPr>
          <w:rFonts w:ascii="Times New Roman" w:hAnsi="Times New Roman"/>
          <w:noProof/>
          <w:sz w:val="24"/>
          <w:szCs w:val="24"/>
        </w:rPr>
        <w:t>li għaċ-ċittadini u għan-negozji kollha li d-drittijiet u l-libertajiet tagħhom huma protetti mid-dritt tal-UE.</w:t>
      </w:r>
      <w:r>
        <w:rPr>
          <w:rFonts w:ascii="Times New Roman" w:hAnsi="Times New Roman"/>
          <w:noProof/>
          <w:color w:val="1D1D1D"/>
          <w:sz w:val="24"/>
          <w:szCs w:val="24"/>
        </w:rPr>
        <w:t xml:space="preserve"> </w:t>
      </w:r>
    </w:p>
    <w:p w:rsidR="00461018" w:rsidRDefault="000329C3">
      <w:pPr>
        <w:spacing w:after="120" w:line="240" w:lineRule="auto"/>
        <w:jc w:val="both"/>
        <w:rPr>
          <w:rFonts w:ascii="Times New Roman" w:eastAsia="Calibri" w:hAnsi="Times New Roman" w:cs="Times New Roman"/>
          <w:noProof/>
          <w:sz w:val="24"/>
        </w:rPr>
      </w:pPr>
      <w:r>
        <w:rPr>
          <w:rFonts w:ascii="Times New Roman" w:hAnsi="Times New Roman"/>
          <w:noProof/>
          <w:color w:val="1D1D1D"/>
          <w:sz w:val="24"/>
          <w:szCs w:val="24"/>
        </w:rPr>
        <w:t xml:space="preserve">Il-perċezzjoni tal-indipendenza tal-ġudikatura hija tassew fattur li jsaħħaħ it-tkabbir, hekk kif il-perċezzjoni ta’ nuqqas ta’ indipendenza tista’ tiskoraġġixxi l-investimenti. </w:t>
      </w:r>
      <w:r>
        <w:rPr>
          <w:rFonts w:ascii="Times New Roman" w:hAnsi="Times New Roman"/>
          <w:noProof/>
          <w:sz w:val="24"/>
          <w:szCs w:val="24"/>
        </w:rPr>
        <w:t>Minbarra l-indikaturi dwar l-indipendenza ġudizzjarja perċepita minn diversi s</w:t>
      </w:r>
      <w:r>
        <w:rPr>
          <w:rFonts w:ascii="Times New Roman" w:hAnsi="Times New Roman"/>
          <w:noProof/>
          <w:sz w:val="24"/>
          <w:szCs w:val="24"/>
        </w:rPr>
        <w:t>orsi, it-Tabella ta’ Valutazzjoni tal-UE tal-2020 tippreżenta għadd ta’ indikaturi dwar kif is-sistemi tal-ġustizzja huma organizzati sabiex jipproteġu l-indipendenza ġudizzjarja f’ċerti tipi ta’ sitwazzjonijiet fejn l-indipendenza tagħhom tista’ tkun f’ri</w:t>
      </w:r>
      <w:r>
        <w:rPr>
          <w:rFonts w:ascii="Times New Roman" w:hAnsi="Times New Roman"/>
          <w:noProof/>
          <w:sz w:val="24"/>
          <w:szCs w:val="24"/>
        </w:rPr>
        <w:t>skju. It-Tabella ta’ Valutazzjoni tal-Ġustizzja tal-UE tal-2020, li tirrifletti l-input min-Network Ewropew tal-Kunsilli għall-Ġudikatura (ENCJ), min-Network tal-Presidenti tal-Qrati Ġudizzjarji Supremi tal-UE (NPSJC), u mill-Grupp ta’ Esperti dwar il-Ħasi</w:t>
      </w:r>
      <w:r>
        <w:rPr>
          <w:rFonts w:ascii="Times New Roman" w:hAnsi="Times New Roman"/>
          <w:noProof/>
          <w:sz w:val="24"/>
          <w:szCs w:val="24"/>
        </w:rPr>
        <w:t>l tal-Flus u l-Finanzjament tat-Terroriżmu, turi indikaturi aġġornati relatati mas-salvagwardji legali dwar il-proċedimenti dixxiplinari fir-rigward tal-imħallfin, u l-ħatra tal-membri tal-Kunsilli għall-Ġudikatura, u żewġ ħarsiet ġenerali lejn il-proċedim</w:t>
      </w:r>
      <w:r>
        <w:rPr>
          <w:rFonts w:ascii="Times New Roman" w:hAnsi="Times New Roman"/>
          <w:noProof/>
          <w:sz w:val="24"/>
          <w:szCs w:val="24"/>
        </w:rPr>
        <w:t xml:space="preserve">enti dixxiplinari fir-rigward tal-prosekuturi. </w:t>
      </w:r>
    </w:p>
    <w:p w:rsidR="00461018" w:rsidRDefault="000329C3">
      <w:pPr>
        <w:spacing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bookmarkStart w:id="477" w:name="_Toc409530231"/>
      <w:bookmarkStart w:id="478" w:name="_Toc438545680"/>
      <w:bookmarkStart w:id="479" w:name="_Toc438548330"/>
      <w:bookmarkStart w:id="480" w:name="_Toc438548516"/>
      <w:bookmarkStart w:id="481" w:name="_Toc440017704"/>
      <w:bookmarkStart w:id="482" w:name="_Toc440018088"/>
      <w:bookmarkStart w:id="483" w:name="_Toc440033386"/>
      <w:bookmarkStart w:id="484" w:name="_Toc440035237"/>
      <w:bookmarkStart w:id="485" w:name="_Toc440036532"/>
      <w:bookmarkStart w:id="486" w:name="_Toc440042474"/>
      <w:bookmarkStart w:id="487" w:name="_Toc440291127"/>
      <w:bookmarkStart w:id="488" w:name="_Toc440294690"/>
      <w:bookmarkStart w:id="489" w:name="_Toc440295192"/>
      <w:bookmarkStart w:id="490" w:name="_Toc440296597"/>
      <w:bookmarkStart w:id="491" w:name="_Toc440625081"/>
      <w:bookmarkStart w:id="492" w:name="_Toc440626411"/>
      <w:bookmarkStart w:id="493" w:name="_Toc440628865"/>
      <w:bookmarkStart w:id="494" w:name="_Toc441571139"/>
      <w:bookmarkStart w:id="495" w:name="_Toc441581641"/>
      <w:bookmarkStart w:id="496" w:name="_Toc441585908"/>
      <w:bookmarkStart w:id="497" w:name="_Toc441595843"/>
      <w:bookmarkStart w:id="498" w:name="_Toc441596020"/>
      <w:bookmarkStart w:id="499" w:name="_Toc441748145"/>
      <w:bookmarkStart w:id="500" w:name="_Toc441755430"/>
      <w:bookmarkStart w:id="501" w:name="_Toc441756467"/>
      <w:bookmarkStart w:id="502" w:name="_Toc441757511"/>
      <w:bookmarkStart w:id="503" w:name="_Toc441766640"/>
      <w:bookmarkStart w:id="504" w:name="_Toc441766979"/>
      <w:bookmarkStart w:id="505" w:name="_Toc442187980"/>
      <w:bookmarkStart w:id="506" w:name="_Toc442262072"/>
      <w:bookmarkStart w:id="507" w:name="_Toc442362479"/>
      <w:bookmarkStart w:id="508" w:name="_Toc442374815"/>
      <w:bookmarkStart w:id="509" w:name="_Toc442425955"/>
      <w:bookmarkStart w:id="510" w:name="_Toc442453081"/>
      <w:bookmarkStart w:id="511" w:name="_Toc443484539"/>
      <w:bookmarkStart w:id="512" w:name="_Toc443484761"/>
      <w:bookmarkStart w:id="513" w:name="_Toc443509502"/>
      <w:bookmarkStart w:id="514" w:name="_Toc446014831"/>
      <w:r>
        <w:rPr>
          <w:noProof/>
        </w:rPr>
        <w:br w:type="page"/>
      </w:r>
    </w:p>
    <w:p w:rsidR="00461018" w:rsidRDefault="000329C3">
      <w:pPr>
        <w:keepNext/>
        <w:tabs>
          <w:tab w:val="left" w:pos="850"/>
        </w:tabs>
        <w:spacing w:before="240" w:after="120" w:line="240" w:lineRule="auto"/>
        <w:ind w:left="850" w:hanging="850"/>
        <w:jc w:val="both"/>
        <w:outlineLvl w:val="2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3.3.1. </w:t>
      </w:r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r>
        <w:rPr>
          <w:rFonts w:ascii="Times New Roman" w:hAnsi="Times New Roman"/>
          <w:b/>
          <w:noProof/>
          <w:sz w:val="24"/>
          <w:szCs w:val="24"/>
        </w:rPr>
        <w:t>Indipendenza ġudizzjarja perċepita</w:t>
      </w:r>
    </w:p>
    <w:p w:rsidR="00461018" w:rsidRDefault="000329C3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</w:pPr>
      <w:bookmarkStart w:id="515" w:name="_Ref441845830"/>
      <w:r>
        <w:rPr>
          <w:rFonts w:ascii="Times New Roman" w:hAnsi="Times New Roman"/>
          <w:b/>
          <w:bCs/>
          <w:noProof/>
          <w:sz w:val="24"/>
          <w:szCs w:val="24"/>
        </w:rPr>
        <w:t xml:space="preserve">Illustrazzjoni 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</w:rPr>
        <w:t>44</w:t>
      </w:r>
      <w:r>
        <w:rPr>
          <w:noProof/>
        </w:rPr>
        <w:fldChar w:fldCharType="end"/>
      </w:r>
      <w:bookmarkEnd w:id="515"/>
      <w:r>
        <w:rPr>
          <w:rFonts w:ascii="Times New Roman" w:hAnsi="Times New Roman"/>
          <w:b/>
          <w:bCs/>
          <w:noProof/>
          <w:sz w:val="24"/>
          <w:szCs w:val="24"/>
        </w:rPr>
        <w:t xml:space="preserve">: L-indipendenza perċepita tal-qrati u tal-imħallfin fost il-pubbliku ġenerali </w:t>
      </w:r>
      <w:r>
        <w:rPr>
          <w:rFonts w:ascii="Times New Roman" w:hAnsi="Times New Roman"/>
          <w:noProof/>
          <w:sz w:val="24"/>
          <w:szCs w:val="24"/>
        </w:rPr>
        <w:t xml:space="preserve">(*) </w:t>
      </w:r>
      <w:r>
        <w:rPr>
          <w:rFonts w:ascii="Times New Roman" w:hAnsi="Times New Roman"/>
          <w:i/>
          <w:iCs/>
          <w:noProof/>
          <w:sz w:val="24"/>
          <w:szCs w:val="24"/>
        </w:rPr>
        <w:t>(sors: l-Ewrobarometru (</w:t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vertAlign w:val="superscript"/>
        </w:rPr>
        <w:footnoteReference w:id="89"/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) — kuluri </w:t>
      </w:r>
      <w:r>
        <w:rPr>
          <w:rFonts w:ascii="Times New Roman" w:hAnsi="Times New Roman"/>
          <w:i/>
          <w:iCs/>
          <w:noProof/>
          <w:sz w:val="24"/>
          <w:szCs w:val="24"/>
        </w:rPr>
        <w:t>ċ</w:t>
      </w:r>
      <w:r>
        <w:rPr>
          <w:rFonts w:ascii="Times New Roman" w:hAnsi="Times New Roman"/>
          <w:i/>
          <w:iCs/>
          <w:noProof/>
          <w:sz w:val="24"/>
          <w:szCs w:val="24"/>
        </w:rPr>
        <w:t>ari: 2016, 2018 u 2019, kuluri skuri: 2020)</w:t>
      </w:r>
      <w:bookmarkStart w:id="516" w:name="_Ref441845836"/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878455"/>
            <wp:effectExtent l="0" t="0" r="4445" b="0"/>
            <wp:docPr id="97292" name="Picture 97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</w:rPr>
      </w:pPr>
      <w:r>
        <w:rPr>
          <w:rFonts w:ascii="Times New Roman" w:hAnsi="Times New Roman"/>
          <w:i/>
          <w:noProof/>
          <w:sz w:val="20"/>
        </w:rPr>
        <w:t xml:space="preserve">(*) L-Istati Membri huma mqassmin l-ewwel skont il-perċentwal ta’ rispondenti li ddikjaraw li l-indipendenza tal-qrati u tal-imħallfin hija tajba ħafna jew pjuttost tajba (total tajba); jekk xi Stati Membri </w:t>
      </w:r>
      <w:r>
        <w:rPr>
          <w:rFonts w:ascii="Times New Roman" w:hAnsi="Times New Roman"/>
          <w:i/>
          <w:noProof/>
          <w:sz w:val="20"/>
        </w:rPr>
        <w:t>għandhom l-istess perċentwal ta’ total tajba, dawn jitqassmu skont il-perċentwal ta’ rispondenti li qalu li l-indipendenza tal-qrati u tal-imħallfin hija pjuttost ħażina jew ħażina ħafna (total ħażina); jekk xi Stati Membri għandhom l-istess perċentwal ta’</w:t>
      </w:r>
      <w:r>
        <w:rPr>
          <w:rFonts w:ascii="Times New Roman" w:hAnsi="Times New Roman"/>
          <w:i/>
          <w:noProof/>
          <w:sz w:val="20"/>
        </w:rPr>
        <w:t xml:space="preserve"> total tajba u total ħażina, dawn jitqassmu skont il-perċentwal ta’ rispondenti li qalu li l-indipendenza tal-qrati u tal-imħallfin hija tajba ħafna; jekk xi Stati Membri għandhom l-istess perċentwal ta’ total tajba, total ħażina u ta’ tajba ħafna, dawn ji</w:t>
      </w:r>
      <w:r>
        <w:rPr>
          <w:rFonts w:ascii="Times New Roman" w:hAnsi="Times New Roman"/>
          <w:i/>
          <w:noProof/>
          <w:sz w:val="20"/>
        </w:rPr>
        <w:t>tqassmu skont il-perċentwal ta’ rispondenti li qalu li l-indipendenza tal-qrati u tal-imħallfin hija ħażina ħafna.</w:t>
      </w:r>
    </w:p>
    <w:p w:rsidR="00461018" w:rsidRDefault="000329C3">
      <w:pPr>
        <w:spacing w:before="120" w:after="0" w:line="240" w:lineRule="auto"/>
        <w:jc w:val="both"/>
        <w:rPr>
          <w:rFonts w:ascii="Times New Roman" w:eastAsia="Calibri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L-Illustrazzjoni 45 turi r-raġunijiet ewlenin mogħtija mir-rispondenti għan-nuqqas perċepit ta’ indipendenza tal-qrati u tal-imħallfin. Ir-ri</w:t>
      </w:r>
      <w:r>
        <w:rPr>
          <w:rFonts w:ascii="Times New Roman" w:hAnsi="Times New Roman"/>
          <w:noProof/>
          <w:sz w:val="24"/>
        </w:rPr>
        <w:t>spondenti minn fost il-pubbliku ġenerali, li kklassifikaw l-indipendenza tas-sistema tal-ġustizzja bħala li hija “pjuttost ħażina” jew “ħażina ħafna”, setgħu jagħżlu minn fost tliet raġunijiet sabiex jispjegaw il-klassifikazzjoni tagħhom. L-Istati Membri h</w:t>
      </w:r>
      <w:r>
        <w:rPr>
          <w:rFonts w:ascii="Times New Roman" w:hAnsi="Times New Roman"/>
          <w:noProof/>
          <w:sz w:val="24"/>
        </w:rPr>
        <w:t>uma elenkati fl-istess ordni bħal fl-Illustrazzjoni 44.</w:t>
      </w:r>
    </w:p>
    <w:p w:rsidR="00461018" w:rsidRDefault="000329C3">
      <w:pPr>
        <w:keepNext/>
        <w:spacing w:before="240" w:after="12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</w:rPr>
        <w:t>45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: Ir-raġunijiet ewlenin fost il-pubbliku ġenerali għan-nuqqas perċepit ta’ indipendenza </w:t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(is-sehem mir-rispondenti kollha </w:t>
      </w:r>
      <w:r>
        <w:rPr>
          <w:rFonts w:ascii="Times New Roman" w:hAnsi="Times New Roman"/>
          <w:b/>
          <w:bCs/>
          <w:noProof/>
          <w:sz w:val="24"/>
          <w:szCs w:val="24"/>
        </w:rPr>
        <w:t>—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>valur ogħla jfisser aktar influwenz</w:t>
      </w:r>
      <w:r>
        <w:rPr>
          <w:rFonts w:ascii="Times New Roman" w:hAnsi="Times New Roman"/>
          <w:i/>
          <w:iCs/>
          <w:noProof/>
          <w:sz w:val="24"/>
          <w:szCs w:val="24"/>
        </w:rPr>
        <w:t>a) (sors: l-Ewrobarometru (</w:t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vertAlign w:val="superscript"/>
        </w:rPr>
        <w:footnoteReference w:id="90"/>
      </w:r>
      <w:r>
        <w:rPr>
          <w:rFonts w:ascii="Times New Roman" w:hAnsi="Times New Roman"/>
          <w:i/>
          <w:iCs/>
          <w:noProof/>
          <w:sz w:val="24"/>
          <w:szCs w:val="24"/>
        </w:rPr>
        <w:t>))</w:t>
      </w:r>
    </w:p>
    <w:p w:rsidR="00461018" w:rsidRDefault="000329C3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</w:rPr>
      </w:pPr>
      <w:r>
        <w:rPr>
          <w:noProof/>
          <w:lang w:val="en-GB" w:eastAsia="en-GB"/>
        </w:rPr>
        <w:drawing>
          <wp:inline distT="0" distB="0" distL="0" distR="0">
            <wp:extent cx="5977255" cy="3084195"/>
            <wp:effectExtent l="0" t="0" r="4445" b="1905"/>
            <wp:docPr id="97293" name="Picture 97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 xml:space="preserve">Illustrazzjoni 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</w:rPr>
        <w:t>46</w:t>
      </w:r>
      <w:r>
        <w:rPr>
          <w:noProof/>
        </w:rPr>
        <w:fldChar w:fldCharType="end"/>
      </w:r>
      <w:bookmarkEnd w:id="516"/>
      <w:r>
        <w:rPr>
          <w:rFonts w:ascii="Times New Roman" w:hAnsi="Times New Roman"/>
          <w:b/>
          <w:bCs/>
          <w:noProof/>
          <w:sz w:val="24"/>
          <w:szCs w:val="24"/>
        </w:rPr>
        <w:t xml:space="preserve">: L-indipendenza perċepita tal-qrati u tal-imħallfin fost il-kumpaniji </w:t>
      </w:r>
      <w:r>
        <w:rPr>
          <w:rFonts w:ascii="Times New Roman" w:hAnsi="Times New Roman"/>
          <w:noProof/>
          <w:sz w:val="24"/>
          <w:szCs w:val="24"/>
        </w:rPr>
        <w:t xml:space="preserve">(*) </w:t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(sors: </w:t>
      </w:r>
      <w:r>
        <w:rPr>
          <w:noProof/>
        </w:rPr>
        <w:t>l-</w:t>
      </w:r>
      <w:r>
        <w:rPr>
          <w:rFonts w:ascii="Times New Roman" w:hAnsi="Times New Roman"/>
          <w:i/>
          <w:iCs/>
          <w:noProof/>
          <w:sz w:val="24"/>
          <w:szCs w:val="24"/>
        </w:rPr>
        <w:t>Ewrobarometru (</w:t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vertAlign w:val="superscript"/>
        </w:rPr>
        <w:footnoteReference w:id="91"/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) 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— </w:t>
      </w:r>
      <w:r>
        <w:rPr>
          <w:rFonts w:ascii="Times New Roman" w:hAnsi="Times New Roman"/>
          <w:i/>
          <w:iCs/>
          <w:noProof/>
          <w:sz w:val="24"/>
          <w:szCs w:val="24"/>
        </w:rPr>
        <w:t>kuluri ċari: 2016, 2018 u 2019, kuluri skuri: 2020)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</w:rPr>
      </w:pPr>
      <w:bookmarkStart w:id="517" w:name="_Ref441845852"/>
      <w:r>
        <w:rPr>
          <w:noProof/>
          <w:lang w:val="en-GB" w:eastAsia="en-GB"/>
        </w:rPr>
        <w:drawing>
          <wp:inline distT="0" distB="0" distL="0" distR="0">
            <wp:extent cx="5977255" cy="2901315"/>
            <wp:effectExtent l="0" t="0" r="4445" b="0"/>
            <wp:docPr id="97296" name="Picture 97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</w:rPr>
      </w:pPr>
      <w:r>
        <w:rPr>
          <w:rFonts w:ascii="Times New Roman" w:hAnsi="Times New Roman"/>
          <w:i/>
          <w:noProof/>
          <w:sz w:val="20"/>
        </w:rPr>
        <w:t xml:space="preserve">(*) L-Istati Membri </w:t>
      </w:r>
      <w:r>
        <w:rPr>
          <w:rFonts w:ascii="Times New Roman" w:hAnsi="Times New Roman"/>
          <w:i/>
          <w:noProof/>
          <w:sz w:val="20"/>
        </w:rPr>
        <w:t>huma mqassmin l-ewwel skont il-perċentwal ta’ rispondenti li ddikjaraw li l-indipendenza tal-qrati u tal-imħallfin hija tajba ħafna jew pjuttost tajba (total tajba); jekk xi Stati Membri għandhom l-istess perċentwal ta’ total tajba, dawn jitqassmu skont il</w:t>
      </w:r>
      <w:r>
        <w:rPr>
          <w:rFonts w:ascii="Times New Roman" w:hAnsi="Times New Roman"/>
          <w:i/>
          <w:noProof/>
          <w:sz w:val="20"/>
        </w:rPr>
        <w:t>-perċentwal ta’ rispondenti li qalu li l-indipendenza tal-qrati u tal-imħallfin hija pjuttost ħażina jew ħażina ħafna (total ħażina); jekk xi Stati Membri għandhom l-istess perċentwal ta’ total tajba u total ħażina, dawn jitqassmu skont il-perċentwal ta’ r</w:t>
      </w:r>
      <w:r>
        <w:rPr>
          <w:rFonts w:ascii="Times New Roman" w:hAnsi="Times New Roman"/>
          <w:i/>
          <w:noProof/>
          <w:sz w:val="20"/>
        </w:rPr>
        <w:t>ispondenti li qalu li l-indipendenza tal-qrati u tal-imħallfin hija tajba ħafna; jekk xi Stati Membri għandhom l-istess perċentwal ta’ total tajba, total ħażina u ta’ tajba ħafna, dawn jitqassmu skont il-perċentwal ta’ rispondenti li qalu li l-indipendenza</w:t>
      </w:r>
      <w:r>
        <w:rPr>
          <w:rFonts w:ascii="Times New Roman" w:hAnsi="Times New Roman"/>
          <w:i/>
          <w:noProof/>
          <w:sz w:val="20"/>
        </w:rPr>
        <w:t xml:space="preserve"> tal-qrati u tal-imħallfin hija ħażina ħafna.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L-Illustrazzjoni 47 turi r-raġunijiet ewlenin mogħtija mir-rispondenti għan-nuqqas perċepit ta’ indipendenza tal-qrati u tal-imħallfin. Ir-rispondenti minn fost il-kumpaniji, li kklassifikaw l-indipendenza tas-</w:t>
      </w:r>
      <w:r>
        <w:rPr>
          <w:rFonts w:ascii="Times New Roman" w:hAnsi="Times New Roman"/>
          <w:noProof/>
          <w:sz w:val="24"/>
        </w:rPr>
        <w:t>sistema ġudizzjarja bħala li hija “pjuttost ħażina” jew “ħażina ħafna”, setgħu jagħżlu minn fost tliet raġunijiet sabiex jispjegaw il-klassifikazzjoni tagħhom. L-Istati Membri huma elenkati fl-istess ordni bħal fl-Illustrazzjoni 46.</w:t>
      </w:r>
    </w:p>
    <w:p w:rsidR="00461018" w:rsidRDefault="000329C3">
      <w:pPr>
        <w:keepNext/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</w:instrText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</w:rPr>
        <w:t>47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: Ir-raġunijiet ewlenin fost il-kumpaniji għan-nuqqas perċepit ta’ indipendenza </w:t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(ir-rata tar-rispondenti kollha 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— </w:t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 valur ogħla jfisser aktar influwenza) (sors: l-Ewrobarometru (</w:t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vertAlign w:val="superscript"/>
        </w:rPr>
        <w:footnoteReference w:id="92"/>
      </w:r>
      <w:r>
        <w:rPr>
          <w:rFonts w:ascii="Times New Roman" w:hAnsi="Times New Roman"/>
          <w:i/>
          <w:iCs/>
          <w:noProof/>
          <w:sz w:val="24"/>
          <w:szCs w:val="24"/>
        </w:rPr>
        <w:t>))</w:t>
      </w:r>
    </w:p>
    <w:p w:rsidR="00461018" w:rsidRDefault="000329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5977255" cy="2821940"/>
            <wp:effectExtent l="0" t="0" r="4445" b="0"/>
            <wp:docPr id="97298" name="Picture 97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 xml:space="preserve">Illustrazzjoni 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</w:rPr>
        <w:t>48</w:t>
      </w:r>
      <w:r>
        <w:rPr>
          <w:noProof/>
        </w:rPr>
        <w:fldChar w:fldCharType="end"/>
      </w:r>
      <w:bookmarkEnd w:id="517"/>
      <w:r>
        <w:rPr>
          <w:rFonts w:ascii="Times New Roman" w:hAnsi="Times New Roman"/>
          <w:b/>
          <w:bCs/>
          <w:noProof/>
          <w:sz w:val="24"/>
          <w:szCs w:val="24"/>
        </w:rPr>
        <w:t xml:space="preserve">: WEF: il-perċezzjoni tal-indipendenza tal-imħallfin fost in-negozji, 2010-2019 </w:t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(perċezzjoni </w:t>
      </w:r>
      <w:r>
        <w:rPr>
          <w:rFonts w:ascii="Times New Roman" w:hAnsi="Times New Roman"/>
          <w:b/>
          <w:bCs/>
          <w:noProof/>
          <w:sz w:val="24"/>
          <w:szCs w:val="24"/>
        </w:rPr>
        <w:t>—</w:t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 valur ogħla jfisser perċezzjoni aħjar) (sors: il-Forum Ekonomiku Dinji (</w:t>
      </w:r>
      <w:r>
        <w:rPr>
          <w:rFonts w:ascii="Times New Roman" w:eastAsia="Calibri" w:hAnsi="Times New Roman" w:cs="Times New Roman"/>
          <w:noProof/>
          <w:vertAlign w:val="superscript"/>
        </w:rPr>
        <w:footnoteReference w:id="93"/>
      </w:r>
      <w:r>
        <w:rPr>
          <w:rFonts w:ascii="Times New Roman" w:hAnsi="Times New Roman"/>
          <w:i/>
          <w:iCs/>
          <w:noProof/>
          <w:sz w:val="24"/>
          <w:szCs w:val="24"/>
        </w:rPr>
        <w:t>))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5977255" cy="3052445"/>
            <wp:effectExtent l="0" t="0" r="4445" b="0"/>
            <wp:docPr id="97299" name="Picture 97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keepNext/>
        <w:tabs>
          <w:tab w:val="left" w:pos="850"/>
        </w:tabs>
        <w:spacing w:before="240" w:after="120" w:line="240" w:lineRule="auto"/>
        <w:ind w:left="850" w:hanging="850"/>
        <w:jc w:val="both"/>
        <w:outlineLvl w:val="2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bookmarkStart w:id="518" w:name="_Toc409530232"/>
      <w:bookmarkStart w:id="519" w:name="_Toc438545681"/>
      <w:bookmarkStart w:id="520" w:name="_Toc438548331"/>
      <w:bookmarkStart w:id="521" w:name="_Toc438548517"/>
      <w:bookmarkStart w:id="522" w:name="_Toc440017705"/>
      <w:bookmarkStart w:id="523" w:name="_Toc440018089"/>
      <w:bookmarkStart w:id="524" w:name="_Toc440033387"/>
      <w:bookmarkStart w:id="525" w:name="_Toc440035238"/>
      <w:bookmarkStart w:id="526" w:name="_Toc440036533"/>
      <w:bookmarkStart w:id="527" w:name="_Toc440042475"/>
      <w:bookmarkStart w:id="528" w:name="_Toc440291128"/>
      <w:bookmarkStart w:id="529" w:name="_Toc440294691"/>
      <w:bookmarkStart w:id="530" w:name="_Toc440295193"/>
      <w:bookmarkStart w:id="531" w:name="_Toc440296598"/>
      <w:bookmarkStart w:id="532" w:name="_Toc440625082"/>
      <w:bookmarkStart w:id="533" w:name="_Toc440626412"/>
      <w:bookmarkStart w:id="534" w:name="_Toc440628866"/>
      <w:bookmarkStart w:id="535" w:name="_Toc441571140"/>
      <w:bookmarkStart w:id="536" w:name="_Toc441581642"/>
      <w:bookmarkStart w:id="537" w:name="_Toc441585909"/>
      <w:bookmarkStart w:id="538" w:name="_Toc441595844"/>
      <w:bookmarkStart w:id="539" w:name="_Toc441596021"/>
      <w:bookmarkStart w:id="540" w:name="_Toc441748146"/>
      <w:bookmarkStart w:id="541" w:name="_Toc441755431"/>
      <w:bookmarkStart w:id="542" w:name="_Toc441756468"/>
      <w:bookmarkStart w:id="543" w:name="_Toc441757512"/>
      <w:bookmarkStart w:id="544" w:name="_Toc441766641"/>
      <w:bookmarkStart w:id="545" w:name="_Toc441766980"/>
      <w:bookmarkStart w:id="546" w:name="_Toc442187981"/>
      <w:bookmarkStart w:id="547" w:name="_Toc442262073"/>
      <w:bookmarkStart w:id="548" w:name="_Toc442362480"/>
      <w:bookmarkStart w:id="549" w:name="_Toc442374816"/>
      <w:bookmarkStart w:id="550" w:name="_Toc442425956"/>
      <w:bookmarkStart w:id="551" w:name="_Toc442453082"/>
      <w:bookmarkStart w:id="552" w:name="_Toc443484540"/>
      <w:bookmarkStart w:id="553" w:name="_Toc443484762"/>
      <w:bookmarkStart w:id="554" w:name="_Toc443509503"/>
      <w:bookmarkStart w:id="555" w:name="_Toc446014832"/>
      <w:r>
        <w:rPr>
          <w:rFonts w:ascii="Times New Roman" w:hAnsi="Times New Roman"/>
          <w:b/>
          <w:noProof/>
          <w:sz w:val="24"/>
          <w:szCs w:val="24"/>
        </w:rPr>
        <w:t>3.3.2. Indipendenza strutturali</w:t>
      </w:r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 w:rsidR="00461018" w:rsidRDefault="000329C3"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  <w:szCs w:val="24"/>
        </w:rPr>
        <w:t>Il-garanziji tal-indipendenza strutturali jeħtieġu</w:t>
      </w:r>
      <w:r>
        <w:rPr>
          <w:rFonts w:ascii="Times New Roman" w:hAnsi="Times New Roman"/>
          <w:noProof/>
          <w:sz w:val="24"/>
          <w:szCs w:val="24"/>
        </w:rPr>
        <w:t xml:space="preserve"> regoli, b’mod partikolari fir-rigward tal-kompożizzjoni tal-qorti u tal-ħatra, tat-tul tas-servizz u tar-raġunijiet għal astensjoni, għal rifjut u għal tkeċċija tal-membri tagħha, sabiex telimina kwalunkwe dubju raġonevoli fl-imħuħ tal-individwi dwar il-k</w:t>
      </w:r>
      <w:r>
        <w:rPr>
          <w:rFonts w:ascii="Times New Roman" w:hAnsi="Times New Roman"/>
          <w:noProof/>
          <w:sz w:val="24"/>
          <w:szCs w:val="24"/>
        </w:rPr>
        <w:t>apaċità ta’ dik il-qorti li ma tiġix influwenzata minn fatturi esterni u n-newtralità tagħha fir-rigward tal-interessi li ssib quddiemha (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94"/>
      </w:r>
      <w:r>
        <w:rPr>
          <w:rFonts w:ascii="Times New Roman" w:hAnsi="Times New Roman"/>
          <w:noProof/>
          <w:sz w:val="24"/>
          <w:szCs w:val="24"/>
        </w:rPr>
        <w:t>). B’mod partikolari dawk ir-regoli jridu jkunu tali li jipprekludu mhux biss kwalunkwe influwenza diretta, fil-forma</w:t>
      </w:r>
      <w:r>
        <w:rPr>
          <w:rFonts w:ascii="Times New Roman" w:hAnsi="Times New Roman"/>
          <w:noProof/>
          <w:sz w:val="24"/>
          <w:szCs w:val="24"/>
        </w:rPr>
        <w:t xml:space="preserve"> ta’ struzzjonijiet, iżda anki tipi ta’ influwenza li huma aktar indiretti u li jista’ jkollhom effett fuq id-deċiżjonijiet tal-imħallfin ikkonċernati(</w:t>
      </w:r>
      <w:r>
        <w:rPr>
          <w:rStyle w:val="FootnoteReference"/>
          <w:rFonts w:ascii="Times New Roman" w:eastAsia="Times New Roman" w:hAnsi="Times New Roman" w:cs="Times New Roman"/>
          <w:noProof/>
          <w:sz w:val="24"/>
          <w:szCs w:val="24"/>
        </w:rPr>
        <w:footnoteReference w:id="95"/>
      </w:r>
      <w:r>
        <w:rPr>
          <w:rFonts w:ascii="Times New Roman" w:hAnsi="Times New Roman"/>
          <w:noProof/>
          <w:sz w:val="24"/>
          <w:szCs w:val="24"/>
        </w:rPr>
        <w:t>) .</w:t>
      </w:r>
    </w:p>
    <w:p w:rsidR="00461018" w:rsidRDefault="000329C3"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  <w:szCs w:val="24"/>
        </w:rPr>
        <w:t>Ġ</w:t>
      </w:r>
      <w:r>
        <w:rPr>
          <w:rFonts w:ascii="Times New Roman" w:hAnsi="Times New Roman"/>
          <w:noProof/>
          <w:sz w:val="24"/>
          <w:szCs w:val="24"/>
        </w:rPr>
        <w:t>ew żviluppati standards Ewropej, b’mod partikolari mill-Kunsill tal-Ewropa, pereżempju f’</w:t>
      </w:r>
      <w:r>
        <w:rPr>
          <w:rFonts w:ascii="Times New Roman" w:hAnsi="Times New Roman"/>
          <w:i/>
          <w:iCs/>
          <w:noProof/>
          <w:sz w:val="24"/>
          <w:szCs w:val="24"/>
        </w:rPr>
        <w:t>2010 Counc</w:t>
      </w:r>
      <w:r>
        <w:rPr>
          <w:rFonts w:ascii="Times New Roman" w:hAnsi="Times New Roman"/>
          <w:i/>
          <w:iCs/>
          <w:noProof/>
          <w:sz w:val="24"/>
          <w:szCs w:val="24"/>
        </w:rPr>
        <w:t>il of Europe Recommendation on judges: independence, efficiency and responsibilities</w:t>
      </w:r>
      <w:r>
        <w:rPr>
          <w:rFonts w:ascii="Times New Roman" w:hAnsi="Times New Roman"/>
          <w:noProof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footnoteReference w:id="96"/>
      </w:r>
      <w:r>
        <w:rPr>
          <w:rFonts w:ascii="Times New Roman" w:hAnsi="Times New Roman"/>
          <w:noProof/>
          <w:sz w:val="24"/>
          <w:szCs w:val="24"/>
        </w:rPr>
        <w:t>). It-Tabella ta’ Valutazzjoni tal-UE tal-2020 tippreżenta għadd ta’ indikaturi dwar il-mod kif inhuma organizzati s-sistemi tal-ġustizzja sabiex tiġi ssalvagwardjata l-</w:t>
      </w:r>
      <w:r>
        <w:rPr>
          <w:rFonts w:ascii="Times New Roman" w:hAnsi="Times New Roman"/>
          <w:noProof/>
          <w:sz w:val="24"/>
          <w:szCs w:val="24"/>
        </w:rPr>
        <w:t>indipendenza ġudizzjarja.</w:t>
      </w:r>
    </w:p>
    <w:p w:rsidR="00461018" w:rsidRDefault="000329C3"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Din l-edizzjoni tat-Tabella ta’ Valutazzjoni tal-Ġustizzja tal-UE fiha indikaturi aġġornati dwar il-korpi u l-awtoritajiet involuti fi proċedimenti dixxiplinari rigward l-imħallfin (Illustrazzjonijiet 49 u 50), u dwar il-ħatra ta’</w:t>
      </w:r>
      <w:r>
        <w:rPr>
          <w:rFonts w:ascii="Times New Roman" w:hAnsi="Times New Roman"/>
          <w:noProof/>
          <w:sz w:val="24"/>
          <w:szCs w:val="24"/>
        </w:rPr>
        <w:t xml:space="preserve"> membri tal-Kunsilli għall-Ġudikatura (Illustrazzjonijiet 51 u 52) (</w:t>
      </w: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footnoteReference w:id="97"/>
      </w:r>
      <w:r>
        <w:rPr>
          <w:rFonts w:ascii="Times New Roman" w:hAnsi="Times New Roman"/>
          <w:noProof/>
          <w:sz w:val="24"/>
          <w:szCs w:val="24"/>
        </w:rPr>
        <w:t>). It-Tabella ta’ Valutazzjoni tal-Ġustizzja tal-UE tal-2020 tippreżenta wkoll informazzjoni dwar il-korpi u l-awtoritajiet involuti fi proċedimenti dixxiplinari fir-rigward tal-prosekutu</w:t>
      </w:r>
      <w:r>
        <w:rPr>
          <w:rFonts w:ascii="Times New Roman" w:hAnsi="Times New Roman"/>
          <w:noProof/>
          <w:sz w:val="24"/>
          <w:szCs w:val="24"/>
        </w:rPr>
        <w:t>ri (Illustrazzjonijiet 53 u 54) u illustrazzjoni aġġornata aktar dettaljata dwar l-istruzzjonijiet lill-prosekuturi f’każijiet individwali (Illustrazzjoni 55) (</w:t>
      </w: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footnoteReference w:id="98"/>
      </w:r>
      <w:r>
        <w:rPr>
          <w:rFonts w:ascii="Times New Roman" w:hAnsi="Times New Roman"/>
          <w:noProof/>
          <w:sz w:val="24"/>
          <w:szCs w:val="24"/>
        </w:rPr>
        <w:t>). L-illustrazzjonijiet jippreżentaw l-oqfsa nazzjonali kif kienu fis-seħħ f’Diċembru 2019.</w:t>
      </w:r>
    </w:p>
    <w:p w:rsidR="00461018" w:rsidRDefault="000329C3"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L-i</w:t>
      </w:r>
      <w:r>
        <w:rPr>
          <w:rFonts w:ascii="Times New Roman" w:hAnsi="Times New Roman"/>
          <w:noProof/>
          <w:sz w:val="24"/>
        </w:rPr>
        <w:t xml:space="preserve">llustrazzjonijiet ippreżentati fit-Tabella ta’ Valutazzjoni ma jipprovdu ebda valutazzjoni u ma jippreżentaw ebda 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kwantitattiva dwar l-effettività tas-salvagwardji. Dawn mhumiex maħsuba sabiex jirriflettu l-kumplessità u d-dettalji tas-salvagwardji. L</w:t>
      </w:r>
      <w:r>
        <w:rPr>
          <w:rFonts w:ascii="Times New Roman" w:hAnsi="Times New Roman"/>
          <w:noProof/>
          <w:sz w:val="24"/>
        </w:rPr>
        <w:t>i jkun hemm aktar salvagwardji mhuwiex biżżejjed, fih innifsu, sabiex tiġi żgurata l-effettività ta’ sistema tal-ġustizzja. Jenħtieġ li jiġi nnotat ukoll li l-implimentazzjoni ta’ politiki u ta’ prattiki li jippromwovu l-integrità u li jipprevjenu l-korruz</w:t>
      </w:r>
      <w:r>
        <w:rPr>
          <w:rFonts w:ascii="Times New Roman" w:hAnsi="Times New Roman"/>
          <w:noProof/>
          <w:sz w:val="24"/>
        </w:rPr>
        <w:t>zjoni fil-ġudikatura hija essenzjali wkoll sabiex tiġi ggarantita l-indipendenza ġudizzjarja. Fl-aħħar nett, il-protezzjoni effettiva tal-indipendenza ġudizzjarja teħtieġ kultura ta’ integrità u ta’ imparzjalità, kondiviża mill-maġistrati u rrispettata mis</w:t>
      </w:r>
      <w:r>
        <w:rPr>
          <w:rFonts w:ascii="Times New Roman" w:hAnsi="Times New Roman"/>
          <w:noProof/>
          <w:sz w:val="24"/>
        </w:rPr>
        <w:t>-soċjetà usa’.</w:t>
      </w:r>
    </w:p>
    <w:p w:rsidR="00461018" w:rsidRDefault="000329C3">
      <w:pPr>
        <w:spacing w:before="240" w:after="120" w:line="240" w:lineRule="auto"/>
        <w:jc w:val="both"/>
        <w:rPr>
          <w:rFonts w:ascii="Times New Roman" w:eastAsia="Calibri" w:hAnsi="Times New Roman" w:cs="Times New Roman"/>
          <w:i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– </w:t>
      </w:r>
      <w:r>
        <w:rPr>
          <w:rFonts w:ascii="Times New Roman" w:hAnsi="Times New Roman"/>
          <w:i/>
          <w:noProof/>
          <w:sz w:val="24"/>
        </w:rPr>
        <w:t>Salvagwardji dwar il-proċedimenti dixxiplinari fir-rigward tal-imħallfin</w:t>
      </w:r>
      <w:r>
        <w:rPr>
          <w:rFonts w:ascii="Times New Roman" w:hAnsi="Times New Roman"/>
          <w:noProof/>
          <w:sz w:val="24"/>
        </w:rPr>
        <w:t xml:space="preserve"> –</w:t>
      </w:r>
    </w:p>
    <w:p w:rsidR="00461018" w:rsidRDefault="000329C3"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  <w:szCs w:val="24"/>
        </w:rPr>
        <w:t>Il-proċedimenti dixxiplinari fir-rigward tal-imħallfin huma fost is-sitwazzjonijiet l-aktar sensittivi relatati mal-indipendenza ġudizzjarja. Skont il-Qorti tal-Ġus</w:t>
      </w:r>
      <w:r>
        <w:rPr>
          <w:rFonts w:ascii="Times New Roman" w:hAnsi="Times New Roman"/>
          <w:noProof/>
          <w:sz w:val="24"/>
          <w:szCs w:val="24"/>
        </w:rPr>
        <w:t>tizzja tal-Unjoni Ewropea “r-regoli li jirregolaw is-sistema dixxiplinari […] ta’ dawk li għandhom il-kompitu li jiġġudikaw, ikollhom il-garanziji meħtieġa sabiex jiġi evitat kwalunkwe riskju ta’ użu ta’ tali sistema bħala sistema ta’ kontroll politiku tal</w:t>
      </w:r>
      <w:r>
        <w:rPr>
          <w:rFonts w:ascii="Times New Roman" w:hAnsi="Times New Roman"/>
          <w:noProof/>
          <w:sz w:val="24"/>
          <w:szCs w:val="24"/>
        </w:rPr>
        <w:t>-kontenut tad-deċiżjonijiet ġudizzjarji” (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99"/>
      </w:r>
      <w:r>
        <w:rPr>
          <w:rFonts w:ascii="Times New Roman" w:hAnsi="Times New Roman"/>
          <w:noProof/>
          <w:sz w:val="24"/>
          <w:szCs w:val="24"/>
        </w:rPr>
        <w:t>). Is-sett ta’ garanziji identifikati mill-Qorti tal-Ġustizzja bħala essenzjali għas-salvagwardja tal-indipendenza tal-ġudikatura jinkludu regoli li jiddefinixxu kemm l-imġiba li twassal għal reati dixxiplinari ki</w:t>
      </w:r>
      <w:r>
        <w:rPr>
          <w:rFonts w:ascii="Times New Roman" w:hAnsi="Times New Roman"/>
          <w:noProof/>
          <w:sz w:val="24"/>
          <w:szCs w:val="24"/>
        </w:rPr>
        <w:t>f ukoll il-pieni effettivament applikabbli, regoli li jipprovdu għall-involviment ta’ korp indipendenti f’konformità ma’ proċedura li tissalvagwardja bis-sħiħ id-drittijiet stabbiliti fl-Artikoli 47 u 48 tal-Karta, b’mod partikolari d-drittijiet tad-difiża</w:t>
      </w:r>
      <w:r>
        <w:rPr>
          <w:rFonts w:ascii="Times New Roman" w:hAnsi="Times New Roman"/>
          <w:noProof/>
          <w:sz w:val="24"/>
          <w:szCs w:val="24"/>
        </w:rPr>
        <w:t>, u regoli li jistabbilixxu l-possibbiltà li jinfetħu proċedimenti legali kontra d-deċiżjonijiet tal-korpi dixxiplinari (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100"/>
      </w:r>
      <w:r>
        <w:rPr>
          <w:rFonts w:ascii="Times New Roman" w:hAnsi="Times New Roman"/>
          <w:noProof/>
          <w:sz w:val="24"/>
          <w:szCs w:val="24"/>
        </w:rPr>
        <w:t>). Il-Qorti tal-Ġustizzja sostniet li “l-Artikolu 267 TFUE jagħti lill-qrati nazzjonali diskrezzjoni mill-iktar wiesgħa sabiex jirrefe</w:t>
      </w:r>
      <w:r>
        <w:rPr>
          <w:rFonts w:ascii="Times New Roman" w:hAnsi="Times New Roman"/>
          <w:noProof/>
          <w:sz w:val="24"/>
          <w:szCs w:val="24"/>
        </w:rPr>
        <w:t>ru kawża lill-Qorti (…) f’kull stadju tal-proċedura li huma jqisu xieraq” (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101"/>
      </w:r>
      <w:r>
        <w:rPr>
          <w:rFonts w:ascii="Times New Roman" w:hAnsi="Times New Roman"/>
          <w:noProof/>
          <w:sz w:val="24"/>
          <w:szCs w:val="24"/>
        </w:rPr>
        <w:t>). Skont il-Qorti tal-Ġustizzja, kwalunkwe regola nazzjonali li tinibixxi din id-diskrezzjoni “sabiex [t]evita (…) li [t]inkorri sanzjonijiet dixxiplinari (…) tippreġudika l-prerog</w:t>
      </w:r>
      <w:r>
        <w:rPr>
          <w:rFonts w:ascii="Times New Roman" w:hAnsi="Times New Roman"/>
          <w:noProof/>
          <w:sz w:val="24"/>
          <w:szCs w:val="24"/>
        </w:rPr>
        <w:t>attivi mogħtija lill-qrati nazzjonali mill-Artikolu 267 TFUE u, konsegwentement, l-effikaċja tal-kooperazzjoni bejn il-Qorti tal-Ġustizzja u l-qrati nazzjonali stabbilita mill-mekkaniżmu tar-rinviju għal deċiżjoni preliminari” (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102"/>
      </w:r>
      <w:r>
        <w:rPr>
          <w:rFonts w:ascii="Times New Roman" w:hAnsi="Times New Roman"/>
          <w:noProof/>
          <w:sz w:val="24"/>
          <w:szCs w:val="24"/>
        </w:rPr>
        <w:t>). Il-Qorti mbagħad sostnie</w:t>
      </w:r>
      <w:r>
        <w:rPr>
          <w:rFonts w:ascii="Times New Roman" w:hAnsi="Times New Roman"/>
          <w:noProof/>
          <w:sz w:val="24"/>
          <w:szCs w:val="24"/>
        </w:rPr>
        <w:t>t li l-“fatt li ma jkunux esposti għal sanzjonijiet dixxiplinari għall-eżerċizzju ta’ possibbiltà (…) li ssir talba għal deċiżjoni preliminari lill-Qorti (…) jikkostitwixxi garanzija inerenti għall-indipendenza tal-imħallfin” (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103"/>
      </w:r>
      <w:r>
        <w:rPr>
          <w:rFonts w:ascii="Times New Roman" w:hAnsi="Times New Roman"/>
          <w:noProof/>
          <w:sz w:val="24"/>
          <w:szCs w:val="24"/>
        </w:rPr>
        <w:t>).</w:t>
      </w:r>
    </w:p>
    <w:p w:rsidR="00461018" w:rsidRDefault="000329C3"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t xml:space="preserve">Skont l-istandards </w:t>
      </w:r>
      <w:r>
        <w:rPr>
          <w:rFonts w:ascii="Times New Roman" w:hAnsi="Times New Roman"/>
          <w:noProof/>
          <w:sz w:val="24"/>
          <w:szCs w:val="24"/>
        </w:rPr>
        <w:t>tal-Kunsill tal-Ewropa, jistgħu jsegwu proċedimenti dixxiplinari fir-rigward tal-imħallfin meta dawn jonqsu milli jwettqu dmirijiethom b’manjiera effiċjenti u xierqa (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104"/>
      </w:r>
      <w:r>
        <w:rPr>
          <w:rFonts w:ascii="Times New Roman" w:hAnsi="Times New Roman"/>
          <w:noProof/>
          <w:sz w:val="24"/>
          <w:szCs w:val="24"/>
        </w:rPr>
        <w:t>). L-interpretazzjoni tal-liġi, il-valutazzjoni tal-fatti jew il-ponderazzjoni tal-evide</w:t>
      </w:r>
      <w:r>
        <w:rPr>
          <w:rFonts w:ascii="Times New Roman" w:hAnsi="Times New Roman"/>
          <w:noProof/>
          <w:sz w:val="24"/>
          <w:szCs w:val="24"/>
        </w:rPr>
        <w:t>nza mwettqa mill-imħallfin sabiex jiddeterminaw il-kawżi jenħtieġ li ma joħolqux responsabbiltà ċivili jew dixxiplinari, ħlief fil-każ ta’ att malizzjuż jew ta’ negliġenza gravi (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105"/>
      </w:r>
      <w:r>
        <w:rPr>
          <w:rFonts w:ascii="Times New Roman" w:hAnsi="Times New Roman"/>
          <w:noProof/>
          <w:sz w:val="24"/>
          <w:szCs w:val="24"/>
        </w:rPr>
        <w:t>). Barra dan, jenħtieġ li l-proċedimenti dixxiplinari jitwettqu minn awtorit</w:t>
      </w:r>
      <w:r>
        <w:rPr>
          <w:rFonts w:ascii="Times New Roman" w:hAnsi="Times New Roman"/>
          <w:noProof/>
          <w:sz w:val="24"/>
          <w:szCs w:val="24"/>
        </w:rPr>
        <w:t>à indipendenti bħala qorti bil-garanziji kollha ta’ proċess ġust. L-imħallef taħt proċediment dixxiplinari jenħtieġ li jkollu d-dritt li jikkontesta kemm id-deċiżjoni kif ukoll is-sanzjoni. Jenħtieġ li s-sanzjonijiet dixxiplinari jkunu proporzjonati (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106"/>
      </w:r>
      <w:r>
        <w:rPr>
          <w:rFonts w:ascii="Times New Roman" w:hAnsi="Times New Roman"/>
          <w:noProof/>
          <w:sz w:val="24"/>
          <w:szCs w:val="24"/>
        </w:rPr>
        <w:t>).</w:t>
      </w:r>
    </w:p>
    <w:p w:rsidR="00461018" w:rsidRDefault="000329C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L</w:t>
      </w:r>
      <w:r>
        <w:rPr>
          <w:rFonts w:ascii="Times New Roman" w:hAnsi="Times New Roman"/>
          <w:noProof/>
          <w:sz w:val="24"/>
        </w:rPr>
        <w:t>-Illustrazzjoni 49 tippreżenta ħarsa ġenerali aġġornata tal-awtoritajiet li jiddeċiedu dwar sanzjonijiet dixxiplinari fir-rigward ta’ mħallfin ordinarji, li jistgħu jkunu jew (a) awtoritajiet indipendenti regolari bħal qrati (il-Qorti Suprema, il-Qorti Amm</w:t>
      </w:r>
      <w:r>
        <w:rPr>
          <w:rFonts w:ascii="Times New Roman" w:hAnsi="Times New Roman"/>
          <w:noProof/>
          <w:sz w:val="24"/>
        </w:rPr>
        <w:t>inistrattiva jew il-President tal-Qorti), jew Kunsilli għall-ġudikatura, jew (b) awtoritajiet oħrajn li l-membri tagħhom huma maħturin speċifikament mill-Kunsill għall-Ġudikatura, minn imħallfin jew mill-eżekuttiv.</w:t>
      </w:r>
    </w:p>
    <w:p w:rsidR="00461018" w:rsidRDefault="000329C3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>49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: Awtorità li tiddeċiedi dwar sanzjonijiet dixxiplinari li jirrigwardaw l-imħallfin </w:t>
      </w:r>
      <w:r>
        <w:rPr>
          <w:rFonts w:ascii="Times New Roman" w:hAnsi="Times New Roman"/>
          <w:noProof/>
          <w:sz w:val="24"/>
          <w:szCs w:val="24"/>
        </w:rPr>
        <w:t xml:space="preserve">(*) </w:t>
      </w:r>
      <w:r>
        <w:rPr>
          <w:rFonts w:ascii="Times New Roman" w:hAnsi="Times New Roman"/>
          <w:i/>
          <w:iCs/>
          <w:noProof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vertAlign w:val="superscript"/>
        </w:rPr>
        <w:footnoteReference w:id="107"/>
      </w:r>
      <w:r>
        <w:rPr>
          <w:rFonts w:ascii="Times New Roman" w:hAnsi="Times New Roman"/>
          <w:i/>
          <w:iCs/>
          <w:noProof/>
          <w:sz w:val="24"/>
          <w:szCs w:val="24"/>
        </w:rPr>
        <w:t>)</w:t>
      </w: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z w:val="16"/>
          <w:szCs w:val="16"/>
        </w:rPr>
      </w:pPr>
      <w:r>
        <w:rPr>
          <w:noProof/>
          <w:lang w:val="en-GB" w:eastAsia="en-GB"/>
        </w:rPr>
        <w:drawing>
          <wp:inline distT="0" distB="0" distL="0" distR="0">
            <wp:extent cx="5977255" cy="1491615"/>
            <wp:effectExtent l="0" t="0" r="4445" b="0"/>
            <wp:docPr id="97308" name="Picture 97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16"/>
          <w:szCs w:val="16"/>
        </w:rPr>
        <w:t xml:space="preserve"> (*) </w:t>
      </w:r>
      <w:r>
        <w:rPr>
          <w:rFonts w:ascii="Times New Roman" w:hAnsi="Times New Roman"/>
          <w:b/>
          <w:i/>
          <w:noProof/>
          <w:sz w:val="16"/>
          <w:szCs w:val="16"/>
        </w:rPr>
        <w:t>BG:</w:t>
      </w:r>
      <w:r>
        <w:rPr>
          <w:rFonts w:ascii="Times New Roman" w:hAnsi="Times New Roman"/>
          <w:i/>
          <w:noProof/>
          <w:sz w:val="16"/>
          <w:szCs w:val="16"/>
        </w:rPr>
        <w:t xml:space="preserve"> Jistgħu jiġu imposti sanzjonijiet dixxiplinari anqas severi mill-President tal-Qorti.</w:t>
      </w:r>
      <w:r>
        <w:rPr>
          <w:rFonts w:ascii="Times New Roman" w:hAnsi="Times New Roman"/>
          <w:i/>
          <w:noProof/>
          <w:sz w:val="15"/>
          <w:szCs w:val="15"/>
        </w:rPr>
        <w:t xml:space="preserve"> </w:t>
      </w:r>
      <w:r>
        <w:rPr>
          <w:rFonts w:ascii="Times New Roman" w:hAnsi="Times New Roman"/>
          <w:i/>
          <w:noProof/>
        </w:rPr>
        <w:t xml:space="preserve">Kwalunkwe deċiżjoni dwar miżuri dixxiplinari hija miftuħa għal </w:t>
      </w:r>
      <w:r>
        <w:rPr>
          <w:rFonts w:ascii="Times New Roman" w:hAnsi="Times New Roman"/>
          <w:i/>
          <w:noProof/>
        </w:rPr>
        <w:t>stħarriġ ġudizzjarju quddiem il-Qorti Amministrattiva Suprema.</w:t>
      </w:r>
      <w:r>
        <w:rPr>
          <w:rFonts w:ascii="Times New Roman" w:hAnsi="Times New Roman"/>
          <w:i/>
          <w:noProof/>
          <w:sz w:val="16"/>
          <w:szCs w:val="16"/>
        </w:rPr>
        <w:t xml:space="preserve"> </w:t>
      </w:r>
      <w:r>
        <w:rPr>
          <w:rFonts w:ascii="Times New Roman" w:hAnsi="Times New Roman"/>
          <w:b/>
          <w:i/>
          <w:noProof/>
          <w:sz w:val="16"/>
          <w:szCs w:val="16"/>
        </w:rPr>
        <w:t>CZ:</w:t>
      </w:r>
      <w:r>
        <w:rPr>
          <w:rFonts w:ascii="Times New Roman" w:hAnsi="Times New Roman"/>
          <w:i/>
          <w:noProof/>
          <w:sz w:val="16"/>
          <w:szCs w:val="16"/>
        </w:rPr>
        <w:t xml:space="preserve"> Il-każijiet dixxiplinari jiġu eżaminati mill-awli dixxiplinari tal-Qorti Suprema Amministrattiva. Il-membri jiġu proposti mill-President tal-Qorti minn lista ta’ mħallfin u jintgħażlu bil-p</w:t>
      </w:r>
      <w:r>
        <w:rPr>
          <w:rFonts w:ascii="Times New Roman" w:hAnsi="Times New Roman"/>
          <w:i/>
          <w:noProof/>
          <w:sz w:val="16"/>
          <w:szCs w:val="16"/>
        </w:rPr>
        <w:t xml:space="preserve">olza. </w:t>
      </w:r>
      <w:r>
        <w:rPr>
          <w:rFonts w:ascii="Times New Roman" w:hAnsi="Times New Roman"/>
          <w:b/>
          <w:i/>
          <w:noProof/>
          <w:sz w:val="16"/>
          <w:szCs w:val="16"/>
        </w:rPr>
        <w:t>DK:</w:t>
      </w:r>
      <w:r>
        <w:rPr>
          <w:rFonts w:ascii="Times New Roman" w:hAnsi="Times New Roman"/>
          <w:i/>
          <w:noProof/>
          <w:sz w:val="16"/>
          <w:szCs w:val="16"/>
        </w:rPr>
        <w:t xml:space="preserve"> Il-Qorti Speċjali ta’ Imputazzjoni u ta’ Reviżjoni li tinkludi ħames membri, maħtura formalment mill-Ministru tal-Ġustizzja iżda nnominati rispettivament mill-Qorti Suprema, mill-Qrati Għolja, mill-Assoċjazzjoni tal-Imħallfin u mill-Assoċjazzjoni</w:t>
      </w:r>
      <w:r>
        <w:rPr>
          <w:rFonts w:ascii="Times New Roman" w:hAnsi="Times New Roman"/>
          <w:i/>
          <w:noProof/>
          <w:sz w:val="16"/>
          <w:szCs w:val="16"/>
        </w:rPr>
        <w:t xml:space="preserve"> tal-Avukatura kif ukoll minn akkademiku distint, tiddeċiedi dwar sanzjonijiet dixxiplinari.</w:t>
      </w:r>
      <w:r>
        <w:rPr>
          <w:noProof/>
          <w:sz w:val="16"/>
          <w:szCs w:val="16"/>
        </w:rPr>
        <w:t xml:space="preserve"> </w:t>
      </w:r>
      <w:r>
        <w:rPr>
          <w:i/>
          <w:noProof/>
          <w:sz w:val="16"/>
          <w:szCs w:val="16"/>
        </w:rPr>
        <w:t>Il-</w:t>
      </w:r>
      <w:r>
        <w:rPr>
          <w:rFonts w:ascii="Times New Roman" w:hAnsi="Times New Roman"/>
          <w:i/>
          <w:noProof/>
          <w:sz w:val="16"/>
          <w:szCs w:val="16"/>
        </w:rPr>
        <w:t xml:space="preserve">president ta’ qorti tal-prim’istanza jista’ joħroġ twissija. </w:t>
      </w:r>
      <w:r>
        <w:rPr>
          <w:rFonts w:ascii="Times New Roman" w:hAnsi="Times New Roman"/>
          <w:b/>
          <w:i/>
          <w:noProof/>
          <w:sz w:val="16"/>
          <w:szCs w:val="16"/>
        </w:rPr>
        <w:t>DE:</w:t>
      </w:r>
      <w:r>
        <w:rPr>
          <w:rFonts w:ascii="Times New Roman" w:hAnsi="Times New Roman"/>
          <w:i/>
          <w:noProof/>
          <w:sz w:val="16"/>
          <w:szCs w:val="16"/>
        </w:rPr>
        <w:t xml:space="preserve"> Jistgħu jiġu applikati miżuri dixxiplinari fi proċedimenti dixxiplinari formali (ara l-Kapitolu</w:t>
      </w:r>
      <w:r>
        <w:rPr>
          <w:rFonts w:ascii="Times New Roman" w:hAnsi="Times New Roman"/>
          <w:i/>
          <w:noProof/>
          <w:sz w:val="16"/>
          <w:szCs w:val="16"/>
        </w:rPr>
        <w:t xml:space="preserve"> 63 tal-Att dwar il-Ġudikatura tal-Ġermanja għall-imħallfin federali u d-dispożizzjoni ekwivalenti fil-livell tal-Länder) minn qrati tas-servizz (“Dienstgericht des Bundes” rigward l-imħallfin federali u “Dienstgerichte der Länder” rigward imħallfin tal-is</w:t>
      </w:r>
      <w:r>
        <w:rPr>
          <w:rFonts w:ascii="Times New Roman" w:hAnsi="Times New Roman"/>
          <w:i/>
          <w:noProof/>
          <w:sz w:val="16"/>
          <w:szCs w:val="16"/>
        </w:rPr>
        <w:t>tati federali), li huma panels speċjali fil-qrati regolari. Il-membri ta’ dawn il-panels jinħatru mill-imħallfin (“Präsidium”) tal-qorti partikolari (il-Qorti Federali tal-Ġustizzja jew il-qorti reġjonali superjuri jew il-qorti reġjonali). Jistgħu jinħarġu</w:t>
      </w:r>
      <w:r>
        <w:rPr>
          <w:rFonts w:ascii="Times New Roman" w:hAnsi="Times New Roman"/>
          <w:i/>
          <w:noProof/>
          <w:sz w:val="16"/>
          <w:szCs w:val="16"/>
        </w:rPr>
        <w:t xml:space="preserve"> miżuri dixxiplinari anqas severi, bħal ċanfir, f’ordni dixxiplinari (ara l-Kapitolu 64 tal-Att dwar il-Ġudikatura tal-Ġermanja għall-imħallfin federali u d-dispożizzjonijiet ekwivalenti fil-livell tal-Länder) minn President tal-Qorti jew mill-Ministeru ta</w:t>
      </w:r>
      <w:r>
        <w:rPr>
          <w:rFonts w:ascii="Times New Roman" w:hAnsi="Times New Roman"/>
          <w:i/>
          <w:noProof/>
          <w:sz w:val="16"/>
          <w:szCs w:val="16"/>
        </w:rPr>
        <w:t xml:space="preserve">l-Ġustizzja (kemm fil-livell tal-istati federali kif ukoll fil-livell federali). </w:t>
      </w:r>
      <w:r>
        <w:rPr>
          <w:rFonts w:ascii="Times New Roman" w:hAnsi="Times New Roman"/>
          <w:b/>
          <w:i/>
          <w:noProof/>
          <w:sz w:val="16"/>
          <w:szCs w:val="16"/>
        </w:rPr>
        <w:t>EE:</w:t>
      </w:r>
      <w:r>
        <w:rPr>
          <w:rFonts w:ascii="Times New Roman" w:hAnsi="Times New Roman"/>
          <w:i/>
          <w:noProof/>
          <w:sz w:val="16"/>
          <w:szCs w:val="16"/>
        </w:rPr>
        <w:t xml:space="preserve"> Il-każijiet dixxiplinari jiġu eżaminati mill-Awla Dixxiplinari tal-Imħallfin maħtura mill-Qorti Suprema, u mill-Assemblea Ġenerali tal-Imħallfin kollha Estonjani. </w:t>
      </w:r>
      <w:r>
        <w:rPr>
          <w:rFonts w:ascii="Times New Roman" w:hAnsi="Times New Roman"/>
          <w:b/>
          <w:i/>
          <w:noProof/>
          <w:sz w:val="16"/>
          <w:szCs w:val="16"/>
        </w:rPr>
        <w:t>IE:</w:t>
      </w:r>
      <w:r>
        <w:rPr>
          <w:rFonts w:ascii="Times New Roman" w:hAnsi="Times New Roman"/>
          <w:i/>
          <w:noProof/>
          <w:sz w:val="16"/>
          <w:szCs w:val="16"/>
        </w:rPr>
        <w:t xml:space="preserve"> Il-K</w:t>
      </w:r>
      <w:r>
        <w:rPr>
          <w:rFonts w:ascii="Times New Roman" w:hAnsi="Times New Roman"/>
          <w:i/>
          <w:noProof/>
          <w:sz w:val="16"/>
          <w:szCs w:val="16"/>
        </w:rPr>
        <w:t>umitat dwar il-Kondotta Ġudizzjarja jiddeċiedi, u dan huwa stabbilit mill-Kunsill Ġudizzjarju u huwa magħmul minn tliet imħallfin eletti mill-pari tagħhom, ħames presidenti tal-qorti (membri ex officio) u minn ħames membri onorarji maħtura mill-gvern. Skon</w:t>
      </w:r>
      <w:r>
        <w:rPr>
          <w:rFonts w:ascii="Times New Roman" w:hAnsi="Times New Roman"/>
          <w:i/>
          <w:noProof/>
          <w:sz w:val="16"/>
          <w:szCs w:val="16"/>
        </w:rPr>
        <w:t xml:space="preserve">t il-Kostituzzjoni, imħallef jista’ jitneħħa mill-kariga għal imġiba ħażina jew inkapaċità ddikjarati wara li jgħaddu riżoluzzjonijiet miż-żewġ Kmamar tal-Parlament (l-Oireachtas) li jitolbu għat-tneħħija tiegħu. </w:t>
      </w:r>
      <w:r>
        <w:rPr>
          <w:rFonts w:ascii="Times New Roman" w:hAnsi="Times New Roman"/>
          <w:b/>
          <w:i/>
          <w:noProof/>
          <w:sz w:val="16"/>
          <w:szCs w:val="16"/>
        </w:rPr>
        <w:t>EL:</w:t>
      </w:r>
      <w:r>
        <w:rPr>
          <w:rFonts w:ascii="Times New Roman" w:hAnsi="Times New Roman"/>
          <w:i/>
          <w:noProof/>
          <w:sz w:val="16"/>
          <w:szCs w:val="16"/>
        </w:rPr>
        <w:t xml:space="preserve"> L-awtorità dixxiplinari fuq l-imħallfin</w:t>
      </w:r>
      <w:r>
        <w:rPr>
          <w:rFonts w:ascii="Times New Roman" w:hAnsi="Times New Roman"/>
          <w:i/>
          <w:noProof/>
          <w:sz w:val="16"/>
          <w:szCs w:val="16"/>
        </w:rPr>
        <w:t xml:space="preserve"> tiġi eżerċitata, fil-prim’ u fit-tieni istanza, mill-kunsilli komposti minn imħallfin regolari ta’ grad ogħla magħżulin bil-polza. L-awtorità dixxiplinari fuq l-imħallfin ta’ grad għoli tiġi eżerċitata mill-Kunsill Dixxiplinari Suprem. </w:t>
      </w:r>
      <w:r>
        <w:rPr>
          <w:rFonts w:ascii="Times New Roman" w:hAnsi="Times New Roman"/>
          <w:b/>
          <w:i/>
          <w:noProof/>
          <w:sz w:val="16"/>
          <w:szCs w:val="16"/>
        </w:rPr>
        <w:t>IT</w:t>
      </w:r>
      <w:r>
        <w:rPr>
          <w:rFonts w:ascii="Times New Roman" w:hAnsi="Times New Roman"/>
          <w:i/>
          <w:noProof/>
          <w:sz w:val="16"/>
          <w:szCs w:val="16"/>
        </w:rPr>
        <w:t xml:space="preserve">: </w:t>
      </w:r>
      <w:r>
        <w:rPr>
          <w:rFonts w:ascii="Times New Roman" w:hAnsi="Times New Roman"/>
          <w:i/>
          <w:iCs/>
          <w:noProof/>
          <w:sz w:val="16"/>
          <w:szCs w:val="16"/>
        </w:rPr>
        <w:t>Deċiżjonijiet t</w:t>
      </w:r>
      <w:r>
        <w:rPr>
          <w:rFonts w:ascii="Times New Roman" w:hAnsi="Times New Roman"/>
          <w:i/>
          <w:iCs/>
          <w:noProof/>
          <w:sz w:val="16"/>
          <w:szCs w:val="16"/>
        </w:rPr>
        <w:t>al-Kunsill għall-Ġudikatura dwar miżuri dixxiplinari huma miftuħa għal stħarriġ ġudizzjarju quddiem il-Qorti Suprema.</w:t>
      </w:r>
      <w:r>
        <w:rPr>
          <w:rFonts w:ascii="Times New Roman" w:hAnsi="Times New Roman"/>
          <w:i/>
          <w:noProof/>
          <w:sz w:val="16"/>
          <w:szCs w:val="16"/>
        </w:rPr>
        <w:t xml:space="preserve"> </w:t>
      </w:r>
      <w:r>
        <w:rPr>
          <w:rFonts w:ascii="Times New Roman" w:hAnsi="Times New Roman"/>
          <w:b/>
          <w:i/>
          <w:noProof/>
          <w:sz w:val="16"/>
          <w:szCs w:val="16"/>
        </w:rPr>
        <w:t>LV:</w:t>
      </w:r>
      <w:r>
        <w:rPr>
          <w:rFonts w:ascii="Times New Roman" w:hAnsi="Times New Roman"/>
          <w:i/>
          <w:noProof/>
          <w:sz w:val="16"/>
          <w:szCs w:val="16"/>
        </w:rPr>
        <w:t xml:space="preserve"> Il-każijiet dixxiplinari jiġu eżaminati mill-Kumitat Dixxiplinari Ġudizzjarju li l-membri tiegħu jinħatru permezz tal-laqgħa ġenerali </w:t>
      </w:r>
      <w:r>
        <w:rPr>
          <w:rFonts w:ascii="Times New Roman" w:hAnsi="Times New Roman"/>
          <w:i/>
          <w:noProof/>
          <w:sz w:val="16"/>
          <w:szCs w:val="16"/>
        </w:rPr>
        <w:t xml:space="preserve">tal-imħallfin. </w:t>
      </w:r>
      <w:r>
        <w:rPr>
          <w:rFonts w:ascii="Times New Roman" w:hAnsi="Times New Roman"/>
          <w:b/>
          <w:i/>
          <w:noProof/>
          <w:sz w:val="16"/>
          <w:szCs w:val="16"/>
        </w:rPr>
        <w:t>ES:</w:t>
      </w:r>
      <w:r>
        <w:rPr>
          <w:rFonts w:ascii="Times New Roman" w:hAnsi="Times New Roman"/>
          <w:i/>
          <w:noProof/>
          <w:sz w:val="16"/>
          <w:szCs w:val="16"/>
        </w:rPr>
        <w:t xml:space="preserve"> Id-deċiżjonijiet dixxiplinari fir-rigward ta’ reati dixxiplinari minuri jittieħdu mill-kamra ta’ governanza tal-Qorti rispettiva tad-distrett fejn jippresjedi l-imħallef iddixxiplinat (il-Qorti Għolja tal-Ġustizzja, il-Qorti Nazzjonali u</w:t>
      </w:r>
      <w:r>
        <w:rPr>
          <w:rFonts w:ascii="Times New Roman" w:hAnsi="Times New Roman"/>
          <w:i/>
          <w:noProof/>
          <w:sz w:val="16"/>
          <w:szCs w:val="16"/>
        </w:rPr>
        <w:t xml:space="preserve"> l-Qorti Suprema, u anke mill-Presidenti tal-Qorti Suprema, mill-Udjenza Nazzjonali u mill-Qorti Superjuri tal-Ġustizzja fejn jippresjedi l-imħallef iddixxiplinat skont 421.1.a) Il-Liġi Organika tal-Ġudikatura). </w:t>
      </w:r>
      <w:r>
        <w:rPr>
          <w:rFonts w:ascii="Times New Roman" w:hAnsi="Times New Roman"/>
          <w:b/>
          <w:i/>
          <w:noProof/>
          <w:sz w:val="16"/>
          <w:szCs w:val="16"/>
        </w:rPr>
        <w:t>LT:</w:t>
      </w:r>
      <w:r>
        <w:rPr>
          <w:rFonts w:ascii="Times New Roman" w:hAnsi="Times New Roman"/>
          <w:noProof/>
          <w:sz w:val="16"/>
          <w:szCs w:val="16"/>
        </w:rPr>
        <w:t xml:space="preserve"> </w:t>
      </w:r>
      <w:r>
        <w:rPr>
          <w:rFonts w:ascii="Times New Roman" w:hAnsi="Times New Roman"/>
          <w:i/>
          <w:noProof/>
          <w:sz w:val="16"/>
          <w:szCs w:val="16"/>
        </w:rPr>
        <w:t>Fil-prim’ istanza, tiddeċiedi l-Qorti Ġu</w:t>
      </w:r>
      <w:r>
        <w:rPr>
          <w:rFonts w:ascii="Times New Roman" w:hAnsi="Times New Roman"/>
          <w:i/>
          <w:noProof/>
          <w:sz w:val="16"/>
          <w:szCs w:val="16"/>
        </w:rPr>
        <w:t xml:space="preserve">dizzjarja tal-Unur, li l-membri u l-president tagħha (imħallef, elett mill-Kunsill għall-Ġudikatura) huma stabbiliti fid-Deċiżjoni tal-Kunsill għall-Ġudikatura. Din hija komposta minn sitt imħallfin magħżulin u maħturin mill-Kunsill għall-Ġudikatura, żewġ </w:t>
      </w:r>
      <w:r>
        <w:rPr>
          <w:rFonts w:ascii="Times New Roman" w:hAnsi="Times New Roman"/>
          <w:i/>
          <w:noProof/>
          <w:sz w:val="16"/>
          <w:szCs w:val="16"/>
        </w:rPr>
        <w:t xml:space="preserve">membri maħturin mill-President tar-Repubblika u żewġ membri maħturin mill-Ispeaker tas-Seimas. Fit-tieni istanza, tiddeċiedi l-Qorti Suprema. </w:t>
      </w:r>
      <w:r>
        <w:rPr>
          <w:rFonts w:ascii="Times New Roman" w:hAnsi="Times New Roman"/>
          <w:b/>
          <w:i/>
          <w:noProof/>
          <w:sz w:val="16"/>
          <w:szCs w:val="16"/>
        </w:rPr>
        <w:t>HU:</w:t>
      </w:r>
      <w:r>
        <w:rPr>
          <w:rFonts w:ascii="Times New Roman" w:hAnsi="Times New Roman"/>
          <w:i/>
          <w:noProof/>
          <w:sz w:val="16"/>
          <w:szCs w:val="16"/>
        </w:rPr>
        <w:t xml:space="preserve"> Il-każijiet dixxiplinari jiġu eżaminati mill-Qorti għas-Servizz maħtura mill-Kunsill Nazzjonali għall-Ġudikatu</w:t>
      </w:r>
      <w:r>
        <w:rPr>
          <w:rFonts w:ascii="Times New Roman" w:hAnsi="Times New Roman"/>
          <w:i/>
          <w:noProof/>
          <w:sz w:val="16"/>
          <w:szCs w:val="16"/>
        </w:rPr>
        <w:t xml:space="preserve">ra. Il-president tal-qorti jista’ jimponi l-anqas piena (“twissija”) li tista’ tiġi kkontestata quddiem il-Qorti tas-Servizz. </w:t>
      </w:r>
      <w:r>
        <w:rPr>
          <w:rFonts w:ascii="Times New Roman" w:hAnsi="Times New Roman"/>
          <w:b/>
          <w:i/>
          <w:noProof/>
          <w:sz w:val="16"/>
          <w:szCs w:val="16"/>
        </w:rPr>
        <w:t>MT:</w:t>
      </w:r>
      <w:r>
        <w:rPr>
          <w:rFonts w:ascii="Times New Roman" w:hAnsi="Times New Roman"/>
          <w:i/>
          <w:noProof/>
          <w:sz w:val="16"/>
          <w:szCs w:val="16"/>
        </w:rPr>
        <w:t xml:space="preserve"> Il-Kumitat għall-Imħallfin u l-Maġistrati, li huwa sottokumitat tal-Kummissjoni għall-Amministrazzjoni tal-Ġustizzja, jiddeċie</w:t>
      </w:r>
      <w:r>
        <w:rPr>
          <w:rFonts w:ascii="Times New Roman" w:hAnsi="Times New Roman"/>
          <w:i/>
          <w:noProof/>
          <w:sz w:val="16"/>
          <w:szCs w:val="16"/>
        </w:rPr>
        <w:t xml:space="preserve">di. Il-Kumitat jikkonsisti fi tliet imħallfin jew maġistrati eletti mill-pari tagħhom. </w:t>
      </w:r>
      <w:r>
        <w:rPr>
          <w:rFonts w:ascii="Times New Roman" w:hAnsi="Times New Roman"/>
          <w:b/>
          <w:i/>
          <w:noProof/>
          <w:sz w:val="16"/>
          <w:szCs w:val="16"/>
        </w:rPr>
        <w:t>PL:</w:t>
      </w:r>
      <w:r>
        <w:rPr>
          <w:rFonts w:ascii="Times New Roman" w:hAnsi="Times New Roman"/>
          <w:i/>
          <w:noProof/>
          <w:sz w:val="16"/>
          <w:szCs w:val="16"/>
        </w:rPr>
        <w:t xml:space="preserve"> Il-Ministru tal-Ġustizzja jagħżel l-imħallfin dixxiplinari wara konsultazzjoni mhux vinkolanti mal-Kunsill Nazzjonali għall-Ġudikatura. Il-Kamra Dixxiplinari tal-Qor</w:t>
      </w:r>
      <w:r>
        <w:rPr>
          <w:rFonts w:ascii="Times New Roman" w:hAnsi="Times New Roman"/>
          <w:i/>
          <w:noProof/>
          <w:sz w:val="16"/>
          <w:szCs w:val="16"/>
        </w:rPr>
        <w:t>ti Suprema, inkarigata sabiex tiddeċiedi fost l-oħrajn dwar każijiet dixxiplinari ta’ mħallfin fit-tieni istanza, instabet li mhijiex qorti indipendenti skont it-tifsira tad-dritt tal-UE fi tliet sentenzi tal-Qorti Suprema, li jimplimentaw is-sentenza tal-</w:t>
      </w:r>
      <w:r>
        <w:rPr>
          <w:rFonts w:ascii="Times New Roman" w:hAnsi="Times New Roman"/>
          <w:i/>
          <w:noProof/>
          <w:sz w:val="16"/>
          <w:szCs w:val="16"/>
        </w:rPr>
        <w:t xml:space="preserve">Qorti tal-Ġustizzja tad-19 ta’ Novembru 2019. </w:t>
      </w:r>
      <w:r>
        <w:rPr>
          <w:rFonts w:ascii="Times New Roman" w:hAnsi="Times New Roman"/>
          <w:b/>
          <w:i/>
          <w:noProof/>
          <w:sz w:val="16"/>
          <w:szCs w:val="16"/>
        </w:rPr>
        <w:t>SI:</w:t>
      </w:r>
      <w:r>
        <w:rPr>
          <w:rFonts w:ascii="Times New Roman" w:hAnsi="Times New Roman"/>
          <w:i/>
          <w:noProof/>
          <w:sz w:val="16"/>
          <w:szCs w:val="16"/>
        </w:rPr>
        <w:t xml:space="preserve"> Il-qorti dixxiplinari tinħatar mill-Kunsill għall-Ġudikatura minn fost il-membri tal-Kunsill stess u minn fost l-imħallfin proposti mill-Qorti Suprema. </w:t>
      </w:r>
      <w:r>
        <w:rPr>
          <w:rFonts w:ascii="Times New Roman" w:hAnsi="Times New Roman"/>
          <w:b/>
          <w:i/>
          <w:noProof/>
          <w:sz w:val="16"/>
          <w:szCs w:val="16"/>
        </w:rPr>
        <w:t>SK:</w:t>
      </w:r>
      <w:r>
        <w:rPr>
          <w:rFonts w:ascii="Times New Roman" w:hAnsi="Times New Roman"/>
          <w:i/>
          <w:noProof/>
          <w:sz w:val="16"/>
          <w:szCs w:val="16"/>
        </w:rPr>
        <w:t xml:space="preserve"> Il-Presidenti tal-prim’istanza għandhom is-setgħa </w:t>
      </w:r>
      <w:r>
        <w:rPr>
          <w:rFonts w:ascii="Times New Roman" w:hAnsi="Times New Roman"/>
          <w:i/>
          <w:noProof/>
          <w:sz w:val="16"/>
          <w:szCs w:val="16"/>
        </w:rPr>
        <w:t>li jimponu s-sanzjoni dixxiplinari ta’ “twissija bil-miktub”. Il-panels dixxiplinari jiġu maħturin mill-Kunsill għall-Ġudikatura. Għall-President u l-Viċi President tal-Qorti Suprema, hija l-Qorti Kostituzzjonali li hija kompetenti għall-proċedimenti dixxi</w:t>
      </w:r>
      <w:r>
        <w:rPr>
          <w:rFonts w:ascii="Times New Roman" w:hAnsi="Times New Roman"/>
          <w:i/>
          <w:noProof/>
          <w:sz w:val="16"/>
          <w:szCs w:val="16"/>
        </w:rPr>
        <w:t xml:space="preserve">plinari. </w:t>
      </w:r>
      <w:r>
        <w:rPr>
          <w:rFonts w:ascii="Times New Roman" w:hAnsi="Times New Roman"/>
          <w:b/>
          <w:i/>
          <w:noProof/>
          <w:sz w:val="16"/>
          <w:szCs w:val="16"/>
        </w:rPr>
        <w:t>SE:</w:t>
      </w:r>
      <w:r>
        <w:rPr>
          <w:rFonts w:ascii="Times New Roman" w:hAnsi="Times New Roman"/>
          <w:i/>
          <w:noProof/>
          <w:sz w:val="16"/>
          <w:szCs w:val="16"/>
        </w:rPr>
        <w:t xml:space="preserve"> Imħallef permanenti jista’ jitneħħa mill-kariga biss jekk ikun wettaq reat gravi jew minħabba negliġenza ripetuta fid-doveri tiegħu u b’hekk ikun wera li mhuwiex denn sabiex iżomm il-kariga. Kieku d-deċiżjoni sabiex imħallef jitneħħa mill-kari</w:t>
      </w:r>
      <w:r>
        <w:rPr>
          <w:rFonts w:ascii="Times New Roman" w:hAnsi="Times New Roman"/>
          <w:i/>
          <w:noProof/>
          <w:sz w:val="16"/>
          <w:szCs w:val="16"/>
        </w:rPr>
        <w:t>ga kellha ssir minn awtorità oħra minflok qorti (fil-prattika mill-Bord Nazzjonali għar-Reati Dixxiplinari), l-imħallef ikkonċernat jista’ jitlob lil qorti tirrevedi dik id-deċiżjoni. Id-deċiżjoni tista’ tiġi kkontestata mill-imħallef waħdu fil-qorti distr</w:t>
      </w:r>
      <w:r>
        <w:rPr>
          <w:rFonts w:ascii="Times New Roman" w:hAnsi="Times New Roman"/>
          <w:i/>
          <w:noProof/>
          <w:sz w:val="16"/>
          <w:szCs w:val="16"/>
        </w:rPr>
        <w:t>ettwali jew b’appoġġ tat-trade union fil-qorti tax-xogħol bħala qorti tal-prim’istanza.</w:t>
      </w:r>
    </w:p>
    <w:p w:rsidR="00461018" w:rsidRDefault="000329C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L-Illustrazzjoni 50 tippreżenta ħarsa ġenerali aġġornata lejn il-korpi investigattivi li jwettqu l-investigazzjoni formali matul proċedimenti dixxiplinari fir-rigward </w:t>
      </w:r>
      <w:r>
        <w:rPr>
          <w:rFonts w:ascii="Times New Roman" w:hAnsi="Times New Roman"/>
          <w:noProof/>
          <w:sz w:val="24"/>
        </w:rPr>
        <w:t>tal-imħallfin. Din ma tikkonċernax l-inkjesti preliminari sabiex jiġi deċiż jekk jinbediex proċediment dixxiplinari formali. Il-fażi tal-investigazzjoni hija pass partikolarment sensittiv fil-proċedimenti dixxiplinari, li jista’ jaffettwa l-indipendenza ġu</w:t>
      </w:r>
      <w:r>
        <w:rPr>
          <w:rFonts w:ascii="Times New Roman" w:hAnsi="Times New Roman"/>
          <w:noProof/>
          <w:sz w:val="24"/>
        </w:rPr>
        <w:t>dizzjarja. Is-setgħa investigattiva tista’ tiġi eżerċitata jew (a) minn awtoritajiet indipendenti regolari bħall-Presidenti tal-Qorti jew il-Kunsilli għall-Ġudikatura, jew (b) minn investigaturi oħrajn li huma maħturin speċifikament - mill-Kunsill tal-Ġudi</w:t>
      </w:r>
      <w:r>
        <w:rPr>
          <w:rFonts w:ascii="Times New Roman" w:hAnsi="Times New Roman"/>
          <w:noProof/>
          <w:sz w:val="24"/>
        </w:rPr>
        <w:t>katura, minn imħallfin jew minn awtoritajiet oħrajn - sabiex imexxu investigazzjonijiet fil-proċedimenti dixxiplinari fir-rigward tal-imħallfin.</w:t>
      </w:r>
    </w:p>
    <w:p w:rsidR="00461018" w:rsidRDefault="000329C3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Illustrazzjoni 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>50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>: Investigatur inkarigat mill-proċedimenti dixxiplinari formali rigwa</w:t>
      </w:r>
      <w:r>
        <w:rPr>
          <w:rFonts w:ascii="Times New Roman" w:hAnsi="Times New Roman"/>
          <w:b/>
          <w:bCs/>
          <w:noProof/>
          <w:sz w:val="24"/>
          <w:szCs w:val="24"/>
        </w:rPr>
        <w:t>rd l-imħallfin</w:t>
      </w:r>
      <w:r>
        <w:rPr>
          <w:rFonts w:ascii="Times New Roman" w:hAnsi="Times New Roman"/>
          <w:noProof/>
          <w:sz w:val="24"/>
          <w:szCs w:val="24"/>
        </w:rPr>
        <w:t xml:space="preserve"> (*) (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108"/>
      </w:r>
      <w:r>
        <w:rPr>
          <w:rFonts w:ascii="Times New Roman" w:hAnsi="Times New Roman"/>
          <w:noProof/>
          <w:sz w:val="24"/>
          <w:szCs w:val="24"/>
        </w:rPr>
        <w:t>)</w:t>
      </w:r>
    </w:p>
    <w:p w:rsidR="00461018" w:rsidRDefault="000329C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5977255" cy="1371600"/>
            <wp:effectExtent l="0" t="0" r="4445" b="0"/>
            <wp:docPr id="97309" name="Picture 97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18"/>
          <w:szCs w:val="18"/>
        </w:rPr>
        <w:t xml:space="preserve"> (*) </w:t>
      </w:r>
      <w:r>
        <w:rPr>
          <w:rFonts w:ascii="Times New Roman" w:hAnsi="Times New Roman"/>
          <w:b/>
          <w:i/>
          <w:noProof/>
          <w:sz w:val="18"/>
          <w:szCs w:val="18"/>
        </w:rPr>
        <w:t>BG:</w:t>
      </w:r>
      <w:r>
        <w:rPr>
          <w:rFonts w:ascii="Times New Roman" w:hAnsi="Times New Roman"/>
          <w:i/>
          <w:noProof/>
          <w:sz w:val="18"/>
          <w:szCs w:val="18"/>
        </w:rPr>
        <w:t xml:space="preserve"> Il-kap amministrattiv rilevanti tal-qorti (għal fatti li jistgħu jwasslu għas-sanzjoni taċ-ċanfira) jew tal-Kulleġġ tal-Imħallfin (bord dixxiplinari) għall-Kunsill Ġudizzjarju Suprem tal-Bulgarija jinvestiga. L-Ispettorat f</w:t>
      </w:r>
      <w:r>
        <w:rPr>
          <w:rFonts w:ascii="Times New Roman" w:hAnsi="Times New Roman"/>
          <w:i/>
          <w:noProof/>
          <w:sz w:val="18"/>
          <w:szCs w:val="18"/>
        </w:rPr>
        <w:t xml:space="preserve">il-Kunsill Ġudizzjarju Suprem iwettaq spezzjonijiet li abbażi tagħhom jista’ jagħmel proposti għal proċedimenti dixxiplinari. </w:t>
      </w:r>
      <w:r>
        <w:rPr>
          <w:rFonts w:ascii="Times New Roman" w:hAnsi="Times New Roman"/>
          <w:b/>
          <w:i/>
          <w:noProof/>
          <w:sz w:val="18"/>
          <w:szCs w:val="18"/>
        </w:rPr>
        <w:t>CZ:</w:t>
      </w:r>
      <w:r>
        <w:rPr>
          <w:rFonts w:ascii="Times New Roman" w:hAnsi="Times New Roman"/>
          <w:i/>
          <w:noProof/>
          <w:sz w:val="18"/>
          <w:szCs w:val="18"/>
        </w:rPr>
        <w:t xml:space="preserve"> Il-Ministru tal-Ġustizzja jista’ jmexxi wkoll xi inkjesti preliminari sabiex iħejji l-mozzjoni sabiex jinbdew proċedimenti dix</w:t>
      </w:r>
      <w:r>
        <w:rPr>
          <w:rFonts w:ascii="Times New Roman" w:hAnsi="Times New Roman"/>
          <w:i/>
          <w:noProof/>
          <w:sz w:val="18"/>
          <w:szCs w:val="18"/>
        </w:rPr>
        <w:t>xiplinari, normalment f’konsultazzjoni mal-President tal-Qorti fejn jippresjedi l-imħallef ikkonċernat.</w:t>
      </w:r>
      <w:r>
        <w:rPr>
          <w:rFonts w:ascii="Times New Roman" w:hAnsi="Times New Roman"/>
          <w:i/>
          <w:noProof/>
          <w:color w:val="000000" w:themeColor="text1"/>
          <w:sz w:val="18"/>
          <w:szCs w:val="18"/>
        </w:rPr>
        <w:t xml:space="preserve"> </w:t>
      </w:r>
      <w:r>
        <w:rPr>
          <w:rFonts w:ascii="Times New Roman" w:hAnsi="Times New Roman"/>
          <w:b/>
          <w:i/>
          <w:noProof/>
          <w:color w:val="000000" w:themeColor="text1"/>
          <w:sz w:val="18"/>
          <w:szCs w:val="18"/>
        </w:rPr>
        <w:t>DK:</w:t>
      </w:r>
      <w:r>
        <w:rPr>
          <w:rFonts w:ascii="Times New Roman" w:hAnsi="Times New Roman"/>
          <w:i/>
          <w:noProof/>
          <w:color w:val="000000" w:themeColor="text1"/>
          <w:sz w:val="18"/>
          <w:szCs w:val="18"/>
        </w:rPr>
        <w:t xml:space="preserve"> Kulħadd jista’ jippreżenta lment quddiem il-Qorti Speċjali ta’ Akkuża u ta’ Reviżjoni, li jinsab u li huwa amministrat fil-Qorti Suprema, u li jidde</w:t>
      </w:r>
      <w:r>
        <w:rPr>
          <w:rFonts w:ascii="Times New Roman" w:hAnsi="Times New Roman"/>
          <w:i/>
          <w:noProof/>
          <w:color w:val="000000" w:themeColor="text1"/>
          <w:sz w:val="18"/>
          <w:szCs w:val="18"/>
        </w:rPr>
        <w:t>ċ</w:t>
      </w:r>
      <w:r>
        <w:rPr>
          <w:rFonts w:ascii="Times New Roman" w:hAnsi="Times New Roman"/>
          <w:i/>
          <w:noProof/>
          <w:color w:val="000000" w:themeColor="text1"/>
          <w:sz w:val="18"/>
          <w:szCs w:val="18"/>
        </w:rPr>
        <w:t xml:space="preserve">iedi wara li jisma’ liż-żewġ partijiet. Id-Direttur tal-Prosekuzzjoni Pubblika jista’ jinvestiga wkoll. </w:t>
      </w:r>
      <w:r>
        <w:rPr>
          <w:rFonts w:ascii="Times New Roman" w:hAnsi="Times New Roman"/>
          <w:b/>
          <w:i/>
          <w:noProof/>
          <w:color w:val="000000" w:themeColor="text1"/>
          <w:sz w:val="18"/>
          <w:szCs w:val="18"/>
        </w:rPr>
        <w:t>DE:</w:t>
      </w:r>
      <w:r>
        <w:rPr>
          <w:rFonts w:ascii="Times New Roman" w:hAnsi="Times New Roman"/>
          <w:i/>
          <w:noProof/>
          <w:color w:val="000000" w:themeColor="text1"/>
          <w:sz w:val="18"/>
          <w:szCs w:val="18"/>
        </w:rPr>
        <w:t xml:space="preserve"> Ma hemm l-ebda fażi preinvestigatorja formali. F’ordnijiet dixxiplinari, li jikkonċernaw miżuri dixxiplinari anqas severi bħal ċanfira, il-fatti jiġu vvalutati mill-President tal-Qorti u l-ogħla awtorità għas-servizz (normalment il-Ministeru tal-Ġustizzja</w:t>
      </w:r>
      <w:r>
        <w:rPr>
          <w:rFonts w:ascii="Times New Roman" w:hAnsi="Times New Roman"/>
          <w:i/>
          <w:noProof/>
          <w:color w:val="000000" w:themeColor="text1"/>
          <w:sz w:val="18"/>
          <w:szCs w:val="18"/>
        </w:rPr>
        <w:t>, kemm fil-livell tal-istati federali kif ukoll fil-livell federali). L-ogħla awtorità għas-servizz tiddeċiedi jekk għandux jitnieda proċediment dixxiplinari quddiem il-qorti. Imbagħad il-qorti twettaq investigazzjonijiet formali.</w:t>
      </w:r>
      <w:r>
        <w:rPr>
          <w:rFonts w:ascii="Times New Roman" w:hAnsi="Times New Roman"/>
          <w:i/>
          <w:noProof/>
          <w:color w:val="943634" w:themeColor="accent2" w:themeShade="BF"/>
          <w:sz w:val="18"/>
          <w:szCs w:val="18"/>
        </w:rPr>
        <w:t xml:space="preserve"> </w:t>
      </w:r>
      <w:r>
        <w:rPr>
          <w:rFonts w:ascii="Times New Roman" w:hAnsi="Times New Roman"/>
          <w:b/>
          <w:i/>
          <w:noProof/>
          <w:sz w:val="18"/>
          <w:szCs w:val="18"/>
        </w:rPr>
        <w:t>EE:</w:t>
      </w:r>
      <w:r>
        <w:rPr>
          <w:rFonts w:ascii="Times New Roman" w:hAnsi="Times New Roman"/>
          <w:i/>
          <w:noProof/>
          <w:sz w:val="18"/>
          <w:szCs w:val="18"/>
        </w:rPr>
        <w:t xml:space="preserve"> Il-president ta’ qort</w:t>
      </w:r>
      <w:r>
        <w:rPr>
          <w:rFonts w:ascii="Times New Roman" w:hAnsi="Times New Roman"/>
          <w:i/>
          <w:noProof/>
          <w:sz w:val="18"/>
          <w:szCs w:val="18"/>
        </w:rPr>
        <w:t xml:space="preserve">i jew il-Kanċillier tal-Ġustizzja (Ombudsman) jista’ jmexxi investigazzjoni. </w:t>
      </w:r>
      <w:r>
        <w:rPr>
          <w:rFonts w:ascii="Times New Roman" w:hAnsi="Times New Roman"/>
          <w:b/>
          <w:i/>
          <w:noProof/>
          <w:sz w:val="18"/>
          <w:szCs w:val="18"/>
        </w:rPr>
        <w:t>IE:</w:t>
      </w:r>
      <w:r>
        <w:rPr>
          <w:rFonts w:ascii="Times New Roman" w:hAnsi="Times New Roman"/>
          <w:i/>
          <w:noProof/>
          <w:sz w:val="18"/>
          <w:szCs w:val="18"/>
        </w:rPr>
        <w:t xml:space="preserve"> L-imħallfin mhumiex soġġetti għal korp dixxiplinari jew għal reġim dixxiplinari ħlief għall-proċedura skont il-Kostituzzjoni li biha mħallef jista’ jitneħħa mill-kariga għal i</w:t>
      </w:r>
      <w:r>
        <w:rPr>
          <w:rFonts w:ascii="Times New Roman" w:hAnsi="Times New Roman"/>
          <w:i/>
          <w:noProof/>
          <w:sz w:val="18"/>
          <w:szCs w:val="18"/>
        </w:rPr>
        <w:t xml:space="preserve">mġiba ħażina jew għal inkapaċità ddikjarata meta jgħaddu riżoluzzjonijiet miż-żewġ Kmamar tal-Parlament (l-Oireachtas) li jitolbu t-tneħħija tiegħu. </w:t>
      </w:r>
      <w:r>
        <w:rPr>
          <w:rFonts w:ascii="Times New Roman" w:hAnsi="Times New Roman"/>
          <w:b/>
          <w:i/>
          <w:noProof/>
          <w:sz w:val="18"/>
          <w:szCs w:val="18"/>
        </w:rPr>
        <w:t>EL:</w:t>
      </w:r>
      <w:r>
        <w:rPr>
          <w:rFonts w:ascii="Times New Roman" w:hAnsi="Times New Roman"/>
          <w:i/>
          <w:noProof/>
          <w:sz w:val="18"/>
          <w:szCs w:val="18"/>
        </w:rPr>
        <w:t xml:space="preserve"> Għall-qrati ċivili u kriminali: Il-Korp ta’ Spezzjoni Ġudizzjarja li jiġi elett minn fost l-imħallfin b</w:t>
      </w:r>
      <w:r>
        <w:rPr>
          <w:rFonts w:ascii="Times New Roman" w:hAnsi="Times New Roman"/>
          <w:i/>
          <w:noProof/>
          <w:sz w:val="18"/>
          <w:szCs w:val="18"/>
        </w:rPr>
        <w:t xml:space="preserve">il-polza. Għall-qrati amministrattivi: L-investigatur jintgħażel bil-polza minn fost il-membri tal-Kunsill tal-Istat. </w:t>
      </w:r>
      <w:r>
        <w:rPr>
          <w:rFonts w:ascii="Times New Roman" w:hAnsi="Times New Roman"/>
          <w:b/>
          <w:i/>
          <w:noProof/>
          <w:sz w:val="18"/>
          <w:szCs w:val="18"/>
        </w:rPr>
        <w:t>ES:</w:t>
      </w:r>
      <w:r>
        <w:rPr>
          <w:rFonts w:ascii="Times New Roman" w:hAnsi="Times New Roman"/>
          <w:i/>
          <w:noProof/>
          <w:sz w:val="18"/>
          <w:szCs w:val="18"/>
        </w:rPr>
        <w:t xml:space="preserve"> Il-Promotur tal-azzjoni dixxiplinari jinħatar mill-Kunsill Ġenerali għall-Ġudikatura; il-Promotur jintgħażel minn grupp ta’ mħallfin t</w:t>
      </w:r>
      <w:r>
        <w:rPr>
          <w:rFonts w:ascii="Times New Roman" w:hAnsi="Times New Roman"/>
          <w:i/>
          <w:noProof/>
          <w:sz w:val="18"/>
          <w:szCs w:val="18"/>
        </w:rPr>
        <w:t xml:space="preserve">al-Qorti Suprema u l-Maġistrati li għandhom aktar minn 25 sena esperjenza legali, iżda jeżerċita esklussivament il-karigi ta’ Promotur matul il-mandat tiegħu. </w:t>
      </w:r>
      <w:r>
        <w:rPr>
          <w:rFonts w:ascii="Times New Roman" w:hAnsi="Times New Roman"/>
          <w:b/>
          <w:i/>
          <w:noProof/>
          <w:sz w:val="18"/>
          <w:szCs w:val="18"/>
        </w:rPr>
        <w:t>FR:</w:t>
      </w:r>
      <w:r>
        <w:rPr>
          <w:rFonts w:ascii="Times New Roman" w:hAnsi="Times New Roman"/>
          <w:i/>
          <w:noProof/>
          <w:sz w:val="18"/>
          <w:szCs w:val="18"/>
        </w:rPr>
        <w:t xml:space="preserve"> Il-president tal-Kunsill għall-Ġudikatura jagħżel membru wieħed jew żewġ membri tal-Kunsill g</w:t>
      </w:r>
      <w:r>
        <w:rPr>
          <w:rFonts w:ascii="Times New Roman" w:hAnsi="Times New Roman"/>
          <w:i/>
          <w:noProof/>
          <w:sz w:val="18"/>
          <w:szCs w:val="18"/>
        </w:rPr>
        <w:t xml:space="preserve">ħall-Ġudikatura sabiex iwettqu l-investigazzjonijiet rilevanti. Il-ministeru jista’ jitlob rapport mingħand il-Korp ta’ Spezzjoni Ġudizzjarja qabel ma tittieħed id-deċiżjoni li l-każ jitressaq quddiem il-Kunsill. </w:t>
      </w:r>
      <w:r>
        <w:rPr>
          <w:rFonts w:ascii="Times New Roman" w:hAnsi="Times New Roman"/>
          <w:b/>
          <w:i/>
          <w:noProof/>
          <w:sz w:val="18"/>
          <w:szCs w:val="18"/>
        </w:rPr>
        <w:t>IT:</w:t>
      </w:r>
      <w:r>
        <w:rPr>
          <w:rFonts w:ascii="Times New Roman" w:hAnsi="Times New Roman"/>
          <w:i/>
          <w:noProof/>
          <w:sz w:val="18"/>
          <w:szCs w:val="18"/>
        </w:rPr>
        <w:t xml:space="preserve"> Il-Prosekutur Ġenerali fil-Qorti Suprem</w:t>
      </w:r>
      <w:r>
        <w:rPr>
          <w:rFonts w:ascii="Times New Roman" w:hAnsi="Times New Roman"/>
          <w:i/>
          <w:noProof/>
          <w:sz w:val="18"/>
          <w:szCs w:val="18"/>
        </w:rPr>
        <w:t>a huwa intitolat imexxi l-investigazzjoni.</w:t>
      </w:r>
      <w:r>
        <w:rPr>
          <w:noProof/>
        </w:rPr>
        <w:t xml:space="preserve"> </w:t>
      </w:r>
      <w:r>
        <w:rPr>
          <w:rFonts w:ascii="Times New Roman" w:hAnsi="Times New Roman"/>
          <w:i/>
          <w:noProof/>
          <w:sz w:val="18"/>
          <w:szCs w:val="18"/>
        </w:rPr>
        <w:t xml:space="preserve">L-Ispettorat Ġenerali fil-Ministeru tal-Ġustizzja huwa intitolat iwettaq inkjesti amministrattivi. </w:t>
      </w:r>
      <w:r>
        <w:rPr>
          <w:rFonts w:ascii="Times New Roman" w:hAnsi="Times New Roman"/>
          <w:b/>
          <w:i/>
          <w:noProof/>
          <w:sz w:val="18"/>
          <w:szCs w:val="18"/>
        </w:rPr>
        <w:t>CY:</w:t>
      </w:r>
      <w:r>
        <w:rPr>
          <w:rFonts w:ascii="Times New Roman" w:hAnsi="Times New Roman"/>
          <w:i/>
          <w:noProof/>
          <w:sz w:val="18"/>
          <w:szCs w:val="18"/>
        </w:rPr>
        <w:t xml:space="preserve"> Huwa l-imħallef investigattiv, maħtur mill-Qorti Suprema, li jinvestiga. </w:t>
      </w:r>
      <w:r>
        <w:rPr>
          <w:rFonts w:ascii="Times New Roman" w:hAnsi="Times New Roman"/>
          <w:b/>
          <w:i/>
          <w:noProof/>
          <w:sz w:val="18"/>
          <w:szCs w:val="18"/>
        </w:rPr>
        <w:t>LV:</w:t>
      </w:r>
      <w:r>
        <w:rPr>
          <w:rFonts w:ascii="Times New Roman" w:hAnsi="Times New Roman"/>
          <w:i/>
          <w:noProof/>
          <w:sz w:val="18"/>
          <w:szCs w:val="18"/>
        </w:rPr>
        <w:t xml:space="preserve"> Huwa l-Kumitat Dixxiplinari Ġudiz</w:t>
      </w:r>
      <w:r>
        <w:rPr>
          <w:rFonts w:ascii="Times New Roman" w:hAnsi="Times New Roman"/>
          <w:i/>
          <w:noProof/>
          <w:sz w:val="18"/>
          <w:szCs w:val="18"/>
        </w:rPr>
        <w:t xml:space="preserve">zjarju li jinvestiga. </w:t>
      </w:r>
      <w:r>
        <w:rPr>
          <w:rFonts w:ascii="Times New Roman" w:hAnsi="Times New Roman"/>
          <w:b/>
          <w:i/>
          <w:noProof/>
          <w:sz w:val="18"/>
          <w:szCs w:val="18"/>
        </w:rPr>
        <w:t>HU:</w:t>
      </w:r>
      <w:r>
        <w:rPr>
          <w:rFonts w:ascii="Times New Roman" w:hAnsi="Times New Roman"/>
          <w:i/>
          <w:noProof/>
          <w:sz w:val="18"/>
          <w:szCs w:val="18"/>
        </w:rPr>
        <w:t xml:space="preserve"> Huwa l-Kummissarju Dixxiplinari, maħtur mit-Tribunal għas-Servizz (il-qorti dixxiplinari), li jinvestiga. </w:t>
      </w:r>
      <w:r>
        <w:rPr>
          <w:rFonts w:ascii="Times New Roman" w:hAnsi="Times New Roman"/>
          <w:b/>
          <w:i/>
          <w:noProof/>
          <w:sz w:val="18"/>
          <w:szCs w:val="18"/>
        </w:rPr>
        <w:t>LT:</w:t>
      </w:r>
      <w:r>
        <w:rPr>
          <w:rFonts w:ascii="Times New Roman" w:hAnsi="Times New Roman"/>
          <w:i/>
          <w:noProof/>
          <w:sz w:val="18"/>
          <w:szCs w:val="18"/>
        </w:rPr>
        <w:t xml:space="preserve"> Hija l-Kummissjoni tal-Etika u tad-Dixxiplina Ġudizzjarja, li l-membri u l-president tagħha (eletti mill-Kunsill għall-Ġ</w:t>
      </w:r>
      <w:r>
        <w:rPr>
          <w:rFonts w:ascii="Times New Roman" w:hAnsi="Times New Roman"/>
          <w:i/>
          <w:noProof/>
          <w:sz w:val="18"/>
          <w:szCs w:val="18"/>
        </w:rPr>
        <w:t>udikatura) huma stabbiliti fid-Deċiżjoni tal-Kunsill għall-Ġudikatura, komposta minn erba’ mħallfin maħturin mill-Kunsill għall-Ġudikatura, minn żewġ membri maħturin mill-President tar-Repubblika, u minn membru wieħed maħtur mill-Ispeaker tas-Seimas, li ti</w:t>
      </w:r>
      <w:r>
        <w:rPr>
          <w:rFonts w:ascii="Times New Roman" w:hAnsi="Times New Roman"/>
          <w:i/>
          <w:noProof/>
          <w:sz w:val="18"/>
          <w:szCs w:val="18"/>
        </w:rPr>
        <w:t>nvestiga. Il-President tal-Kummissjoni tal-Etika u tad-Dixxiplina Ġudizzjarja għandu d-dritt li jiddelega lill-President tal-qorti li fiha jaħdem l-imħallef jew lill-President tal-Qorti Superjuri sabiex imexxi l-investigazzjoni u jippreżenta r-riżultat tal</w:t>
      </w:r>
      <w:r>
        <w:rPr>
          <w:rFonts w:ascii="Times New Roman" w:hAnsi="Times New Roman"/>
          <w:i/>
          <w:noProof/>
          <w:sz w:val="18"/>
          <w:szCs w:val="18"/>
        </w:rPr>
        <w:t xml:space="preserve">-investigazzjoni. </w:t>
      </w:r>
      <w:r>
        <w:rPr>
          <w:rFonts w:ascii="Times New Roman" w:hAnsi="Times New Roman"/>
          <w:b/>
          <w:i/>
          <w:noProof/>
          <w:sz w:val="18"/>
          <w:szCs w:val="18"/>
        </w:rPr>
        <w:t>MT:</w:t>
      </w:r>
      <w:r>
        <w:rPr>
          <w:rFonts w:ascii="Times New Roman" w:hAnsi="Times New Roman"/>
          <w:i/>
          <w:noProof/>
          <w:sz w:val="18"/>
          <w:szCs w:val="18"/>
        </w:rPr>
        <w:t xml:space="preserve"> Huwa l-Kumitat tal-Imħallfin u l-Maġistrati li jinvestiga. </w:t>
      </w:r>
      <w:r>
        <w:rPr>
          <w:rFonts w:ascii="Times New Roman" w:hAnsi="Times New Roman"/>
          <w:b/>
          <w:i/>
          <w:noProof/>
          <w:sz w:val="18"/>
          <w:szCs w:val="18"/>
        </w:rPr>
        <w:t>NL:</w:t>
      </w:r>
      <w:r>
        <w:rPr>
          <w:rFonts w:ascii="Times New Roman" w:hAnsi="Times New Roman"/>
          <w:i/>
          <w:noProof/>
          <w:sz w:val="18"/>
          <w:szCs w:val="18"/>
        </w:rPr>
        <w:t xml:space="preserve"> Huwa l-Prosekutur Ġenerali li jinvestiga. </w:t>
      </w:r>
      <w:r>
        <w:rPr>
          <w:rFonts w:ascii="Times New Roman" w:hAnsi="Times New Roman"/>
          <w:b/>
          <w:i/>
          <w:noProof/>
          <w:sz w:val="18"/>
          <w:szCs w:val="18"/>
        </w:rPr>
        <w:t xml:space="preserve">PL: </w:t>
      </w:r>
      <w:r>
        <w:rPr>
          <w:rFonts w:ascii="Times New Roman" w:hAnsi="Times New Roman"/>
          <w:i/>
          <w:noProof/>
          <w:sz w:val="18"/>
          <w:szCs w:val="18"/>
        </w:rPr>
        <w:t xml:space="preserve">Il-Ministru tal-Ġustizzja jaħtar l-Uffiċjal Dixxiplinari għall-imħallfin tal-qrati ordinarji u ż-żewġ deputati tiegħu (dawn, </w:t>
      </w:r>
      <w:r>
        <w:rPr>
          <w:rFonts w:ascii="Times New Roman" w:hAnsi="Times New Roman"/>
          <w:i/>
          <w:noProof/>
          <w:sz w:val="18"/>
          <w:szCs w:val="18"/>
        </w:rPr>
        <w:t xml:space="preserve">imbagħad, jistgħu jaħtru d-deputati tagħhom stess minn fost l-imħallfin) sabiex jinvestigaw. Il-Ministru tal-Ġustizzja jista’ jieħu f’idejh kwalunkwe investigazzjoni li tkun għaddejja billi jaħtar Uffiċjal Dixxiplinari ad hoc tal-Ministru tal-Ġustizzja. </w:t>
      </w:r>
      <w:r>
        <w:rPr>
          <w:rFonts w:ascii="Times New Roman" w:hAnsi="Times New Roman"/>
          <w:b/>
          <w:i/>
          <w:noProof/>
          <w:sz w:val="18"/>
          <w:szCs w:val="18"/>
        </w:rPr>
        <w:t>PT</w:t>
      </w:r>
      <w:r>
        <w:rPr>
          <w:rFonts w:ascii="Times New Roman" w:hAnsi="Times New Roman"/>
          <w:b/>
          <w:i/>
          <w:noProof/>
          <w:sz w:val="18"/>
          <w:szCs w:val="18"/>
        </w:rPr>
        <w:t>:</w:t>
      </w:r>
      <w:r>
        <w:rPr>
          <w:rFonts w:ascii="Times New Roman" w:hAnsi="Times New Roman"/>
          <w:i/>
          <w:noProof/>
          <w:sz w:val="18"/>
          <w:szCs w:val="18"/>
        </w:rPr>
        <w:t xml:space="preserve"> Il-Kunsill għall-Ġudikatura jaħtar il-Korp tal-Ispezzjoni Ġudizzjarju sabiex jinvestiga. </w:t>
      </w:r>
      <w:r>
        <w:rPr>
          <w:rFonts w:ascii="Times New Roman" w:hAnsi="Times New Roman"/>
          <w:b/>
          <w:i/>
          <w:noProof/>
          <w:sz w:val="18"/>
          <w:szCs w:val="18"/>
        </w:rPr>
        <w:t>RO</w:t>
      </w:r>
      <w:r>
        <w:rPr>
          <w:rFonts w:ascii="Times New Roman" w:hAnsi="Times New Roman"/>
          <w:i/>
          <w:noProof/>
          <w:sz w:val="18"/>
          <w:szCs w:val="18"/>
        </w:rPr>
        <w:t xml:space="preserve"> Huwa l-Korp ta’ Spezzjoni Ġudizzjarja li jinvestiga. </w:t>
      </w:r>
      <w:r>
        <w:rPr>
          <w:rFonts w:ascii="Times New Roman" w:hAnsi="Times New Roman"/>
          <w:b/>
          <w:i/>
          <w:noProof/>
          <w:sz w:val="18"/>
          <w:szCs w:val="18"/>
        </w:rPr>
        <w:t>SI:</w:t>
      </w:r>
      <w:r>
        <w:rPr>
          <w:rFonts w:ascii="Times New Roman" w:hAnsi="Times New Roman"/>
          <w:i/>
          <w:noProof/>
          <w:sz w:val="18"/>
          <w:szCs w:val="18"/>
        </w:rPr>
        <w:t xml:space="preserve"> Il-Kunsill Ġudizzjarju jaħtar prosekutur dixxiplinari minn fost il-kandidati proposti mill-Qorti Suprema </w:t>
      </w:r>
      <w:r>
        <w:rPr>
          <w:rFonts w:ascii="Times New Roman" w:hAnsi="Times New Roman"/>
          <w:i/>
          <w:noProof/>
          <w:sz w:val="18"/>
          <w:szCs w:val="18"/>
        </w:rPr>
        <w:t xml:space="preserve">sabiex jinvestiga. </w:t>
      </w:r>
      <w:r>
        <w:rPr>
          <w:rFonts w:ascii="Times New Roman" w:hAnsi="Times New Roman"/>
          <w:b/>
          <w:i/>
          <w:noProof/>
          <w:sz w:val="18"/>
          <w:szCs w:val="18"/>
        </w:rPr>
        <w:t>SK:</w:t>
      </w:r>
      <w:r>
        <w:rPr>
          <w:rFonts w:ascii="Times New Roman" w:hAnsi="Times New Roman"/>
          <w:i/>
          <w:noProof/>
          <w:sz w:val="18"/>
          <w:szCs w:val="18"/>
        </w:rPr>
        <w:t xml:space="preserve"> Il-Panel Dixxiplinari, maħtur mill-Kunsill għall-Ġudikatura, imexxi l-investigazzjoni. </w:t>
      </w:r>
      <w:r>
        <w:rPr>
          <w:rFonts w:ascii="Times New Roman" w:hAnsi="Times New Roman"/>
          <w:b/>
          <w:i/>
          <w:noProof/>
          <w:sz w:val="18"/>
          <w:szCs w:val="18"/>
        </w:rPr>
        <w:t>SE:</w:t>
      </w:r>
      <w:r>
        <w:rPr>
          <w:rFonts w:ascii="Times New Roman" w:hAnsi="Times New Roman"/>
          <w:i/>
          <w:noProof/>
          <w:sz w:val="18"/>
          <w:szCs w:val="18"/>
        </w:rPr>
        <w:t xml:space="preserve"> L-Ombudsman Parlamentari u l-Kanċillier tal-Ġustizzja jaġixxu bħala prosekuturi fil-każijiet ta’ malprassi gravi.</w:t>
      </w:r>
    </w:p>
    <w:p w:rsidR="00461018" w:rsidRDefault="000329C3">
      <w:pPr>
        <w:spacing w:before="240" w:after="120" w:line="240" w:lineRule="auto"/>
        <w:jc w:val="both"/>
        <w:rPr>
          <w:rFonts w:ascii="Times New Roman" w:eastAsia="Calibri" w:hAnsi="Times New Roman" w:cs="Times New Roman"/>
          <w:i/>
          <w:noProof/>
          <w:sz w:val="24"/>
        </w:rPr>
      </w:pPr>
      <w:r>
        <w:rPr>
          <w:rFonts w:ascii="Times New Roman" w:hAnsi="Times New Roman"/>
          <w:i/>
          <w:noProof/>
        </w:rPr>
        <w:t>– Salvagwardji dwar in-nomin</w:t>
      </w:r>
      <w:r>
        <w:rPr>
          <w:rFonts w:ascii="Times New Roman" w:hAnsi="Times New Roman"/>
          <w:i/>
          <w:noProof/>
        </w:rPr>
        <w:t>a ta’ mħallfin-membri tal-Kunsilli għall-Ġudikatura –</w:t>
      </w:r>
    </w:p>
    <w:p w:rsidR="00461018" w:rsidRDefault="000329C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Il-Kunsilli għall-ġudikatura huma korpi essenzjali sabiex tiġi żgurata l-indipendenza tal-ġustizzja. Hija responsabbiltà tal-Istati Membri li jorganizzaw is-sistemi tal-ġustizzja tagħhom, inkluż li jidd</w:t>
      </w:r>
      <w:r>
        <w:rPr>
          <w:rFonts w:ascii="Times New Roman" w:hAnsi="Times New Roman"/>
          <w:noProof/>
          <w:sz w:val="24"/>
          <w:szCs w:val="24"/>
        </w:rPr>
        <w:t xml:space="preserve">eċiedu jekk għandhomx iwaqqfu jew le Kunsill għall-Ġudikatura. Madankollu, standards Ewropej stabbiliti sew, b’mod partikolari r-Rakkomandazzjoni CM/Rec(2010)12, jirrakkomandaw li “mhux anqas minn nofs il-membri tal-[Kunsilli għall-Ġudikatura] jenħtieġ li </w:t>
      </w:r>
      <w:r>
        <w:rPr>
          <w:rFonts w:ascii="Times New Roman" w:hAnsi="Times New Roman"/>
          <w:noProof/>
          <w:sz w:val="24"/>
          <w:szCs w:val="24"/>
        </w:rPr>
        <w:t>jkunu mħallfin magħżula mill-pari tagħhom mil-livelli kollha tal-ġudikatura u b’rispett għall-pluraliżmu fil-ġudikatura” (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109"/>
      </w:r>
      <w:r>
        <w:rPr>
          <w:rFonts w:ascii="Times New Roman" w:hAnsi="Times New Roman"/>
          <w:noProof/>
          <w:sz w:val="24"/>
          <w:szCs w:val="24"/>
        </w:rPr>
        <w:t xml:space="preserve">). L-illustrazzjoni ta’ hawn taħt tiddeskrivi jekk il-ġudikatura hijiex involuta fil-ħatra ta’ mħallfin-membri tal-Kunsilli għall-Ġudikatura. </w:t>
      </w:r>
    </w:p>
    <w:p w:rsidR="00461018" w:rsidRDefault="000329C3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>51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>: Il-ħatra ta’ mħallfin-membri tal-Kunsilli għall-Ġudikatura: l-involvi</w:t>
      </w:r>
      <w:r>
        <w:rPr>
          <w:rFonts w:ascii="Times New Roman" w:hAnsi="Times New Roman"/>
          <w:b/>
          <w:bCs/>
          <w:noProof/>
          <w:sz w:val="24"/>
          <w:szCs w:val="24"/>
        </w:rPr>
        <w:t>ment tal-ġudikatura</w:t>
      </w:r>
      <w:r>
        <w:rPr>
          <w:rFonts w:ascii="Times New Roman" w:hAnsi="Times New Roman"/>
          <w:noProof/>
          <w:sz w:val="24"/>
          <w:szCs w:val="24"/>
        </w:rPr>
        <w:t xml:space="preserve"> (*) (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110"/>
      </w:r>
      <w:r>
        <w:rPr>
          <w:rFonts w:ascii="Times New Roman" w:hAnsi="Times New Roman"/>
          <w:noProof/>
          <w:sz w:val="24"/>
          <w:szCs w:val="24"/>
        </w:rPr>
        <w:t>)</w:t>
      </w:r>
    </w:p>
    <w:p w:rsidR="00461018" w:rsidRDefault="000329C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highlight w:val="yellow"/>
        </w:rPr>
      </w:pPr>
      <w:r>
        <w:rPr>
          <w:noProof/>
          <w:lang w:val="en-GB" w:eastAsia="en-GB"/>
        </w:rPr>
        <w:drawing>
          <wp:inline distT="0" distB="0" distL="0" distR="0">
            <wp:extent cx="5977255" cy="1604211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160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</w:rPr>
      </w:pPr>
      <w:r>
        <w:rPr>
          <w:rFonts w:ascii="Times New Roman" w:hAnsi="Times New Roman"/>
          <w:i/>
          <w:noProof/>
          <w:sz w:val="20"/>
        </w:rPr>
        <w:t xml:space="preserve">(*) L-Istati Membri jidhru fl-ordni alfabetika tal-ismijiet ġeografiċi tagħhom fil-lingwa oriġinali. L-illustrazzjoni tippreżenta l-oqfsa nazzjonali kif kienu fis-seħħ f’Diċembru 2019. </w:t>
      </w:r>
      <w:r>
        <w:rPr>
          <w:rFonts w:ascii="Times New Roman" w:hAnsi="Times New Roman"/>
          <w:b/>
          <w:i/>
          <w:noProof/>
          <w:sz w:val="20"/>
        </w:rPr>
        <w:t>DK:</w:t>
      </w:r>
      <w:r>
        <w:rPr>
          <w:rFonts w:ascii="Times New Roman" w:hAnsi="Times New Roman"/>
          <w:i/>
          <w:noProof/>
          <w:sz w:val="20"/>
        </w:rPr>
        <w:t xml:space="preserve"> L-imħallfin-membri tal-Kunsill jintgħ</w:t>
      </w:r>
      <w:r>
        <w:rPr>
          <w:rFonts w:ascii="Times New Roman" w:hAnsi="Times New Roman"/>
          <w:i/>
          <w:noProof/>
          <w:sz w:val="20"/>
        </w:rPr>
        <w:t xml:space="preserve">ażlu mill-imħallfin. Il-membri kollha jinħatru formalment mill-Ministru tal-Ġustizzja. </w:t>
      </w:r>
      <w:r>
        <w:rPr>
          <w:rFonts w:ascii="Times New Roman" w:hAnsi="Times New Roman"/>
          <w:b/>
          <w:i/>
          <w:noProof/>
          <w:sz w:val="20"/>
        </w:rPr>
        <w:t>EL:</w:t>
      </w:r>
      <w:r>
        <w:rPr>
          <w:rFonts w:ascii="Times New Roman" w:hAnsi="Times New Roman"/>
          <w:i/>
          <w:noProof/>
          <w:sz w:val="20"/>
        </w:rPr>
        <w:t xml:space="preserve"> L-imħallfin-membri jintgħażlu bil-polza. </w:t>
      </w:r>
      <w:r>
        <w:rPr>
          <w:rFonts w:ascii="Times New Roman" w:hAnsi="Times New Roman"/>
          <w:b/>
          <w:i/>
          <w:noProof/>
          <w:sz w:val="20"/>
        </w:rPr>
        <w:t>ES:</w:t>
      </w:r>
      <w:r>
        <w:rPr>
          <w:rFonts w:ascii="Times New Roman" w:hAnsi="Times New Roman"/>
          <w:i/>
          <w:noProof/>
          <w:sz w:val="20"/>
        </w:rPr>
        <w:t xml:space="preserve"> L-imħallfin-membri jinħatru mill-Parlament — il-Kunsill jikkomunika lill-Parlament il-lista ta’ kandidati li jkunu rċeve</w:t>
      </w:r>
      <w:r>
        <w:rPr>
          <w:rFonts w:ascii="Times New Roman" w:hAnsi="Times New Roman"/>
          <w:i/>
          <w:noProof/>
          <w:sz w:val="20"/>
        </w:rPr>
        <w:t xml:space="preserve">w l-appoġġ ta’ assoċjazzjoni tal-imħallfin jew ta’ 25 imħallef. </w:t>
      </w:r>
      <w:r>
        <w:rPr>
          <w:rFonts w:ascii="Times New Roman" w:hAnsi="Times New Roman"/>
          <w:b/>
          <w:i/>
          <w:noProof/>
          <w:sz w:val="20"/>
        </w:rPr>
        <w:t>NL:</w:t>
      </w:r>
      <w:r>
        <w:rPr>
          <w:rFonts w:ascii="Times New Roman" w:hAnsi="Times New Roman"/>
          <w:i/>
          <w:noProof/>
          <w:sz w:val="20"/>
        </w:rPr>
        <w:t xml:space="preserve"> L-imħallfin-membri jintgħażlu mill-ġudikatura u jinħatru fuq il-proposta tal-Kunsill, ibbażata fost oħrajn fuq il-parir ta’ kumitat tal-għażla (magħmul prinċipalment minn imħallfin u minn </w:t>
      </w:r>
      <w:r>
        <w:rPr>
          <w:rFonts w:ascii="Times New Roman" w:hAnsi="Times New Roman"/>
          <w:i/>
          <w:noProof/>
          <w:sz w:val="20"/>
        </w:rPr>
        <w:t xml:space="preserve">persunal tal-qorti). Il-membri kollha tal-Kunsill jinħatru formalment b’Digriet Reġju, att amministrattiv li ma jħalli l-ebda marġni ta’ diskrezzjoni għall-eżekuttiv. </w:t>
      </w:r>
      <w:r>
        <w:rPr>
          <w:rFonts w:ascii="Times New Roman" w:hAnsi="Times New Roman"/>
          <w:b/>
          <w:i/>
          <w:noProof/>
          <w:sz w:val="20"/>
        </w:rPr>
        <w:t>PL:</w:t>
      </w:r>
      <w:r>
        <w:rPr>
          <w:rFonts w:ascii="Times New Roman" w:hAnsi="Times New Roman"/>
          <w:i/>
          <w:noProof/>
          <w:sz w:val="20"/>
        </w:rPr>
        <w:t xml:space="preserve"> Il-kandidati mħallfin-membri jiġu proposti minn gruppi ta’ mill-inqas 2 000 ċittadin </w:t>
      </w:r>
      <w:r>
        <w:rPr>
          <w:rFonts w:ascii="Times New Roman" w:hAnsi="Times New Roman"/>
          <w:i/>
          <w:noProof/>
          <w:sz w:val="20"/>
        </w:rPr>
        <w:t xml:space="preserve">jew 25 imħallef. Minn fost il-kandidati, il-gruppi tad-deputati jagħżlu sa disa’ kandidati, li minnhom kumitat tal-kamra inferjuri tal-Parlament (Sejm) jistabbilixxi lista finali ta’ 15-il kandidat, li jinħatru mis-Sejm. </w:t>
      </w:r>
      <w:r>
        <w:rPr>
          <w:rFonts w:ascii="Times New Roman" w:hAnsi="Times New Roman"/>
          <w:b/>
          <w:i/>
          <w:noProof/>
          <w:sz w:val="20"/>
        </w:rPr>
        <w:t>RO:</w:t>
      </w:r>
      <w:r>
        <w:rPr>
          <w:rFonts w:ascii="Times New Roman" w:hAnsi="Times New Roman"/>
          <w:i/>
          <w:noProof/>
          <w:sz w:val="20"/>
        </w:rPr>
        <w:t xml:space="preserve"> Il-kampanja u l-elezzjoni tal-i</w:t>
      </w:r>
      <w:r>
        <w:rPr>
          <w:rFonts w:ascii="Times New Roman" w:hAnsi="Times New Roman"/>
          <w:i/>
          <w:noProof/>
          <w:sz w:val="20"/>
        </w:rPr>
        <w:t>mħallfin-membri jiġu organizzati mill-Kunsill Superjuri tal-Maġistratura. Ladarba tiġi kkonfermata l-lista finali tal-imħallfin-membri, is-Senat jivvalidaha “en bloc”. Is-Senat jista’ jirrifjuta li jivvalida l-lista biss f’każ ta’ ksur tal-liġi fil-proċedu</w:t>
      </w:r>
      <w:r>
        <w:rPr>
          <w:rFonts w:ascii="Times New Roman" w:hAnsi="Times New Roman"/>
          <w:i/>
          <w:noProof/>
          <w:sz w:val="20"/>
        </w:rPr>
        <w:t xml:space="preserve">ra għall-elezzjoni tal-membri tal-kunsill u biss jekk il-ksur kellu influwenza fuq ir-riżultat tal-elezzjoni. Is-Senat ma jistax jeżerċita diskrezzjoni fuq l-għażla tal-kandidati. </w:t>
      </w:r>
    </w:p>
    <w:p w:rsidR="00461018" w:rsidRDefault="000329C3">
      <w:pPr>
        <w:spacing w:before="120" w:after="120" w:line="240" w:lineRule="auto"/>
        <w:jc w:val="both"/>
        <w:rPr>
          <w:rFonts w:ascii="Arial" w:hAnsi="Arial" w:cs="Arial"/>
          <w:noProof/>
          <w:sz w:val="23"/>
          <w:szCs w:val="23"/>
        </w:rPr>
      </w:pPr>
      <w:r>
        <w:rPr>
          <w:rFonts w:ascii="Times New Roman" w:hAnsi="Times New Roman"/>
          <w:noProof/>
          <w:sz w:val="24"/>
        </w:rPr>
        <w:t>L-illustrazzjoni turi l-kompożizzjoni tal-Kunsilli għall-Ġudikatura(</w:t>
      </w:r>
      <w:r>
        <w:rPr>
          <w:rStyle w:val="FootnoteReference"/>
          <w:rFonts w:ascii="Times New Roman" w:eastAsia="Times New Roman" w:hAnsi="Times New Roman" w:cs="Times New Roman"/>
          <w:noProof/>
          <w:sz w:val="24"/>
        </w:rPr>
        <w:footnoteReference w:id="111"/>
      </w:r>
      <w:r>
        <w:rPr>
          <w:rFonts w:ascii="Times New Roman" w:hAnsi="Times New Roman"/>
          <w:noProof/>
          <w:sz w:val="24"/>
        </w:rPr>
        <w:t xml:space="preserve">) </w:t>
      </w:r>
      <w:r>
        <w:rPr>
          <w:rFonts w:ascii="Times New Roman" w:hAnsi="Times New Roman"/>
          <w:noProof/>
          <w:sz w:val="24"/>
        </w:rPr>
        <w:t>skont il-proċess ta’ nomina. B’mod partikolari, din turi jekk il-membri tal-Kunsilli humiex imħallfin/prosekuturi proposti u magħżula/eletti mill-kollegi tagħhom, membri nnominati mill-fergħa eżekuttiva jew leġiżlattiva, jew membri nnominati minn korpi u m</w:t>
      </w:r>
      <w:r>
        <w:rPr>
          <w:rFonts w:ascii="Times New Roman" w:hAnsi="Times New Roman"/>
          <w:noProof/>
          <w:sz w:val="24"/>
        </w:rPr>
        <w:t>inn awtoritajiet oħra. Jenħtieġ li mhux anqas minn nofs il-membri tal-Kunsilli jkunu mħallfin magħżula mill-pari tagħhom mil-livelli kollha tal-ġudikatura u b’rispett għall-pluraliżmu ġewwa l-ġudikatura(</w:t>
      </w:r>
      <w:r>
        <w:rPr>
          <w:rStyle w:val="FootnoteReference"/>
          <w:rFonts w:ascii="Times New Roman" w:eastAsia="Times New Roman" w:hAnsi="Times New Roman" w:cs="Times New Roman"/>
          <w:noProof/>
          <w:sz w:val="24"/>
        </w:rPr>
        <w:footnoteReference w:id="112"/>
      </w:r>
      <w:r>
        <w:rPr>
          <w:rFonts w:ascii="Times New Roman" w:hAnsi="Times New Roman"/>
          <w:noProof/>
          <w:sz w:val="24"/>
        </w:rPr>
        <w:t xml:space="preserve">). L-Illustrazzjoni hija rappreżentazzjoni fattwali </w:t>
      </w:r>
      <w:r>
        <w:rPr>
          <w:rFonts w:ascii="Times New Roman" w:hAnsi="Times New Roman"/>
          <w:noProof/>
          <w:sz w:val="24"/>
        </w:rPr>
        <w:t xml:space="preserve">tal-kompożizzjoni tal-Kunsilli għall-Ġudikatura u ma tagħmilx valutazzjoni kwalitattiva tal-funzjonament effettiv tagħhom. </w:t>
      </w:r>
    </w:p>
    <w:p w:rsidR="00461018" w:rsidRDefault="000329C3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>52</w:t>
      </w:r>
      <w:r>
        <w:rPr>
          <w:noProof/>
        </w:rPr>
        <w:fldChar w:fldCharType="end"/>
      </w:r>
      <w:r>
        <w:rPr>
          <w:rFonts w:ascii="Times New Roman" w:hAnsi="Times New Roman"/>
          <w:b/>
          <w:noProof/>
          <w:sz w:val="24"/>
          <w:szCs w:val="24"/>
        </w:rPr>
        <w:t>: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Il-kompożizzjoni tal-Kunsilli għall-Ġudikatura skont il-proċess ta’ nomina (*)</w:t>
      </w:r>
    </w:p>
    <w:p w:rsidR="00461018" w:rsidRDefault="000329C3">
      <w:pPr>
        <w:spacing w:after="0" w:line="240" w:lineRule="auto"/>
        <w:jc w:val="both"/>
        <w:rPr>
          <w:noProof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2373984</wp:posOffset>
            </wp:positionV>
            <wp:extent cx="5977255" cy="1504280"/>
            <wp:effectExtent l="0" t="0" r="4445" b="1270"/>
            <wp:wrapNone/>
            <wp:docPr id="97283" name="Picture 97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83"/>
                    <a:stretch/>
                  </pic:blipFill>
                  <pic:spPr bwMode="auto">
                    <a:xfrm>
                      <a:off x="0" y="0"/>
                      <a:ext cx="5977255" cy="150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>
            <wp:extent cx="5977255" cy="3227705"/>
            <wp:effectExtent l="0" t="0" r="4445" b="0"/>
            <wp:docPr id="97280" name="Chart 9728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3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461018" w:rsidRDefault="00461018">
      <w:pPr>
        <w:spacing w:after="0" w:line="240" w:lineRule="auto"/>
        <w:jc w:val="both"/>
        <w:rPr>
          <w:noProof/>
        </w:rPr>
      </w:pPr>
    </w:p>
    <w:p w:rsidR="00461018" w:rsidRDefault="00461018">
      <w:pPr>
        <w:spacing w:after="0" w:line="240" w:lineRule="auto"/>
        <w:jc w:val="both"/>
        <w:rPr>
          <w:noProof/>
        </w:rPr>
      </w:pPr>
    </w:p>
    <w:p w:rsidR="00461018" w:rsidRDefault="00461018">
      <w:pPr>
        <w:spacing w:after="0" w:line="240" w:lineRule="auto"/>
        <w:jc w:val="both"/>
        <w:rPr>
          <w:noProof/>
        </w:rPr>
      </w:pPr>
    </w:p>
    <w:p w:rsidR="00461018" w:rsidRDefault="00461018">
      <w:pPr>
        <w:spacing w:after="0" w:line="240" w:lineRule="auto"/>
        <w:jc w:val="both"/>
        <w:rPr>
          <w:noProof/>
        </w:rPr>
      </w:pPr>
    </w:p>
    <w:p w:rsidR="00461018" w:rsidRDefault="000329C3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</w:rPr>
      </w:pPr>
      <w:r>
        <w:rPr>
          <w:rFonts w:ascii="Times New Roman" w:hAnsi="Times New Roman"/>
          <w:i/>
          <w:noProof/>
          <w:sz w:val="16"/>
          <w:szCs w:val="18"/>
        </w:rPr>
        <w:t>(*</w:t>
      </w:r>
      <w:r>
        <w:rPr>
          <w:rFonts w:ascii="Times New Roman" w:hAnsi="Times New Roman"/>
          <w:i/>
          <w:noProof/>
          <w:sz w:val="16"/>
          <w:szCs w:val="18"/>
        </w:rPr>
        <w:t xml:space="preserve">) </w:t>
      </w:r>
      <w:r>
        <w:rPr>
          <w:rFonts w:ascii="Times New Roman" w:hAnsi="Times New Roman"/>
          <w:b/>
          <w:i/>
          <w:noProof/>
          <w:sz w:val="16"/>
          <w:szCs w:val="18"/>
        </w:rPr>
        <w:t>BE:</w:t>
      </w:r>
      <w:r>
        <w:rPr>
          <w:rFonts w:ascii="Times New Roman" w:hAnsi="Times New Roman"/>
          <w:i/>
          <w:noProof/>
          <w:sz w:val="16"/>
          <w:szCs w:val="18"/>
        </w:rPr>
        <w:t xml:space="preserve"> Il-membri ġudizzjarji huma mħallfin jew prosekuturi; </w:t>
      </w:r>
      <w:r>
        <w:rPr>
          <w:rFonts w:ascii="Times New Roman" w:hAnsi="Times New Roman"/>
          <w:b/>
          <w:i/>
          <w:noProof/>
          <w:sz w:val="16"/>
          <w:szCs w:val="18"/>
        </w:rPr>
        <w:t>BG:</w:t>
      </w:r>
      <w:r>
        <w:rPr>
          <w:rFonts w:ascii="Times New Roman" w:hAnsi="Times New Roman"/>
          <w:i/>
          <w:noProof/>
          <w:sz w:val="16"/>
          <w:szCs w:val="18"/>
        </w:rPr>
        <w:t xml:space="preserve"> il-Kunsill Ġudizzjarju Suprem huwa magħmul mill-Kamra tal-Imħallfin (erbatax-il membru fosthom il-Presidenti tal-Qorti Suprema tal-Kassazzjoni u tal-Qorti Amministrattiva Suprema, sitt membri e</w:t>
      </w:r>
      <w:r>
        <w:rPr>
          <w:rFonts w:ascii="Times New Roman" w:hAnsi="Times New Roman"/>
          <w:i/>
          <w:noProof/>
          <w:sz w:val="16"/>
          <w:szCs w:val="18"/>
        </w:rPr>
        <w:t>letti direttament mill-imħallfin u sitt membri eletti mill-Assemblea Nazzjonali) u mill-Kamra tal-Prosekuturi (ħdax-il membru fosthom il-Prosekutur Ġenerali, erba’ membri eletti direttament mill-prosekuturi, membru elett direttament mill-investigaturi u ħa</w:t>
      </w:r>
      <w:r>
        <w:rPr>
          <w:rFonts w:ascii="Times New Roman" w:hAnsi="Times New Roman"/>
          <w:i/>
          <w:noProof/>
          <w:sz w:val="16"/>
          <w:szCs w:val="18"/>
        </w:rPr>
        <w:t xml:space="preserve">mes membri eletti mill-Assemblea Nazzjonali); </w:t>
      </w:r>
      <w:r>
        <w:rPr>
          <w:rFonts w:ascii="Times New Roman" w:hAnsi="Times New Roman"/>
          <w:b/>
          <w:i/>
          <w:noProof/>
          <w:sz w:val="16"/>
          <w:szCs w:val="18"/>
        </w:rPr>
        <w:t>DK:</w:t>
      </w:r>
      <w:r>
        <w:rPr>
          <w:rFonts w:ascii="Times New Roman" w:hAnsi="Times New Roman"/>
          <w:i/>
          <w:noProof/>
          <w:sz w:val="16"/>
          <w:szCs w:val="18"/>
        </w:rPr>
        <w:t xml:space="preserve"> il-membri kollha tal-bord ta’ Amministrazzjoni tal-Qrati Nazzjonali jinħatru formalment mill-Ministru tal-Ġustizzja; il-kategorija “Maħtura/innominati minn korpi/awtoritajiet oħra” tinkludi żewġ rappreżenta</w:t>
      </w:r>
      <w:r>
        <w:rPr>
          <w:rFonts w:ascii="Times New Roman" w:hAnsi="Times New Roman"/>
          <w:i/>
          <w:noProof/>
          <w:sz w:val="16"/>
          <w:szCs w:val="18"/>
        </w:rPr>
        <w:t>nti tal-qrati (innominati mill-unjoni għall-persunal amministrattiv u mill-unjoni tal-pulizija). Barra minn hekk jeżisti Kunsill għall-Ħatriet Ġudizzjarji, li jħejji proposti għall-ħatriet ġudizzjarji (nofs il-membri tiegħu huma mħallfin magħżula mill-pari</w:t>
      </w:r>
      <w:r>
        <w:rPr>
          <w:rFonts w:ascii="Times New Roman" w:hAnsi="Times New Roman"/>
          <w:i/>
          <w:noProof/>
          <w:sz w:val="16"/>
          <w:szCs w:val="18"/>
        </w:rPr>
        <w:t xml:space="preserve"> tagħhom); </w:t>
      </w:r>
      <w:r>
        <w:rPr>
          <w:rFonts w:ascii="Times New Roman" w:hAnsi="Times New Roman"/>
          <w:b/>
          <w:i/>
          <w:noProof/>
          <w:sz w:val="16"/>
          <w:szCs w:val="18"/>
        </w:rPr>
        <w:t>IE:</w:t>
      </w:r>
      <w:r>
        <w:rPr>
          <w:rFonts w:ascii="Times New Roman" w:hAnsi="Times New Roman"/>
          <w:i/>
          <w:noProof/>
          <w:sz w:val="16"/>
          <w:szCs w:val="18"/>
        </w:rPr>
        <w:t xml:space="preserve"> L-illustrazzjoni tirrifletti l-kompożizzjoni tas-Servizz tal-Qrati, membru tan-Network Ewropew tal-Kunsilli għall-Ġudikatura, skont il-qafas fis-seħħ fil-bidu ta’ Diċembru 2019. Fis-17 ta’ Diċembru 2019, il-Kunsill Ġudizzjarju ġdid ġie stabb</w:t>
      </w:r>
      <w:r>
        <w:rPr>
          <w:rFonts w:ascii="Times New Roman" w:hAnsi="Times New Roman"/>
          <w:i/>
          <w:noProof/>
          <w:sz w:val="16"/>
          <w:szCs w:val="18"/>
        </w:rPr>
        <w:t xml:space="preserve">ilit formalment skont l-Att tal-Kunsill Ġudizzjarju tal-2019. L-ewwel sessjoni plenarja tal-Kunsill Ġudizzjarju, li jinkludi l-imħallfin kollha tal-Irlanda, saret fis-7 ta’ Frar 2020. </w:t>
      </w:r>
      <w:r>
        <w:rPr>
          <w:rFonts w:ascii="Times New Roman" w:hAnsi="Times New Roman"/>
          <w:b/>
          <w:i/>
          <w:noProof/>
          <w:sz w:val="16"/>
          <w:szCs w:val="18"/>
        </w:rPr>
        <w:t>ES:</w:t>
      </w:r>
      <w:r>
        <w:rPr>
          <w:rFonts w:ascii="Times New Roman" w:hAnsi="Times New Roman"/>
          <w:i/>
          <w:noProof/>
          <w:sz w:val="16"/>
          <w:szCs w:val="18"/>
        </w:rPr>
        <w:t xml:space="preserve"> </w:t>
      </w:r>
      <w:r>
        <w:rPr>
          <w:rFonts w:ascii="Times New Roman" w:hAnsi="Times New Roman"/>
          <w:b/>
          <w:i/>
          <w:noProof/>
          <w:sz w:val="16"/>
          <w:szCs w:val="18"/>
        </w:rPr>
        <w:t>:</w:t>
      </w:r>
      <w:r>
        <w:rPr>
          <w:rFonts w:ascii="Times New Roman" w:hAnsi="Times New Roman"/>
          <w:i/>
          <w:noProof/>
          <w:sz w:val="16"/>
          <w:szCs w:val="18"/>
        </w:rPr>
        <w:t xml:space="preserve"> Il-membri tal-Kunsill li ġejjin mill-ġudikatura jinħatru mill-Parl</w:t>
      </w:r>
      <w:r>
        <w:rPr>
          <w:rFonts w:ascii="Times New Roman" w:hAnsi="Times New Roman"/>
          <w:i/>
          <w:noProof/>
          <w:sz w:val="16"/>
          <w:szCs w:val="18"/>
        </w:rPr>
        <w:t xml:space="preserve">ament — il-Kunsill jikkomunika lill-Parlament il-lista ta’ kandidati li jkunu rċevew l-appoġġ ta’ assoċjazzjoni tal-imħallfin jew ta’ ħamsa u għoxrin imħallef; </w:t>
      </w:r>
      <w:r>
        <w:rPr>
          <w:rFonts w:ascii="Times New Roman" w:hAnsi="Times New Roman"/>
          <w:b/>
          <w:i/>
          <w:noProof/>
          <w:sz w:val="16"/>
          <w:szCs w:val="18"/>
        </w:rPr>
        <w:t>EL (ġudikatura ċivili u kriminali):</w:t>
      </w:r>
      <w:r>
        <w:rPr>
          <w:rFonts w:ascii="Times New Roman" w:hAnsi="Times New Roman"/>
          <w:i/>
          <w:noProof/>
          <w:sz w:val="16"/>
          <w:szCs w:val="18"/>
        </w:rPr>
        <w:t xml:space="preserve"> il-kunsill għandu total ta’ 11/15-il membru, li minnhom 7/11</w:t>
      </w:r>
      <w:r>
        <w:rPr>
          <w:rFonts w:ascii="Times New Roman" w:hAnsi="Times New Roman"/>
          <w:i/>
          <w:noProof/>
          <w:sz w:val="16"/>
          <w:szCs w:val="18"/>
        </w:rPr>
        <w:t xml:space="preserve"> huma mħallfin. L-imħallfin u l-prosekuturi jintgħażlu bil-polza. </w:t>
      </w:r>
      <w:r>
        <w:rPr>
          <w:rFonts w:ascii="Times New Roman" w:hAnsi="Times New Roman"/>
          <w:b/>
          <w:i/>
          <w:noProof/>
          <w:sz w:val="16"/>
          <w:szCs w:val="18"/>
        </w:rPr>
        <w:t>EL (ġudikatura amministrattiva):</w:t>
      </w:r>
      <w:r>
        <w:rPr>
          <w:rFonts w:ascii="Times New Roman" w:hAnsi="Times New Roman"/>
          <w:i/>
          <w:noProof/>
          <w:sz w:val="16"/>
          <w:szCs w:val="18"/>
        </w:rPr>
        <w:t xml:space="preserve"> il-kunsill għandu total ta’ 11/15-il membru, li minnhom 10/14 huma mħallfin, li jintgħażlu bil-polza. </w:t>
      </w:r>
      <w:r>
        <w:rPr>
          <w:rFonts w:ascii="Times New Roman" w:hAnsi="Times New Roman"/>
          <w:b/>
          <w:i/>
          <w:noProof/>
          <w:sz w:val="16"/>
          <w:szCs w:val="18"/>
        </w:rPr>
        <w:t>FR:</w:t>
      </w:r>
      <w:r>
        <w:rPr>
          <w:rFonts w:ascii="Times New Roman" w:hAnsi="Times New Roman"/>
          <w:i/>
          <w:noProof/>
          <w:sz w:val="16"/>
          <w:szCs w:val="18"/>
        </w:rPr>
        <w:t xml:space="preserve"> Il-Kunsill għandu żewġ formazzjonijiet — waħda b’ġu</w:t>
      </w:r>
      <w:r>
        <w:rPr>
          <w:rFonts w:ascii="Times New Roman" w:hAnsi="Times New Roman"/>
          <w:i/>
          <w:noProof/>
          <w:sz w:val="16"/>
          <w:szCs w:val="18"/>
        </w:rPr>
        <w:t xml:space="preserve">riżdizzjoni fuq imħallfin li jippresjedu, u l-oħra b’ġuriżdizzjoni fuq il-prosekuturi; il-Kunsill jinkludi membru wieħed tal-Kunsill tal-Istat (“Conseil d’Etat”) elett mill-assemblea ġenerali tal-Kunsill tal-Istat; </w:t>
      </w:r>
      <w:r>
        <w:rPr>
          <w:rFonts w:ascii="Times New Roman" w:hAnsi="Times New Roman"/>
          <w:b/>
          <w:i/>
          <w:noProof/>
          <w:sz w:val="16"/>
          <w:szCs w:val="18"/>
        </w:rPr>
        <w:t>IT-CSM:</w:t>
      </w:r>
      <w:r>
        <w:rPr>
          <w:rFonts w:ascii="Times New Roman" w:hAnsi="Times New Roman"/>
          <w:i/>
          <w:noProof/>
          <w:sz w:val="16"/>
          <w:szCs w:val="18"/>
        </w:rPr>
        <w:t xml:space="preserve"> il-Kunsill Superjuri tal-Maġistratura (“Consiglio Superiore della Magistratura”) li jkopri l-qrati ċivili u kriminali, u s-servizz ta’ prosekuzzjoni); skont il-Kostituzzjoni, il-President tar-Repubblika, l-ewwel President fil-Qorti Għolja ta’ Kassazzjoni </w:t>
      </w:r>
      <w:r>
        <w:rPr>
          <w:rFonts w:ascii="Times New Roman" w:hAnsi="Times New Roman"/>
          <w:i/>
          <w:noProof/>
          <w:sz w:val="16"/>
          <w:szCs w:val="18"/>
        </w:rPr>
        <w:t xml:space="preserve">u l-Prosekutur Ġenerali tal-Qorti Għolja tal-Kassazzjoni huma membri ex officio. </w:t>
      </w:r>
      <w:r>
        <w:rPr>
          <w:rFonts w:ascii="Times New Roman" w:hAnsi="Times New Roman"/>
          <w:b/>
          <w:i/>
          <w:noProof/>
          <w:sz w:val="16"/>
          <w:szCs w:val="18"/>
        </w:rPr>
        <w:t>IT-CPGA:</w:t>
      </w:r>
      <w:r>
        <w:rPr>
          <w:rFonts w:ascii="Times New Roman" w:hAnsi="Times New Roman"/>
          <w:i/>
          <w:noProof/>
          <w:sz w:val="16"/>
          <w:szCs w:val="18"/>
        </w:rPr>
        <w:t xml:space="preserve"> il-Kunsill tal-Presidenza tal-Ġustizzja Amministrattiva (“Consiglio di presidenza della giustizia amministrativa”, li jkopri l-qrati amministrattivi); </w:t>
      </w:r>
      <w:r>
        <w:rPr>
          <w:rFonts w:ascii="Times New Roman" w:hAnsi="Times New Roman"/>
          <w:b/>
          <w:i/>
          <w:noProof/>
          <w:sz w:val="16"/>
          <w:szCs w:val="18"/>
        </w:rPr>
        <w:t>MT:</w:t>
      </w:r>
      <w:r>
        <w:rPr>
          <w:rFonts w:ascii="Times New Roman" w:hAnsi="Times New Roman"/>
          <w:i/>
          <w:noProof/>
          <w:sz w:val="16"/>
          <w:szCs w:val="18"/>
        </w:rPr>
        <w:t xml:space="preserve"> </w:t>
      </w:r>
      <w:r>
        <w:rPr>
          <w:rFonts w:ascii="Times New Roman" w:hAnsi="Times New Roman"/>
          <w:b/>
          <w:i/>
          <w:noProof/>
          <w:sz w:val="16"/>
          <w:szCs w:val="18"/>
        </w:rPr>
        <w:t>:</w:t>
      </w:r>
      <w:r>
        <w:rPr>
          <w:rFonts w:ascii="Times New Roman" w:hAnsi="Times New Roman"/>
          <w:i/>
          <w:noProof/>
          <w:sz w:val="16"/>
          <w:szCs w:val="18"/>
        </w:rPr>
        <w:t xml:space="preserve"> Il-kap ta</w:t>
      </w:r>
      <w:r>
        <w:rPr>
          <w:rFonts w:ascii="Times New Roman" w:hAnsi="Times New Roman"/>
          <w:i/>
          <w:noProof/>
          <w:sz w:val="16"/>
          <w:szCs w:val="18"/>
        </w:rPr>
        <w:t xml:space="preserve">l-oppożizzjoni jaħtar membru onorarju wieħed. </w:t>
      </w:r>
      <w:r>
        <w:rPr>
          <w:rFonts w:ascii="Times New Roman" w:hAnsi="Times New Roman"/>
          <w:b/>
          <w:i/>
          <w:noProof/>
          <w:sz w:val="16"/>
          <w:szCs w:val="18"/>
        </w:rPr>
        <w:t>NL:</w:t>
      </w:r>
      <w:r>
        <w:rPr>
          <w:rFonts w:ascii="Times New Roman" w:hAnsi="Times New Roman"/>
          <w:i/>
          <w:noProof/>
          <w:sz w:val="16"/>
          <w:szCs w:val="18"/>
        </w:rPr>
        <w:t xml:space="preserve"> Il-membri jinħatru formalment permezz ta’ Digriet Reġju fuq proposta mill-Ministru tas-Sigurtà u tal-Ġustizzja. </w:t>
      </w:r>
      <w:r>
        <w:rPr>
          <w:rFonts w:ascii="Times New Roman" w:hAnsi="Times New Roman"/>
          <w:b/>
          <w:i/>
          <w:noProof/>
          <w:sz w:val="16"/>
          <w:szCs w:val="18"/>
        </w:rPr>
        <w:t>PL:</w:t>
      </w:r>
      <w:r>
        <w:rPr>
          <w:rFonts w:ascii="Times New Roman" w:hAnsi="Times New Roman"/>
          <w:i/>
          <w:noProof/>
          <w:sz w:val="16"/>
          <w:szCs w:val="18"/>
        </w:rPr>
        <w:t xml:space="preserve"> Il-kandidati mħallfin-membri jiġu proposti minn gruppi ta’ mill-inqas 2 000 ċittadin jew 2</w:t>
      </w:r>
      <w:r>
        <w:rPr>
          <w:rFonts w:ascii="Times New Roman" w:hAnsi="Times New Roman"/>
          <w:i/>
          <w:noProof/>
          <w:sz w:val="16"/>
          <w:szCs w:val="18"/>
        </w:rPr>
        <w:t>5 imħallef. Minn fost il-kandidati, il-gruppi tad-deputati jagħżlu sa disa’ kandidati, li minnhom kumitat tal-kamra inferjuri tal-Parlament (Sejm) jistabbilixxi lista finali ta’ 15-il kandidat, li jinħatru mis-Sejm. Fit-23 ta’ Jannar 2020, il-Qorti Suprema</w:t>
      </w:r>
      <w:r>
        <w:rPr>
          <w:rFonts w:ascii="Times New Roman" w:hAnsi="Times New Roman"/>
          <w:i/>
          <w:noProof/>
          <w:sz w:val="16"/>
          <w:szCs w:val="18"/>
        </w:rPr>
        <w:t>, li timplimenta s-sentenza preliminari tal-Qorti tal-Ġustizzja maħruġa fil-kawżi magħquda C-585/18, C-624/18 u C-625/18, iddeċidiet li, fil-kompożizzjoni attwali tiegħu, il-Kunsill mhuwiex indipendenti mis-setgħat eżekuttivi u leġiżlattivi u l-imħallfin m</w:t>
      </w:r>
      <w:r>
        <w:rPr>
          <w:rFonts w:ascii="Times New Roman" w:hAnsi="Times New Roman"/>
          <w:i/>
          <w:noProof/>
          <w:sz w:val="16"/>
          <w:szCs w:val="18"/>
        </w:rPr>
        <w:t>aħtura fuq talba tiegħu ma jistgħux jaġġudikaw il-kawżi. Fis-17 ta’ Settembru 2018, Assemblea Ġenerali Straordinarja tan-Network Ewropew tal-Kunsilli għall-Ġudikatura ddeċidiet li tissospendi s-sħubija tal-Kunsill Nazzjonali għall-Ġudikatura (KRS) minħabba</w:t>
      </w:r>
      <w:r>
        <w:rPr>
          <w:rFonts w:ascii="Times New Roman" w:hAnsi="Times New Roman"/>
          <w:i/>
          <w:noProof/>
          <w:sz w:val="16"/>
          <w:szCs w:val="18"/>
        </w:rPr>
        <w:t xml:space="preserve"> li ma kienx għadu jissodisfa r-rekwiżiti tal-ENCJ li jkun indipendenti mill-Eżekuttiv u mill-Ġudikatura b’mod li jiżgura l-indipendenza tal-Ġudikatura Pollakka. </w:t>
      </w:r>
      <w:r>
        <w:rPr>
          <w:rFonts w:ascii="Times New Roman" w:hAnsi="Times New Roman"/>
          <w:b/>
          <w:i/>
          <w:noProof/>
          <w:sz w:val="16"/>
          <w:szCs w:val="18"/>
        </w:rPr>
        <w:t>PT:</w:t>
      </w:r>
      <w:r>
        <w:rPr>
          <w:rFonts w:ascii="Times New Roman" w:hAnsi="Times New Roman"/>
          <w:i/>
          <w:noProof/>
          <w:sz w:val="16"/>
          <w:szCs w:val="18"/>
        </w:rPr>
        <w:t xml:space="preserve"> L-illustrazzjoni tirreferi għall-kompożizzjoni tal-Kunsill Superjuri tal-Maġistratura (“Co</w:t>
      </w:r>
      <w:r>
        <w:rPr>
          <w:rFonts w:ascii="Times New Roman" w:hAnsi="Times New Roman"/>
          <w:i/>
          <w:noProof/>
          <w:sz w:val="16"/>
          <w:szCs w:val="18"/>
        </w:rPr>
        <w:t>nselho Superior da Magistratura”). Barra minn hekk, jeżistu wkoll Kunsill Għoli għall-Qrati Amministrattivi u tat-Taxxa (“Conselho Superior dos Tribunais Administrativos e Fiscais”) u Kunsill Għoli għall-Prosekuzzjoni Pubblika (“Conselho Superior do Minist</w:t>
      </w:r>
      <w:r>
        <w:rPr>
          <w:rFonts w:ascii="Times New Roman" w:hAnsi="Times New Roman"/>
          <w:i/>
          <w:noProof/>
          <w:sz w:val="16"/>
          <w:szCs w:val="18"/>
        </w:rPr>
        <w:t xml:space="preserve">ério Público”). </w:t>
      </w:r>
      <w:r>
        <w:rPr>
          <w:rFonts w:ascii="Times New Roman" w:hAnsi="Times New Roman"/>
          <w:b/>
          <w:i/>
          <w:noProof/>
          <w:sz w:val="16"/>
          <w:szCs w:val="18"/>
        </w:rPr>
        <w:t>RO:</w:t>
      </w:r>
      <w:r>
        <w:rPr>
          <w:rFonts w:ascii="Times New Roman" w:hAnsi="Times New Roman"/>
          <w:i/>
          <w:noProof/>
          <w:sz w:val="16"/>
          <w:szCs w:val="18"/>
        </w:rPr>
        <w:t xml:space="preserve"> il-maġistrati eletti jiġu vvalidati mis-Senat; </w:t>
      </w:r>
      <w:r>
        <w:rPr>
          <w:rFonts w:ascii="Times New Roman" w:hAnsi="Times New Roman"/>
          <w:b/>
          <w:i/>
          <w:noProof/>
          <w:sz w:val="16"/>
          <w:szCs w:val="18"/>
        </w:rPr>
        <w:t>SI:</w:t>
      </w:r>
      <w:r>
        <w:rPr>
          <w:rFonts w:ascii="Times New Roman" w:hAnsi="Times New Roman"/>
          <w:i/>
          <w:noProof/>
          <w:sz w:val="16"/>
          <w:szCs w:val="18"/>
        </w:rPr>
        <w:t xml:space="preserve"> Il-membri li mhumiex imħallfin jiġu eletti mill-Assemblea Nazzjonali fuq proposta mill-President tar-Repubblika.</w:t>
      </w:r>
    </w:p>
    <w:p w:rsidR="00461018" w:rsidRDefault="000329C3">
      <w:pPr>
        <w:keepNext/>
        <w:spacing w:before="240" w:after="120" w:line="240" w:lineRule="auto"/>
        <w:jc w:val="both"/>
        <w:rPr>
          <w:rFonts w:ascii="Times New Roman" w:eastAsia="Calibri" w:hAnsi="Times New Roman" w:cs="Times New Roman"/>
          <w:i/>
          <w:noProof/>
          <w:sz w:val="24"/>
        </w:rPr>
      </w:pPr>
      <w:r>
        <w:rPr>
          <w:rFonts w:ascii="Times New Roman" w:hAnsi="Times New Roman"/>
          <w:i/>
          <w:noProof/>
          <w:sz w:val="24"/>
        </w:rPr>
        <w:t xml:space="preserve"> </w:t>
      </w:r>
      <w:r>
        <w:rPr>
          <w:rFonts w:ascii="Times New Roman" w:hAnsi="Times New Roman"/>
          <w:i/>
          <w:noProof/>
        </w:rPr>
        <w:t>– Salvagwardji relatati mal-funzjonament tas-servizzi ta’ prosekuzzjoni</w:t>
      </w:r>
      <w:r>
        <w:rPr>
          <w:rFonts w:ascii="Times New Roman" w:hAnsi="Times New Roman"/>
          <w:i/>
          <w:noProof/>
        </w:rPr>
        <w:t xml:space="preserve"> nazzjonali fl-UE –</w:t>
      </w:r>
    </w:p>
    <w:p w:rsidR="00461018" w:rsidRDefault="000329C3"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Il-prosekuzzjoni pubblika taqdi rwol ewlieni fis-sistema tal-ġustizzja kriminali kif ukoll fil-kooperazzjoni f’materji kriminali. Il-funzjonament xieraq tas-servizz tal-prosekuzzjoni nazzjonali huwa kruċjali għall-ġlieda effettiva kontr</w:t>
      </w:r>
      <w:r>
        <w:rPr>
          <w:rFonts w:ascii="Times New Roman" w:hAnsi="Times New Roman"/>
          <w:noProof/>
          <w:sz w:val="24"/>
          <w:szCs w:val="24"/>
        </w:rPr>
        <w:t>a l-kriminalità, inkluża l-kriminalità ekonomika u finanzjarja, bħall-ħasil tal-flus u l-korruzzjoni. Skont il-ġurisprudenza tal-Qorti tal-Ġustizzja, fil-kuntest tad-Deċiżjoni Kwadru dwar il-Mandat ta’ Arrest Ewropew (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113"/>
      </w:r>
      <w:r>
        <w:rPr>
          <w:rFonts w:ascii="Times New Roman" w:hAnsi="Times New Roman"/>
          <w:noProof/>
          <w:sz w:val="24"/>
          <w:szCs w:val="24"/>
        </w:rPr>
        <w:t>), l-uffiċċju tal-prosekutur pubbliku</w:t>
      </w:r>
      <w:r>
        <w:rPr>
          <w:rFonts w:ascii="Times New Roman" w:hAnsi="Times New Roman"/>
          <w:noProof/>
          <w:sz w:val="24"/>
          <w:szCs w:val="24"/>
        </w:rPr>
        <w:t xml:space="preserve"> jista’ jitqies bħala awtorità ġudizzjarja ta’ Stat Membru għall-finijiet tal-ħruġ ta’ mandat ta’ arrest Ewropew kull meta dan ikun jista’ jaġixxi b’mod indipendenti, mingħajr ma jkun espost għar-riskju li jkun soġġett, direttament jew indirettament, għal </w:t>
      </w:r>
      <w:r>
        <w:rPr>
          <w:rFonts w:ascii="Times New Roman" w:hAnsi="Times New Roman"/>
          <w:noProof/>
          <w:sz w:val="24"/>
          <w:szCs w:val="24"/>
        </w:rPr>
        <w:t>ordnijiet jew għal struzzjonijiet f’każ speċifiku mill-eżekuttiv, bħal Ministru tal-Ġustizzja (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114"/>
      </w:r>
      <w:r>
        <w:rPr>
          <w:rFonts w:ascii="Times New Roman" w:hAnsi="Times New Roman"/>
          <w:noProof/>
          <w:sz w:val="24"/>
          <w:szCs w:val="24"/>
        </w:rPr>
        <w:t xml:space="preserve">). </w:t>
      </w:r>
    </w:p>
    <w:p w:rsidR="00461018" w:rsidRDefault="000329C3"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t xml:space="preserve">L-organizzazzjoni tas-servizzi ta’ prosekuzzjoni tvarja madwar l-UE u ma hemmx mudell uniformi għall-Istati Membri kollha. Madankollu, hemm tendenza komuni </w:t>
      </w:r>
      <w:r>
        <w:rPr>
          <w:rFonts w:ascii="Times New Roman" w:hAnsi="Times New Roman"/>
          <w:noProof/>
          <w:sz w:val="24"/>
          <w:szCs w:val="24"/>
        </w:rPr>
        <w:t>favur uffiċċju tal-prosekutur aktar indipendenti, pjuttost milli wieħed subordinat jew marbut mal-eżekuttiv (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115"/>
      </w:r>
      <w:r>
        <w:rPr>
          <w:rFonts w:ascii="Times New Roman" w:hAnsi="Times New Roman"/>
          <w:noProof/>
          <w:sz w:val="24"/>
          <w:szCs w:val="24"/>
        </w:rPr>
        <w:t>). Skont il-Kunsill Konsultattiv ta’ Prosekuturi Ewropej, għall-ġlieda effettiva kontra l-korruzzjoni u l-ħasil tal-flus u l-kriminalità ekonomika</w:t>
      </w:r>
      <w:r>
        <w:rPr>
          <w:rFonts w:ascii="Times New Roman" w:hAnsi="Times New Roman"/>
          <w:noProof/>
          <w:sz w:val="24"/>
          <w:szCs w:val="24"/>
        </w:rPr>
        <w:t xml:space="preserve"> u finanzjarja relatata, indipendenza u awtonomija akbar tas-servizz tal-prosekuzzjoni, flimkien mar-responsabbiltà tiegħu, jistgħu jkunu garanzija ulterjuri għar-rispett tal-istat tad-dritt(</w:t>
      </w:r>
      <w:r>
        <w:rPr>
          <w:rStyle w:val="FootnoteReference"/>
          <w:rFonts w:ascii="Times New Roman" w:eastAsia="Times New Roman" w:hAnsi="Times New Roman" w:cs="Times New Roman"/>
          <w:iCs/>
          <w:noProof/>
          <w:sz w:val="24"/>
          <w:szCs w:val="24"/>
        </w:rPr>
        <w:footnoteReference w:id="116"/>
      </w:r>
      <w:r>
        <w:rPr>
          <w:rFonts w:ascii="Times New Roman" w:hAnsi="Times New Roman"/>
          <w:noProof/>
          <w:sz w:val="24"/>
          <w:szCs w:val="24"/>
        </w:rPr>
        <w:t>) . Ikun xi jkun il-mudell tas-sistema ġudizzjarja nazzjonali je</w:t>
      </w:r>
      <w:r>
        <w:rPr>
          <w:rFonts w:ascii="Times New Roman" w:hAnsi="Times New Roman"/>
          <w:noProof/>
          <w:sz w:val="24"/>
          <w:szCs w:val="24"/>
        </w:rPr>
        <w:t>w it-tradizzjoni legali li fuqha tkun imsejsa, l-istandards Ewropej jeħtieġu li l-Istati Membri jieħdu miżuri effettivi sabiex jiggarantixxu li l-prosekuturi pubbliċi jkunu kapaċi jaqdu d-dmirijiet u r-responsabbiltajiet professjonali tagħhom taħt kundizzj</w:t>
      </w:r>
      <w:r>
        <w:rPr>
          <w:rFonts w:ascii="Times New Roman" w:hAnsi="Times New Roman"/>
          <w:noProof/>
          <w:sz w:val="24"/>
          <w:szCs w:val="24"/>
        </w:rPr>
        <w:t>onijiet legali u organizzazzjonali adegwati (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117"/>
      </w:r>
      <w:r>
        <w:rPr>
          <w:rFonts w:ascii="Times New Roman" w:hAnsi="Times New Roman"/>
          <w:noProof/>
          <w:sz w:val="24"/>
          <w:szCs w:val="24"/>
        </w:rPr>
        <w:t>) u mingħajr interferenza mhux ġustifikata (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118"/>
      </w:r>
      <w:r>
        <w:rPr>
          <w:rFonts w:ascii="Times New Roman" w:hAnsi="Times New Roman"/>
          <w:noProof/>
          <w:sz w:val="24"/>
          <w:szCs w:val="24"/>
        </w:rPr>
        <w:t>). B’mod partikolari, fejn il-gvern jagħti struzzjoni ta’ natura ġenerali, pereżempju dwar politika kriminali, tali struzzjonijiet għandhom ikunu bil-miktub u jiġu p</w:t>
      </w:r>
      <w:r>
        <w:rPr>
          <w:rFonts w:ascii="Times New Roman" w:hAnsi="Times New Roman"/>
          <w:noProof/>
          <w:sz w:val="24"/>
          <w:szCs w:val="24"/>
        </w:rPr>
        <w:t>pubblikati b’mod adegwat (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119"/>
      </w:r>
      <w:r>
        <w:rPr>
          <w:rFonts w:ascii="Times New Roman" w:hAnsi="Times New Roman"/>
          <w:noProof/>
          <w:sz w:val="24"/>
          <w:szCs w:val="24"/>
        </w:rPr>
        <w:t>). Fejn il-gvern ikollu s-setgħa li jagħti struzzjonijiet għall-prosekuzzjoni f’każ speċifiku, dawn l-istruzzjonijiet iridu jġorru magħhom garanziji adegwati (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120"/>
      </w:r>
      <w:r>
        <w:rPr>
          <w:rFonts w:ascii="Times New Roman" w:hAnsi="Times New Roman"/>
          <w:noProof/>
          <w:sz w:val="24"/>
          <w:szCs w:val="24"/>
        </w:rPr>
        <w:t>). Skont ir-Rakkomandazzjoni tal-2000 tal-Kumitat tal-Ministri tal-Ku</w:t>
      </w:r>
      <w:r>
        <w:rPr>
          <w:rFonts w:ascii="Times New Roman" w:hAnsi="Times New Roman"/>
          <w:noProof/>
          <w:sz w:val="24"/>
          <w:szCs w:val="24"/>
        </w:rPr>
        <w:t>nsill tal-Ewropa, l-istruzzjonijiet sabiex ma ssirx prosekuzzjoni jenħtieġ li jkunu pprojbiti (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121"/>
      </w:r>
      <w:r>
        <w:rPr>
          <w:rFonts w:ascii="Times New Roman" w:hAnsi="Times New Roman"/>
          <w:noProof/>
          <w:sz w:val="24"/>
          <w:szCs w:val="24"/>
        </w:rPr>
        <w:t xml:space="preserve">). Il-partijiet interessati (inklużi l-vittmi) jenħtieġ li jkunu jistgħu jikkontestaw deċiżjoni ta’ prosekutur pubbliku li ma jmexxix bil-prosekuzzjoni ta’ każ </w:t>
      </w:r>
      <w:r>
        <w:rPr>
          <w:rFonts w:ascii="Times New Roman" w:hAnsi="Times New Roman"/>
          <w:noProof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122"/>
      </w:r>
      <w:r>
        <w:rPr>
          <w:rFonts w:ascii="Times New Roman" w:hAnsi="Times New Roman"/>
          <w:noProof/>
          <w:sz w:val="24"/>
          <w:szCs w:val="24"/>
        </w:rPr>
        <w:t>).</w:t>
      </w:r>
    </w:p>
    <w:p w:rsidR="00461018" w:rsidRDefault="000329C3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L-illustrazzjonijiet ta’ hawn taħt jippreżentaw ħarsa ġenerali fattwali lejn ċerti aspetti tal-qafas applikabbli għas-servizzi ta’ prosekuzzjoni u ma jivvalutawx il-funzjonament effettiv tagħhom, li jeħtieġ valutazzjoni kwalitattiva li tikkunsidra ċ-ċ</w:t>
      </w:r>
      <w:r>
        <w:rPr>
          <w:rFonts w:ascii="Times New Roman" w:hAnsi="Times New Roman"/>
          <w:noProof/>
          <w:sz w:val="24"/>
          <w:szCs w:val="24"/>
        </w:rPr>
        <w:t>irkostanzi speċifiċi ta’ kull Stat Membru.</w:t>
      </w:r>
    </w:p>
    <w:p w:rsidR="00461018" w:rsidRDefault="000329C3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L-Illustrazzjoni 53 tippreżenta ħarsa ġenerali lejn l-awtoritajiet li jiddeċiedu dwar sanzjonijiet dixxiplinari rigward prosekuturi ta’ grad bażiku. Dawn jistgħu jkunu jew (a) awtoritajiet indipendenti bħal qrati </w:t>
      </w:r>
      <w:r>
        <w:rPr>
          <w:rFonts w:ascii="Times New Roman" w:hAnsi="Times New Roman"/>
          <w:noProof/>
          <w:sz w:val="24"/>
          <w:szCs w:val="24"/>
        </w:rPr>
        <w:t>jew Kunsilli għall-Ġudikatura jew Kunsilli tal-Prosekuzzjoni, jew (b) korpi jew awtoritajiet oħra, bħall-Prosekutur Ġenerali jew prosekutur superjuri, korpi indipendenti, korpi speċjali komposti minn prosekuturi, jew il-Ministru tal-Ġustizzja. Sakemm ma jk</w:t>
      </w:r>
      <w:r>
        <w:rPr>
          <w:rFonts w:ascii="Times New Roman" w:hAnsi="Times New Roman"/>
          <w:noProof/>
          <w:sz w:val="24"/>
          <w:szCs w:val="24"/>
        </w:rPr>
        <w:t>unx iddikjarat mod ieħor fl-ispjegazzjoni taħt l-illustrazzjoni, deċiżjoni tal-awtorità dwar miżuri dixxiplinari rigward prosekutur hija miftuħa għal stħarriġ ġudizzjarju (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123"/>
      </w:r>
      <w:r>
        <w:rPr>
          <w:rFonts w:ascii="Times New Roman" w:hAnsi="Times New Roman"/>
          <w:noProof/>
          <w:sz w:val="24"/>
          <w:szCs w:val="24"/>
        </w:rPr>
        <w:t>).</w:t>
      </w:r>
    </w:p>
    <w:p w:rsidR="00461018" w:rsidRDefault="000329C3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>53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>: Awtorità li tiddeċiedi dwar sanzjoni</w:t>
      </w:r>
      <w:r>
        <w:rPr>
          <w:rFonts w:ascii="Times New Roman" w:hAnsi="Times New Roman"/>
          <w:b/>
          <w:bCs/>
          <w:noProof/>
          <w:sz w:val="24"/>
          <w:szCs w:val="24"/>
        </w:rPr>
        <w:t>jiet dixxiplinari li jirrigwardaw prosekuturi (*)</w:t>
      </w:r>
      <w:r>
        <w:rPr>
          <w:rFonts w:ascii="Times New Roman" w:hAnsi="Times New Roman"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bCs/>
          <w:i/>
          <w:noProof/>
          <w:sz w:val="24"/>
          <w:szCs w:val="24"/>
        </w:rPr>
        <w:t>(Sors: il-Kummissjoni Ewropea flimkien mal-Grupp ta’ Esperti dwar il-Ħasil tal-Flus u l-Finanzjament tat-Terroriżmu)</w:t>
      </w:r>
    </w:p>
    <w:p w:rsidR="00461018" w:rsidRDefault="000329C3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15"/>
          <w:szCs w:val="15"/>
        </w:rPr>
      </w:pPr>
      <w:r>
        <w:rPr>
          <w:noProof/>
          <w:lang w:val="en-GB" w:eastAsia="en-GB"/>
        </w:rPr>
        <w:drawing>
          <wp:inline distT="0" distB="0" distL="0" distR="0">
            <wp:extent cx="5975350" cy="2158365"/>
            <wp:effectExtent l="0" t="0" r="6350" b="0"/>
            <wp:docPr id="97289" name="Picture 97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15"/>
          <w:szCs w:val="15"/>
        </w:rPr>
      </w:pPr>
      <w:r>
        <w:rPr>
          <w:rFonts w:ascii="Times New Roman" w:hAnsi="Times New Roman"/>
          <w:i/>
          <w:noProof/>
          <w:sz w:val="15"/>
          <w:szCs w:val="15"/>
        </w:rPr>
        <w:t xml:space="preserve">(*) </w:t>
      </w:r>
      <w:r>
        <w:rPr>
          <w:rFonts w:ascii="Times New Roman" w:hAnsi="Times New Roman"/>
          <w:b/>
          <w:i/>
          <w:noProof/>
          <w:sz w:val="15"/>
          <w:szCs w:val="15"/>
        </w:rPr>
        <w:t>BE</w:t>
      </w:r>
      <w:r>
        <w:rPr>
          <w:rFonts w:ascii="Times New Roman" w:hAnsi="Times New Roman"/>
          <w:i/>
          <w:noProof/>
          <w:sz w:val="15"/>
          <w:szCs w:val="15"/>
        </w:rPr>
        <w:t>: Il-prosekutur superjuri (kap tal-uffiċċju tal-prosekutur) għandu s-setgħa li jiddeċiedi dwar sanzjonijiet dixxiplinari minuri, filwaqt li sanzjonijiet kbar jiġu imposti mill-qorti dixxiplinari tal-prim’istanza. Id-deċiżjonijiet dwar miżuri dixxiplinari j</w:t>
      </w:r>
      <w:r>
        <w:rPr>
          <w:rFonts w:ascii="Times New Roman" w:hAnsi="Times New Roman"/>
          <w:i/>
          <w:noProof/>
          <w:sz w:val="15"/>
          <w:szCs w:val="15"/>
        </w:rPr>
        <w:t xml:space="preserve">istgħu jiġu appellati quddiem qorti dixxiplinari tal-appell. </w:t>
      </w:r>
      <w:r>
        <w:rPr>
          <w:rFonts w:ascii="Times New Roman" w:hAnsi="Times New Roman"/>
          <w:b/>
          <w:i/>
          <w:noProof/>
          <w:sz w:val="15"/>
          <w:szCs w:val="15"/>
        </w:rPr>
        <w:t>BG</w:t>
      </w:r>
      <w:r>
        <w:rPr>
          <w:rFonts w:ascii="Times New Roman" w:hAnsi="Times New Roman"/>
          <w:i/>
          <w:noProof/>
          <w:sz w:val="15"/>
          <w:szCs w:val="15"/>
        </w:rPr>
        <w:t>: Il-Kamra tal-Prosekuzzjoni tal-Kunsill Ġudizzjarju Suprem hija magħmula mill-Prosekutur Ġenerali, minn erba’ membri eletti mill-prosekuturi, minn membru elett mill-maġistrati investigattivi u</w:t>
      </w:r>
      <w:r>
        <w:rPr>
          <w:rFonts w:ascii="Times New Roman" w:hAnsi="Times New Roman"/>
          <w:i/>
          <w:noProof/>
          <w:sz w:val="15"/>
          <w:szCs w:val="15"/>
        </w:rPr>
        <w:t xml:space="preserve"> minn ħames membri eletti mill-Assemblea Nazzjonali. Id-deċiżjonijiet tagħha dwar miżuri dixxiplinari rigward prosekutur huma miftuħa għal stħarriġ ġudizzjarju quddiem il-Qorti Amministrattiva Suprema. Il-kap amministrattiv tal-prosekuzzjoni jista’ jimponi</w:t>
      </w:r>
      <w:r>
        <w:rPr>
          <w:rFonts w:ascii="Times New Roman" w:hAnsi="Times New Roman"/>
          <w:i/>
          <w:noProof/>
          <w:sz w:val="15"/>
          <w:szCs w:val="15"/>
        </w:rPr>
        <w:t xml:space="preserve"> biss ċanfira, li tinnotifika din is-sanzjoni lill-Kamra tal-Prosekuzzjoni, li tista’ tikkonferma jew tirrevoka din is-sanzjoni. </w:t>
      </w:r>
      <w:r>
        <w:rPr>
          <w:rFonts w:ascii="Times New Roman" w:hAnsi="Times New Roman"/>
          <w:b/>
          <w:i/>
          <w:noProof/>
          <w:sz w:val="15"/>
          <w:szCs w:val="15"/>
        </w:rPr>
        <w:t>CZ</w:t>
      </w:r>
      <w:r>
        <w:rPr>
          <w:rFonts w:ascii="Times New Roman" w:hAnsi="Times New Roman"/>
          <w:i/>
          <w:noProof/>
          <w:sz w:val="15"/>
          <w:szCs w:val="15"/>
        </w:rPr>
        <w:t>: Il-każijiet dixxiplinari jiġu eżaminati minn kamra dixxiplinari tal-Qorti Amministrattiva Suprema. Il-kamra hija magħmula m</w:t>
      </w:r>
      <w:r>
        <w:rPr>
          <w:rFonts w:ascii="Times New Roman" w:hAnsi="Times New Roman"/>
          <w:i/>
          <w:noProof/>
          <w:sz w:val="15"/>
          <w:szCs w:val="15"/>
        </w:rPr>
        <w:t xml:space="preserve">inn żewġ imħallfin (imħallef tal-Qorti Amministrattiva Suprema u mħallef tal-Qorti Suprema), minn żewġ prosekuturi, minn avukat, u minn persuna ta’ professjoni legali oħra. Il-membri tal-kamra jintgħażlu mill-President tal-Qorti Amministrattiva Suprema li </w:t>
      </w:r>
      <w:r>
        <w:rPr>
          <w:rFonts w:ascii="Times New Roman" w:hAnsi="Times New Roman"/>
          <w:i/>
          <w:noProof/>
          <w:sz w:val="15"/>
          <w:szCs w:val="15"/>
        </w:rPr>
        <w:t xml:space="preserve">jtella’ bil-polza minn listi ta’ kandidati pprovduti minn rappreżentanti tal-professjonijiet legali differenti (mill-Qorti Amministrattiva Suprema, mill-President tal-Qorti Suprema, mill-Prosekutur Ġenerali, mill-President tal-Assoċjazzjoni tal-Avukatura, </w:t>
      </w:r>
      <w:r>
        <w:rPr>
          <w:rFonts w:ascii="Times New Roman" w:hAnsi="Times New Roman"/>
          <w:i/>
          <w:noProof/>
          <w:sz w:val="15"/>
          <w:szCs w:val="15"/>
        </w:rPr>
        <w:t xml:space="preserve">u mid-dekani tal-iskejjel tal-liġi). Ma jista’ jsir l-ebda appell kontra d-deċiżjoni tal-kamra dixxiplinari. </w:t>
      </w:r>
      <w:r>
        <w:rPr>
          <w:rFonts w:ascii="Times New Roman" w:hAnsi="Times New Roman"/>
          <w:b/>
          <w:i/>
          <w:noProof/>
          <w:sz w:val="15"/>
          <w:szCs w:val="15"/>
        </w:rPr>
        <w:t>DK</w:t>
      </w:r>
      <w:r>
        <w:rPr>
          <w:rFonts w:ascii="Times New Roman" w:hAnsi="Times New Roman"/>
          <w:i/>
          <w:noProof/>
          <w:sz w:val="15"/>
          <w:szCs w:val="15"/>
        </w:rPr>
        <w:t>: Il-Ministeru tal-Ġustizzja tad-Danimarka għandu s-setgħa li jiddeċiedi dwar miżuri dixxiplinari speċifiċi kontra prosekuturi. Madankollu, fil-p</w:t>
      </w:r>
      <w:r>
        <w:rPr>
          <w:rFonts w:ascii="Times New Roman" w:hAnsi="Times New Roman"/>
          <w:i/>
          <w:noProof/>
          <w:sz w:val="15"/>
          <w:szCs w:val="15"/>
        </w:rPr>
        <w:t xml:space="preserve">rattika, il-Ministeru tal-Ġustizzja jagħti s-setgħa lis-Servizz ta’ Prosekuzzjoni sabiex jittratta miżuri dixxiplinari kontra prosekuturi. Id-deċiżjonijiet kollha dwar miżuri dixxiplinari meħuda mis-Servizz ta’ Prosekuzzjoni jistgħu jiġu appellati quddiem </w:t>
      </w:r>
      <w:r>
        <w:rPr>
          <w:rFonts w:ascii="Times New Roman" w:hAnsi="Times New Roman"/>
          <w:i/>
          <w:noProof/>
          <w:sz w:val="15"/>
          <w:szCs w:val="15"/>
        </w:rPr>
        <w:t>il-Ministeru tal-Ġustizzja. L-istħarriġ ġudizzjarju jista’ jkun soġġett għal miżuri dixxiplinari mill-Ministeru tal-Ġustizzja u prosekutur jista’ jippreżenta lment quddiem l-Ombudsman Parlamentari.</w:t>
      </w:r>
      <w:r>
        <w:rPr>
          <w:rFonts w:ascii="Times New Roman" w:hAnsi="Times New Roman"/>
          <w:b/>
          <w:i/>
          <w:noProof/>
          <w:sz w:val="15"/>
          <w:szCs w:val="15"/>
        </w:rPr>
        <w:t xml:space="preserve"> DE</w:t>
      </w:r>
      <w:r>
        <w:rPr>
          <w:rFonts w:ascii="Times New Roman" w:hAnsi="Times New Roman"/>
          <w:i/>
          <w:noProof/>
          <w:sz w:val="15"/>
          <w:szCs w:val="15"/>
        </w:rPr>
        <w:t>: Il-prosekutur superjuri jista’ jimponi miżura dixxipli</w:t>
      </w:r>
      <w:r>
        <w:rPr>
          <w:rFonts w:ascii="Times New Roman" w:hAnsi="Times New Roman"/>
          <w:i/>
          <w:noProof/>
          <w:sz w:val="15"/>
          <w:szCs w:val="15"/>
        </w:rPr>
        <w:t xml:space="preserve">nari ta’ natura anqas severa. Minħabba l-kompetenza tal-istati sabiex jirregolaw il-liġi dixxiplinari tal-uffiċjali tal-istat, hemm diversi karatteristiċi speċjali fil-liġijiet tal-istati. </w:t>
      </w:r>
      <w:r>
        <w:rPr>
          <w:rFonts w:ascii="Times New Roman" w:hAnsi="Times New Roman"/>
          <w:b/>
          <w:i/>
          <w:noProof/>
          <w:sz w:val="15"/>
          <w:szCs w:val="15"/>
        </w:rPr>
        <w:t>EE</w:t>
      </w:r>
      <w:r>
        <w:rPr>
          <w:rFonts w:ascii="Times New Roman" w:hAnsi="Times New Roman"/>
          <w:i/>
          <w:noProof/>
          <w:sz w:val="15"/>
          <w:szCs w:val="15"/>
        </w:rPr>
        <w:t>: Il-Prosekutur Ġenerali jiddeċiedi fuq miżuri dixxiplinari, inkl</w:t>
      </w:r>
      <w:r>
        <w:rPr>
          <w:rFonts w:ascii="Times New Roman" w:hAnsi="Times New Roman"/>
          <w:i/>
          <w:noProof/>
          <w:sz w:val="15"/>
          <w:szCs w:val="15"/>
        </w:rPr>
        <w:t xml:space="preserve">uża s-sensja, fuq il-proposta tal-Kumitat Dixxiplinari tal-Prosekuturi. Id-deċiżjonijiet dwar miżuri dixxiplinari jistgħu jiġu appellati quddiem qorti amministrattiva. </w:t>
      </w:r>
      <w:r>
        <w:rPr>
          <w:rFonts w:ascii="Times New Roman" w:hAnsi="Times New Roman"/>
          <w:b/>
          <w:i/>
          <w:noProof/>
          <w:sz w:val="15"/>
          <w:szCs w:val="15"/>
        </w:rPr>
        <w:t>IE</w:t>
      </w:r>
      <w:r>
        <w:rPr>
          <w:rFonts w:ascii="Times New Roman" w:hAnsi="Times New Roman"/>
          <w:i/>
          <w:noProof/>
          <w:sz w:val="15"/>
          <w:szCs w:val="15"/>
        </w:rPr>
        <w:t xml:space="preserve">: Il-Viċi Direttur tal-Prosekuzzjonijiet Pubbliċi jiddeċiedi dwar miżuri dixxiplinari </w:t>
      </w:r>
      <w:r>
        <w:rPr>
          <w:rFonts w:ascii="Times New Roman" w:hAnsi="Times New Roman"/>
          <w:i/>
          <w:noProof/>
          <w:sz w:val="15"/>
          <w:szCs w:val="15"/>
        </w:rPr>
        <w:t xml:space="preserve">li jikkonċernaw prosekuturi ta’ grad bażiku. Ir-rakkomandazzjoni mill-maniġer rilevanti li jenħtieġ li tiġi adottata miżura dixxiplinari tista’ tiġi appellata quddiem Bord tal-Appelli Dixxiplinari estern, qabel ma tiġi adottata d-deċiżjoni dixxiplinari. </w:t>
      </w:r>
      <w:r>
        <w:rPr>
          <w:rFonts w:ascii="Times New Roman" w:hAnsi="Times New Roman"/>
          <w:b/>
          <w:i/>
          <w:noProof/>
          <w:sz w:val="15"/>
          <w:szCs w:val="15"/>
        </w:rPr>
        <w:t>EL</w:t>
      </w:r>
      <w:r>
        <w:rPr>
          <w:rFonts w:ascii="Times New Roman" w:hAnsi="Times New Roman"/>
          <w:i/>
          <w:noProof/>
          <w:sz w:val="15"/>
          <w:szCs w:val="15"/>
        </w:rPr>
        <w:t>: Il-Kunsilli Dixxiplinari b’ħames membri tal-Qorti tal-Appell huma primarjament responsabbli sabiex jaġġudikaw reati dixxiplinari u jimponu l-pieni dixxiplinari kollha fuq il-prosekuturi minbarra s-sensja, li tiġi deċiża mill-plenarja tal-Qorti ta’ Kassaz</w:t>
      </w:r>
      <w:r>
        <w:rPr>
          <w:rFonts w:ascii="Times New Roman" w:hAnsi="Times New Roman"/>
          <w:i/>
          <w:noProof/>
          <w:sz w:val="15"/>
          <w:szCs w:val="15"/>
        </w:rPr>
        <w:t xml:space="preserve">zjoni. Deċiżjonijiet mill-Kunsilli Dixxiplinari b’ħames membri jistgħu jiġu appellati quddiem Bord Dixxiplinari b’seba’ membri tal-Qorti Suprema. </w:t>
      </w:r>
      <w:r>
        <w:rPr>
          <w:rFonts w:ascii="Times New Roman" w:hAnsi="Times New Roman"/>
          <w:b/>
          <w:i/>
          <w:noProof/>
          <w:sz w:val="15"/>
          <w:szCs w:val="15"/>
        </w:rPr>
        <w:t>ES</w:t>
      </w:r>
      <w:r>
        <w:rPr>
          <w:rFonts w:ascii="Times New Roman" w:hAnsi="Times New Roman"/>
          <w:i/>
          <w:noProof/>
          <w:sz w:val="15"/>
          <w:szCs w:val="15"/>
        </w:rPr>
        <w:t>: Il-Kapijiet Prosekuturi tad-diversi korpi tal-Uffiċċju tal-Prosekutur Pubbliku jiddeċiedu dwar miżuri dixx</w:t>
      </w:r>
      <w:r>
        <w:rPr>
          <w:rFonts w:ascii="Times New Roman" w:hAnsi="Times New Roman"/>
          <w:i/>
          <w:noProof/>
          <w:sz w:val="15"/>
          <w:szCs w:val="15"/>
        </w:rPr>
        <w:t>iplinari, li jistgħu jiġu appellati quddiem il-Kunsill Fiskali (“Consejo Fiscal”). Dan il-korp jikkonsisti mill-Prosekutur Ġenerali, il-Viċi Prosekutur Ġenerali, il-Kap Spettur u sitt prosekuturi oħra. Id-deċiżjonijiet tiegħu huma miftuħa għal stħarriġ ġud</w:t>
      </w:r>
      <w:r>
        <w:rPr>
          <w:rFonts w:ascii="Times New Roman" w:hAnsi="Times New Roman"/>
          <w:i/>
          <w:noProof/>
          <w:sz w:val="15"/>
          <w:szCs w:val="15"/>
        </w:rPr>
        <w:t xml:space="preserve">izzjarju mill-Udjenza Nazzjonali (“Audiencia Nacional”). </w:t>
      </w:r>
      <w:r>
        <w:rPr>
          <w:rFonts w:ascii="Times New Roman" w:hAnsi="Times New Roman"/>
          <w:b/>
          <w:i/>
          <w:noProof/>
          <w:sz w:val="15"/>
          <w:szCs w:val="15"/>
        </w:rPr>
        <w:t>FR</w:t>
      </w:r>
      <w:r>
        <w:rPr>
          <w:rFonts w:ascii="Times New Roman" w:hAnsi="Times New Roman"/>
          <w:i/>
          <w:noProof/>
          <w:sz w:val="15"/>
          <w:szCs w:val="15"/>
        </w:rPr>
        <w:t>: Il-Ministeru tal-Ġustizzja jiddeċiedi dwar il-miżura wara li l-Kunsill Superjuri tal-Maġistratura (“Conseil Supérieur de la Magistrature”) joħroġ opinjoni mhux vinkolanti. Id-deċiżjonijiet dwar m</w:t>
      </w:r>
      <w:r>
        <w:rPr>
          <w:rFonts w:ascii="Times New Roman" w:hAnsi="Times New Roman"/>
          <w:i/>
          <w:noProof/>
          <w:sz w:val="15"/>
          <w:szCs w:val="15"/>
        </w:rPr>
        <w:t xml:space="preserve">iżuri dixxiplinari jistgħu jiġu appellati quddiem il-Kunsill tal-Istat (“Conseil d’Etat”). </w:t>
      </w:r>
      <w:r>
        <w:rPr>
          <w:rFonts w:ascii="Times New Roman" w:hAnsi="Times New Roman"/>
          <w:b/>
          <w:i/>
          <w:noProof/>
          <w:sz w:val="15"/>
          <w:szCs w:val="15"/>
        </w:rPr>
        <w:t>HR:</w:t>
      </w:r>
      <w:r>
        <w:rPr>
          <w:rFonts w:ascii="Times New Roman" w:hAnsi="Times New Roman"/>
          <w:i/>
          <w:noProof/>
          <w:sz w:val="15"/>
          <w:szCs w:val="15"/>
        </w:rPr>
        <w:t xml:space="preserve"> Il-Kunsill tal-Avukatura tal-Istat jiddeċiedi dwar miżuri dixxiplinari, li jistgħu jiġu mistħarrġa quddiem il-qrati amministrattivi. </w:t>
      </w:r>
      <w:r>
        <w:rPr>
          <w:rFonts w:ascii="Times New Roman" w:hAnsi="Times New Roman"/>
          <w:b/>
          <w:i/>
          <w:noProof/>
          <w:sz w:val="15"/>
          <w:szCs w:val="15"/>
        </w:rPr>
        <w:t>IT</w:t>
      </w:r>
      <w:r>
        <w:rPr>
          <w:rFonts w:ascii="Times New Roman" w:hAnsi="Times New Roman"/>
          <w:i/>
          <w:noProof/>
          <w:sz w:val="15"/>
          <w:szCs w:val="15"/>
        </w:rPr>
        <w:t>: Deċiżjonijiet tal-Kunsil</w:t>
      </w:r>
      <w:r>
        <w:rPr>
          <w:rFonts w:ascii="Times New Roman" w:hAnsi="Times New Roman"/>
          <w:i/>
          <w:noProof/>
          <w:sz w:val="15"/>
          <w:szCs w:val="15"/>
        </w:rPr>
        <w:t xml:space="preserve">l għall-Ġudikatura dwar miżuri dixxiplinari huma miftuħa għal stħarriġ ġudizzjarju quddiem il-Qorti Suprema. </w:t>
      </w:r>
      <w:r>
        <w:rPr>
          <w:rFonts w:ascii="Times New Roman" w:hAnsi="Times New Roman"/>
          <w:b/>
          <w:i/>
          <w:noProof/>
          <w:sz w:val="15"/>
          <w:szCs w:val="15"/>
        </w:rPr>
        <w:t>CY</w:t>
      </w:r>
      <w:r>
        <w:rPr>
          <w:rFonts w:ascii="Times New Roman" w:hAnsi="Times New Roman"/>
          <w:i/>
          <w:noProof/>
          <w:sz w:val="15"/>
          <w:szCs w:val="15"/>
        </w:rPr>
        <w:t>: Il-miżuri dixxiplinari jiġu adottati mill-Kummissjoni tas-Servizz Pubbliku, korp kostituzzjonali magħmul minn ħames membri maħtura mill-Preside</w:t>
      </w:r>
      <w:r>
        <w:rPr>
          <w:rFonts w:ascii="Times New Roman" w:hAnsi="Times New Roman"/>
          <w:i/>
          <w:noProof/>
          <w:sz w:val="15"/>
          <w:szCs w:val="15"/>
        </w:rPr>
        <w:t xml:space="preserve">nt tar-Repubblika għal perjodu ta’ sitt snin. Id-deċiżjonijiet dwar miżuri dixxiplinari jistgħu jiġu appellati quddiem il-qorti amministrattiva, u sussegwentement quddiem il-Qorti Suprema. </w:t>
      </w:r>
      <w:r>
        <w:rPr>
          <w:rFonts w:ascii="Times New Roman" w:hAnsi="Times New Roman"/>
          <w:b/>
          <w:i/>
          <w:noProof/>
          <w:sz w:val="15"/>
          <w:szCs w:val="15"/>
        </w:rPr>
        <w:t>LV</w:t>
      </w:r>
      <w:r>
        <w:rPr>
          <w:rFonts w:ascii="Times New Roman" w:hAnsi="Times New Roman"/>
          <w:i/>
          <w:noProof/>
          <w:sz w:val="15"/>
          <w:szCs w:val="15"/>
        </w:rPr>
        <w:t xml:space="preserve">: Il-Prosekutur Ġenerali jista’ jiddeċiedi dwar kwalunkwe miżura </w:t>
      </w:r>
      <w:r>
        <w:rPr>
          <w:rFonts w:ascii="Times New Roman" w:hAnsi="Times New Roman"/>
          <w:i/>
          <w:noProof/>
          <w:sz w:val="15"/>
          <w:szCs w:val="15"/>
        </w:rPr>
        <w:t>dixxiplinari kontra kwalunkwe prosekutur. Il-Kapijiet Prosekuturi jistgħu jibagħtu annotazzjoni jew ċanfira lill-prosekuturi taħt il-ġestjoni tagħhom. Fil-każ ta’ ksur aktar serju, il-Prosekutur Ġenerali jista’ jippreżenta proposta lill-Prosekutur Ġenerali</w:t>
      </w:r>
      <w:r>
        <w:rPr>
          <w:rFonts w:ascii="Times New Roman" w:hAnsi="Times New Roman"/>
          <w:i/>
          <w:noProof/>
          <w:sz w:val="15"/>
          <w:szCs w:val="15"/>
        </w:rPr>
        <w:t xml:space="preserve"> sabiex japplika miżura dixxiplinari oħra. Id-deċiżjonijiet dwar miżuri dixxiplinari adottati minn Kap Prosekutur jistgħu jiġu appellati quddiem il-Prosekutur Ġenerali. Id-deċiżjonijiet dwar miżuri dixxiplinarji adottati mill-Prosekutur Ġenerali jistgħu ji</w:t>
      </w:r>
      <w:r>
        <w:rPr>
          <w:rFonts w:ascii="Times New Roman" w:hAnsi="Times New Roman"/>
          <w:i/>
          <w:noProof/>
          <w:sz w:val="15"/>
          <w:szCs w:val="15"/>
        </w:rPr>
        <w:t>ġ</w:t>
      </w:r>
      <w:r>
        <w:rPr>
          <w:rFonts w:ascii="Times New Roman" w:hAnsi="Times New Roman"/>
          <w:i/>
          <w:noProof/>
          <w:sz w:val="15"/>
          <w:szCs w:val="15"/>
        </w:rPr>
        <w:t xml:space="preserve">u appellati quddiem Qorti Dixxiplinari. </w:t>
      </w:r>
      <w:r>
        <w:rPr>
          <w:rFonts w:ascii="Times New Roman" w:hAnsi="Times New Roman"/>
          <w:b/>
          <w:i/>
          <w:noProof/>
          <w:sz w:val="15"/>
          <w:szCs w:val="15"/>
        </w:rPr>
        <w:t>LT</w:t>
      </w:r>
      <w:r>
        <w:rPr>
          <w:rFonts w:ascii="Times New Roman" w:hAnsi="Times New Roman"/>
          <w:i/>
          <w:noProof/>
          <w:sz w:val="15"/>
          <w:szCs w:val="15"/>
        </w:rPr>
        <w:t xml:space="preserve">: Il-Prosekutur Ġenerali jiddeċiedi dwar miżuri dixxiplinari. Id-deċiżjonijiet dwar miżuri dixxiplinari jistgħu jiġu appellati quddiem qorti amministrattiva. </w:t>
      </w:r>
      <w:r>
        <w:rPr>
          <w:rFonts w:ascii="Times New Roman" w:hAnsi="Times New Roman"/>
          <w:b/>
          <w:i/>
          <w:noProof/>
          <w:sz w:val="15"/>
          <w:szCs w:val="15"/>
        </w:rPr>
        <w:t>LU</w:t>
      </w:r>
      <w:r>
        <w:rPr>
          <w:rFonts w:ascii="Times New Roman" w:hAnsi="Times New Roman"/>
          <w:i/>
          <w:noProof/>
          <w:sz w:val="15"/>
          <w:szCs w:val="15"/>
        </w:rPr>
        <w:t>: Il-Prosekutur Ġenerali jiddeċiedi dwar miżuri dixxi</w:t>
      </w:r>
      <w:r>
        <w:rPr>
          <w:rFonts w:ascii="Times New Roman" w:hAnsi="Times New Roman"/>
          <w:i/>
          <w:noProof/>
          <w:sz w:val="15"/>
          <w:szCs w:val="15"/>
        </w:rPr>
        <w:t xml:space="preserve">plinari. </w:t>
      </w:r>
      <w:r>
        <w:rPr>
          <w:rFonts w:ascii="Times New Roman" w:hAnsi="Times New Roman"/>
          <w:b/>
          <w:i/>
          <w:noProof/>
          <w:sz w:val="15"/>
          <w:szCs w:val="15"/>
        </w:rPr>
        <w:t>HU</w:t>
      </w:r>
      <w:r>
        <w:rPr>
          <w:rFonts w:ascii="Times New Roman" w:hAnsi="Times New Roman"/>
          <w:i/>
          <w:noProof/>
          <w:sz w:val="15"/>
          <w:szCs w:val="15"/>
        </w:rPr>
        <w:t>: Il-Prosekutur Ġenerali jiddeċiedi dwar miżuri għar-revoka ta’ distinzjoni, għal dimozzjoni skont il-grad tas-salarju jew skont il-grad jew għas-sensja. Il-Kap tal-Unità (prosekutur superjuri) jista’ jadotta miżuri anqas severi (ċanfira, ċensur</w:t>
      </w:r>
      <w:r>
        <w:rPr>
          <w:rFonts w:ascii="Times New Roman" w:hAnsi="Times New Roman"/>
          <w:i/>
          <w:noProof/>
          <w:sz w:val="15"/>
          <w:szCs w:val="15"/>
        </w:rPr>
        <w:t xml:space="preserve">a) fir-rigward ta’ prosekutur taħt is-superviżjoni tiegħu. Id-deċiżjonijiet dwar miżuri dixxiplinari jistgħu jiġu appellati quddiem qorti tax-xogħol. </w:t>
      </w:r>
      <w:r>
        <w:rPr>
          <w:rFonts w:ascii="Times New Roman" w:hAnsi="Times New Roman"/>
          <w:b/>
          <w:i/>
          <w:noProof/>
          <w:sz w:val="15"/>
          <w:szCs w:val="15"/>
        </w:rPr>
        <w:t>MT</w:t>
      </w:r>
      <w:r>
        <w:rPr>
          <w:rFonts w:ascii="Times New Roman" w:hAnsi="Times New Roman"/>
          <w:i/>
          <w:noProof/>
          <w:sz w:val="15"/>
          <w:szCs w:val="15"/>
        </w:rPr>
        <w:t>: Il-Kumitat dwar l-Avukati u l-Prokuraturi Legali jikkonsisti f’avukat maħtur mill-Kummissjoni għall-am</w:t>
      </w:r>
      <w:r>
        <w:rPr>
          <w:rFonts w:ascii="Times New Roman" w:hAnsi="Times New Roman"/>
          <w:i/>
          <w:noProof/>
          <w:sz w:val="15"/>
          <w:szCs w:val="15"/>
        </w:rPr>
        <w:t>ministrazzjoni tal-ġustizzja, f’avukat maħtur mill-Avukat Ġenerali u fi tliet prokuraturi legali maħtura mill-Kamra tal-Prokuraturi Legali. Il-Kumitat jista’ jimponi sanzjoni pekunarja, joħroġ twissija u jagħmel rakkomandazzjonijiet lill-prosekutur. Il-Kum</w:t>
      </w:r>
      <w:r>
        <w:rPr>
          <w:rFonts w:ascii="Times New Roman" w:hAnsi="Times New Roman"/>
          <w:i/>
          <w:noProof/>
          <w:sz w:val="15"/>
          <w:szCs w:val="15"/>
        </w:rPr>
        <w:t>itat jista’ jitlob lill-Kummissjoni tirrakkomanda lill-Prim Ministru sabiex jagħti parir lill-President ta’ Malta sabiex jissospendi jew jissensja prosekutur. Il-miżuri adottati mill-Kumitat jistgħu jiġu appellati quddiem il-Kummissjoni għall-Amministrazzj</w:t>
      </w:r>
      <w:r>
        <w:rPr>
          <w:rFonts w:ascii="Times New Roman" w:hAnsi="Times New Roman"/>
          <w:i/>
          <w:noProof/>
          <w:sz w:val="15"/>
          <w:szCs w:val="15"/>
        </w:rPr>
        <w:t xml:space="preserve">oni tal-Ġustizzja. </w:t>
      </w:r>
      <w:r>
        <w:rPr>
          <w:rFonts w:ascii="Times New Roman" w:hAnsi="Times New Roman"/>
          <w:b/>
          <w:i/>
          <w:noProof/>
          <w:sz w:val="15"/>
          <w:szCs w:val="15"/>
        </w:rPr>
        <w:t>NL</w:t>
      </w:r>
      <w:r>
        <w:rPr>
          <w:rFonts w:ascii="Times New Roman" w:hAnsi="Times New Roman"/>
          <w:i/>
          <w:noProof/>
          <w:sz w:val="15"/>
          <w:szCs w:val="15"/>
        </w:rPr>
        <w:t>: Il-Prosekutur ġerarkikament superjuri jista’ jimponi ċerti miżuri ta’ natura anqas severa (ċanfira bil-miktub, tnaqqis tal-liv annwali, ħinijiet tax-xogħol żejda). Il-Ministru tal-Ġustizzja jista’ jiddeċiedi dwar trasferiment mingħaj</w:t>
      </w:r>
      <w:r>
        <w:rPr>
          <w:rFonts w:ascii="Times New Roman" w:hAnsi="Times New Roman"/>
          <w:i/>
          <w:noProof/>
          <w:sz w:val="15"/>
          <w:szCs w:val="15"/>
        </w:rPr>
        <w:t>r kunsens, sospensjoni, multa finanzjarja u miżuri relatati mas-salarju, wara li l-prosekutur ġerarkikament superjuri jkun ippropona din il-miżura jew ħareġ parir. Il-Gvern għandu s-setgħa li jissensja lil prosekutur, wara li l-prosekutur ġerarkikament sup</w:t>
      </w:r>
      <w:r>
        <w:rPr>
          <w:rFonts w:ascii="Times New Roman" w:hAnsi="Times New Roman"/>
          <w:i/>
          <w:noProof/>
          <w:sz w:val="15"/>
          <w:szCs w:val="15"/>
        </w:rPr>
        <w:t xml:space="preserve">erjuri jkun ippropona s-sensja jew ta parir. Id-deċiżjonijiet dwar miżuri dixxiplinari jistgħu jiġu appellati quddiem il-Bord Ċentrali tal-Appell (“Centrale Raad van Beroep”). </w:t>
      </w:r>
      <w:r>
        <w:rPr>
          <w:rFonts w:ascii="Times New Roman" w:hAnsi="Times New Roman"/>
          <w:b/>
          <w:i/>
          <w:noProof/>
          <w:sz w:val="15"/>
          <w:szCs w:val="15"/>
        </w:rPr>
        <w:t>AT</w:t>
      </w:r>
      <w:r>
        <w:rPr>
          <w:rFonts w:ascii="Times New Roman" w:hAnsi="Times New Roman"/>
          <w:i/>
          <w:noProof/>
          <w:sz w:val="15"/>
          <w:szCs w:val="15"/>
        </w:rPr>
        <w:t xml:space="preserve">: L-Awla speċjali ta’ qorti tiddeċiedi dwar miżuri dixxiplinari. </w:t>
      </w:r>
      <w:r>
        <w:rPr>
          <w:rFonts w:ascii="Times New Roman" w:hAnsi="Times New Roman"/>
          <w:b/>
          <w:i/>
          <w:noProof/>
          <w:sz w:val="15"/>
          <w:szCs w:val="15"/>
        </w:rPr>
        <w:t>PL</w:t>
      </w:r>
      <w:r>
        <w:rPr>
          <w:rFonts w:ascii="Times New Roman" w:hAnsi="Times New Roman"/>
          <w:i/>
          <w:noProof/>
          <w:sz w:val="15"/>
          <w:szCs w:val="15"/>
        </w:rPr>
        <w:t>: Fil-prim’</w:t>
      </w:r>
      <w:r>
        <w:rPr>
          <w:rFonts w:ascii="Times New Roman" w:hAnsi="Times New Roman"/>
          <w:i/>
          <w:noProof/>
          <w:sz w:val="15"/>
          <w:szCs w:val="15"/>
        </w:rPr>
        <w:t>istanza, id-deċiżjonijiet dwar miżuri dixxiplinari ġeneralment jittieħdu minn korp dixxiplinari fl-Uffiċċju tal-Prosekutur Ġenerali, li jikkonsisti fi tliet prosekuturi maħtura minn assemblei ta’ prosekuturi. Dawn il-miżuri jistgħu jiġu appellati quddiem l</w:t>
      </w:r>
      <w:r>
        <w:rPr>
          <w:rFonts w:ascii="Times New Roman" w:hAnsi="Times New Roman"/>
          <w:i/>
          <w:noProof/>
          <w:sz w:val="15"/>
          <w:szCs w:val="15"/>
        </w:rPr>
        <w:t>-Awla Dixxiplinari tal-Qorti Suprema, li f’ċerti każijiet taġixxi bħala l-awtorità li tiddeċiedi fil-prim’istanza. Meta taġixxi bħala l-qorti tat-tieni istanza, din l-awla tkun magħmula minn żewġ imħallfin tal-Awla Dixxiplinari u minn mħallef onorarju. Pro</w:t>
      </w:r>
      <w:r>
        <w:rPr>
          <w:rFonts w:ascii="Times New Roman" w:hAnsi="Times New Roman"/>
          <w:i/>
          <w:noProof/>
          <w:sz w:val="15"/>
          <w:szCs w:val="15"/>
        </w:rPr>
        <w:t>sekutur li ġie ssanzjonat darbtejn b’sanzjoni differenti minn ċanfira jista’ jitkeċċa mill-kariga mill-Prosekutur Ġenerali (li huwa wkoll il-Ministru tal-Ġustizzja) f’każ ta’ twettiq ta’ reat dixxiplinarju ġdid (li m’għandux jiġi aċċertat mill-qorti dixxip</w:t>
      </w:r>
      <w:r>
        <w:rPr>
          <w:rFonts w:ascii="Times New Roman" w:hAnsi="Times New Roman"/>
          <w:i/>
          <w:noProof/>
          <w:sz w:val="15"/>
          <w:szCs w:val="15"/>
        </w:rPr>
        <w:t xml:space="preserve">linarja u mingħajr il-possibbiltà ta’ stħarriġ ġudizzjarju tad-deċiżjoni tal-Prosekutur-Ġenerali. </w:t>
      </w:r>
      <w:r>
        <w:rPr>
          <w:rFonts w:ascii="Times New Roman" w:hAnsi="Times New Roman"/>
          <w:b/>
          <w:i/>
          <w:noProof/>
          <w:sz w:val="15"/>
          <w:szCs w:val="15"/>
        </w:rPr>
        <w:t>PT</w:t>
      </w:r>
      <w:r>
        <w:rPr>
          <w:rFonts w:ascii="Times New Roman" w:hAnsi="Times New Roman"/>
          <w:i/>
          <w:noProof/>
          <w:sz w:val="15"/>
          <w:szCs w:val="15"/>
        </w:rPr>
        <w:t>: It-Taqsima Dixxiplinari tal-Kunsill Għoli tas-Servizz ta’ Prosekuzzjoni tiddeċiedi dwar l-adozzjoni ta’ miżuri dixxiplinari. Id-deċiżjonijiet tiegħu jistg</w:t>
      </w:r>
      <w:r>
        <w:rPr>
          <w:rFonts w:ascii="Times New Roman" w:hAnsi="Times New Roman"/>
          <w:i/>
          <w:noProof/>
          <w:sz w:val="15"/>
          <w:szCs w:val="15"/>
        </w:rPr>
        <w:t xml:space="preserve">ħu jiġu appellati fil-plenarja tal-Kunsill Għoli tas-Servizz ta’ Prosekuzzjoni, u sussegwentement quddiem il-Qorti Amministrattiva Suprema. </w:t>
      </w:r>
      <w:r>
        <w:rPr>
          <w:rFonts w:ascii="Times New Roman" w:hAnsi="Times New Roman"/>
          <w:b/>
          <w:i/>
          <w:noProof/>
          <w:sz w:val="15"/>
          <w:szCs w:val="15"/>
        </w:rPr>
        <w:t>RO</w:t>
      </w:r>
      <w:r>
        <w:rPr>
          <w:rFonts w:ascii="Times New Roman" w:hAnsi="Times New Roman"/>
          <w:i/>
          <w:noProof/>
          <w:sz w:val="15"/>
          <w:szCs w:val="15"/>
        </w:rPr>
        <w:t>: Il-Kunsill Superjuri tal-Maġistratura jiddeċiedi dwar miżuri dixxiplinari. Id-deċiżjonijiet dwar miżuri dixxipli</w:t>
      </w:r>
      <w:r>
        <w:rPr>
          <w:rFonts w:ascii="Times New Roman" w:hAnsi="Times New Roman"/>
          <w:i/>
          <w:noProof/>
          <w:sz w:val="15"/>
          <w:szCs w:val="15"/>
        </w:rPr>
        <w:t xml:space="preserve">nari jistgħu jiġu appellati quddiem il-Qorti Suprema. </w:t>
      </w:r>
      <w:r>
        <w:rPr>
          <w:rFonts w:ascii="Times New Roman" w:hAnsi="Times New Roman"/>
          <w:b/>
          <w:i/>
          <w:noProof/>
          <w:sz w:val="15"/>
          <w:szCs w:val="15"/>
        </w:rPr>
        <w:t xml:space="preserve">SI: </w:t>
      </w:r>
      <w:r>
        <w:rPr>
          <w:rFonts w:ascii="Times New Roman" w:hAnsi="Times New Roman"/>
          <w:i/>
          <w:noProof/>
          <w:sz w:val="15"/>
          <w:szCs w:val="15"/>
        </w:rPr>
        <w:t>Il-Qorti dixxiplinari maħtura mill-Kunsill tal-Prosekuzzjoni tiddeċiedi dwar sanzjonijiet dixxiplinari. Il-Qorti Dixxiplinari tal-ewwel grad hija magħmula minn sitt prosekuturi statali proposti mill</w:t>
      </w:r>
      <w:r>
        <w:rPr>
          <w:rFonts w:ascii="Times New Roman" w:hAnsi="Times New Roman"/>
          <w:i/>
          <w:noProof/>
          <w:sz w:val="15"/>
          <w:szCs w:val="15"/>
        </w:rPr>
        <w:t>-Prosekutur Ġenerali u minn tliet imħallfin proposti mill-president tal-qorti dixxiplinari tal-prim’istanza għal imħallfin minn fost il-membri ta’ din il-qorti. Il-qorti dixxiplinari tat-tieni istanza hija magħmula minn sitt membri maħtura mill-Kunsill tal</w:t>
      </w:r>
      <w:r>
        <w:rPr>
          <w:rFonts w:ascii="Times New Roman" w:hAnsi="Times New Roman"/>
          <w:i/>
          <w:noProof/>
          <w:sz w:val="15"/>
          <w:szCs w:val="15"/>
        </w:rPr>
        <w:t>-Prosekuzzjoni: il-president, id-deputat tal-president u żewġ membri huma proposti mill-president tal-qorti dixxiplinarja għall-imħallfin tat-tieni istanza minn fost il-membri ta’ din il-qorti; żewġ prosekuturi supremi tal-istat huma proposti mill-Prosekut</w:t>
      </w:r>
      <w:r>
        <w:rPr>
          <w:rFonts w:ascii="Times New Roman" w:hAnsi="Times New Roman"/>
          <w:i/>
          <w:noProof/>
          <w:sz w:val="15"/>
          <w:szCs w:val="15"/>
        </w:rPr>
        <w:t xml:space="preserve">ur Ġenerali. </w:t>
      </w:r>
      <w:r>
        <w:rPr>
          <w:rFonts w:ascii="Times New Roman" w:hAnsi="Times New Roman"/>
          <w:b/>
          <w:i/>
          <w:noProof/>
          <w:sz w:val="15"/>
          <w:szCs w:val="15"/>
        </w:rPr>
        <w:t>SK</w:t>
      </w:r>
      <w:r>
        <w:rPr>
          <w:rFonts w:ascii="Times New Roman" w:hAnsi="Times New Roman"/>
          <w:i/>
          <w:noProof/>
          <w:sz w:val="15"/>
          <w:szCs w:val="15"/>
        </w:rPr>
        <w:t>: Bord dixxiplinari magħmul minn tliet prosekuturi, maħtur mill-Prosekutur Ġenerali minn bażi ta’ data ta’ mill-inqas 40 persuna proposta mill-Kunsill tal-Prosekutur, jiddeċiedi fuq miżuri dixxiplinari. Dawn id-deċiżjonijiet huma miftuħa għa</w:t>
      </w:r>
      <w:r>
        <w:rPr>
          <w:rFonts w:ascii="Times New Roman" w:hAnsi="Times New Roman"/>
          <w:i/>
          <w:noProof/>
          <w:sz w:val="15"/>
          <w:szCs w:val="15"/>
        </w:rPr>
        <w:t>ll-appell quddiem Bord Dixxiplinari tal-Appell fl-Uffiċċju tal-Prosekutur Ġenerali, kompost minn ħames prosekuturi maħtura mill-Prosekutur Ġenerali minn bażi ta’ data ta’ persuni proposti mill-Kunsill tal-Prosekuturi. L-istħarriġ ġudizzjarju kontra d-deċiż</w:t>
      </w:r>
      <w:r>
        <w:rPr>
          <w:rFonts w:ascii="Times New Roman" w:hAnsi="Times New Roman"/>
          <w:i/>
          <w:noProof/>
          <w:sz w:val="15"/>
          <w:szCs w:val="15"/>
        </w:rPr>
        <w:t xml:space="preserve">jonijiet tal-Bord Dixxiplinari tal-Appell huwa possibbli quddiem il-qrati reġjonali. </w:t>
      </w:r>
      <w:r>
        <w:rPr>
          <w:rFonts w:ascii="Times New Roman" w:hAnsi="Times New Roman"/>
          <w:b/>
          <w:i/>
          <w:noProof/>
          <w:sz w:val="15"/>
          <w:szCs w:val="15"/>
        </w:rPr>
        <w:t>FI</w:t>
      </w:r>
      <w:r>
        <w:rPr>
          <w:rFonts w:ascii="Times New Roman" w:hAnsi="Times New Roman"/>
          <w:i/>
          <w:noProof/>
          <w:sz w:val="15"/>
          <w:szCs w:val="15"/>
        </w:rPr>
        <w:t>: Il-Prosekutur Ġenerali jiddeċiedi dwar miżuri dixxiplinari. Id-deċiżjonijiet ta’ adozzjoni ta’ miżuri dixxiplinari jistgħu jiġu appellati quddiem qorti amministrattiva</w:t>
      </w:r>
      <w:r>
        <w:rPr>
          <w:rFonts w:ascii="Times New Roman" w:hAnsi="Times New Roman"/>
          <w:i/>
          <w:noProof/>
          <w:sz w:val="15"/>
          <w:szCs w:val="15"/>
        </w:rPr>
        <w:t>.</w:t>
      </w:r>
    </w:p>
    <w:p w:rsidR="00461018" w:rsidRDefault="000329C3">
      <w:pPr>
        <w:spacing w:before="120" w:after="0" w:line="240" w:lineRule="auto"/>
        <w:jc w:val="both"/>
        <w:rPr>
          <w:rFonts w:ascii="Times New Roman" w:hAnsi="Times New Roman" w:cs="Times New Roman"/>
          <w:noProof/>
          <w:sz w:val="23"/>
          <w:szCs w:val="23"/>
        </w:rPr>
      </w:pPr>
      <w:r>
        <w:rPr>
          <w:rFonts w:ascii="Times New Roman" w:hAnsi="Times New Roman"/>
          <w:noProof/>
          <w:sz w:val="23"/>
          <w:szCs w:val="23"/>
        </w:rPr>
        <w:t xml:space="preserve">L-Illustrazzjoni 54 tippreżenta ħarsa ġenerali lejn il-korpi investigattivi li jwettqu l-investigazzjoni matul proċedimenti dixxiplinari fir-rigward tal-prosekuturi. Sakemm ma jkunx sitpulat mod ieħor fin-nota f’qiegħ il-paġna tal-illustrazzjoni, din ma </w:t>
      </w:r>
      <w:r>
        <w:rPr>
          <w:rFonts w:ascii="Times New Roman" w:hAnsi="Times New Roman"/>
          <w:noProof/>
          <w:sz w:val="23"/>
          <w:szCs w:val="23"/>
        </w:rPr>
        <w:t>tikkonċernax l-inkjesti preliminari sabiex jiġi deċiż jekk jinbediex proċediment dixxiplinari formali. Il-fażi ta’ investigazzjoni hija pass importanti fil-proċedimenti dixxiplinari, li jista’ jkollha impatt fuq l-awtonomija tal-uffiċċju tal-prosekuzzjoni.</w:t>
      </w:r>
      <w:r>
        <w:rPr>
          <w:rFonts w:ascii="Times New Roman" w:hAnsi="Times New Roman"/>
          <w:noProof/>
          <w:sz w:val="23"/>
          <w:szCs w:val="23"/>
        </w:rPr>
        <w:t xml:space="preserve"> Is-setgħa investigattiva tista’ tiġi eżerċitata (a) minn awtoritajiet indipendenti regolari bħal qorti jew il-Kunsill għall-Ġudikatura jew għall-Prosekuzzjoni, jew (b) mill-Prosekutur Ġenerali jew minn prosekutur superjuri, jew (c) minn korpi oħra.</w:t>
      </w:r>
    </w:p>
    <w:p w:rsidR="00461018" w:rsidRDefault="000329C3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Cs/>
          <w:noProof/>
          <w:sz w:val="20"/>
          <w:szCs w:val="20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Illust</w:t>
      </w:r>
      <w:r>
        <w:rPr>
          <w:rFonts w:ascii="Times New Roman" w:hAnsi="Times New Roman"/>
          <w:b/>
          <w:bCs/>
          <w:noProof/>
          <w:sz w:val="24"/>
          <w:szCs w:val="24"/>
        </w:rPr>
        <w:t>razzjoni </w:t>
      </w:r>
      <w:r>
        <w:rPr>
          <w:noProof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>54</w:t>
      </w:r>
      <w:r>
        <w:rPr>
          <w:noProof/>
        </w:rPr>
        <w:fldChar w:fldCharType="end"/>
      </w:r>
      <w:r>
        <w:rPr>
          <w:rFonts w:ascii="Times New Roman" w:hAnsi="Times New Roman"/>
          <w:b/>
          <w:bCs/>
          <w:noProof/>
          <w:sz w:val="24"/>
          <w:szCs w:val="24"/>
        </w:rPr>
        <w:t>: Investigatur inkarigat mill-proċedimenti dixxiplinari formali rigward il-prosekuturi (*)</w:t>
      </w:r>
      <w:r>
        <w:rPr>
          <w:rFonts w:ascii="Times New Roman" w:hAnsi="Times New Roman"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bCs/>
          <w:i/>
          <w:noProof/>
          <w:sz w:val="24"/>
          <w:szCs w:val="24"/>
        </w:rPr>
        <w:t>(Sors: il-Kummissjoni Ewropea flimkien mal-Grupp ta’ Esperti dwar il-Ħasil tal-Flus u l-Finanzjament tat-Terroriżmu)</w:t>
      </w:r>
      <w:bookmarkStart w:id="556" w:name="_Toc442362481"/>
      <w:bookmarkStart w:id="557" w:name="_Toc442374817"/>
      <w:bookmarkStart w:id="558" w:name="_Toc442425957"/>
      <w:bookmarkStart w:id="559" w:name="_Toc442453083"/>
      <w:bookmarkStart w:id="560" w:name="_Toc443484542"/>
      <w:bookmarkStart w:id="561" w:name="_Toc443484764"/>
      <w:bookmarkStart w:id="562" w:name="_Toc443509505"/>
      <w:bookmarkStart w:id="563" w:name="_Toc446014834"/>
      <w:bookmarkStart w:id="564" w:name="_Toc441755432"/>
      <w:bookmarkStart w:id="565" w:name="_Toc441756469"/>
      <w:bookmarkStart w:id="566" w:name="_Toc441757513"/>
      <w:bookmarkStart w:id="567" w:name="_Toc441766642"/>
      <w:bookmarkStart w:id="568" w:name="_Toc441766981"/>
      <w:bookmarkStart w:id="569" w:name="_Toc442187982"/>
      <w:bookmarkStart w:id="570" w:name="_Toc442262074"/>
      <w:r>
        <w:rPr>
          <w:rFonts w:ascii="Times New Roman" w:hAnsi="Times New Roman"/>
          <w:bCs/>
          <w:i/>
          <w:noProof/>
          <w:sz w:val="24"/>
          <w:szCs w:val="24"/>
        </w:rPr>
        <w:t xml:space="preserve"> </w:t>
      </w:r>
    </w:p>
    <w:p w:rsidR="00461018" w:rsidRDefault="000329C3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15"/>
          <w:szCs w:val="15"/>
        </w:rPr>
      </w:pPr>
      <w:r>
        <w:rPr>
          <w:noProof/>
          <w:lang w:val="en-GB" w:eastAsia="en-GB"/>
        </w:rPr>
        <w:drawing>
          <wp:inline distT="0" distB="0" distL="0" distR="0">
            <wp:extent cx="5977255" cy="1839595"/>
            <wp:effectExtent l="0" t="0" r="4445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15"/>
          <w:szCs w:val="15"/>
        </w:rPr>
      </w:pPr>
      <w:r>
        <w:rPr>
          <w:rFonts w:ascii="Times New Roman" w:hAnsi="Times New Roman"/>
          <w:i/>
          <w:noProof/>
          <w:sz w:val="15"/>
          <w:szCs w:val="15"/>
        </w:rPr>
        <w:t xml:space="preserve">(*) </w:t>
      </w:r>
      <w:r>
        <w:rPr>
          <w:rFonts w:ascii="Times New Roman" w:hAnsi="Times New Roman"/>
          <w:b/>
          <w:i/>
          <w:noProof/>
          <w:sz w:val="15"/>
          <w:szCs w:val="15"/>
        </w:rPr>
        <w:t>BE</w:t>
      </w:r>
      <w:r>
        <w:rPr>
          <w:rFonts w:ascii="Times New Roman" w:hAnsi="Times New Roman"/>
          <w:i/>
          <w:noProof/>
          <w:sz w:val="15"/>
          <w:szCs w:val="15"/>
        </w:rPr>
        <w:t xml:space="preserve">: Il-prosekutur ġerarkikament superjuri jmexxi l-investigazzjoni. </w:t>
      </w:r>
      <w:r>
        <w:rPr>
          <w:rFonts w:ascii="Times New Roman" w:hAnsi="Times New Roman"/>
          <w:b/>
          <w:i/>
          <w:noProof/>
          <w:sz w:val="15"/>
          <w:szCs w:val="15"/>
        </w:rPr>
        <w:t>BG</w:t>
      </w:r>
      <w:r>
        <w:rPr>
          <w:rFonts w:ascii="Times New Roman" w:hAnsi="Times New Roman"/>
          <w:i/>
          <w:noProof/>
          <w:sz w:val="15"/>
          <w:szCs w:val="15"/>
        </w:rPr>
        <w:t xml:space="preserve">: Il-kap amministrattiv tal-prosekutur jinvestiga f’każ ta’ ċanfira. Għas-sanzjonijiet l-oħra kollha, l-investigazzjoni ssir minn panel dixxiplinari magħmul minn tliet membri u jiġi elett </w:t>
      </w:r>
      <w:r>
        <w:rPr>
          <w:rFonts w:ascii="Times New Roman" w:hAnsi="Times New Roman"/>
          <w:i/>
          <w:noProof/>
          <w:sz w:val="15"/>
          <w:szCs w:val="15"/>
        </w:rPr>
        <w:t>mill-Kamra tal-Prosekuturi tal-Kunsill Suprem tal-Maġistratura mill-membri tiegħu. Il-Kamra tal-Prosekuzzjoni tal-Kunsill Ġudizzjarju Suprem hija magħmula mill-Prosekutur Ġenerali, minn erba’ membri eletti mill-prosekuturi, minn membru elett mill-maġistrat</w:t>
      </w:r>
      <w:r>
        <w:rPr>
          <w:rFonts w:ascii="Times New Roman" w:hAnsi="Times New Roman"/>
          <w:i/>
          <w:noProof/>
          <w:sz w:val="15"/>
          <w:szCs w:val="15"/>
        </w:rPr>
        <w:t xml:space="preserve">i investigattivi u minn ħames membri eletti mill-Assemblea Nazzjonali. L-Ispettorat fil-Kunsill Ġudizzjarju Suprem iwettaq spezzjonijiet li abbażi tagħhom jista’ jagħmel proposti għal proċedimenti dixxiplinari. </w:t>
      </w:r>
      <w:r>
        <w:rPr>
          <w:rFonts w:ascii="Times New Roman" w:hAnsi="Times New Roman"/>
          <w:b/>
          <w:i/>
          <w:noProof/>
          <w:sz w:val="15"/>
          <w:szCs w:val="15"/>
        </w:rPr>
        <w:t>CZ</w:t>
      </w:r>
      <w:r>
        <w:rPr>
          <w:rFonts w:ascii="Times New Roman" w:hAnsi="Times New Roman"/>
          <w:i/>
          <w:noProof/>
          <w:sz w:val="15"/>
          <w:szCs w:val="15"/>
        </w:rPr>
        <w:t>: Il-Prosekutur Ġenerali u l-Kap Prosekutur</w:t>
      </w:r>
      <w:r>
        <w:rPr>
          <w:rFonts w:ascii="Times New Roman" w:hAnsi="Times New Roman"/>
          <w:i/>
          <w:noProof/>
          <w:sz w:val="15"/>
          <w:szCs w:val="15"/>
        </w:rPr>
        <w:t xml:space="preserve"> Pubbliku jistgħu janalizzaw il-fajl tal-każ tal-prosekutur, u jitolbu d-dikjarazzjoni tiegħu. </w:t>
      </w:r>
      <w:r>
        <w:rPr>
          <w:rFonts w:ascii="Times New Roman" w:hAnsi="Times New Roman"/>
          <w:b/>
          <w:i/>
          <w:noProof/>
          <w:sz w:val="15"/>
          <w:szCs w:val="15"/>
        </w:rPr>
        <w:t>DK</w:t>
      </w:r>
      <w:r>
        <w:rPr>
          <w:rFonts w:ascii="Times New Roman" w:hAnsi="Times New Roman"/>
          <w:i/>
          <w:noProof/>
          <w:sz w:val="15"/>
          <w:szCs w:val="15"/>
        </w:rPr>
        <w:t xml:space="preserve">: Is-Servizz ta’ Prosekuzzjoni jmexxi l-investigazzjoni. </w:t>
      </w:r>
      <w:r>
        <w:rPr>
          <w:rFonts w:ascii="Times New Roman" w:hAnsi="Times New Roman"/>
          <w:b/>
          <w:i/>
          <w:noProof/>
          <w:sz w:val="15"/>
          <w:szCs w:val="15"/>
        </w:rPr>
        <w:t>DE</w:t>
      </w:r>
      <w:r>
        <w:rPr>
          <w:rFonts w:ascii="Times New Roman" w:hAnsi="Times New Roman"/>
          <w:i/>
          <w:noProof/>
          <w:sz w:val="15"/>
          <w:szCs w:val="15"/>
        </w:rPr>
        <w:t>: Il-kap tal-uffiċċju tal-prosekutur pubbliku ma jiddeċidix biss jekk jiftaħx proċedimenti dixxiplin</w:t>
      </w:r>
      <w:r>
        <w:rPr>
          <w:rFonts w:ascii="Times New Roman" w:hAnsi="Times New Roman"/>
          <w:i/>
          <w:noProof/>
          <w:sz w:val="15"/>
          <w:szCs w:val="15"/>
        </w:rPr>
        <w:t xml:space="preserve">ari kontra prosekutur pubbliku, iżda jmexxi wkoll il-proċedimenti dixxiplinari. Minħabba l-kompetenza tal-istati sabiex jirregolaw il-liġi dixxiplinari tal-uffiċjali tal-istat, hemm diversi karatteristiċi speċjali fil-liġijiet tal-istati. </w:t>
      </w:r>
      <w:r>
        <w:rPr>
          <w:rFonts w:ascii="Times New Roman" w:hAnsi="Times New Roman"/>
          <w:b/>
          <w:i/>
          <w:noProof/>
          <w:sz w:val="15"/>
          <w:szCs w:val="15"/>
        </w:rPr>
        <w:t>EE</w:t>
      </w:r>
      <w:r>
        <w:rPr>
          <w:rFonts w:ascii="Times New Roman" w:hAnsi="Times New Roman"/>
          <w:i/>
          <w:noProof/>
          <w:sz w:val="15"/>
          <w:szCs w:val="15"/>
        </w:rPr>
        <w:t>: Il-prosekutur</w:t>
      </w:r>
      <w:r>
        <w:rPr>
          <w:rFonts w:ascii="Times New Roman" w:hAnsi="Times New Roman"/>
          <w:i/>
          <w:noProof/>
          <w:sz w:val="15"/>
          <w:szCs w:val="15"/>
        </w:rPr>
        <w:t xml:space="preserve"> ġerarkikament superjuri jew il-Prosekutur Ġenerali jmexxi l-investigazzjoni, skont min ikun beda l-proċeduri dixxiplinari. Dan jista’ jassenja wkoll il-kompitu tal-kumpilazzjoni u ta’ talba ta’ spjegazzjonijiet lil prosekutur ieħor, li la jkun membru tal-</w:t>
      </w:r>
      <w:r>
        <w:rPr>
          <w:rFonts w:ascii="Times New Roman" w:hAnsi="Times New Roman"/>
          <w:i/>
          <w:noProof/>
          <w:sz w:val="15"/>
          <w:szCs w:val="15"/>
        </w:rPr>
        <w:t>kumitat dixxiplinari, u lanqas il-prosekutur li kontrih jinbdew il-proċedimenti jew subordinat għal dak il-prosekutur. Il-każ jinstema’ mill-kumitat dixxiplinari tal-prosekuturi, li huwa magħmul minn żewġ prosekuturi tal-Uffiċċju tal-Prosekutur Ġenerali, m</w:t>
      </w:r>
      <w:r>
        <w:rPr>
          <w:rFonts w:ascii="Times New Roman" w:hAnsi="Times New Roman"/>
          <w:i/>
          <w:noProof/>
          <w:sz w:val="15"/>
          <w:szCs w:val="15"/>
        </w:rPr>
        <w:t xml:space="preserve">inn żewġ prosekuturi minn uffiċċji tal-prosekuturi distrettwali u minn imħallef wieħed. </w:t>
      </w:r>
      <w:r>
        <w:rPr>
          <w:rFonts w:ascii="Times New Roman" w:hAnsi="Times New Roman"/>
          <w:b/>
          <w:i/>
          <w:noProof/>
          <w:sz w:val="15"/>
          <w:szCs w:val="15"/>
        </w:rPr>
        <w:t>IE</w:t>
      </w:r>
      <w:r>
        <w:rPr>
          <w:rFonts w:ascii="Times New Roman" w:hAnsi="Times New Roman"/>
          <w:i/>
          <w:noProof/>
          <w:sz w:val="15"/>
          <w:szCs w:val="15"/>
        </w:rPr>
        <w:t>: Prosekutur ġerarkikament superjuri jmexxi l-investigazzjoni. F’każijiet li fihom il-fatti jkunu kumplessi jew li fihom il-kondotta ħażina suspettata tkun serja, id-</w:t>
      </w:r>
      <w:r>
        <w:rPr>
          <w:rFonts w:ascii="Times New Roman" w:hAnsi="Times New Roman"/>
          <w:i/>
          <w:noProof/>
          <w:sz w:val="15"/>
          <w:szCs w:val="15"/>
        </w:rPr>
        <w:t xml:space="preserve">dipartiment tar-riżorsi umani jorganizza biex issir investigazzjoni. </w:t>
      </w:r>
      <w:r>
        <w:rPr>
          <w:rFonts w:ascii="Times New Roman" w:hAnsi="Times New Roman"/>
          <w:b/>
          <w:i/>
          <w:noProof/>
          <w:sz w:val="15"/>
          <w:szCs w:val="15"/>
        </w:rPr>
        <w:t>EL</w:t>
      </w:r>
      <w:r>
        <w:rPr>
          <w:rFonts w:ascii="Times New Roman" w:hAnsi="Times New Roman"/>
          <w:i/>
          <w:noProof/>
          <w:sz w:val="15"/>
          <w:szCs w:val="15"/>
        </w:rPr>
        <w:t xml:space="preserve"> Il-prosekutur ġerarkikament superjuri jmexxi l-investigazzjoni. </w:t>
      </w:r>
      <w:r>
        <w:rPr>
          <w:rFonts w:ascii="Times New Roman" w:hAnsi="Times New Roman"/>
          <w:b/>
          <w:i/>
          <w:noProof/>
          <w:sz w:val="15"/>
          <w:szCs w:val="15"/>
        </w:rPr>
        <w:t>ES</w:t>
      </w:r>
      <w:r>
        <w:rPr>
          <w:rFonts w:ascii="Times New Roman" w:hAnsi="Times New Roman"/>
          <w:i/>
          <w:noProof/>
          <w:sz w:val="15"/>
          <w:szCs w:val="15"/>
        </w:rPr>
        <w:t xml:space="preserve">: Il-prosekutur ġerarkikament superjuri jmexxi l-investigazzjoni. </w:t>
      </w:r>
      <w:r>
        <w:rPr>
          <w:rFonts w:ascii="Times New Roman" w:hAnsi="Times New Roman"/>
          <w:b/>
          <w:i/>
          <w:noProof/>
          <w:sz w:val="15"/>
          <w:szCs w:val="15"/>
        </w:rPr>
        <w:t>FR</w:t>
      </w:r>
      <w:r>
        <w:rPr>
          <w:rFonts w:ascii="Times New Roman" w:hAnsi="Times New Roman"/>
          <w:i/>
          <w:noProof/>
          <w:sz w:val="15"/>
          <w:szCs w:val="15"/>
        </w:rPr>
        <w:t>: Wara inkjesta amministrattiva, il-Ministru tal-Ġ</w:t>
      </w:r>
      <w:r>
        <w:rPr>
          <w:rFonts w:ascii="Times New Roman" w:hAnsi="Times New Roman"/>
          <w:i/>
          <w:noProof/>
          <w:sz w:val="15"/>
          <w:szCs w:val="15"/>
        </w:rPr>
        <w:t xml:space="preserve">ustizzja jista’ jiddeċiedi li jqabbad lill-Kunsill Superjuri tal-Maġistratura (“Conseil Supérieur de la Magistrature”) sabiex jinvestiga l-każ. </w:t>
      </w:r>
      <w:r>
        <w:rPr>
          <w:rFonts w:ascii="Times New Roman" w:hAnsi="Times New Roman"/>
          <w:b/>
          <w:i/>
          <w:noProof/>
          <w:sz w:val="15"/>
          <w:szCs w:val="15"/>
        </w:rPr>
        <w:t>HR:</w:t>
      </w:r>
      <w:r>
        <w:rPr>
          <w:rFonts w:ascii="Times New Roman" w:hAnsi="Times New Roman"/>
          <w:i/>
          <w:noProof/>
          <w:sz w:val="15"/>
          <w:szCs w:val="15"/>
        </w:rPr>
        <w:t xml:space="preserve"> L-Avukat Superjuri tal-Istat jinvestiga. </w:t>
      </w:r>
      <w:r>
        <w:rPr>
          <w:rFonts w:ascii="Times New Roman" w:hAnsi="Times New Roman"/>
          <w:b/>
          <w:i/>
          <w:noProof/>
          <w:sz w:val="15"/>
          <w:szCs w:val="15"/>
        </w:rPr>
        <w:t>IT</w:t>
      </w:r>
      <w:r>
        <w:rPr>
          <w:rFonts w:ascii="Times New Roman" w:hAnsi="Times New Roman"/>
          <w:i/>
          <w:noProof/>
          <w:sz w:val="15"/>
          <w:szCs w:val="15"/>
        </w:rPr>
        <w:t xml:space="preserve">: Il-Prosekutur Ġenerali fil-Qorti Suprema huwa intitolat imexxi </w:t>
      </w:r>
      <w:r>
        <w:rPr>
          <w:rFonts w:ascii="Times New Roman" w:hAnsi="Times New Roman"/>
          <w:i/>
          <w:noProof/>
          <w:sz w:val="15"/>
          <w:szCs w:val="15"/>
        </w:rPr>
        <w:t xml:space="preserve">l-investigazzjoni. L-Ispettorat Ġenerali fil-Ministeru tal-Ġustizzja huwa intitolat iwettaq inkjesti amministrattivi. </w:t>
      </w:r>
      <w:r>
        <w:rPr>
          <w:rFonts w:ascii="Times New Roman" w:hAnsi="Times New Roman"/>
          <w:b/>
          <w:i/>
          <w:noProof/>
          <w:sz w:val="15"/>
          <w:szCs w:val="15"/>
        </w:rPr>
        <w:t>CY</w:t>
      </w:r>
      <w:r>
        <w:rPr>
          <w:rFonts w:ascii="Times New Roman" w:hAnsi="Times New Roman"/>
          <w:i/>
          <w:noProof/>
          <w:sz w:val="15"/>
          <w:szCs w:val="15"/>
        </w:rPr>
        <w:t>: L-Avukat Ġenerali jaħtar uffiċjal wieħed jew aktar ta’ grad superjuri mill-uffiċjal inkwistjoni, li jmexxi l-investigazzjoni u jipprod</w:t>
      </w:r>
      <w:r>
        <w:rPr>
          <w:rFonts w:ascii="Times New Roman" w:hAnsi="Times New Roman"/>
          <w:i/>
          <w:noProof/>
          <w:sz w:val="15"/>
          <w:szCs w:val="15"/>
        </w:rPr>
        <w:t xml:space="preserve">uċi rapport. L-Avukat Ġenerali mbagħad jiddeċiedi, abbażi tal-evidenza, jekk għandux jirreferi l-kwistjoni lill-Kummissjoni tas-Servizz Pubbliku. </w:t>
      </w:r>
      <w:r>
        <w:rPr>
          <w:rFonts w:ascii="Times New Roman" w:hAnsi="Times New Roman"/>
          <w:b/>
          <w:i/>
          <w:noProof/>
          <w:sz w:val="15"/>
          <w:szCs w:val="15"/>
        </w:rPr>
        <w:t>LV</w:t>
      </w:r>
      <w:r>
        <w:rPr>
          <w:rFonts w:ascii="Times New Roman" w:hAnsi="Times New Roman"/>
          <w:i/>
          <w:noProof/>
          <w:sz w:val="15"/>
          <w:szCs w:val="15"/>
        </w:rPr>
        <w:t>: Uffiċjal, li għandu d-dritt li japplika sanzjoni dixxiplinari (il-Prosekutur Ġenerali jew il-kapijiet pros</w:t>
      </w:r>
      <w:r>
        <w:rPr>
          <w:rFonts w:ascii="Times New Roman" w:hAnsi="Times New Roman"/>
          <w:i/>
          <w:noProof/>
          <w:sz w:val="15"/>
          <w:szCs w:val="15"/>
        </w:rPr>
        <w:t xml:space="preserve">ekuturi), għandu jirrieżamina l-materjali kollha li jirċievi u jitlob spjegazzjoni mingħand prosekutur u, jekk ikun hemm bżonn, jorganizza l-investigazzjoni dwar il-fatt ta’ ksur dixxiplinari. L-investigazzjoni tista’ titmexxa minn prosekutur tal-Uffiċċju </w:t>
      </w:r>
      <w:r>
        <w:rPr>
          <w:rFonts w:ascii="Times New Roman" w:hAnsi="Times New Roman"/>
          <w:i/>
          <w:noProof/>
          <w:sz w:val="15"/>
          <w:szCs w:val="15"/>
        </w:rPr>
        <w:t xml:space="preserve">tal-Prosekutur Ġenerali jew mill-kapijiet prosekuturi. </w:t>
      </w:r>
      <w:r>
        <w:rPr>
          <w:rFonts w:ascii="Times New Roman" w:hAnsi="Times New Roman"/>
          <w:b/>
          <w:i/>
          <w:noProof/>
          <w:sz w:val="15"/>
          <w:szCs w:val="15"/>
        </w:rPr>
        <w:t>LT</w:t>
      </w:r>
      <w:r>
        <w:rPr>
          <w:rFonts w:ascii="Times New Roman" w:hAnsi="Times New Roman"/>
          <w:i/>
          <w:noProof/>
          <w:sz w:val="15"/>
          <w:szCs w:val="15"/>
        </w:rPr>
        <w:t xml:space="preserve">: It-Taqsima tal-Investigazzjoni Interna tal-Uffiċċju tal-Prosekutur Ġenerali jew il-kummissjoni uffiċjali tal-ispezzjoni magħmula skont l-ordni tal-Prosekutur Ġenerali. </w:t>
      </w:r>
      <w:r>
        <w:rPr>
          <w:rFonts w:ascii="Times New Roman" w:hAnsi="Times New Roman"/>
          <w:b/>
          <w:i/>
          <w:noProof/>
          <w:sz w:val="15"/>
          <w:szCs w:val="15"/>
        </w:rPr>
        <w:t>LU</w:t>
      </w:r>
      <w:r>
        <w:rPr>
          <w:rFonts w:ascii="Times New Roman" w:hAnsi="Times New Roman"/>
          <w:i/>
          <w:noProof/>
          <w:sz w:val="15"/>
          <w:szCs w:val="15"/>
        </w:rPr>
        <w:t>: Awla tal-Kunsill tal-Qort</w:t>
      </w:r>
      <w:r>
        <w:rPr>
          <w:rFonts w:ascii="Times New Roman" w:hAnsi="Times New Roman"/>
          <w:i/>
          <w:noProof/>
          <w:sz w:val="15"/>
          <w:szCs w:val="15"/>
        </w:rPr>
        <w:t xml:space="preserve">i Superjuri tal-Ġustizzja tmexxi l-investigazzjoni. </w:t>
      </w:r>
      <w:r>
        <w:rPr>
          <w:rFonts w:ascii="Times New Roman" w:hAnsi="Times New Roman"/>
          <w:b/>
          <w:i/>
          <w:noProof/>
          <w:sz w:val="15"/>
          <w:szCs w:val="15"/>
        </w:rPr>
        <w:t>HU</w:t>
      </w:r>
      <w:r>
        <w:rPr>
          <w:rFonts w:ascii="Times New Roman" w:hAnsi="Times New Roman"/>
          <w:i/>
          <w:noProof/>
          <w:sz w:val="15"/>
          <w:szCs w:val="15"/>
        </w:rPr>
        <w:t xml:space="preserve">: Il-Kummissarju Dixxiplinari li jinvestiga l-każ huwa prosekutur maħtur sabiex jinvestiga mill-Kap tal-Unità (prosekutur superjuri) tal-prosekutur taħt investigazzjoni. </w:t>
      </w:r>
      <w:r>
        <w:rPr>
          <w:rFonts w:ascii="Times New Roman" w:hAnsi="Times New Roman"/>
          <w:b/>
          <w:i/>
          <w:noProof/>
          <w:sz w:val="15"/>
          <w:szCs w:val="15"/>
        </w:rPr>
        <w:t>MT</w:t>
      </w:r>
      <w:r>
        <w:rPr>
          <w:rFonts w:ascii="Times New Roman" w:hAnsi="Times New Roman"/>
          <w:i/>
          <w:noProof/>
          <w:sz w:val="15"/>
          <w:szCs w:val="15"/>
        </w:rPr>
        <w:t xml:space="preserve">: Il-Kumitat dwar l-Avukati u </w:t>
      </w:r>
      <w:r>
        <w:rPr>
          <w:rFonts w:ascii="Times New Roman" w:hAnsi="Times New Roman"/>
          <w:i/>
          <w:noProof/>
          <w:sz w:val="15"/>
          <w:szCs w:val="15"/>
        </w:rPr>
        <w:t xml:space="preserve">l-Prokuraturi Legali jinvestiga l-każ. Dan il-korp jikkonsisti f’avukat maħtur mill-Kummissjoni għall-Amministrazzjoni tal-Ġustizzja, f’avukat maħtur mill-Avukat Ġenerali u fi tliet prokuraturi legali maħtura mill-Kamra tal-Prokuraturi Legali. </w:t>
      </w:r>
      <w:r>
        <w:rPr>
          <w:rFonts w:ascii="Times New Roman" w:hAnsi="Times New Roman"/>
          <w:b/>
          <w:i/>
          <w:noProof/>
          <w:sz w:val="15"/>
          <w:szCs w:val="15"/>
        </w:rPr>
        <w:t>NL</w:t>
      </w:r>
      <w:r>
        <w:rPr>
          <w:rFonts w:ascii="Times New Roman" w:hAnsi="Times New Roman"/>
          <w:i/>
          <w:noProof/>
          <w:sz w:val="15"/>
          <w:szCs w:val="15"/>
        </w:rPr>
        <w:t>: Il-prose</w:t>
      </w:r>
      <w:r>
        <w:rPr>
          <w:rFonts w:ascii="Times New Roman" w:hAnsi="Times New Roman"/>
          <w:i/>
          <w:noProof/>
          <w:sz w:val="15"/>
          <w:szCs w:val="15"/>
        </w:rPr>
        <w:t>kutur ġerarkikament superjuri jmexxi l-investigazzjoni.</w:t>
      </w:r>
      <w:r>
        <w:rPr>
          <w:noProof/>
          <w:sz w:val="15"/>
          <w:szCs w:val="15"/>
        </w:rPr>
        <w:t xml:space="preserve"> </w:t>
      </w:r>
      <w:r>
        <w:rPr>
          <w:rFonts w:ascii="Times New Roman" w:hAnsi="Times New Roman"/>
          <w:b/>
          <w:i/>
          <w:noProof/>
          <w:sz w:val="15"/>
          <w:szCs w:val="15"/>
        </w:rPr>
        <w:t>AT</w:t>
      </w:r>
      <w:r>
        <w:rPr>
          <w:rFonts w:ascii="Times New Roman" w:hAnsi="Times New Roman"/>
          <w:i/>
          <w:noProof/>
          <w:sz w:val="15"/>
          <w:szCs w:val="15"/>
        </w:rPr>
        <w:t xml:space="preserve">: Awla speċjali ta’ qorti tmexxi l-investigazzjoni. </w:t>
      </w:r>
      <w:r>
        <w:rPr>
          <w:rFonts w:ascii="Times New Roman" w:hAnsi="Times New Roman"/>
          <w:b/>
          <w:i/>
          <w:noProof/>
          <w:sz w:val="15"/>
          <w:szCs w:val="15"/>
        </w:rPr>
        <w:t>PL:</w:t>
      </w:r>
      <w:r>
        <w:rPr>
          <w:rFonts w:ascii="Times New Roman" w:hAnsi="Times New Roman"/>
          <w:i/>
          <w:noProof/>
          <w:sz w:val="15"/>
          <w:szCs w:val="15"/>
        </w:rPr>
        <w:t xml:space="preserve"> Il-każ jiġi investigat minn Uffiċjal Dixxiplinari, li huwa prosekutur maħtur għal dik il-kariga mill-Prosekutur Ġenerali (li huwa wkoll il-Min</w:t>
      </w:r>
      <w:r>
        <w:rPr>
          <w:rFonts w:ascii="Times New Roman" w:hAnsi="Times New Roman"/>
          <w:i/>
          <w:noProof/>
          <w:sz w:val="15"/>
          <w:szCs w:val="15"/>
        </w:rPr>
        <w:t>istru tal-Ġustizzja). Il-Ministru tal-Ġustizzja jista’ jaħtar ukoll, fuq bażi ad hoc, prosekutur bħala Uffiċjal Dixxiplinari tal-Ministru tal-Ġustizzja bis-setgħa li jieħu f’idejh kwalunkwe investigazzjoni dixxiplinari li tkun għaddejja jew li jibda invest</w:t>
      </w:r>
      <w:r>
        <w:rPr>
          <w:rFonts w:ascii="Times New Roman" w:hAnsi="Times New Roman"/>
          <w:i/>
          <w:noProof/>
          <w:sz w:val="15"/>
          <w:szCs w:val="15"/>
        </w:rPr>
        <w:t xml:space="preserve">igazzjoni jew proċedimenti dixxiplinari. </w:t>
      </w:r>
      <w:r>
        <w:rPr>
          <w:rFonts w:ascii="Times New Roman" w:hAnsi="Times New Roman"/>
          <w:b/>
          <w:i/>
          <w:noProof/>
          <w:sz w:val="15"/>
          <w:szCs w:val="15"/>
        </w:rPr>
        <w:t>PT</w:t>
      </w:r>
      <w:r>
        <w:rPr>
          <w:rFonts w:ascii="Times New Roman" w:hAnsi="Times New Roman"/>
          <w:i/>
          <w:noProof/>
          <w:sz w:val="15"/>
          <w:szCs w:val="15"/>
        </w:rPr>
        <w:t xml:space="preserve">: L-Ispezzjoni tal-Prosekuturi Pubbliċi tmexxi l-investigazzjoni. Dan il-korp huwa magħmul minn prosekuturi pubbliċi maħtura mill-Kunsill Għoli tas-Servizz ta’ Prosekuzzjoni Pubblika. </w:t>
      </w:r>
      <w:r>
        <w:rPr>
          <w:rFonts w:ascii="Times New Roman" w:hAnsi="Times New Roman"/>
          <w:b/>
          <w:i/>
          <w:noProof/>
          <w:sz w:val="15"/>
          <w:szCs w:val="15"/>
        </w:rPr>
        <w:t>RO</w:t>
      </w:r>
      <w:r>
        <w:rPr>
          <w:rFonts w:ascii="Times New Roman" w:hAnsi="Times New Roman"/>
          <w:i/>
          <w:noProof/>
          <w:sz w:val="15"/>
          <w:szCs w:val="15"/>
        </w:rPr>
        <w:t>: Il-Korp ta’ Spezzjoni Ġud</w:t>
      </w:r>
      <w:r>
        <w:rPr>
          <w:rFonts w:ascii="Times New Roman" w:hAnsi="Times New Roman"/>
          <w:i/>
          <w:noProof/>
          <w:sz w:val="15"/>
          <w:szCs w:val="15"/>
        </w:rPr>
        <w:t xml:space="preserve">izzjarju huwa korp fi ħdan il-Kunsill Superjuri tal-Maġistratura. It-taqsima li tinvestiga miżuri dixxiplinarji dwar prosekuturi hija magħmula minn 13-il prosekutur, maħtura mill-Kap Spettur tal-Korp ta’ Spezzjoni Ġudizzjarja wara kompetizzjoni. </w:t>
      </w:r>
      <w:r>
        <w:rPr>
          <w:rFonts w:ascii="Times New Roman" w:hAnsi="Times New Roman"/>
          <w:b/>
          <w:i/>
          <w:noProof/>
          <w:sz w:val="15"/>
          <w:szCs w:val="15"/>
        </w:rPr>
        <w:t>SI:</w:t>
      </w:r>
      <w:r>
        <w:rPr>
          <w:rFonts w:ascii="Times New Roman" w:hAnsi="Times New Roman"/>
          <w:i/>
          <w:noProof/>
          <w:sz w:val="15"/>
          <w:szCs w:val="15"/>
        </w:rPr>
        <w:t xml:space="preserve"> L-investigazzjoni titmexxa minn prosekutur ta’ stat dixxiplinarju u mill-viċi tiegħu, li huma prosekuturi supremi tal-istat maħtura mill-Kunsill tal-Prosekuzzjoni fuq proposta tal-Prosekutur Ġenerali bil-kunsens tagħhom. </w:t>
      </w:r>
      <w:r>
        <w:rPr>
          <w:rFonts w:ascii="Times New Roman" w:hAnsi="Times New Roman"/>
          <w:b/>
          <w:i/>
          <w:noProof/>
          <w:sz w:val="15"/>
          <w:szCs w:val="15"/>
        </w:rPr>
        <w:t>SK</w:t>
      </w:r>
      <w:r>
        <w:rPr>
          <w:rFonts w:ascii="Times New Roman" w:hAnsi="Times New Roman"/>
          <w:i/>
          <w:noProof/>
          <w:sz w:val="15"/>
          <w:szCs w:val="15"/>
        </w:rPr>
        <w:t>: Bord dixxiplinari magħmul minn</w:t>
      </w:r>
      <w:r>
        <w:rPr>
          <w:rFonts w:ascii="Times New Roman" w:hAnsi="Times New Roman"/>
          <w:i/>
          <w:noProof/>
          <w:sz w:val="15"/>
          <w:szCs w:val="15"/>
        </w:rPr>
        <w:t xml:space="preserve"> tliet prosekuturi, maħtur mill-Prosekutur Ġenerali minn bażi ta’ data ta’ mill-inqas 40 persuna proposta mill-Kunsill tal-Prosekutur. </w:t>
      </w:r>
      <w:r>
        <w:rPr>
          <w:rFonts w:ascii="Times New Roman" w:hAnsi="Times New Roman"/>
          <w:b/>
          <w:i/>
          <w:noProof/>
          <w:sz w:val="15"/>
          <w:szCs w:val="15"/>
        </w:rPr>
        <w:t>FI</w:t>
      </w:r>
      <w:r>
        <w:rPr>
          <w:rFonts w:ascii="Times New Roman" w:hAnsi="Times New Roman"/>
          <w:i/>
          <w:noProof/>
          <w:sz w:val="15"/>
          <w:szCs w:val="15"/>
        </w:rPr>
        <w:t xml:space="preserve">: Il-Prosekutur Ġenerali jmexxi l-investigazzjoni. </w:t>
      </w:r>
      <w:r>
        <w:rPr>
          <w:rFonts w:ascii="Times New Roman" w:hAnsi="Times New Roman"/>
          <w:b/>
          <w:i/>
          <w:noProof/>
          <w:sz w:val="15"/>
          <w:szCs w:val="15"/>
        </w:rPr>
        <w:t>SE</w:t>
      </w:r>
      <w:r>
        <w:rPr>
          <w:rFonts w:ascii="Times New Roman" w:hAnsi="Times New Roman"/>
          <w:i/>
          <w:noProof/>
          <w:sz w:val="15"/>
          <w:szCs w:val="15"/>
        </w:rPr>
        <w:t>: L-Awtorità Żvediża ta’ Prosekuzzjoni tmexxi l-investigazzjoni.</w:t>
      </w:r>
    </w:p>
    <w:p w:rsidR="00461018" w:rsidRDefault="000329C3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L</w:t>
      </w:r>
      <w:r>
        <w:rPr>
          <w:rFonts w:ascii="Times New Roman" w:hAnsi="Times New Roman"/>
          <w:noProof/>
          <w:sz w:val="24"/>
          <w:szCs w:val="24"/>
        </w:rPr>
        <w:t>-Illustrazzjoni 55 turi f’liema Stati Membri l-Prosekutur Ġenerali jew il-Ministru tal-Ġustizzja jista’ jagħti struzzjonijiet lill-prosekuturi f’każijiet individwali (l-awtorità li tista’ tagħti struzzjonijiet) u tippreżenta xi wħud mis-salvagwardji li jku</w:t>
      </w:r>
      <w:r>
        <w:rPr>
          <w:rFonts w:ascii="Times New Roman" w:hAnsi="Times New Roman"/>
          <w:noProof/>
          <w:sz w:val="24"/>
          <w:szCs w:val="24"/>
        </w:rPr>
        <w:t>nu fis-seħħ jekk jingħataw dawn l-istruzzjonijiet f’każ individwali. Minbarra s-salvagwardji ppreżentati fl-illustrazzjoni(</w:t>
      </w:r>
      <w:r>
        <w:rPr>
          <w:rStyle w:val="FootnoteReference"/>
          <w:rFonts w:ascii="Times New Roman" w:eastAsia="Times New Roman" w:hAnsi="Times New Roman" w:cs="Times New Roman"/>
          <w:noProof/>
          <w:sz w:val="24"/>
          <w:szCs w:val="24"/>
        </w:rPr>
        <w:footnoteReference w:id="124"/>
      </w:r>
      <w:r>
        <w:rPr>
          <w:rFonts w:ascii="Times New Roman" w:hAnsi="Times New Roman"/>
          <w:noProof/>
          <w:sz w:val="24"/>
          <w:szCs w:val="24"/>
        </w:rPr>
        <w:t>), jista’ jkun hemm oħrajn fis-seħħ. F’pajjiżi fejn l-istruzzjonijiet mill-ministru tal-ġustizzja jkunu permessi mil-liġi, din is-se</w:t>
      </w:r>
      <w:r>
        <w:rPr>
          <w:rFonts w:ascii="Times New Roman" w:hAnsi="Times New Roman"/>
          <w:noProof/>
          <w:sz w:val="24"/>
          <w:szCs w:val="24"/>
        </w:rPr>
        <w:t>tgħa setgħet ġiet eżerċitata fil-prattika jew rarament biss (ara n-nota ta’ spjegazzjoni f’qiegħ il-paġna taħt l-illustrazzjoni).</w:t>
      </w:r>
    </w:p>
    <w:p w:rsidR="00461018" w:rsidRDefault="000329C3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Cs/>
          <w:i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Illustrazzjoni </w:t>
      </w:r>
      <w:r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instrText xml:space="preserve"> SEQ Figure \* ARABIC </w:instrTex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fldChar w:fldCharType="separate"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>55</w:t>
      </w:r>
      <w:r>
        <w:rPr>
          <w:rFonts w:ascii="Times New Roman" w:hAnsi="Times New Roman" w:cs="Times New Roman"/>
          <w:noProof/>
          <w:sz w:val="24"/>
          <w:szCs w:val="24"/>
        </w:rPr>
        <w:fldChar w:fldCharType="end"/>
      </w:r>
      <w:r>
        <w:rPr>
          <w:rFonts w:ascii="Times New Roman" w:hAnsi="Times New Roman"/>
          <w:b/>
          <w:noProof/>
          <w:sz w:val="24"/>
          <w:szCs w:val="24"/>
        </w:rPr>
        <w:t>: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Struzzjonijiet lill-prosekuturi f’każijiet individwali: awtorità li tista’ tagħti </w:t>
      </w:r>
      <w:r>
        <w:rPr>
          <w:rFonts w:ascii="Times New Roman" w:hAnsi="Times New Roman"/>
          <w:b/>
          <w:bCs/>
          <w:noProof/>
          <w:sz w:val="24"/>
          <w:szCs w:val="24"/>
        </w:rPr>
        <w:t>struzzjonijiet u salvagwardji (*)</w:t>
      </w:r>
      <w:r>
        <w:rPr>
          <w:rFonts w:ascii="Times New Roman" w:hAnsi="Times New Roman"/>
          <w:bCs/>
          <w:i/>
          <w:noProof/>
          <w:sz w:val="24"/>
          <w:szCs w:val="24"/>
        </w:rPr>
        <w:t xml:space="preserve"> (Sors: il-Kummissjoni Ewropea flimkien mal-Grupp ta’ Esperti dwar il-Ħasil tal-Flus u l-Finanzjament tat-Terroriżmu)</w:t>
      </w:r>
    </w:p>
    <w:p w:rsidR="00461018" w:rsidRDefault="000329C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5977103" cy="1903228"/>
            <wp:effectExtent l="0" t="0" r="5080" b="1905"/>
            <wp:docPr id="97310" name="Picture 97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51"/>
                    <a:stretch/>
                  </pic:blipFill>
                  <pic:spPr bwMode="auto">
                    <a:xfrm>
                      <a:off x="0" y="0"/>
                      <a:ext cx="5977255" cy="190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16"/>
        </w:rPr>
        <w:t>L-awtorità li tista’ tagħti struzzjonijiet lill-prosekuturi f’każijiet individwali:</w:t>
      </w:r>
    </w:p>
    <w:p w:rsidR="00461018" w:rsidRDefault="000329C3">
      <w:pPr>
        <w:spacing w:after="0" w:line="240" w:lineRule="auto"/>
        <w:jc w:val="both"/>
        <w:rPr>
          <w:rFonts w:ascii="Times New Roman" w:hAnsi="Times New Roman" w:cs="Times New Roman"/>
          <w:noProof/>
          <w:sz w:val="18"/>
          <w:szCs w:val="16"/>
        </w:rPr>
      </w:pPr>
      <w:r>
        <w:rPr>
          <w:noProof/>
          <w:lang w:val="en-GB" w:eastAsia="en-GB"/>
        </w:rPr>
        <w:drawing>
          <wp:inline distT="0" distB="0" distL="0" distR="0">
            <wp:extent cx="5942965" cy="520608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07"/>
                    <a:stretch/>
                  </pic:blipFill>
                  <pic:spPr bwMode="auto">
                    <a:xfrm>
                      <a:off x="0" y="0"/>
                      <a:ext cx="5943600" cy="52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018" w:rsidRDefault="000329C3">
      <w:pPr>
        <w:spacing w:before="120" w:after="0" w:line="240" w:lineRule="auto"/>
        <w:jc w:val="both"/>
        <w:rPr>
          <w:rFonts w:ascii="Times New Roman" w:hAnsi="Times New Roman" w:cs="Times New Roman"/>
          <w:noProof/>
          <w:sz w:val="24"/>
          <w:szCs w:val="16"/>
        </w:rPr>
      </w:pPr>
      <w:r>
        <w:rPr>
          <w:rFonts w:ascii="Times New Roman" w:hAnsi="Times New Roman"/>
          <w:noProof/>
          <w:sz w:val="24"/>
          <w:szCs w:val="16"/>
        </w:rPr>
        <w:t xml:space="preserve">Salvagwardji </w:t>
      </w:r>
      <w:r>
        <w:rPr>
          <w:rFonts w:ascii="Times New Roman" w:hAnsi="Times New Roman"/>
          <w:noProof/>
          <w:sz w:val="24"/>
          <w:szCs w:val="16"/>
        </w:rPr>
        <w:t>partikolari f’każ li jingħataw struzzjonijiet f’każ individwali:</w:t>
      </w:r>
    </w:p>
    <w:p w:rsidR="00461018" w:rsidRDefault="000329C3">
      <w:pPr>
        <w:spacing w:after="0" w:line="240" w:lineRule="auto"/>
        <w:jc w:val="both"/>
        <w:rPr>
          <w:rFonts w:ascii="Times New Roman" w:hAnsi="Times New Roman" w:cs="Times New Roman"/>
          <w:noProof/>
          <w:sz w:val="18"/>
          <w:szCs w:val="16"/>
        </w:rPr>
      </w:pPr>
      <w:r>
        <w:rPr>
          <w:noProof/>
          <w:lang w:val="en-GB" w:eastAsia="en-GB"/>
        </w:rPr>
        <w:drawing>
          <wp:inline distT="0" distB="0" distL="0" distR="0">
            <wp:extent cx="5942965" cy="771525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35" b="16682"/>
                    <a:stretch/>
                  </pic:blipFill>
                  <pic:spPr bwMode="auto">
                    <a:xfrm>
                      <a:off x="0" y="0"/>
                      <a:ext cx="5943600" cy="77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018" w:rsidRDefault="000329C3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18"/>
          <w:szCs w:val="15"/>
        </w:rPr>
      </w:pPr>
      <w:r>
        <w:rPr>
          <w:rFonts w:ascii="Times New Roman" w:hAnsi="Times New Roman"/>
          <w:i/>
          <w:noProof/>
          <w:sz w:val="18"/>
          <w:szCs w:val="15"/>
        </w:rPr>
        <w:t xml:space="preserve">(*) </w:t>
      </w:r>
      <w:r>
        <w:rPr>
          <w:rFonts w:ascii="Times New Roman" w:hAnsi="Times New Roman"/>
          <w:b/>
          <w:i/>
          <w:noProof/>
          <w:sz w:val="18"/>
          <w:szCs w:val="15"/>
        </w:rPr>
        <w:t>BE:</w:t>
      </w:r>
      <w:r>
        <w:rPr>
          <w:rFonts w:ascii="Times New Roman" w:hAnsi="Times New Roman"/>
          <w:i/>
          <w:noProof/>
          <w:sz w:val="18"/>
          <w:szCs w:val="15"/>
        </w:rPr>
        <w:t xml:space="preserve"> Il-Ministru tal-Ġustizzja għandu s-setgħa li jagħti struzzjonijiet rigward il-prosekuzzjoni f’każijiet individwali (dritt ta’ inġunzjoni pożittiva sabiex titmexxa prosekuzzjoni huwa</w:t>
      </w:r>
      <w:r>
        <w:rPr>
          <w:rFonts w:ascii="Times New Roman" w:hAnsi="Times New Roman"/>
          <w:i/>
          <w:noProof/>
          <w:sz w:val="18"/>
          <w:szCs w:val="15"/>
        </w:rPr>
        <w:t xml:space="preserve"> previst fl-Art. 364 tal-Kodiċi tal-Proċedura Kriminali u fl-Art. 151(1) tal-Kostituzzjoni). L-istruzzjonijiet ikunu mehmuża mal-fajl tal-każ iżda l-qari tagħhom mill-partijiet jiddependi mill-okkażjoni għal deċiżjoni u mill-istadju attwali tal-każ. </w:t>
      </w:r>
      <w:r>
        <w:rPr>
          <w:rFonts w:ascii="Times New Roman" w:hAnsi="Times New Roman"/>
          <w:b/>
          <w:i/>
          <w:noProof/>
          <w:sz w:val="18"/>
          <w:szCs w:val="15"/>
        </w:rPr>
        <w:t>BG:</w:t>
      </w:r>
      <w:r>
        <w:rPr>
          <w:rFonts w:ascii="Times New Roman" w:hAnsi="Times New Roman"/>
          <w:i/>
          <w:noProof/>
          <w:sz w:val="18"/>
          <w:szCs w:val="15"/>
        </w:rPr>
        <w:t xml:space="preserve"> L-</w:t>
      </w:r>
      <w:r>
        <w:rPr>
          <w:rFonts w:ascii="Times New Roman" w:hAnsi="Times New Roman"/>
          <w:i/>
          <w:noProof/>
          <w:sz w:val="18"/>
          <w:szCs w:val="15"/>
        </w:rPr>
        <w:t xml:space="preserve">appell huwa possibbli ħlief għall-atti tal-Prosekutur Ġenerali. </w:t>
      </w:r>
      <w:r>
        <w:rPr>
          <w:rFonts w:ascii="Times New Roman" w:hAnsi="Times New Roman"/>
          <w:b/>
          <w:i/>
          <w:noProof/>
          <w:sz w:val="18"/>
          <w:szCs w:val="15"/>
        </w:rPr>
        <w:t>CZ:</w:t>
      </w:r>
      <w:r>
        <w:rPr>
          <w:rFonts w:ascii="Times New Roman" w:hAnsi="Times New Roman"/>
          <w:i/>
          <w:noProof/>
          <w:sz w:val="18"/>
          <w:szCs w:val="15"/>
        </w:rPr>
        <w:t xml:space="preserve"> Il-Prosekutur Ġenerali għandu s-setgħa li jagħti struzzjonijiet dwar il-prosekuzzjoni f’każijiet individwali fl-Uffiċċju tal-Prosekutur Ġenerali biss u lil uffiċċji tal-prosekuturi pubbliċ</w:t>
      </w:r>
      <w:r>
        <w:rPr>
          <w:rFonts w:ascii="Times New Roman" w:hAnsi="Times New Roman"/>
          <w:i/>
          <w:noProof/>
          <w:sz w:val="18"/>
          <w:szCs w:val="15"/>
        </w:rPr>
        <w:t xml:space="preserve">i għolja. </w:t>
      </w:r>
      <w:r>
        <w:rPr>
          <w:rFonts w:ascii="Times New Roman" w:hAnsi="Times New Roman"/>
          <w:b/>
          <w:i/>
          <w:noProof/>
          <w:sz w:val="18"/>
          <w:szCs w:val="15"/>
        </w:rPr>
        <w:t>DE</w:t>
      </w:r>
      <w:r>
        <w:rPr>
          <w:rFonts w:ascii="Times New Roman" w:hAnsi="Times New Roman"/>
          <w:i/>
          <w:noProof/>
          <w:sz w:val="18"/>
          <w:szCs w:val="15"/>
        </w:rPr>
        <w:t>: #: Is-salvagwardji jvarjaw skont il-livell federali jew statali. Il-Prosekutur Ġenerali Federali Pubbliku huwa l-uniku prosekutur pubbliku fil-livell federali li huwa taħt is-superviżjoni u d-direzzjoni tal-Ministru Federali tal-Ġustizzja u t</w:t>
      </w:r>
      <w:r>
        <w:rPr>
          <w:rFonts w:ascii="Times New Roman" w:hAnsi="Times New Roman"/>
          <w:i/>
          <w:noProof/>
          <w:sz w:val="18"/>
          <w:szCs w:val="15"/>
        </w:rPr>
        <w:t>al-Protezzjoni tal-Konsumatur u l-prosekuturi pubbliċi ġenerali tas-16-il stat Ġermaniż huma taħt is-superviżjoni u d-direzzjoni tad-dipartimenti tal-ġustizzja rispettivi tal-istat. Id-dritt għal superviżjoni u għal direzzjoni jinkludi s-setgħa li jingħata</w:t>
      </w:r>
      <w:r>
        <w:rPr>
          <w:rFonts w:ascii="Times New Roman" w:hAnsi="Times New Roman"/>
          <w:i/>
          <w:noProof/>
          <w:sz w:val="18"/>
          <w:szCs w:val="15"/>
        </w:rPr>
        <w:t xml:space="preserve">w struzzjonijiet lill-prosekutur ġenerali rispettiv, iżda huwa limitat mill-prinċipju ta’ legalità (jiġifieri, il-prinċipju ta’ prosekuzzjoni obbligatorja). L-istruzzjonijiet f’każijiet individwali ftit li xejn iseħħu. Bħala eżempji, il-ministeru federali </w:t>
      </w:r>
      <w:r>
        <w:rPr>
          <w:rFonts w:ascii="Times New Roman" w:hAnsi="Times New Roman"/>
          <w:i/>
          <w:noProof/>
          <w:sz w:val="18"/>
          <w:szCs w:val="15"/>
        </w:rPr>
        <w:t xml:space="preserve">u l-partijiet tal-gvern tas-Sassonja ħarġu impenji li ma jeżerċitawx id-drittijiet tagħhom li jagħtu struzzjonijiet. Il-Ministeru ta’ Thüringen ħa l-impenn li ma jagħtix struzzjonijiet f’każijiet individwali, il-ministeru ta’ Nordrhein-Westfalen u l-gvern </w:t>
      </w:r>
      <w:r>
        <w:rPr>
          <w:rFonts w:ascii="Times New Roman" w:hAnsi="Times New Roman"/>
          <w:i/>
          <w:noProof/>
          <w:sz w:val="18"/>
          <w:szCs w:val="15"/>
        </w:rPr>
        <w:t>tas-Sassonja t’Isfel ħadu impenn li jagħtu struzzjonijiet individwali biss f’każijiet eċċezzjonali. M’hemm l-ebda liġi federali iżda hemm ċerti liġijiet tal-istat kif ukoll regolamenti u linji gwida federali u tal-istat li jistabbilixxu regoli dwar l-istru</w:t>
      </w:r>
      <w:r>
        <w:rPr>
          <w:rFonts w:ascii="Times New Roman" w:hAnsi="Times New Roman"/>
          <w:i/>
          <w:noProof/>
          <w:sz w:val="18"/>
          <w:szCs w:val="15"/>
        </w:rPr>
        <w:t>zzjonijiet. Bħala eżempji, l-istruzzjonijiet tal-ministeru federali u tal-ministeri ta’ Nordrhein-Westfalen u ta’ Thüringen iridu jkunu bil-miktub, f’Thüringen dawn iridu jkunu motivati wkoll, fis-Sassonja t’Isfel iridu jkunu bil-miktub jekk ma jintlaħaq l</w:t>
      </w:r>
      <w:r>
        <w:rPr>
          <w:rFonts w:ascii="Times New Roman" w:hAnsi="Times New Roman"/>
          <w:i/>
          <w:noProof/>
          <w:sz w:val="18"/>
          <w:szCs w:val="15"/>
        </w:rPr>
        <w:t>-ebda ftehim u fi Schleswig Holstein, iridu jiġu ddokumentati bil-miktub u jiġu rrapportati lill-president tal-parlament. Fil-livell federali u statali, l-istruzzjonijiet ta’ uffiċjal superjuri huma vinkolanti biss fi ħdan ir-relazzjoni interna ta’ impjieg</w:t>
      </w:r>
      <w:r>
        <w:rPr>
          <w:rFonts w:ascii="Times New Roman" w:hAnsi="Times New Roman"/>
          <w:i/>
          <w:noProof/>
          <w:sz w:val="18"/>
          <w:szCs w:val="15"/>
        </w:rPr>
        <w:t xml:space="preserve"> tal-prosekutur u atti li jiksru struzzjoni għadhom effettivi. Peress li prosekutur għandu d-dmir li jikkonforma mal-liġijiet, huwa jrid jirrifjuta li jsegwi struzzjonijiet illegali. Huwa jista’ jikkontesta u jitlob rieżami tal-istruzzjonijiet mill-uffiċja</w:t>
      </w:r>
      <w:r>
        <w:rPr>
          <w:rFonts w:ascii="Times New Roman" w:hAnsi="Times New Roman"/>
          <w:i/>
          <w:noProof/>
          <w:sz w:val="18"/>
          <w:szCs w:val="15"/>
        </w:rPr>
        <w:t>l superjuri ta’ fuqu. Jekk l-istruzzjoni tiġi kkonfermata u l-prosekutur ikun għad għandu dubji dwar il-legalità tagħha, huwa jista’ jitlob rieżami mill-uffiċjal ta’ livell ogħla li jmiss. Jekk l-istruzzjoni terġa’ tiġi kkonfermata, il-prosekutur jeħtieġlu</w:t>
      </w:r>
      <w:r>
        <w:rPr>
          <w:rFonts w:ascii="Times New Roman" w:hAnsi="Times New Roman"/>
          <w:i/>
          <w:noProof/>
          <w:sz w:val="18"/>
          <w:szCs w:val="15"/>
        </w:rPr>
        <w:t xml:space="preserve"> jsegwi l-istruzzjoni u ma jkunx fi ksur tad-dmirijiet tiegħu jekk l-istruzzjoni tkun illegali. Madankollu, bħala eċċezzjoni, il-prosekuturi qatt ma jridu jikkonformaw mal-istruzzjonijiet jekk dawn l-atti jikkostitwixxu reat, reat amministrattiv jew ksur t</w:t>
      </w:r>
      <w:r>
        <w:rPr>
          <w:rFonts w:ascii="Times New Roman" w:hAnsi="Times New Roman"/>
          <w:i/>
          <w:noProof/>
          <w:sz w:val="18"/>
          <w:szCs w:val="15"/>
        </w:rPr>
        <w:t>ad-dinjità tal-bniedem. Ma hemm l-ebda rimedju legali speċjali għar-rieżami tal-istruzzjonijiet minn qorti. Madankollu, il-qrati jistgħu jirrieżaminaw il-legalità tal-istruzzjonijiet matul proċedimenti dixxiplinari kontra prosekuturi, eż. jekk ikollhom jid</w:t>
      </w:r>
      <w:r>
        <w:rPr>
          <w:rFonts w:ascii="Times New Roman" w:hAnsi="Times New Roman"/>
          <w:i/>
          <w:noProof/>
          <w:sz w:val="18"/>
          <w:szCs w:val="15"/>
        </w:rPr>
        <w:t xml:space="preserve">deċiedu jekk in-nuqqas ta’ konformità mal-istruzzjonijiet jikkostitwix ksur tad-dmirijiet professjonali. </w:t>
      </w:r>
      <w:r>
        <w:rPr>
          <w:rFonts w:ascii="Times New Roman" w:hAnsi="Times New Roman"/>
          <w:b/>
          <w:i/>
          <w:noProof/>
          <w:sz w:val="18"/>
          <w:szCs w:val="15"/>
        </w:rPr>
        <w:t>DK:</w:t>
      </w:r>
      <w:r>
        <w:rPr>
          <w:rFonts w:ascii="Times New Roman" w:hAnsi="Times New Roman"/>
          <w:i/>
          <w:noProof/>
          <w:sz w:val="18"/>
          <w:szCs w:val="15"/>
        </w:rPr>
        <w:t xml:space="preserve"> Il-Ministru tal-Ġustizzja għandu s-setgħa li jagħti struzzjonijiet dwar il-prosekuzzjoni f’każijiet individwali (l-Artikolu 98(3) tal-Att dwar l-Am</w:t>
      </w:r>
      <w:r>
        <w:rPr>
          <w:rFonts w:ascii="Times New Roman" w:hAnsi="Times New Roman"/>
          <w:i/>
          <w:noProof/>
          <w:sz w:val="18"/>
          <w:szCs w:val="15"/>
        </w:rPr>
        <w:t>ministrazzjoni tal-Ġustizzja). Madankollu, Ministri tal-Ġustizzja differenti żammew lura ħafna milli jużaw din il-possibbiltà, u din l-istruzzjoni ilha ma tingħata sa mis-snin 1990. Il-President tal-Parlament Daniż irid jiġi informat dwar l-istruzzjoni(jie</w:t>
      </w:r>
      <w:r>
        <w:rPr>
          <w:rFonts w:ascii="Times New Roman" w:hAnsi="Times New Roman"/>
          <w:i/>
          <w:noProof/>
          <w:sz w:val="18"/>
          <w:szCs w:val="15"/>
        </w:rPr>
        <w:t>t) bil-miktub (l-Artikolu 98(3) tal-Att dwar l-Amministrazzjoni tal-Ġustizzja). Il-prosekuturi reġjonali tal-istat jistgħu jirrieżaminaw id-deċiżjonijiet mid-distretti tal-pulizija u d-Direttur tal-Prosekuzzjonijiet Pubbliċi jista’ jirrieżamina d-deċiżjoni</w:t>
      </w:r>
      <w:r>
        <w:rPr>
          <w:rFonts w:ascii="Times New Roman" w:hAnsi="Times New Roman"/>
          <w:i/>
          <w:noProof/>
          <w:sz w:val="18"/>
          <w:szCs w:val="15"/>
        </w:rPr>
        <w:t xml:space="preserve">jiet mill-prosekuturi reġjonali tal-istat. </w:t>
      </w:r>
      <w:r>
        <w:rPr>
          <w:rFonts w:ascii="Times New Roman" w:hAnsi="Times New Roman"/>
          <w:b/>
          <w:i/>
          <w:noProof/>
          <w:sz w:val="18"/>
          <w:szCs w:val="15"/>
        </w:rPr>
        <w:t>IE:</w:t>
      </w:r>
      <w:r>
        <w:rPr>
          <w:rFonts w:ascii="Times New Roman" w:hAnsi="Times New Roman"/>
          <w:i/>
          <w:noProof/>
          <w:sz w:val="18"/>
          <w:szCs w:val="15"/>
        </w:rPr>
        <w:t xml:space="preserve"> Mhuwiex speċifikat fl-Artikolu 4.1 tal-Att dwar il-Prosekuzzjoni ta’ Reati (Prosecution of Offences Act), 1974. </w:t>
      </w:r>
      <w:r>
        <w:rPr>
          <w:rFonts w:ascii="Times New Roman" w:hAnsi="Times New Roman"/>
          <w:b/>
          <w:i/>
          <w:noProof/>
          <w:sz w:val="18"/>
          <w:szCs w:val="15"/>
        </w:rPr>
        <w:t>ES:</w:t>
      </w:r>
      <w:r>
        <w:rPr>
          <w:rFonts w:ascii="Times New Roman" w:hAnsi="Times New Roman"/>
          <w:i/>
          <w:noProof/>
          <w:sz w:val="18"/>
          <w:szCs w:val="15"/>
        </w:rPr>
        <w:t xml:space="preserve"> L-Avukat Ġenerali jistabbilixxi ordnijiet u struzzjonijiet interni xierqa għas-servizz u għal</w:t>
      </w:r>
      <w:r>
        <w:rPr>
          <w:rFonts w:ascii="Times New Roman" w:hAnsi="Times New Roman"/>
          <w:i/>
          <w:noProof/>
          <w:sz w:val="18"/>
          <w:szCs w:val="15"/>
        </w:rPr>
        <w:t xml:space="preserve">l-eżerċizzju tal-funzjonijiet ta’ prosekuzzjoni, li jistgħu jkunu ġenerali jew relatati ma’ kwistjonijiet speċifiċi. </w:t>
      </w:r>
      <w:r>
        <w:rPr>
          <w:rFonts w:ascii="Times New Roman" w:hAnsi="Times New Roman"/>
          <w:b/>
          <w:i/>
          <w:noProof/>
          <w:sz w:val="18"/>
          <w:szCs w:val="15"/>
        </w:rPr>
        <w:t>LT:</w:t>
      </w:r>
      <w:r>
        <w:rPr>
          <w:rFonts w:ascii="Times New Roman" w:hAnsi="Times New Roman"/>
          <w:i/>
          <w:noProof/>
          <w:sz w:val="18"/>
          <w:szCs w:val="15"/>
        </w:rPr>
        <w:t xml:space="preserve"> L-istruzzjonijiet mill-Prosekutur Ġenerali jistgħu jiġu appellati quddiem il-qorti. Il-Prosekutur Ġenerali ma jistax jagħti struzzjonij</w:t>
      </w:r>
      <w:r>
        <w:rPr>
          <w:rFonts w:ascii="Times New Roman" w:hAnsi="Times New Roman"/>
          <w:i/>
          <w:noProof/>
          <w:sz w:val="18"/>
          <w:szCs w:val="15"/>
        </w:rPr>
        <w:t xml:space="preserve">iet dwar liema deċiżjoni għandha tittieħed. </w:t>
      </w:r>
      <w:r>
        <w:rPr>
          <w:rFonts w:ascii="Times New Roman" w:hAnsi="Times New Roman"/>
          <w:b/>
          <w:i/>
          <w:noProof/>
          <w:sz w:val="18"/>
          <w:szCs w:val="15"/>
        </w:rPr>
        <w:t>LU:</w:t>
      </w:r>
      <w:r>
        <w:rPr>
          <w:rFonts w:ascii="Times New Roman" w:hAnsi="Times New Roman"/>
          <w:i/>
          <w:noProof/>
          <w:sz w:val="18"/>
          <w:szCs w:val="15"/>
        </w:rPr>
        <w:t xml:space="preserve"> Il-Prosekutur Ġenerali u l-Ministru tal-Ġustizzja jistgħu jordnaw lis-servizzi tal-prosekuzzjoni sabiex imexxu prosekuzzjoni f’każ (iżda ma jistgħux jagħtu struzzjonijiet sabiex ma jmexxux). Madankollu, il-Mi</w:t>
      </w:r>
      <w:r>
        <w:rPr>
          <w:rFonts w:ascii="Times New Roman" w:hAnsi="Times New Roman"/>
          <w:i/>
          <w:noProof/>
          <w:sz w:val="18"/>
          <w:szCs w:val="15"/>
        </w:rPr>
        <w:t xml:space="preserve">nistru tal-Ġustizzja ilu aktar minn 20 sena ma joħroġ struzzjonijiet simili. Ma hemm l-ebda rekwiżit legali li jikkonsulta prosekutur jew ifittex l-opinjoni tal-Prosekutur Ġenerali dwar struzzjoni simili. </w:t>
      </w:r>
      <w:r>
        <w:rPr>
          <w:rFonts w:ascii="Times New Roman" w:hAnsi="Times New Roman"/>
          <w:b/>
          <w:i/>
          <w:noProof/>
          <w:sz w:val="18"/>
          <w:szCs w:val="15"/>
        </w:rPr>
        <w:t>HR:</w:t>
      </w:r>
      <w:r>
        <w:rPr>
          <w:rFonts w:ascii="Times New Roman" w:hAnsi="Times New Roman"/>
          <w:i/>
          <w:noProof/>
          <w:sz w:val="18"/>
          <w:szCs w:val="15"/>
        </w:rPr>
        <w:t xml:space="preserve"> Struzzjonijiet mill-Prosekutur Ġenerali jistgħu</w:t>
      </w:r>
      <w:r>
        <w:rPr>
          <w:rFonts w:ascii="Times New Roman" w:hAnsi="Times New Roman"/>
          <w:i/>
          <w:noProof/>
          <w:sz w:val="18"/>
          <w:szCs w:val="15"/>
        </w:rPr>
        <w:t xml:space="preserve"> jiġu rieżaminati rigward il-legalità, l-effiċjenza tagħhom, eċċ. </w:t>
      </w:r>
      <w:r>
        <w:rPr>
          <w:rFonts w:ascii="Times New Roman" w:hAnsi="Times New Roman"/>
          <w:b/>
          <w:i/>
          <w:noProof/>
          <w:sz w:val="18"/>
          <w:szCs w:val="15"/>
        </w:rPr>
        <w:t>HU:</w:t>
      </w:r>
      <w:r>
        <w:rPr>
          <w:rFonts w:ascii="Times New Roman" w:hAnsi="Times New Roman"/>
          <w:i/>
          <w:noProof/>
          <w:sz w:val="18"/>
          <w:szCs w:val="15"/>
        </w:rPr>
        <w:t xml:space="preserve"> Skont l-Artikolu 53 L-Att CLXIV tal-2011 dwar l-Istatus tal-Prosekutur Ġenerali, il-Prosekuturi u Impjegati Oħra fil-Prosekuzzjoni u l-Karriera tal-Prosekuzzjoni, il-prosekutur jista’ ji</w:t>
      </w:r>
      <w:r>
        <w:rPr>
          <w:rFonts w:ascii="Times New Roman" w:hAnsi="Times New Roman"/>
          <w:i/>
          <w:noProof/>
          <w:sz w:val="18"/>
          <w:szCs w:val="15"/>
        </w:rPr>
        <w:t xml:space="preserve">tlob lill-Prosekutur Ġenerali biex jirċievi konferma bil-miktub tal-istruzzjoni f’każ individwali. Il-prosekutur jista’ jiċħad l-istruzzjoni b’mod espliċitu, jekk din tkun tikkostitwixxi reat kriminali jew amministrattiv jew tipperikola lill-prosekutur, u </w:t>
      </w:r>
      <w:r>
        <w:rPr>
          <w:rFonts w:ascii="Times New Roman" w:hAnsi="Times New Roman"/>
          <w:i/>
          <w:noProof/>
          <w:sz w:val="18"/>
          <w:szCs w:val="15"/>
        </w:rPr>
        <w:t xml:space="preserve">jekk il-prosekutur ma jaqbilx mal-istruzzjoni, jista’/tista’ jagħmel/tagħmel talba biex il-każ jiġi trasferit lil prosekutur ieħor u din it-talba ma tkunx tista’ tiġi rrifjutata. </w:t>
      </w:r>
      <w:r>
        <w:rPr>
          <w:rFonts w:ascii="Times New Roman" w:hAnsi="Times New Roman"/>
          <w:b/>
          <w:i/>
          <w:noProof/>
          <w:sz w:val="18"/>
          <w:szCs w:val="15"/>
        </w:rPr>
        <w:t>MT:</w:t>
      </w:r>
      <w:r>
        <w:rPr>
          <w:rFonts w:ascii="Times New Roman" w:hAnsi="Times New Roman"/>
          <w:i/>
          <w:noProof/>
          <w:sz w:val="18"/>
          <w:szCs w:val="15"/>
        </w:rPr>
        <w:t xml:space="preserve"> B’referenza għall-mistoqsijiet rigward ir-rwol tal-prosekuturi individwal</w:t>
      </w:r>
      <w:r>
        <w:rPr>
          <w:rFonts w:ascii="Times New Roman" w:hAnsi="Times New Roman"/>
          <w:i/>
          <w:noProof/>
          <w:sz w:val="18"/>
          <w:szCs w:val="15"/>
        </w:rPr>
        <w:t>i għall-kuntrarju tar-rwol tal-Avukat Ġenerali, il-Kostituzzjoni ta’ Malta tistabbilixxi l-uffiċċju tal-Avukat Ġenerali nnifsu. Hija tagħtih ukoll drittijiet u obbligi u tagħtih garanzija taż-żamma fil-kariga kif stipulat f’termini tal-Artikoli 91 u 97 tal</w:t>
      </w:r>
      <w:r>
        <w:rPr>
          <w:rFonts w:ascii="Times New Roman" w:hAnsi="Times New Roman"/>
          <w:i/>
          <w:noProof/>
          <w:sz w:val="18"/>
          <w:szCs w:val="15"/>
        </w:rPr>
        <w:t>-Kostituzzjoni. F’termini tal-Kapitolu 90 tal-Liġijiet ta’ Malta - Ordinanza dwar l-Avukat Ġenerali, l-avukat ġenerali jimpjega uffiċjali sabiex jirrappreżentawh fil-funzjonijiet u fid-dmirijiet tiegħu f’konformità mal-liġi. Dawn l-uffiċjali jirrappreżenta</w:t>
      </w:r>
      <w:r>
        <w:rPr>
          <w:rFonts w:ascii="Times New Roman" w:hAnsi="Times New Roman"/>
          <w:i/>
          <w:noProof/>
          <w:sz w:val="18"/>
          <w:szCs w:val="15"/>
        </w:rPr>
        <w:t xml:space="preserve">w lill-Avukat Ġenerali fil-funzjonijiet u fid-diskrezzjoni tiegħu. Meta jirrappreżentaw lill-Avukat Ġenerali fil-funzjonijiet tiegħu, l-uffiċjali jingħataw l-istess protezzjoni legali. Għalhekk, fir-rigward tal-liġi ta’ Malta, il-prosekuturi ma jingħatawx </w:t>
      </w:r>
      <w:r>
        <w:rPr>
          <w:rFonts w:ascii="Times New Roman" w:hAnsi="Times New Roman"/>
          <w:i/>
          <w:noProof/>
          <w:sz w:val="18"/>
          <w:szCs w:val="15"/>
        </w:rPr>
        <w:t xml:space="preserve">b’mod speċifiku garanziji minħabba li, fil-funzjonijiet tal-mandat tagħhom f’termini ta’ liġi, huma jitqiesu li jirrappreżentaw lill-Avukat Ġenerali nnifsu u f’tali funzjonijiet huma jgawdu mill-protezzjoni li l-liġi tagħti lill-Avukat Ġenerali stess. </w:t>
      </w:r>
      <w:r>
        <w:rPr>
          <w:rFonts w:ascii="Times New Roman" w:hAnsi="Times New Roman"/>
          <w:b/>
          <w:i/>
          <w:noProof/>
          <w:sz w:val="18"/>
          <w:szCs w:val="15"/>
        </w:rPr>
        <w:t xml:space="preserve">NL: </w:t>
      </w:r>
      <w:r>
        <w:rPr>
          <w:rFonts w:ascii="Times New Roman" w:hAnsi="Times New Roman"/>
          <w:i/>
          <w:noProof/>
          <w:sz w:val="18"/>
          <w:szCs w:val="15"/>
        </w:rPr>
        <w:t>Il-Ministru tal-Ġustizzja jista’ jordna lis-servizzi ta’ prosekuzzjoni sabiex imexxu prosekuzzjoni jew sabiex ma jmexxux f’każ, iżda jeħtieġ li qabel jikseb opinjoni motivata bil-miktub tal-Kunsill tal-Avukat Ġenerali (College van procureurs-generaal) dwar</w:t>
      </w:r>
      <w:r>
        <w:rPr>
          <w:rFonts w:ascii="Times New Roman" w:hAnsi="Times New Roman"/>
          <w:i/>
          <w:noProof/>
          <w:sz w:val="18"/>
          <w:szCs w:val="15"/>
        </w:rPr>
        <w:t xml:space="preserve"> l-istruzzjonijiet issuġġeriti, u hija meħtieġa notifika lill-Parlament f’każ ta’ struzzjonijiet sabiex ma jmexxux prosekuzzjoni. Madankollu, s’issa, kien hemm każ wieħed biss bħal dan li seħħ aktar minn għoxrin sena ilu. M’hemm l-ebda regolament speċjali </w:t>
      </w:r>
      <w:r>
        <w:rPr>
          <w:rFonts w:ascii="Times New Roman" w:hAnsi="Times New Roman"/>
          <w:i/>
          <w:noProof/>
          <w:sz w:val="18"/>
          <w:szCs w:val="15"/>
        </w:rPr>
        <w:t>rigward l-istruzzjonijiet mogħtija mill-Prosekutur Ġenerali f’każijiet individwali. Il-Kulleġġ tal-Prosekuturi Ġenerali jista’ jagħti struzzjonijiet lil prosekutur f’każ speċifiku. Dan il-korp huwa magħmul minn tlieta sa ħames membri, u jiddeċiedi b’maġġor</w:t>
      </w:r>
      <w:r>
        <w:rPr>
          <w:rFonts w:ascii="Times New Roman" w:hAnsi="Times New Roman"/>
          <w:i/>
          <w:noProof/>
          <w:sz w:val="18"/>
          <w:szCs w:val="15"/>
        </w:rPr>
        <w:t xml:space="preserve">anza ta’ mill-inqas tliet membri preżenti. Ma hemm l-ebda salvagwardja speċifika fis-seħħ, f’każijiet li fihom il-Kulleġġ jagħti struzzjonijiet f’każ speċifiku. </w:t>
      </w:r>
      <w:r>
        <w:rPr>
          <w:rFonts w:ascii="Times New Roman" w:hAnsi="Times New Roman"/>
          <w:b/>
          <w:i/>
          <w:noProof/>
          <w:sz w:val="18"/>
          <w:szCs w:val="15"/>
        </w:rPr>
        <w:t>AT:</w:t>
      </w:r>
      <w:r>
        <w:rPr>
          <w:rFonts w:ascii="Times New Roman" w:hAnsi="Times New Roman"/>
          <w:i/>
          <w:noProof/>
          <w:sz w:val="18"/>
          <w:szCs w:val="15"/>
        </w:rPr>
        <w:t xml:space="preserve"> Il-Ministru tal-Ġustizzja għandu s-setgħa li jagħti struzzjonijiet dwar il-prosekuzzjoni f’</w:t>
      </w:r>
      <w:r>
        <w:rPr>
          <w:rFonts w:ascii="Times New Roman" w:hAnsi="Times New Roman"/>
          <w:i/>
          <w:noProof/>
          <w:sz w:val="18"/>
          <w:szCs w:val="15"/>
        </w:rPr>
        <w:t>każijiet individwali, wara opinjoni mhux vinkolanti ta’ korp indipendenti (“Weisungsrat”) stabbilit fl-Uffiċċju tal-Prosekutur Ġenerali. Il-Ministru tal-Ġustizzja jrid jirrapporta kull sena lill-Parlament dwar l-istruzzjonijiet kollha maħruġa f’każijiet in</w:t>
      </w:r>
      <w:r>
        <w:rPr>
          <w:rFonts w:ascii="Times New Roman" w:hAnsi="Times New Roman"/>
          <w:i/>
          <w:noProof/>
          <w:sz w:val="18"/>
          <w:szCs w:val="15"/>
        </w:rPr>
        <w:t>dividwali, ladarba l-każijiet ikkonċernati jkunu ġew konklużi, inkluż dwar ir-raġunament għan-nuqqas ta’ segwitu ta’ opinjoni tal-korp indipendenti (“Weisungsrat”), jekk applikabbli (§29a. (3) tal-Liġi dwar is-Servizz ta’ Prosekuzzjoni). Għall-perjodu 2012</w:t>
      </w:r>
      <w:r>
        <w:rPr>
          <w:rFonts w:ascii="Times New Roman" w:hAnsi="Times New Roman"/>
          <w:i/>
          <w:noProof/>
          <w:sz w:val="18"/>
          <w:szCs w:val="15"/>
        </w:rPr>
        <w:t xml:space="preserve">-2017, ġew irrapportati 54 struzzjoni f’każijiet individwali (Weisungsbericht 2018). </w:t>
      </w:r>
      <w:r>
        <w:rPr>
          <w:rFonts w:ascii="Times New Roman" w:hAnsi="Times New Roman"/>
          <w:b/>
          <w:i/>
          <w:noProof/>
          <w:sz w:val="18"/>
          <w:szCs w:val="15"/>
        </w:rPr>
        <w:t>PL:</w:t>
      </w:r>
      <w:r>
        <w:rPr>
          <w:rFonts w:ascii="Times New Roman" w:hAnsi="Times New Roman"/>
          <w:i/>
          <w:noProof/>
          <w:sz w:val="18"/>
          <w:szCs w:val="15"/>
        </w:rPr>
        <w:t xml:space="preserve"> Il-Prosekutur Ġenerali huwa wkoll il-Ministru tal-Ġustizzja. Jekk prosekutur pubbliku ma jaqbilx ma’ struzzjoni f’każ individwali, huwa jista’ jitlob li l-istruzzjoni </w:t>
      </w:r>
      <w:r>
        <w:rPr>
          <w:rFonts w:ascii="Times New Roman" w:hAnsi="Times New Roman"/>
          <w:i/>
          <w:noProof/>
          <w:sz w:val="18"/>
          <w:szCs w:val="15"/>
        </w:rPr>
        <w:t xml:space="preserve">tinbidel jew li huwa stess jiġi eskluż mill-amministrazzjoni tal-att jew mill-parteċipazzjoni fil-każ. L-esklużjoni tiġi finalment aġġudikata mill-prosekutur pubbliku li huwa s-superjur dirett tal-prosekutur pubbliku li jkun ta l-ordni. </w:t>
      </w:r>
      <w:r>
        <w:rPr>
          <w:rFonts w:ascii="Times New Roman" w:hAnsi="Times New Roman"/>
          <w:b/>
          <w:i/>
          <w:noProof/>
          <w:sz w:val="18"/>
          <w:szCs w:val="15"/>
        </w:rPr>
        <w:t xml:space="preserve">SK: </w:t>
      </w:r>
      <w:r>
        <w:rPr>
          <w:rFonts w:ascii="Times New Roman" w:hAnsi="Times New Roman"/>
          <w:i/>
          <w:noProof/>
          <w:sz w:val="18"/>
          <w:szCs w:val="15"/>
        </w:rPr>
        <w:t>L-istruzzjoniji</w:t>
      </w:r>
      <w:r>
        <w:rPr>
          <w:rFonts w:ascii="Times New Roman" w:hAnsi="Times New Roman"/>
          <w:i/>
          <w:noProof/>
          <w:sz w:val="18"/>
          <w:szCs w:val="15"/>
        </w:rPr>
        <w:t>et f’każijiet individwali jridu jkunu mehmuża mal-fajl tal-każ sabiex b’hekk partijiet oħra jkunu jistgħu jaqrawhom u jagħmlu kummenti biss f’kundizzjonijiet speċifiċi.</w:t>
      </w:r>
    </w:p>
    <w:p w:rsidR="00461018" w:rsidRDefault="000329C3">
      <w:pPr>
        <w:jc w:val="both"/>
        <w:rPr>
          <w:noProof/>
        </w:rPr>
      </w:pPr>
      <w:r>
        <w:rPr>
          <w:noProof/>
        </w:rPr>
        <w:br w:type="page"/>
      </w:r>
    </w:p>
    <w:tbl>
      <w:tblPr>
        <w:tblW w:w="0" w:type="auto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729"/>
      </w:tblGrid>
      <w:tr w:rsidR="00461018">
        <w:trPr>
          <w:trHeight w:val="345"/>
        </w:trPr>
        <w:tc>
          <w:tcPr>
            <w:tcW w:w="9729" w:type="dxa"/>
            <w:shd w:val="clear" w:color="auto" w:fill="auto"/>
          </w:tcPr>
          <w:p w:rsidR="00461018" w:rsidRDefault="000329C3">
            <w:pPr>
              <w:widowControl w:val="0"/>
              <w:tabs>
                <w:tab w:val="left" w:pos="850"/>
              </w:tabs>
              <w:spacing w:before="120" w:after="40" w:line="240" w:lineRule="auto"/>
              <w:ind w:left="850" w:hanging="850"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3.3.3. Sommarju dwar l-indipendenza ġudizzjarja</w:t>
            </w:r>
            <w:bookmarkEnd w:id="556"/>
            <w:bookmarkEnd w:id="557"/>
            <w:bookmarkEnd w:id="558"/>
            <w:bookmarkEnd w:id="559"/>
            <w:bookmarkEnd w:id="560"/>
            <w:bookmarkEnd w:id="561"/>
            <w:bookmarkEnd w:id="562"/>
            <w:bookmarkEnd w:id="563"/>
          </w:p>
          <w:p w:rsidR="00461018" w:rsidRDefault="000329C3">
            <w:pPr>
              <w:widowControl w:val="0"/>
              <w:spacing w:before="60" w:after="1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L-indipendenza ġudizzjarja hija element fundamentali ta’ sistema tal-ġustizzja effettiva. Hija vitali għaż-żamma tal-istat tad-dritt, il-ġustizzja fi proċedimenti ġudizzjarji u l-fiduċja taċ-ċittadini u tan-negozji fl-ordinament ġuridiku. Għal din ir-raġun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i, kwalunkwe riforma tal-ġustizzja għandha tiddefendi l-istat tad-dritt u tikkonforma mal-istandards Ewropej dwar l-indipendenza ġudizzjarja. </w:t>
            </w:r>
            <w:r>
              <w:rPr>
                <w:rFonts w:ascii="Times New Roman" w:hAnsi="Times New Roman"/>
                <w:noProof/>
                <w:sz w:val="24"/>
                <w:szCs w:val="24"/>
                <w:shd w:val="clear" w:color="auto" w:fill="FFFFFF" w:themeFill="background1"/>
              </w:rPr>
              <w:t xml:space="preserve">It-Tabella ta’ Valutazzjoni turi x-xejriet fil-perċezzjoni tal-indipendenza ġudizzjarja fost il-pubbliku ġenerali </w:t>
            </w:r>
            <w:r>
              <w:rPr>
                <w:rFonts w:ascii="Times New Roman" w:hAnsi="Times New Roman"/>
                <w:noProof/>
                <w:sz w:val="24"/>
                <w:szCs w:val="24"/>
                <w:shd w:val="clear" w:color="auto" w:fill="FFFFFF" w:themeFill="background1"/>
              </w:rPr>
              <w:t xml:space="preserve">u l-kumpaniji. Din l-edizzjoni tippreżenta wkoll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xi indikaturi partikolari li jikkonċernaw is-salvagwardji legali relatati mal-korpi involuti fil-proċedimenti dixxiplinari fir-rigward tal-imħallfin u tal-prosekuturi. L-indikaturi strutturali ma jippermettu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x fihom infushom li jintlaħqu konklużjonijiet dwar l-indipendenza tal-ġudikatura tal-Istati Membri, iżda jirrappreżentaw elementi potenzjali li jistgħu jittieħdu bħala punt tal-bidu għal analiżi bħal din. </w:t>
            </w:r>
          </w:p>
          <w:p w:rsidR="00461018" w:rsidRDefault="000329C3">
            <w:pPr>
              <w:widowControl w:val="0"/>
              <w:numPr>
                <w:ilvl w:val="0"/>
                <w:numId w:val="8"/>
              </w:num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It-Tabella ta’ Valutazzjoni tal-2020 tippreżenta l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-iżviluppi fl-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indipendenza perċepita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mill-istħarriġijiet tal-pubbliku ġenerali (l-Ewrobarometru) u tal-kumpaniji (l-Ewrobarometru u l-Forum Ekonomiku Dinji):</w:t>
            </w:r>
          </w:p>
          <w:p w:rsidR="00461018" w:rsidRDefault="000329C3">
            <w:pPr>
              <w:widowControl w:val="0"/>
              <w:numPr>
                <w:ilvl w:val="1"/>
                <w:numId w:val="8"/>
              </w:num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L-istħarriġijiet kollha ġeneralment juru 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riżultati simili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, b’mod partikolari fir-rigward tal-kompo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żizzjoni taż-żewġ gruppi ta’ Stati Membri li għandhom l-aktar perċezzjoni għolja u l-aktar waħda baxxa dwar l-indipendenza ġudizzjarja.</w:t>
            </w:r>
          </w:p>
          <w:p w:rsidR="00461018" w:rsidRDefault="000329C3">
            <w:pPr>
              <w:widowControl w:val="0"/>
              <w:numPr>
                <w:ilvl w:val="1"/>
                <w:numId w:val="8"/>
              </w:num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L-istħarriġ tal-Forum Ekonomiku Dinji (Illustrazzjoni 48), ippreżentat għat-tmien darba, juri li l-perċezzjoni tan-negoz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ji dwar l-indipendenza 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tjiebet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jew 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baqgħet stabbli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f’madwar żewġ terzi tal-Istati Membri, meta mqabbla mal-2010 kif ukoll mas-sena l-oħra. Barra minn hekk, fost l-Istati Membri li qed jaffaċċjaw sfidi speċifiċi (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perscript"/>
              </w:rPr>
              <w:footnoteReference w:id="125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), il-perċezzjoni dwar l-indipendenza 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tjieb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et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jew 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baqgħet stabbli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fi kważi tlieta minn kull ħamsa minn dawk il-pajjiżi jekk wieħed iħares lejn il-perjodu ta’ disa’ snin. </w:t>
            </w:r>
          </w:p>
          <w:p w:rsidR="00461018" w:rsidRDefault="000329C3">
            <w:pPr>
              <w:widowControl w:val="0"/>
              <w:numPr>
                <w:ilvl w:val="1"/>
                <w:numId w:val="8"/>
              </w:num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L-istħarriġ tal-Ewrobarometru fost il-pubbliku ġenerali (Illustrazzjoni 44), ippreżentat għall-ħames darba, juri li l-perċezzjon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i dwar l-indipendenza 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tjiebet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fi kważi żewġ terzi tal-Istati Membri, meta mqabbla mal-2016. Il-perċezzjoni tal-pubbliku ġenerali dwar l-indipendenza 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tjiebet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f’aktar minn żewġ terzi tal-Istati Membri li qed jaffaċċjaw sfidi speċifiċi jekk wieħed iħares lejn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il-perjodu ta’ ħames snin. Madankollu, meta mqabbel mas-sena l-oħra, il-perċezzjoni tal-pubbliku ġenerali dwar l-indipendenza 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naqset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f’madwar żewġ Stati Membri minn kull ħamsa u f’madwar nofs l-Istati Membri li qed jaffaċċjaw sfidi speċifiċi, u fi ftit St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ati Membri, il-livell ta’ indipendenza perċepita għadu partikolarment baxx. </w:t>
            </w:r>
          </w:p>
          <w:p w:rsidR="00461018" w:rsidRDefault="000329C3">
            <w:pPr>
              <w:widowControl w:val="0"/>
              <w:numPr>
                <w:ilvl w:val="1"/>
                <w:numId w:val="8"/>
              </w:num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L-istħarriġ tal-Ewrobarometru fost il-kumpaniji (Illustrazzjoni 46), ippreżentat għall-ħames darba, juri li l-perċezzjoni dwar l-indipendenza 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tjiebet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f’aktar minn nofs l-Istati Me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mbri meta mqabbla mal-2016 u f’madwar tliet Stati Membri minn kull ħamsa meta mqabbla mas-sena li għaddiet (meta mqabbla mas-sena li għaddiet, dan kien il-każ f’madwar tliet Stati Membri minn kull ħamsa li kienu qed jaffaċċjaw sfidi speċifiċi, u f’aktar mi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nn żewġ terzi tal-Istati Membri l-oħrajn). Madankollu, f’xi Stati Membri, il-livell ta’ indipendenza perċepita għadu partikolarment baxx. </w:t>
            </w:r>
          </w:p>
          <w:p w:rsidR="00461018" w:rsidRDefault="000329C3">
            <w:pPr>
              <w:widowControl w:val="0"/>
              <w:numPr>
                <w:ilvl w:val="1"/>
                <w:numId w:val="8"/>
              </w:num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Fost ir-raġunijiet għan-nuqqas perċepit ta’ indipendenza tal-qrati u tal-imħallfin, l-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interferenza jew il-pressjoni m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ill-gvern u mill-politiċi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kienet l-aktar raġuni ddikjarata, segwita mill-pressjoni minn interessi ekonomiċi jew interessi speċifiċi oħrajn. Meta mqabbla mas-snin ta’ qabel, iż-żewġ raġunijiet għadhom notevoli għal diversi Stati Membri fejn l-indipendenza p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erċepita hija baxxa ħafna (Illustrazzjonijiet 45 u 47).</w:t>
            </w:r>
          </w:p>
          <w:p w:rsidR="00461018" w:rsidRDefault="000329C3">
            <w:pPr>
              <w:widowControl w:val="0"/>
              <w:numPr>
                <w:ilvl w:val="1"/>
                <w:numId w:val="8"/>
              </w:num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Fost ir-raġunijiet għal perċezzjoni tajba dwar l-indipendenza tal-qrati u tal-imħallfin, kważi erbgħa minn kull ħames kumpaniji u ċittadini mill-pubbliku ġenerali (ekwivalenti għal 43 % jew 44 % tar-r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ispondenti kollha, rispettivament) semmew il-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garanziji pprovduti mill-istatus u mill-kariga tal-imħallfin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  <w:p w:rsidR="00461018" w:rsidRDefault="000329C3">
            <w:pPr>
              <w:widowControl w:val="0"/>
              <w:numPr>
                <w:ilvl w:val="0"/>
                <w:numId w:val="8"/>
              </w:num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It-Tabella ta’ Valutazzjoni tal-Ġustizzja tal-UE tal-2020 tippreżenta ħarsiet ġenerali aġġornati lejn l-awtoritajiet dixxiplinari li jittrattaw proċe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dimenti fir-rigward ta’ mħallfin kif ukoll il-kompetenza tal-ġudikatura, tal-eżekuttiv u tal-parlament fl-għażla ta’ mħallfin-membri tal-Kunsilli għall-Ġudikatura, kif ukoll xi ħarsiet ġenerali lejn is-servizzi ta’ prosekuzzjoni:</w:t>
            </w:r>
          </w:p>
          <w:p w:rsidR="00461018" w:rsidRDefault="000329C3">
            <w:pPr>
              <w:widowControl w:val="0"/>
              <w:numPr>
                <w:ilvl w:val="0"/>
                <w:numId w:val="8"/>
              </w:numPr>
              <w:spacing w:before="60"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L-Illustrazzjoni 49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tippreżenta ħarsa ġenerali aġġornata lejn l-awtoritajiet inkarigati mill-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proċedimenti dixxiplinari fir-rigward tal-imħallfin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. Fil-maġġoranza tal-Istati Membri, l-awtorità li tiddeċiedi dwar is-sanzjonijiet dixxiplinari hija awtorità indipendenti bħal qorti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(il-Qorti Suprema, il-Qorti Amministrattiva jew il-President tal-Qorti) jew Kunsill għall-Ġudikatura, filwaqt li f’xi Stati Membri hija qorti speċjali li l-membri tagħha jintgħażlu jew jinħatru speċifikament (mill-Kunsill għall-Ġudikatura, mill-Imħallfin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jew, fi Stat Membri wieħed, mill-Ministru tal-Ġustizzja) sabiex jaġixxu fi proċedimenti dixxiplinari.</w:t>
            </w:r>
          </w:p>
          <w:p w:rsidR="00461018" w:rsidRDefault="000329C3">
            <w:pPr>
              <w:widowControl w:val="0"/>
              <w:numPr>
                <w:ilvl w:val="0"/>
                <w:numId w:val="8"/>
              </w:numPr>
              <w:spacing w:before="60"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L-Illustrazzjoni 50 tippreżenta ħarsa ġenerali aġġornata lejn min huwa l-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investigatur inkarigat mill-investigazzjonijiet dixxiplinari fir-rigward tal-imħa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llfin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. Fil-maġġoranza tal-Istati Membri, l-investigatur huwa President tal-Qorti jew Kunsill għall-Ġudikatura. F’xi Stati Membri l-investigatur huwa magħżul speċifikament mill-imħallfin jew inkella mill-Kunsill għall-Ġudikatura jew, fi Stat Membru wieħed,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mill-Ministru tal-Ġustizzja.</w:t>
            </w:r>
          </w:p>
          <w:p w:rsidR="00461018" w:rsidRDefault="000329C3">
            <w:pPr>
              <w:widowControl w:val="0"/>
              <w:numPr>
                <w:ilvl w:val="0"/>
                <w:numId w:val="8"/>
              </w:numPr>
              <w:spacing w:before="60"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L-Illustrazzjonijiet 51 u 52 juru ħarsiet ġenerali aġġornati lejn l-involviment tal-ġudikatura fil-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ħatra tal-imħallfin-membri tal-Kunsill għall-Ġudikatura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u l-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kompożizzjoni tal-Kunsilli għall-Ġudikatura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Hija responsabbiltà tal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-Istati Membri li jorganizzaw is-sistemi tal-ġustizzja tagħhom, inkluż jekk għandhomx iwaqqfu jew le Kunsill għall-Ġudikatura. Madankollu, meta Kunsill għall-Ġudikatura jkun twaqqaf minn Stat Membru, l-indipendenza tal-Kunsill trid tiġi ggarantita skont l-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istandards Ewropej. Fi kważi l-Istati Membri kollha, l-imħallfin-membri tal-Kunsilli jiġu proposti u eletti jew jintgħażlu mill-imħallfin.</w:t>
            </w:r>
          </w:p>
          <w:p w:rsidR="00461018" w:rsidRDefault="000329C3">
            <w:pPr>
              <w:widowControl w:val="0"/>
              <w:numPr>
                <w:ilvl w:val="0"/>
                <w:numId w:val="8"/>
              </w:numPr>
              <w:spacing w:before="60"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L-Illustrazzjonijiet 53 u 54 jippreżentaw rapporti dwar l-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awtoritajiet dixxiplinari li jittrattaw il-proċedimenti rig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ward il-prosekuturi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. L-Illustrazzjoni 55 turi ħarsa ġenerali aġġornata u aktar dettaljata ta’ liema korpi jistgħu jagħtu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struzzjonijiet lill-prosekuturi f’każijiet individwali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u tippreżenta xi wħud mis-salvagwardji li hemm fis-seħħ, jekk dawn l-istruzzjoni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jiet jingħataw f’każ konkret.</w:t>
            </w:r>
          </w:p>
        </w:tc>
      </w:tr>
    </w:tbl>
    <w:p w:rsidR="00461018" w:rsidRDefault="000329C3">
      <w:pPr>
        <w:keepNext/>
        <w:tabs>
          <w:tab w:val="left" w:pos="850"/>
        </w:tabs>
        <w:spacing w:before="240" w:after="120" w:line="240" w:lineRule="auto"/>
        <w:ind w:left="850" w:hanging="850"/>
        <w:jc w:val="both"/>
        <w:outlineLvl w:val="0"/>
        <w:rPr>
          <w:rFonts w:ascii="Times New Roman" w:eastAsia="Times New Roman" w:hAnsi="Times New Roman" w:cs="Times New Roman"/>
          <w:b/>
          <w:smallCaps/>
          <w:noProof/>
          <w:sz w:val="24"/>
          <w:szCs w:val="24"/>
        </w:rPr>
      </w:pPr>
      <w:bookmarkStart w:id="571" w:name="_Toc440291129"/>
      <w:bookmarkStart w:id="572" w:name="_Toc440294692"/>
      <w:bookmarkStart w:id="573" w:name="_Toc440295194"/>
      <w:bookmarkStart w:id="574" w:name="_Toc440296599"/>
      <w:bookmarkStart w:id="575" w:name="_Toc440625083"/>
      <w:bookmarkStart w:id="576" w:name="_Toc440626413"/>
      <w:bookmarkStart w:id="577" w:name="_Toc440628867"/>
      <w:bookmarkStart w:id="578" w:name="_Toc441571141"/>
      <w:bookmarkStart w:id="579" w:name="_Toc441581643"/>
      <w:bookmarkStart w:id="580" w:name="_Toc441585910"/>
      <w:bookmarkStart w:id="581" w:name="_Toc441595845"/>
      <w:bookmarkStart w:id="582" w:name="_Toc441596022"/>
      <w:bookmarkStart w:id="583" w:name="_Toc441748147"/>
      <w:bookmarkStart w:id="584" w:name="_Toc441755433"/>
      <w:bookmarkStart w:id="585" w:name="_Toc441756470"/>
      <w:bookmarkStart w:id="586" w:name="_Toc441757514"/>
      <w:bookmarkStart w:id="587" w:name="_Toc441766643"/>
      <w:bookmarkStart w:id="588" w:name="_Toc441766982"/>
      <w:bookmarkStart w:id="589" w:name="_Toc442187983"/>
      <w:bookmarkStart w:id="590" w:name="_Toc442262075"/>
      <w:bookmarkStart w:id="591" w:name="_Toc442362482"/>
      <w:bookmarkStart w:id="592" w:name="_Toc442374818"/>
      <w:bookmarkStart w:id="593" w:name="_Toc442425958"/>
      <w:bookmarkStart w:id="594" w:name="_Toc442453084"/>
      <w:bookmarkEnd w:id="564"/>
      <w:bookmarkEnd w:id="565"/>
      <w:bookmarkEnd w:id="566"/>
      <w:bookmarkEnd w:id="567"/>
      <w:bookmarkEnd w:id="568"/>
      <w:bookmarkEnd w:id="569"/>
      <w:bookmarkEnd w:id="570"/>
      <w:r>
        <w:rPr>
          <w:noProof/>
        </w:rPr>
        <w:tab/>
      </w:r>
      <w:bookmarkStart w:id="595" w:name="_Toc409512293"/>
      <w:bookmarkStart w:id="596" w:name="_Toc409530234"/>
      <w:bookmarkStart w:id="597" w:name="_Toc438545683"/>
      <w:bookmarkStart w:id="598" w:name="_Toc438548333"/>
      <w:bookmarkStart w:id="599" w:name="_Toc438548519"/>
      <w:bookmarkStart w:id="600" w:name="_Toc440017707"/>
      <w:bookmarkStart w:id="601" w:name="_Toc440018091"/>
      <w:bookmarkStart w:id="602" w:name="_Toc440033389"/>
      <w:bookmarkStart w:id="603" w:name="_Toc440035240"/>
      <w:bookmarkStart w:id="604" w:name="_Toc440036535"/>
      <w:bookmarkStart w:id="605" w:name="_Toc440042477"/>
      <w:bookmarkStart w:id="606" w:name="_Toc443484543"/>
      <w:bookmarkStart w:id="607" w:name="_Toc443484765"/>
      <w:bookmarkStart w:id="608" w:name="_Toc443509506"/>
      <w:bookmarkStart w:id="609" w:name="_Toc446014835"/>
      <w:r>
        <w:rPr>
          <w:rFonts w:ascii="Times New Roman" w:hAnsi="Times New Roman"/>
          <w:b/>
          <w:smallCaps/>
          <w:noProof/>
          <w:sz w:val="24"/>
          <w:szCs w:val="24"/>
        </w:rPr>
        <w:t>4.</w:t>
      </w:r>
      <w:r>
        <w:rPr>
          <w:noProof/>
        </w:rPr>
        <w:tab/>
      </w:r>
      <w:r>
        <w:rPr>
          <w:rFonts w:ascii="Times New Roman" w:hAnsi="Times New Roman"/>
          <w:b/>
          <w:smallCaps/>
          <w:noProof/>
          <w:sz w:val="24"/>
          <w:szCs w:val="24"/>
        </w:rPr>
        <w:t>KONKLUŻJONIJIET</w:t>
      </w:r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</w:p>
    <w:p w:rsidR="00461018" w:rsidRDefault="000329C3"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It-Tabella ta’ Valutazzjoni tal-Ġustizzja tal-UE tal-2020 turi titjib kontinwu fl-effettività tas-sistemi tal-ġustizzja fil-maġġoranza l-kbira tal-Istati Membri. Minkejja dan, għad hemm sfidi sabiex tiġi ż</w:t>
      </w:r>
      <w:r>
        <w:rPr>
          <w:rFonts w:ascii="Times New Roman" w:hAnsi="Times New Roman"/>
          <w:noProof/>
          <w:sz w:val="24"/>
          <w:szCs w:val="24"/>
        </w:rPr>
        <w:t xml:space="preserve">gurata l-fiduċja sħiħa taċ-ċittadini fl-ordinamenti legali ta’ dawk l-Istati Membri fejn il-garanziji tal-istatus u tal-kariga tal-imħallfin u, għalhekk, tal-indipendenza tagħhom, jaf huma f’riskju. </w:t>
      </w:r>
    </w:p>
    <w:p w:rsidR="00461018" w:rsidRDefault="000329C3"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It-Tabella ta’ Valutazzjoni tal-Ġustizzja tal-UE tipprov</w:t>
      </w:r>
      <w:r>
        <w:rPr>
          <w:rFonts w:ascii="Times New Roman" w:hAnsi="Times New Roman"/>
          <w:noProof/>
          <w:sz w:val="24"/>
          <w:szCs w:val="24"/>
        </w:rPr>
        <w:t>di informazzjoni oġġettiva u komparabbli dwar l-indipendenza, il-kwalità u l-effiċjenza tas-sistemi tal-ġustizzja nazzjonali, u tintuża bħala referenza fis-Semestru Ewropew, u se tkun waħda mis-sorsi fir-Rapport li jmiss dwar l-Istat tad-Dritt. Kif imħabba</w:t>
      </w:r>
      <w:r>
        <w:rPr>
          <w:rFonts w:ascii="Times New Roman" w:hAnsi="Times New Roman"/>
          <w:noProof/>
          <w:sz w:val="24"/>
          <w:szCs w:val="24"/>
        </w:rPr>
        <w:t>r fil-Komunikazzjoni dwar it-tisħiħ tal-istat tad-dritt fl-Unjoni – Pjan ta’ azzjoni, it-Tabella ta’ Valutazzjoni tal-Ġustizzja tal-UE se tkompli tiġi żviluppata fl-oqsma rilevanti relatati mal-istat tad-dritt.</w:t>
      </w:r>
    </w:p>
    <w:sectPr w:rsidR="00461018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pgSz w:w="11907" w:h="16839"/>
      <w:pgMar w:top="1134" w:right="1247" w:bottom="1134" w:left="1247" w:header="709" w:footer="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018" w:rsidRDefault="000329C3">
      <w:pPr>
        <w:spacing w:after="0" w:line="240" w:lineRule="auto"/>
      </w:pPr>
      <w:r>
        <w:separator/>
      </w:r>
    </w:p>
  </w:endnote>
  <w:endnote w:type="continuationSeparator" w:id="0">
    <w:p w:rsidR="00461018" w:rsidRDefault="000329C3">
      <w:pPr>
        <w:spacing w:after="0" w:line="240" w:lineRule="auto"/>
      </w:pPr>
      <w:r>
        <w:continuationSeparator/>
      </w:r>
    </w:p>
  </w:endnote>
  <w:endnote w:type="continuationNotice" w:id="1">
    <w:p w:rsidR="00461018" w:rsidRDefault="004610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C3" w:rsidRPr="000329C3" w:rsidRDefault="000329C3" w:rsidP="000329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018" w:rsidRPr="000329C3" w:rsidRDefault="000329C3" w:rsidP="000329C3">
    <w:pPr>
      <w:pStyle w:val="FooterCoverPage"/>
      <w:rPr>
        <w:rFonts w:ascii="Arial" w:hAnsi="Arial" w:cs="Arial"/>
        <w:b/>
        <w:sz w:val="48"/>
      </w:rPr>
    </w:pPr>
    <w:r w:rsidRPr="000329C3">
      <w:rPr>
        <w:rFonts w:ascii="Arial" w:hAnsi="Arial" w:cs="Arial"/>
        <w:b/>
        <w:sz w:val="48"/>
      </w:rPr>
      <w:t>MT</w:t>
    </w:r>
    <w:r w:rsidRPr="000329C3">
      <w:rPr>
        <w:rFonts w:ascii="Arial" w:hAnsi="Arial" w:cs="Arial"/>
        <w:b/>
        <w:sz w:val="48"/>
      </w:rPr>
      <w:tab/>
    </w:r>
    <w:r w:rsidRPr="000329C3">
      <w:rPr>
        <w:rFonts w:ascii="Arial" w:hAnsi="Arial" w:cs="Arial"/>
        <w:b/>
        <w:sz w:val="48"/>
      </w:rPr>
      <w:tab/>
    </w:r>
    <w:r w:rsidRPr="000329C3">
      <w:tab/>
    </w:r>
    <w:r w:rsidRPr="000329C3">
      <w:rPr>
        <w:rFonts w:ascii="Arial" w:hAnsi="Arial" w:cs="Arial"/>
        <w:b/>
        <w:sz w:val="48"/>
      </w:rPr>
      <w:t>MT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C3" w:rsidRPr="000329C3" w:rsidRDefault="000329C3" w:rsidP="000329C3">
    <w:pPr>
      <w:pStyle w:val="FooterCover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C3" w:rsidRDefault="000329C3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C3" w:rsidRDefault="000329C3">
    <w:pPr>
      <w:pStyle w:val="Foot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  \* MERGEFORMAT </w:instrText>
    </w:r>
    <w:r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2</w:t>
    </w:r>
    <w:r>
      <w:rPr>
        <w:rFonts w:ascii="Times New Roman" w:hAnsi="Times New Roman" w:cs="Times New Roman"/>
      </w:rPr>
      <w:fldChar w:fldCharType="end"/>
    </w:r>
  </w:p>
  <w:p w:rsidR="000329C3" w:rsidRDefault="000329C3">
    <w:pPr>
      <w:pStyle w:val="Footer"/>
      <w:rPr>
        <w:rFonts w:ascii="Times New Roman" w:hAnsi="Times New Roman" w:cs="Times New Roman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C3" w:rsidRDefault="000329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018" w:rsidRDefault="000329C3">
      <w:pPr>
        <w:spacing w:after="0" w:line="240" w:lineRule="auto"/>
      </w:pPr>
      <w:r>
        <w:separator/>
      </w:r>
    </w:p>
  </w:footnote>
  <w:footnote w:type="continuationSeparator" w:id="0">
    <w:p w:rsidR="00461018" w:rsidRDefault="000329C3">
      <w:pPr>
        <w:spacing w:after="0" w:line="240" w:lineRule="auto"/>
      </w:pPr>
      <w:r>
        <w:continuationSeparator/>
      </w:r>
    </w:p>
  </w:footnote>
  <w:footnote w:type="continuationNotice" w:id="1">
    <w:p w:rsidR="00461018" w:rsidRDefault="00461018">
      <w:pPr>
        <w:spacing w:after="0" w:line="240" w:lineRule="auto"/>
      </w:pPr>
    </w:p>
  </w:footnote>
  <w:footnote w:id="2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</w:r>
      <w:r>
        <w:t xml:space="preserve">Ara l-Komunikazzjoni mill-Kummissjoni lill-Parlament Ewropew, lill-Kunsill, lill-Kumitat Ekonomiku u Soċjali Ewropew u lill-Kumitat tar-Reġjuni “L-identifikazzjoni u l-indirizzar tal-ostakli għas-Suq Uniku” COM(2020)93 u li takkumpanja l-SWD(2020)54. </w:t>
      </w:r>
    </w:p>
  </w:footnote>
  <w:footnote w:id="3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</w:r>
      <w:r>
        <w:t>eż. Ir-Riżoluzzjoni tal-Parlament Ewropew tad-29 ta’ Mejju 2018 dwar it-Tabella ta’ Valutazzjoni tal-Ġustizzja tal-UE 2017 (P8_TA(2018)0216).</w:t>
      </w:r>
    </w:p>
  </w:footnote>
  <w:footnote w:id="4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 </w:t>
      </w:r>
      <w:r>
        <w:tab/>
        <w:t>Sabiex jitnaqqas il-perjodu ta’ żmien, it-Tabella ta’ Valutazzjoni tal-Ġustizzja tal-UE tal-2020 tqis l-2012 b</w:t>
      </w:r>
      <w:r>
        <w:t>ħala s-sena ta’ referenza għad-</w:t>
      </w:r>
      <w:r>
        <w:rPr>
          <w:i/>
        </w:rPr>
        <w:t>data</w:t>
      </w:r>
      <w:r>
        <w:t xml:space="preserve"> tas-CEPEJ, filwaqt li l-edizzjoni tal-2019 użat </w:t>
      </w:r>
      <w:r>
        <w:rPr>
          <w:i/>
        </w:rPr>
        <w:t>data</w:t>
      </w:r>
      <w:r>
        <w:t xml:space="preserve"> mill-2010. </w:t>
      </w:r>
    </w:p>
  </w:footnote>
  <w:footnote w:id="5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tab/>
      </w:r>
      <w:hyperlink r:id="rId1" w:history="1">
        <w:r>
          <w:rPr>
            <w:rStyle w:val="Hyperlink"/>
          </w:rPr>
          <w:t>https://ec.europa.eu/info/st</w:t>
        </w:r>
        <w:r>
          <w:rPr>
            <w:rStyle w:val="Hyperlink"/>
          </w:rPr>
          <w:t>rategy/justice-and-fundamental-rights/effective-justice/eu-justice-scoreboard_mt</w:t>
        </w:r>
      </w:hyperlink>
    </w:p>
  </w:footnote>
  <w:footnote w:id="6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Illustrazzjoni waħda (48) għadha tuża </w:t>
      </w:r>
      <w:r>
        <w:rPr>
          <w:i/>
        </w:rPr>
        <w:t>data</w:t>
      </w:r>
      <w:r>
        <w:t xml:space="preserve"> tal-2010, bħal f’xi Stati Membri, l-istħarriġ rilevanti tar-Rapport dwar il-Kompetittività Globali dwar il-perċezzjoni tal-indipe</w:t>
      </w:r>
      <w:r>
        <w:t>ndenza twettaq fl-2010, fl-2011 jew fl-2012.</w:t>
      </w:r>
    </w:p>
  </w:footnote>
  <w:footnote w:id="7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>Sabiex tgħin fit-tħejjija tat-Tabella ta’ Valutazzjoni tal-Ġustizzja tal-UE u tippromwovi l-iskambju tal-aħjar prattiki dwar l-effettività tas-sistemi tal-ġustizzja, il-Kummissjoni talbet lill-Istati Membri j</w:t>
      </w:r>
      <w:r>
        <w:t>aħtru żewġ persuni ta’ kuntatt, waħda mill-ġudikatura u l-oħra mill-ministeru tal-ġustizzja. Dan il-grupp informali jiltaqa’ regolarment.</w:t>
      </w:r>
    </w:p>
  </w:footnote>
  <w:footnote w:id="8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ab/>
        <w:t>L-ENCJ jgħaqqad lill-istituzzjonijiet nazzjonali fl-Istati Membri li huma indipendenti mill-eżekuttiv u mil-leġiżlat</w:t>
      </w:r>
      <w:r>
        <w:t xml:space="preserve">ura, u li huma responsabbli għall-appoġġ tal-ġudikaturi fit-twassil indipendenti tal-ġustizzja: </w:t>
      </w:r>
      <w:hyperlink r:id="rId2" w:history="1">
        <w:r>
          <w:rPr>
            <w:rStyle w:val="Hyperlink"/>
          </w:rPr>
          <w:t>https://www.encj.eu/</w:t>
        </w:r>
      </w:hyperlink>
    </w:p>
  </w:footnote>
  <w:footnote w:id="9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L-NPSJC jipprovdi forum li jagħti lill-istituzzjonijiet Ewropej l-opportunità li jitolbu l-opinjoni</w:t>
      </w:r>
      <w:r>
        <w:t xml:space="preserve"> tal-Qrati Supremi u sabiex jingħaqdu aktar mill-qrib billi jħeggu d-diskussjoni u l-iskambju tal-ideat: </w:t>
      </w:r>
      <w:hyperlink r:id="rId3" w:history="1">
        <w:r>
          <w:rPr>
            <w:rStyle w:val="Hyperlink"/>
          </w:rPr>
          <w:t>http://network-presidents.eu/</w:t>
        </w:r>
      </w:hyperlink>
    </w:p>
  </w:footnote>
  <w:footnote w:id="10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tab/>
        <w:t xml:space="preserve">ACA-Europa hija fformata mill-Qorti tal-Ġustizzja tal-UE u mill-Kunsilli </w:t>
      </w:r>
      <w:r>
        <w:t xml:space="preserve">tal-Istat jew mill-ġuriżdizzjonijiet amministrattivi Supremi ta’ kull wieħed mill-Istati Membri: </w:t>
      </w:r>
      <w:hyperlink r:id="rId4" w:history="1">
        <w:r>
          <w:rPr>
            <w:rStyle w:val="Hyperlink"/>
          </w:rPr>
          <w:t>http://www.juradmin.eu/index.php/en/</w:t>
        </w:r>
      </w:hyperlink>
    </w:p>
  </w:footnote>
  <w:footnote w:id="11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ab/>
        <w:t>In-NEK twaqqaf bħala forum għad-diskussjoni u għall-kooperazzjoni b</w:t>
      </w:r>
      <w:r>
        <w:t>ejn l-awtoritajiet Ewropej tal-kompetizzjoni f’każijiet li fihom jiġu applikati l-Artikoli 101 u 102 tat-Trattat dwar il-Funzjonament tal-UE. In-NEK huwa l-qafas għall-mekkaniżmi ta’ kooperazzjoni mill-qrib tar-Regolament tal-Kunsill 1/2003. Permezz tan-NE</w:t>
      </w:r>
      <w:r>
        <w:t xml:space="preserve">K, il-Kummissjoni u l-awtoritajiet nazzjonali tal-kompetizzjoni fl-Istati Membri kollha tal-UE jikkooperaw ma’ xulxin: </w:t>
      </w:r>
      <w:hyperlink r:id="rId5" w:history="1">
        <w:r>
          <w:rPr>
            <w:rStyle w:val="Hyperlink"/>
          </w:rPr>
          <w:t>http://ec.europa.eu/competition/ecn/index_en.html</w:t>
        </w:r>
      </w:hyperlink>
    </w:p>
  </w:footnote>
  <w:footnote w:id="12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ab/>
        <w:t>Is-COCOM huwa magħm</w:t>
      </w:r>
      <w:r>
        <w:t xml:space="preserve">ul minn rappreżentanti tal-Istati Membri tal-UE. Ir-rwol ewlieni tiegħu huwa li jipprovdi opinjoni dwar l-abbozz ta’ miżuri li l-Kummissjoni jkollha l-ħsieb li tadotta dwar kwistjonijiet relatati mas-suq diġitali: </w:t>
      </w:r>
      <w:hyperlink r:id="rId6" w:history="1">
        <w:r>
          <w:rPr>
            <w:rStyle w:val="Hyperlink"/>
          </w:rPr>
          <w:t>https://ec.europa.eu/digital-single-market/en/communications-committee</w:t>
        </w:r>
      </w:hyperlink>
    </w:p>
  </w:footnote>
  <w:footnote w:id="13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ab/>
        <w:t>L-Osservatorju Ewropew tal-Ksur tad-Drittijiet tal-Proprjetà Intellettwali huwa network ta’ esperti u ta’ speċjalisti kkonċernati. Huwa ma</w:t>
      </w:r>
      <w:r>
        <w:t xml:space="preserve">għmul minn rappreżentanti tas-settur pubbliku u privat, li jikkollaboraw fi gruppi ta’ ħidma attivi. </w:t>
      </w:r>
      <w:hyperlink r:id="rId7" w:history="1">
        <w:r>
          <w:rPr>
            <w:rStyle w:val="Hyperlink"/>
          </w:rPr>
          <w:t>https://euipo.europa.eu/ohimportal/en/web/observatory/home</w:t>
        </w:r>
      </w:hyperlink>
      <w:r>
        <w:t xml:space="preserve"> </w:t>
      </w:r>
    </w:p>
  </w:footnote>
  <w:footnote w:id="14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ab/>
        <w:t>Is-CPC huwa networ</w:t>
      </w:r>
      <w:r>
        <w:t xml:space="preserve">k ta’ awtoritajiet nazzjonali responsabbli għall-infurzar tal-liġijiet dwar il-protezzjoni tal-konsumaturi fil-pajjiżi tal-UE u taż-ŻEE: </w:t>
      </w:r>
      <w:hyperlink r:id="rId8" w:history="1">
        <w:r>
          <w:rPr>
            <w:rStyle w:val="Hyperlink"/>
          </w:rPr>
          <w:t>http://ec.europa.eu/internal_market/scoreboard/performance_by_governance_tool/consumer_protection_cooperation_network/index_en.htm</w:t>
        </w:r>
      </w:hyperlink>
      <w:r>
        <w:t xml:space="preserve"> </w:t>
      </w:r>
    </w:p>
  </w:footnote>
  <w:footnote w:id="15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>L-EGMLTF jiltaqa’ regolarment sabiex jaqsam il-fehmiet tiegħu u jgħin lill-Kummissjoni bl-għa</w:t>
      </w:r>
      <w:r>
        <w:t xml:space="preserve">n li tiddefinixxi politika u tabbozza leġiżlazzjoni ġdida dwar il-ġlieda kontra l-ħasil tal-flus u l-finanzjament tat-terroriżmu: </w:t>
      </w:r>
      <w:hyperlink r:id="rId9" w:history="1">
        <w:r>
          <w:rPr>
            <w:rStyle w:val="Hyperlink"/>
          </w:rPr>
          <w:t>http://ec.europa.eu/justice/civil/financial-cri</w:t>
        </w:r>
        <w:r>
          <w:rPr>
            <w:rStyle w:val="Hyperlink"/>
          </w:rPr>
          <w:t>me/index_en.htm</w:t>
        </w:r>
      </w:hyperlink>
    </w:p>
  </w:footnote>
  <w:footnote w:id="16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ab/>
        <w:t xml:space="preserve">Il-Eurostat huwa l-uffiċċju tal-istatistika tal-UE: </w:t>
      </w:r>
      <w:hyperlink r:id="rId10" w:history="1">
        <w:r>
          <w:rPr>
            <w:rStyle w:val="Hyperlink"/>
          </w:rPr>
          <w:t>http://ec.europa.eu/eurostat/about/overview</w:t>
        </w:r>
      </w:hyperlink>
    </w:p>
  </w:footnote>
  <w:footnote w:id="17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ab/>
      </w:r>
      <w:r>
        <w:t xml:space="preserve">L-EJTN huwa l-pjattaforma prinċipali u promotur tat-taħriġ u tal-iskambju ta’ għarfien tal-ġudikatura Ewropea. Huwa jiżviluppa standards u kurrikuli ta’ taħriġ, jikkoordina skambji u programmi ta’ taħriġ ġudizzjarju, ixerred għarfien espert dwar it-taħriġ </w:t>
      </w:r>
      <w:r>
        <w:t xml:space="preserve">u jippromwovi l-kooperazzjoni bejn l-istituzzjonijiet tat-taħriġ ġudizzjarju tal-UE. L-EJTN għandu 34 membru li jirrappreżentaw lill-Istati Membri tal-UE kif ukoll lil korpi transnazzjonali tal-UE. </w:t>
      </w:r>
      <w:hyperlink r:id="rId11" w:history="1">
        <w:r>
          <w:rPr>
            <w:rStyle w:val="Hyperlink"/>
          </w:rPr>
          <w:t>http://www.ejtn.eu/</w:t>
        </w:r>
      </w:hyperlink>
    </w:p>
  </w:footnote>
  <w:footnote w:id="18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ab/>
      </w:r>
      <w:r>
        <w:t xml:space="preserve">Id-WEF huwa organizzazzjoni internazzjonali għall-kooperazzjoni pubblika-privata, li l-membri tagħha huma kumpaniji: </w:t>
      </w:r>
      <w:hyperlink r:id="rId12" w:history="1">
        <w:r>
          <w:rPr>
            <w:rStyle w:val="Hyperlink"/>
          </w:rPr>
          <w:t>https://www.weforum.org/</w:t>
        </w:r>
      </w:hyperlink>
    </w:p>
  </w:footnote>
  <w:footnote w:id="19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Fis-Semestru Ewropew tal-2020, il-Kunsill, fuq proposta tal-Kummissjon</w:t>
      </w:r>
      <w:r>
        <w:t>i, indirizza r-rakkomandazzjonijiet speċifiċi għall-pajjiżi lil tmien Stati Membri relatati mas-sistema tal-ġustizzja tagħhom (HR, IT, CY, HU, MT, PL, PT u SK). Minbarra dawk l-Istati Membri li rċevew proposta għal rakkomandazzjonijiet speċifiċi għall-pajj</w:t>
      </w:r>
      <w:r>
        <w:t>iżi, tmien Stati Membri oħra (BE, BG, IE, EL, ES, LV, RO u SI) qed jiffaċċjaw sfidi speċifiċi fir-rigward tas-sistemi tal-ġustizzja tagħhom, inklużi l-istat tad-dritt u l-indipendenza tal-ġustizzja, li qed jiġu mmonitorjati mill-Kummissjoni permezz tas-Sem</w:t>
      </w:r>
      <w:r>
        <w:t xml:space="preserve">estru Ewropew. Dawn l-isfidi ġew riflessi fil-premessi tar-Rakkomandazzjonijiet proposti Speċifiċi għall-Pajjiżi u fir-rapporti tal-pajjiżi li jirrigwardaw lil dawn l-Istati Membri. Ir-rapporti tal-pajjiżi l-aktar riċenti tal-2020, ippubblikati fis-26 ta’ </w:t>
      </w:r>
      <w:r>
        <w:t xml:space="preserve">Frar 2020, huma disponibbli fuq: </w:t>
      </w:r>
      <w:hyperlink r:id="rId13" w:history="1">
        <w:r>
          <w:rPr>
            <w:rStyle w:val="Hyperlink"/>
          </w:rPr>
          <w:t>https://ec.europa.eu/info/publications/2020-european-semester-country-reports_mt</w:t>
        </w:r>
      </w:hyperlink>
    </w:p>
  </w:footnote>
  <w:footnote w:id="20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>FMI, Regional Economic Outlook, Novembru 2</w:t>
      </w:r>
      <w:r>
        <w:t xml:space="preserve">017, </w:t>
      </w:r>
      <w:r>
        <w:rPr>
          <w:i/>
          <w:iCs/>
        </w:rPr>
        <w:t xml:space="preserve">Europe: Europe Hitting its Stride, </w:t>
      </w:r>
      <w:r>
        <w:t xml:space="preserve">pp. xviii, pp. 40, 70: </w:t>
      </w:r>
      <w:hyperlink r:id="rId14" w:history="1">
        <w:r>
          <w:rPr>
            <w:rStyle w:val="Hyperlink"/>
          </w:rPr>
          <w:t>https://www.imf.org/~/media/Files/Publications/REO/EUR/2017/November/eur-booked-</w:t>
        </w:r>
        <w:r>
          <w:rPr>
            <w:rStyle w:val="Hyperlink"/>
          </w:rPr>
          <w:t>print.ashx?la=en</w:t>
        </w:r>
      </w:hyperlink>
      <w:r>
        <w:t xml:space="preserve"> </w:t>
      </w:r>
    </w:p>
  </w:footnote>
  <w:footnote w:id="21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tab/>
        <w:t xml:space="preserve">BĊE, “Structural policies in the euro area”, Ġunju 2018, ECB Occasional Paper Series No 210: </w:t>
      </w:r>
      <w:hyperlink r:id="rId15" w:history="1">
        <w:r>
          <w:rPr>
            <w:rStyle w:val="Hyperlink"/>
          </w:rPr>
          <w:t>https://www.ecb.europa.eu/pub/pdf/sc</w:t>
        </w:r>
        <w:r>
          <w:rPr>
            <w:rStyle w:val="Hyperlink"/>
          </w:rPr>
          <w:t>pops/ecb.op210.en.pdf?3db9355b1d1599799aa0e475e5624651</w:t>
        </w:r>
      </w:hyperlink>
      <w:r>
        <w:t xml:space="preserve"> </w:t>
      </w:r>
    </w:p>
  </w:footnote>
  <w:footnote w:id="22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ab/>
        <w:t>Ara pereżempju “What makes civil justice effective?”, OECD Economics Department Policy Notes, Nru 18, Ġunju 2013 u “The Economics of Civil Justice: New Cross-Country Data and Empirics”, OECD Economi</w:t>
      </w:r>
      <w:r>
        <w:t>cs Department Working Papers, Nru 1060.</w:t>
      </w:r>
    </w:p>
  </w:footnote>
  <w:footnote w:id="23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ab/>
        <w:t xml:space="preserve">Forum Ekonomiku Dinji, “The Global Competitiveness Report 2019”, Ottubru 2019: </w:t>
      </w:r>
      <w:hyperlink r:id="rId16" w:history="1">
        <w:r>
          <w:rPr>
            <w:rStyle w:val="Hyperlink"/>
          </w:rPr>
          <w:t>https://www.weforum.org/reports/global-competitiveness-report-2019</w:t>
        </w:r>
      </w:hyperlink>
      <w:r>
        <w:t xml:space="preserve"> </w:t>
      </w:r>
    </w:p>
  </w:footnote>
  <w:footnote w:id="24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ab/>
        <w:t xml:space="preserve">Il-Bank Dinji, “World Development Report 2017: Governance and the Law, Chapter 3: The role of law”, pp. 83, 140: </w:t>
      </w:r>
      <w:hyperlink r:id="rId17" w:history="1">
        <w:r>
          <w:rPr>
            <w:rStyle w:val="Hyperlink"/>
          </w:rPr>
          <w:t>http://ww</w:t>
        </w:r>
        <w:r>
          <w:rPr>
            <w:rStyle w:val="Hyperlink"/>
          </w:rPr>
          <w:t>w.worldbank.org/en/publication/wdr2017</w:t>
        </w:r>
      </w:hyperlink>
      <w:r>
        <w:t xml:space="preserve"> </w:t>
      </w:r>
    </w:p>
  </w:footnote>
  <w:footnote w:id="25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>L-indikatur taż-“żmien għat-tlestija” huwa l-għadd ta’ kawżi mhux solvuti diviż bl-għadd ta’ kawżi solvuti sa tmiem is-sena mmoltiplikat bi 365 (jum). Dan huwa indikatur standard definit mill-CEPEJ tal-Kunsill tal</w:t>
      </w:r>
      <w:r>
        <w:t xml:space="preserve">-Ewropa: </w:t>
      </w:r>
      <w:hyperlink r:id="rId18" w:history="1">
        <w:r>
          <w:rPr>
            <w:rStyle w:val="Hyperlink"/>
          </w:rPr>
          <w:t>http://www.coe.int/t/dghl/cooperation/cepej/evaluation/default_en.asp</w:t>
        </w:r>
      </w:hyperlink>
    </w:p>
  </w:footnote>
  <w:footnote w:id="26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>Vincenzo Bove u Leandro Elia; “The judicial system and economic development across EU Me</w:t>
      </w:r>
      <w:r>
        <w:t xml:space="preserve">mber States”, JRC Technical Report, EUR 28440 EN, L-Uffiċċju tal-Pubblikazzjonijiet tal-UE, il-Lussemburgu, 2017: </w:t>
      </w:r>
      <w:hyperlink r:id="rId19" w:history="1">
        <w:r>
          <w:rPr>
            <w:rStyle w:val="Hyperlink"/>
          </w:rPr>
          <w:t>http://publications.jrc.ec.europa.eu/repository/bitstream/JRC104594/jrc104594__2017_the_judicial_system_and_economic_development_across_eu_member_states.pdf</w:t>
        </w:r>
      </w:hyperlink>
    </w:p>
  </w:footnote>
  <w:footnote w:id="27">
    <w:p w:rsidR="00461018" w:rsidRDefault="000329C3">
      <w:pPr>
        <w:pStyle w:val="FootnoteText"/>
        <w:spacing w:before="60"/>
        <w:ind w:left="567" w:hanging="567"/>
        <w:rPr>
          <w:i/>
          <w:iCs/>
        </w:rPr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</w:r>
      <w:r>
        <w:rPr>
          <w:i/>
          <w:iCs/>
        </w:rPr>
        <w:t>Idem.</w:t>
      </w:r>
    </w:p>
  </w:footnote>
  <w:footnote w:id="28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>Effect of judicial independence on foreign direct invest</w:t>
      </w:r>
      <w:r>
        <w:t xml:space="preserve">ment in Eastern Europe and South Asia; Bülent Dogru; 2012, MPRA Munich Personal RePEc Archive: </w:t>
      </w:r>
      <w:hyperlink r:id="rId20" w:history="1">
        <w:r>
          <w:rPr>
            <w:rStyle w:val="Hyperlink"/>
          </w:rPr>
          <w:t>https://mpra.ub.uni-muenchen.de/40471/1/MPRA_paper_40322.pdf</w:t>
        </w:r>
      </w:hyperlink>
      <w:r>
        <w:t xml:space="preserve"> . L-Istati Membri tal-U</w:t>
      </w:r>
      <w:r>
        <w:t>E inklużi fl-istudju kienu: BG, HR, CZ, EE, HU, LV, LT, RO, SK u SI.</w:t>
      </w:r>
    </w:p>
  </w:footnote>
  <w:footnote w:id="29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 xml:space="preserve">The Economist Intelligence Unit: “Risk and Return – Foreign Direct Investment and the Rule of Law”, 2015  </w:t>
      </w:r>
      <w:hyperlink r:id="rId21" w:history="1">
        <w:r>
          <w:rPr>
            <w:rStyle w:val="Hyperlink"/>
          </w:rPr>
          <w:t>http://www.biicl.org/documents/625_d4_fdi_main_report.pdf</w:t>
        </w:r>
      </w:hyperlink>
      <w:r>
        <w:t>, p.22.</w:t>
      </w:r>
    </w:p>
  </w:footnote>
  <w:footnote w:id="30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 xml:space="preserve">L-Uffiċċju tal-Proprjetà Intellettwali tal-UE (EUIPO), It-Tabella ta’ Valutazzjoni tal-SMEs dwar il-Proprjetà Intellettwali (PI), 2016: </w:t>
      </w:r>
      <w:hyperlink r:id="rId22" w:history="1">
        <w:r>
          <w:rPr>
            <w:rStyle w:val="Hyperlink"/>
          </w:rPr>
          <w:t>https://euipo.europa.eu/tunnel-web/secure/webdav/guest/document_library/observatory/documents/sme_scoreboard_study_2016/Executive-summary_en.pdf</w:t>
        </w:r>
      </w:hyperlink>
    </w:p>
  </w:footnote>
  <w:footnote w:id="31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COM(2020)93 u SWD(2020)54.  </w:t>
      </w:r>
    </w:p>
  </w:footnote>
  <w:footnote w:id="32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Il-Komunikazzjoni tal-Kummissjoni lill-Parlament Ewropew, lill-Kunsill, lill-Kumitat Ekonomiku u Soċjali Ewropew u lill-Kumitat tar-Reġjuni “Pjan ta’ azzjoni fit-tul għal </w:t>
      </w:r>
      <w:r>
        <w:rPr>
          <w:rStyle w:val="Hyperlink"/>
        </w:rPr>
        <w:t>implimentazzjoni</w:t>
      </w:r>
      <w:r>
        <w:t xml:space="preserve"> u infurzar aħjar tar-regoli tas-suq</w:t>
      </w:r>
      <w:r>
        <w:t xml:space="preserve"> uniku”, COM(2020)94, ara b’mod partikolari l-azzjonijiet 4, 6 u 18. </w:t>
      </w:r>
    </w:p>
  </w:footnote>
  <w:footnote w:id="33">
    <w:p w:rsidR="00461018" w:rsidRDefault="000329C3">
      <w:pPr>
        <w:pStyle w:val="FootnoteText"/>
        <w:spacing w:before="60"/>
        <w:ind w:left="567" w:hanging="567"/>
        <w:rPr>
          <w:highlight w:val="yellow"/>
          <w:u w:val="single"/>
        </w:rPr>
      </w:pPr>
      <w:r>
        <w:rPr>
          <w:rStyle w:val="FootnoteReference"/>
        </w:rPr>
        <w:footnoteRef/>
      </w:r>
      <w:r>
        <w:tab/>
      </w:r>
      <w:hyperlink r:id="rId23" w:history="1">
        <w:r>
          <w:rPr>
            <w:rStyle w:val="Hyperlink"/>
          </w:rPr>
          <w:t>https://ec.eu</w:t>
        </w:r>
        <w:r>
          <w:rPr>
            <w:rStyle w:val="Hyperlink"/>
          </w:rPr>
          <w:t>ropa.eu/info/funding-tenders/funding-opportunities/funding-programmes/overview-funding-programmes/structural-reform-support-programme-srsp_mt</w:t>
        </w:r>
      </w:hyperlink>
    </w:p>
  </w:footnote>
  <w:footnote w:id="34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>BE, BG, CZ, EE, EL, ES, HR, IT, CY, LV, HU, MT, PL, PT, SI u SK.</w:t>
      </w:r>
    </w:p>
  </w:footnote>
  <w:footnote w:id="35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Ara l-istqarrija għall-istampa IP/20/940, i</w:t>
      </w:r>
      <w:r>
        <w:t xml:space="preserve">s-27 ta’ Mejju 2020, disponibbli hawnhekk:  </w:t>
      </w:r>
      <w:hyperlink r:id="rId24" w:history="1">
        <w:r>
          <w:rPr>
            <w:rStyle w:val="Hyperlink"/>
          </w:rPr>
          <w:t>https://ec.europa.eu/commission/presscorner/detail/mt/ip_20_940</w:t>
        </w:r>
      </w:hyperlink>
      <w:r>
        <w:t xml:space="preserve">  </w:t>
      </w:r>
    </w:p>
  </w:footnote>
  <w:footnote w:id="36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</w:r>
      <w:hyperlink r:id="rId25" w:history="1">
        <w:r>
          <w:rPr>
            <w:rStyle w:val="Hyperlink"/>
          </w:rPr>
          <w:t>https://eur-lex.europa.eu/legal-content/MT/TXT/?uri=COM:2020:0409:FIN</w:t>
        </w:r>
      </w:hyperlink>
      <w:r>
        <w:t xml:space="preserve"> </w:t>
      </w:r>
    </w:p>
  </w:footnote>
  <w:footnote w:id="37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tab/>
        <w:t>L-informazzjoni nġabret f’kooperazzjoni mal-grupp ta’ persuni ta’ kuntatt fuq is-sistemi tal-ġustizzja nazzjonali għal 26 Stat Membru. Il-DE spjegat li bħalissa</w:t>
      </w:r>
      <w:r>
        <w:t xml:space="preserve"> qed isiru għadd ta’ riformi fir-rigward tal-ġudikatura, fejn il-kamp ta’ applikazzjoni u l-iskala tal-proċess tar-riformi jistgħu jvarjaw fi ħdan is-16-il stat federali.</w:t>
      </w:r>
    </w:p>
  </w:footnote>
  <w:footnote w:id="38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 xml:space="preserve">L-infurzar tad-deċiżjonijiet tal-qorti huwa importanti wkoll għall-effiċjenza ta’ </w:t>
      </w:r>
      <w:r>
        <w:t xml:space="preserve">sistema tal-ġustizzja. Madankollu, ma hemmx </w:t>
      </w:r>
      <w:r>
        <w:rPr>
          <w:i/>
        </w:rPr>
        <w:t>data</w:t>
      </w:r>
      <w:r>
        <w:t xml:space="preserve"> komparabbli disponibbli fil-biċċa l-kbira tal-Istati Membri.</w:t>
      </w:r>
    </w:p>
  </w:footnote>
  <w:footnote w:id="39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t xml:space="preserve"> </w:t>
      </w:r>
      <w:r>
        <w:tab/>
        <w:t xml:space="preserve">Studju tal-2019 dwar il-funzjonament tas-sistemi ġudizzjarji fl-Istati Membri tal-UE, imwettaq mis-Segretarjat tas-CEPEJ għall-Kummissjoni: </w:t>
      </w:r>
      <w:hyperlink r:id="rId26" w:history="1">
        <w:r>
          <w:rPr>
            <w:rStyle w:val="Hyperlink"/>
          </w:rPr>
          <w:t>https://ec.europa.eu/info/strategy/justice-and-fundamental-rights/effective-justice/eu-justice-scoreboard_mt</w:t>
        </w:r>
      </w:hyperlink>
    </w:p>
  </w:footnote>
  <w:footnote w:id="40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tab/>
        <w:t>It-tul tal-proċedimenti</w:t>
      </w:r>
      <w:r>
        <w:t xml:space="preserve">, ir-rata tal-għeluq tal-kawżi u l-għadd ta’ kawżi pendenti huma indikaturi standard definiti mis-CEPEJ. </w:t>
      </w:r>
      <w:hyperlink r:id="rId27" w:history="1">
        <w:r>
          <w:rPr>
            <w:rStyle w:val="Hyperlink"/>
          </w:rPr>
          <w:t>http://www.coe.int/t/dghl/cooperation/cepej/evaluation/default_en</w:t>
        </w:r>
        <w:r>
          <w:rPr>
            <w:rStyle w:val="Hyperlink"/>
          </w:rPr>
          <w:t>.asp</w:t>
        </w:r>
      </w:hyperlink>
    </w:p>
  </w:footnote>
  <w:footnote w:id="41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tab/>
        <w:t xml:space="preserve">Is-snin intgħażlu sabiex tinżamm il-perspettiva fuq seba’ snin, bis-sena 2012 li tintuża bħala linja bażi, filwaqt li fl-istess ħin jiġi evitat li l-illustrazzjonijiet ikunu mimlija b’wisq </w:t>
      </w:r>
      <w:r>
        <w:rPr>
          <w:i/>
        </w:rPr>
        <w:t>data</w:t>
      </w:r>
      <w:r>
        <w:t xml:space="preserve">. </w:t>
      </w:r>
      <w:r>
        <w:rPr>
          <w:i/>
        </w:rPr>
        <w:t>Data</w:t>
      </w:r>
      <w:r>
        <w:t xml:space="preserve"> għall-2010, għall-2013, għall-2014 u għall-2015 h</w:t>
      </w:r>
      <w:r>
        <w:t>ija disponibbli fir-rapport tas-CEPEJ.</w:t>
      </w:r>
    </w:p>
  </w:footnote>
  <w:footnote w:id="42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>It-tul tal-proċedimenti f’oqsma speċifiċi jiġi kkalkolat f’jiem kalendarji, li jibdew jgħoddu mill-jum li fih jiġu ppreżentati azzjoni jew appell quddiem il-qorti (jew l-akkuża tkun saret finali) u l-jum li fih il-</w:t>
      </w:r>
      <w:r>
        <w:t>qorti tkun adottat id-deċiżjoni tagħha (l-Illustrazzjonijiet 16-21). Il-valuri jiġu kklassifikati abbażi ta’ medja ponderata tad-</w:t>
      </w:r>
      <w:r>
        <w:rPr>
          <w:i/>
        </w:rPr>
        <w:t>data</w:t>
      </w:r>
      <w:r>
        <w:t xml:space="preserve"> għall-2013 u għall-2016-2018 għall-Illustrazzjonijiet 16-18, tad-</w:t>
      </w:r>
      <w:r>
        <w:rPr>
          <w:i/>
        </w:rPr>
        <w:t>data</w:t>
      </w:r>
      <w:r>
        <w:t xml:space="preserve"> għall-2013, għall-2015-2016 u għall-2018 għall-Illustrazzjoni 19, u tad-</w:t>
      </w:r>
      <w:r>
        <w:rPr>
          <w:i/>
        </w:rPr>
        <w:t>data</w:t>
      </w:r>
      <w:r>
        <w:t xml:space="preserve"> għall-2014 u għall-2016-2018 għall-Illustrazzjonijiet 20 u 21. Meta d-</w:t>
      </w:r>
      <w:r>
        <w:rPr>
          <w:i/>
        </w:rPr>
        <w:t>data</w:t>
      </w:r>
      <w:r>
        <w:t xml:space="preserve"> ma tkunx disponibbli għas-snin kollha, il-medja tirrifletti d-</w:t>
      </w:r>
      <w:r>
        <w:rPr>
          <w:i/>
        </w:rPr>
        <w:t>data</w:t>
      </w:r>
      <w:r>
        <w:t xml:space="preserve"> disponibbli, ikkalkolata abbażi tal-</w:t>
      </w:r>
      <w:r>
        <w:t>kawżi kollha, ta’ kampjun ta’ kawżi jew ta’ stimi.</w:t>
      </w:r>
    </w:p>
  </w:footnote>
  <w:footnote w:id="43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 xml:space="preserve">Ara </w:t>
      </w:r>
      <w:hyperlink r:id="rId28" w:history="1">
        <w:r>
          <w:rPr>
            <w:rStyle w:val="Hyperlink"/>
          </w:rPr>
          <w:t>http://eur-lex.europa.eu/legal-content/MT/TXT/PDF/?uri=CELEX:12012E/TXT&amp;from=MT</w:t>
        </w:r>
      </w:hyperlink>
      <w:r>
        <w:rPr>
          <w:rStyle w:val="Hyperlink"/>
        </w:rPr>
        <w:t>.</w:t>
      </w:r>
    </w:p>
  </w:footnote>
  <w:footnote w:id="44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t xml:space="preserve"> </w:t>
      </w:r>
      <w:r>
        <w:rPr>
          <w:vertAlign w:val="superscript"/>
        </w:rPr>
        <w:t xml:space="preserve"> </w:t>
      </w:r>
      <w:r>
        <w:tab/>
        <w:t>Il-kalkolu sar fu</w:t>
      </w:r>
      <w:r>
        <w:t xml:space="preserve">q il-bażi tat-tul tal-kawżi ta’ appell kontra d-deċiżjonijiet tal-awtoritajiet regolatorji nazzjonali li japplikaw il-liġijiet nazzjonali li jimplimentaw il-qafas regolatorju għall-komunikazzjonijiet elettroniċi (id-Direttiva 2002/19/KE (id-Direttiva dwar </w:t>
      </w:r>
      <w:r>
        <w:t>l-Aċċess), id-Direttiva 2002/20/KE (id-Direttiva dwar l-Awtorizzazzjoni), id-Direttiva 2002/21/KE (id-Direttiva Qafas), id-Direttiva 2002/22/KE (id-Direttiva dwar is-Servizz Universali) u d-dritt tal-Unjoni rilevanti ieħor, bħall-programm tal-politika tal-</w:t>
      </w:r>
      <w:r>
        <w:t>ispettru tar-radju, id-deċiżjonijiet tal-Kummissjoni dwar l-ispettru, minbarra d-Direttiva 2002/58/KE dwar il-privatezza u l-komunikazzjoni elettronika.</w:t>
      </w:r>
    </w:p>
  </w:footnote>
  <w:footnote w:id="45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>Ir-Regolament (UE) 2017/1001 tal-Parlament Ewropew u tal-Kunsill tal-14 ta’ Ġunju 2017 dwar it-trade</w:t>
      </w:r>
      <w:r>
        <w:t>mark tal-Unjoni Ewropea (ĠU L 154, 16.6.2017, p. 1-99).</w:t>
      </w:r>
    </w:p>
  </w:footnote>
  <w:footnote w:id="46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t xml:space="preserve"> </w:t>
      </w:r>
      <w:r>
        <w:rPr>
          <w:vertAlign w:val="superscript"/>
        </w:rPr>
        <w:t xml:space="preserve"> </w:t>
      </w:r>
      <w:r>
        <w:tab/>
        <w:t xml:space="preserve">L-Illustrazzjonijiet 19 u 20 huma relatati mal-infurzar tad-Direttiva dwar Klawżoli Kuntrattwali Inġusti (93/13/KEE), tad-Direttiva dwar Ċerti Aspetti tal-Bejgħ ta’ Oġġetti tal-Konsum u Garanziji </w:t>
      </w:r>
      <w:r>
        <w:t>Assoċjati Magħhom (1999/44/KE), tad-Direttiva dwar Prattiċi Kummerċjali Żleali (2005/29/KE), tad-Direttiva dwar id-Drittijiet tal-Konsumatur (2011/83/KE) u tad-dispożizzjonijiet ta’ implimentazzjoni nazzjonali tagħhom.</w:t>
      </w:r>
    </w:p>
  </w:footnote>
  <w:footnote w:id="47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ab/>
        <w:t>Il-premessa 2 tad-Direttiva (UE) 20</w:t>
      </w:r>
      <w:r>
        <w:t>15/849 tal-Parlament Ewropew u tal-Kunsill tal-20 ta’ Mejju 2015 dwar il-prevenzjoni tal-użu tas-sistema finanzjarja għall-finijiet tal-ħasil tal-flus jew il-finanzjament tat-terroriżmu.</w:t>
      </w:r>
    </w:p>
  </w:footnote>
  <w:footnote w:id="48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Skeda informattiva tal-FMI, it-8 ta’ Marzu 2018: </w:t>
      </w:r>
      <w:hyperlink r:id="rId29" w:history="1">
        <w:r>
          <w:rPr>
            <w:rStyle w:val="Hyperlink"/>
          </w:rPr>
          <w:t>https://www.imf.org/en/About/Factsheets/Sheets/2016/08/01/16/31/Fight-Against-Money-Laundering-the-Financing-of-Terrorism</w:t>
        </w:r>
      </w:hyperlink>
      <w:r>
        <w:t xml:space="preserve"> </w:t>
      </w:r>
    </w:p>
  </w:footnote>
  <w:footnote w:id="49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>L-Artikol</w:t>
      </w:r>
      <w:r>
        <w:t xml:space="preserve">u 44(1) tad-Direttiva (UE) 2015/849. Ara wkoll l-Artikolu 44 rivedut fid-Direttiva (UE) 2018/843, li daħlet fis-seħħ f’Ġunju 2018 u li kellha tiġi implimentata mill-Istati Membri sa mhux aktar tard minn Jannar 2020. </w:t>
      </w:r>
    </w:p>
  </w:footnote>
  <w:footnote w:id="50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>il-HR, l-IT, CY, l-HU, MT, il-PT u s</w:t>
      </w:r>
      <w:r>
        <w:t>-SK, li rċevew rakkomandazzjonijiet speċifiċi għall-pajjiżi tal-2019 fis-Semestru Ewropew, u l-BE, il-BG, l-IE, il-EL, ES, il-LV, il-PL, ir-RO, u s-SI li għalihom l-isfidi kienu riflessi fil-premessi tar-rakkomandazzjonijiet speċifiċi għall-pajjiżi u tar-r</w:t>
      </w:r>
      <w:r>
        <w:t xml:space="preserve">apporti tal-pajjiżi tal-2019. </w:t>
      </w:r>
    </w:p>
    <w:p w:rsidR="00461018" w:rsidRDefault="000329C3">
      <w:pPr>
        <w:pStyle w:val="FootnoteText"/>
        <w:spacing w:before="60"/>
        <w:ind w:left="567" w:firstLine="0"/>
      </w:pPr>
      <w:r>
        <w:t>Id-differenza fir-riżultati matul is-seba’ snin analizzati tista’ tiġi spjegata minn fatturi kuntestwali (varjazzjonijiet ta’ aktar minn 10 % tal-kawżi li deħlin huma normali) jew minn nuqqasijiet sistemiċi (nuqqas ta’ flessibiltà u ta’ risponsività jew in</w:t>
      </w:r>
      <w:r>
        <w:t xml:space="preserve">konsistenzi fil-proċess ta’ riforma). </w:t>
      </w:r>
    </w:p>
  </w:footnote>
  <w:footnote w:id="51">
    <w:p w:rsidR="00461018" w:rsidRDefault="000329C3">
      <w:pPr>
        <w:spacing w:before="60"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>
        <w:rPr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 xml:space="preserve"> </w:t>
      </w:r>
      <w:r>
        <w:tab/>
      </w:r>
      <w:r>
        <w:rPr>
          <w:rFonts w:ascii="Times New Roman" w:hAnsi="Times New Roman"/>
          <w:sz w:val="20"/>
          <w:szCs w:val="20"/>
        </w:rPr>
        <w:t>Id-Direttiva (UE) 2018/1673 tal-Parlament Ewropew u tal-Kunsill tat-23 ta’ Ottubru 2018 dwar il-ġlieda kontra l-ħasil tal-flus permezz tad-dritt kriminali se telimina l-ostakoli legali li jistgħu jdewmu l-prosekuzz</w:t>
      </w:r>
      <w:r>
        <w:rPr>
          <w:rFonts w:ascii="Times New Roman" w:hAnsi="Times New Roman"/>
          <w:sz w:val="20"/>
          <w:szCs w:val="20"/>
        </w:rPr>
        <w:t>joni, bħal li prosekuzzjoni għall-ħasil tal-flus tista’ tibda biss meta jkunu ġew konklużi l-proċedimenti għar-reat predikat sottostanti. L-Istati Membri huma obbligati li jittrasponu d-Direttiva qabel it-8 ta’ Diċembru 2020.</w:t>
      </w:r>
    </w:p>
  </w:footnote>
  <w:footnote w:id="52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ab/>
        <w:t>Id-</w:t>
      </w:r>
      <w:r>
        <w:rPr>
          <w:i/>
        </w:rPr>
        <w:t>data</w:t>
      </w:r>
      <w:r>
        <w:t xml:space="preserve"> għall-2019 inġabret </w:t>
      </w:r>
      <w:r>
        <w:t>f’kooperazzjoni mal-grupp ta’ persuni ta’ kuntatt dwar is-sistemi tal-ġustizzja nazzjonali.</w:t>
      </w:r>
    </w:p>
  </w:footnote>
  <w:footnote w:id="53">
    <w:p w:rsidR="00461018" w:rsidRDefault="000329C3">
      <w:pPr>
        <w:pStyle w:val="FootnoteText"/>
        <w:spacing w:before="60"/>
        <w:ind w:left="567" w:hanging="567"/>
        <w:rPr>
          <w:rStyle w:val="FootnoteReference"/>
        </w:rPr>
      </w:pPr>
      <w:r>
        <w:rPr>
          <w:rStyle w:val="FootnoteReference"/>
        </w:rPr>
        <w:footnoteRef/>
      </w:r>
      <w:r>
        <w:rPr>
          <w:rStyle w:val="FootnoteReference"/>
        </w:rPr>
        <w:t xml:space="preserve"> </w:t>
      </w:r>
      <w:r>
        <w:tab/>
        <w:t>It-tariffi tal-qorti huma mifhuma bħala ammont li għandu jitħallas sabiex jinbdew proċedimenti tal-liġi mhux kriminali f’qorti jew fi tribunal.</w:t>
      </w:r>
    </w:p>
  </w:footnote>
  <w:footnote w:id="54">
    <w:p w:rsidR="00461018" w:rsidRDefault="000329C3">
      <w:pPr>
        <w:spacing w:before="60" w:after="0" w:line="240" w:lineRule="auto"/>
        <w:ind w:left="567" w:hanging="567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Style w:val="FootnoteReference"/>
          <w:rFonts w:ascii="Times New Roman" w:eastAsia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 xml:space="preserve"> </w:t>
      </w:r>
      <w:r>
        <w:tab/>
      </w:r>
      <w:r>
        <w:rPr>
          <w:rFonts w:ascii="Times New Roman" w:hAnsi="Times New Roman"/>
          <w:sz w:val="20"/>
          <w:szCs w:val="20"/>
        </w:rPr>
        <w:t xml:space="preserve">It-tariffi </w:t>
      </w:r>
      <w:r>
        <w:rPr>
          <w:rFonts w:ascii="Times New Roman" w:hAnsi="Times New Roman"/>
          <w:sz w:val="20"/>
          <w:szCs w:val="20"/>
        </w:rPr>
        <w:t>legali huma l-korrispettiv għal servizzi pprovduti minn avukati lill-klijenti tagħhom.</w:t>
      </w:r>
    </w:p>
  </w:footnote>
  <w:footnote w:id="55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L-Artikolu 47(3) tal-Karta tad-Drittijiet Fundamentali tal-UE.</w:t>
      </w:r>
    </w:p>
  </w:footnote>
  <w:footnote w:id="56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ab/>
        <w:t xml:space="preserve">L-Istati Membri jużaw metodi differenti sabiex jistabbilixxu l-limitu għall-eliġibbiltà, eż. perjodi </w:t>
      </w:r>
      <w:r>
        <w:t>ta’ referenza differenti (introjtu fix-xahar/fis-sena). Madwar nofs l-Istati Membri għandhom ukoll limitu relatat mal-kapital personali tal-applikant. Dan ma jiġix ikkunsidrat għal din l-illustrazzjoni. Fil-BE, l-BG, l-IE, ES, FR, l-HR, l-HU, l-LV, l-LT, l</w:t>
      </w:r>
      <w:r>
        <w:t>-LU, u l-PT, ċerti gruppi ta’ persuni (eż. individwi li jirċievu ċerti benefiċċji) huma awtomatikament intitolati li jirċievu għajnuna legali f’tilwim ċivili/kummerċjali. Kriterji addizzjonali li jistgħu jużaw l-Istati Membri, bħall-mertu tal-kawża, mhumie</w:t>
      </w:r>
      <w:r>
        <w:t>x riflessi f’din l-illustrazzjoni. Għalkemm mhux relatat direttament mal-illustrazzjoni, f’diversi Stati Membri (l-AT, iċ-CZ, il-DE, id-DK, l-EE, ES, FR, l-IT, in-NL, il-PL, il-PT, is-SI) l-għajnuna legali mhijiex limitata għal persuni fiżiċi.</w:t>
      </w:r>
    </w:p>
  </w:footnote>
  <w:footnote w:id="57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>Sabiex ti</w:t>
      </w:r>
      <w:r>
        <w:t xml:space="preserve">nġabar </w:t>
      </w:r>
      <w:r>
        <w:rPr>
          <w:i/>
        </w:rPr>
        <w:t>data</w:t>
      </w:r>
      <w:r>
        <w:t xml:space="preserve"> komparattiva, il-limitu tal-Eurostat għall-faqar ta’ kull Stat Membru ġie kkonvertit għall-introjtu fix-xahar. Il-limitu tar-riskju ta’ faqar (AROP) huwa stabbilit għal 60 % tal-introjtu nazzjonali medjan ekwivalizzat disponibbli tal-unitajiet </w:t>
      </w:r>
      <w:r>
        <w:t xml:space="preserve">domestiċi. Stħarriġ Ewropew dwar l-Introjtu u l-Kundizzjonijiet tal-Għajxien, tabella tal-Eurostat ilc_li01, disponibbli hawnhekk: </w:t>
      </w:r>
      <w:hyperlink r:id="rId30">
        <w:r>
          <w:rPr>
            <w:rStyle w:val="Hyperlink"/>
          </w:rPr>
          <w:t>http://ec.europa.eu/eurostat/w</w:t>
        </w:r>
        <w:r>
          <w:rPr>
            <w:rStyle w:val="Hyperlink"/>
          </w:rPr>
          <w:t>eb/income-and-living-conditions/data/database</w:t>
        </w:r>
      </w:hyperlink>
      <w:r>
        <w:t>.</w:t>
      </w:r>
    </w:p>
  </w:footnote>
  <w:footnote w:id="58">
    <w:p w:rsidR="00461018" w:rsidRDefault="000329C3">
      <w:pPr>
        <w:pStyle w:val="FootnoteText"/>
        <w:spacing w:before="60"/>
        <w:ind w:left="567" w:hanging="567"/>
        <w:rPr>
          <w:rStyle w:val="FootnoteReference"/>
          <w:highlight w:val="yellow"/>
        </w:rPr>
      </w:pPr>
      <w:r>
        <w:rPr>
          <w:rStyle w:val="FootnoteReference"/>
        </w:rPr>
        <w:footnoteRef/>
      </w:r>
      <w:r>
        <w:t xml:space="preserve"> </w:t>
      </w:r>
      <w:r>
        <w:tab/>
        <w:t>Id-</w:t>
      </w:r>
      <w:r>
        <w:rPr>
          <w:i/>
        </w:rPr>
        <w:t>data</w:t>
      </w:r>
      <w:r>
        <w:t xml:space="preserve"> għall-2019 miġbura permezz tat-tweġibiet minn membri tas-CCBE għal kwestjonarju bbażat fuq ix-xenarju speċifiku li ġej: tilwima ta’ konsumatur ma’ kumpanija (ġew indikati żewġ valuri differenti tat-</w:t>
      </w:r>
      <w:r>
        <w:t>talba: EUR 6 000 u l-livell limitu tal-Eurostat għall-faqar f’kull Stat Membru). Minħabba li l-kundizzjonijiet għall-għajnuna legali jiddependu mis-sitwazzjoni tal-applikant, jintuża x-xenarju li ġej: applikant impjegat ta’ 35 sena, waħdu u mingħajr ebda p</w:t>
      </w:r>
      <w:r>
        <w:t>ersuna dipendenti fuqu u assigurazzjoni tal-ispejjeż legali, li għandu introjtu regolari u appartament mikri.</w:t>
      </w:r>
    </w:p>
  </w:footnote>
  <w:footnote w:id="59">
    <w:p w:rsidR="00461018" w:rsidRDefault="000329C3">
      <w:pPr>
        <w:pStyle w:val="FootnoteText"/>
        <w:spacing w:before="60"/>
        <w:ind w:left="567" w:hanging="567"/>
        <w:rPr>
          <w:rStyle w:val="FootnoteReference"/>
          <w:highlight w:val="yellow"/>
        </w:rPr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>Id-</w:t>
      </w:r>
      <w:r>
        <w:rPr>
          <w:i/>
        </w:rPr>
        <w:t>data</w:t>
      </w:r>
      <w:r>
        <w:t xml:space="preserve"> tirreferi għal-limiti tal-introjtu validi fl-2019 u nġabret permezz tat-tweġibiet mill-membri tas-CCBE għal kwestjonarju bbażat fuq ix-</w:t>
      </w:r>
      <w:r>
        <w:t>xenarju speċifiku li ġej: tilwima ta’ konsumatur ma’ kumpanija (ġew indikati żewġ valuri differenti tat-talba: EUR 6000 u l-limitu tal-Eurostat għall-faqar f’kull Stat Membru).</w:t>
      </w:r>
    </w:p>
  </w:footnote>
  <w:footnote w:id="60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Id-</w:t>
      </w:r>
      <w:r>
        <w:rPr>
          <w:i/>
        </w:rPr>
        <w:t>data</w:t>
      </w:r>
      <w:r>
        <w:t xml:space="preserve"> nġabret permezz tat-tweġibiet minn membri tas-CCBE għal kwestjonarju</w:t>
      </w:r>
      <w:r>
        <w:t xml:space="preserve"> bbażat fuq ix-xenarju speċifiku li ġej: tilwima bejn żewġ kumpaniji f’litigazzjoni kummerċjali transfruntiera li tikkonċerna l-eżekuzzjoni ta’ kuntratt. Il-valur tat-talba ġie indikat bħala EUR 20 000. Il-membri tas-CCBE ntalbu jipprovdu informazzjoni dwa</w:t>
      </w:r>
      <w:r>
        <w:t xml:space="preserve">r it-tariffa tal-qorti li trid titħallas sabiex tiġi ppreżentata azzjoni fix-xenarju. </w:t>
      </w:r>
    </w:p>
  </w:footnote>
  <w:footnote w:id="61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>Id-</w:t>
      </w:r>
      <w:r>
        <w:rPr>
          <w:i/>
        </w:rPr>
        <w:t>data</w:t>
      </w:r>
      <w:r>
        <w:t xml:space="preserve"> nġabret permezz tat-tweġibiet minn membri tas-CCBE għal kwestjonarju bbażat fuq l-istess każ ipotetiku bħal dak tal-Illustrazzjoni 25 (ara FN 58). Ix-xenarju </w:t>
      </w:r>
      <w:r>
        <w:t>li ġej intuża bħala bażi għall-kalkolu tat-tariffi legali: il-kumpanija li tfittex li teżegwixxi l-kuntatt qabbdet avukat speċjalizzat u tal-esperjenza, li wettaq ix-xogħol li ġej: Fil-fażi prekontenzjuża: 3 sigħat xogħol, dokument wieħed prodott għal tari</w:t>
      </w:r>
      <w:r>
        <w:t>ffa legali fis-siegħa ta’ EUR 150 (b’kollox EUR 450). Fil-fażi kontenzjuża: 11-il siegħa xogħol, 3 dokumenti prodotti, 2 seduti l-qorti għal tariffa legali fis-siegħa ta’ EUR 150 netti (b’kollox EUR 1 650). Il-membri tas-CCBE ntalbu jipprovdu informazzjoni</w:t>
      </w:r>
      <w:r>
        <w:t xml:space="preserve"> dwar (a) it-tariffa statutorja prevista għax-xogħol fil-fażi (pre)kontenzjuża, jekk teżisti u (b) l-ammont tat-tariffa legali li l-qorti raġonevolment tordna li tiġi rimborżata mill-parti li titlef.</w:t>
      </w:r>
    </w:p>
  </w:footnote>
  <w:footnote w:id="62">
    <w:p w:rsidR="00461018" w:rsidRDefault="000329C3">
      <w:pPr>
        <w:spacing w:before="60"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  <w:vertAlign w:val="superscript"/>
        </w:rPr>
        <w:t xml:space="preserve"> </w:t>
      </w:r>
      <w:r>
        <w:tab/>
      </w:r>
      <w:r>
        <w:rPr>
          <w:rFonts w:ascii="Times New Roman" w:hAnsi="Times New Roman"/>
          <w:sz w:val="20"/>
          <w:szCs w:val="20"/>
        </w:rPr>
        <w:t>Id-</w:t>
      </w:r>
      <w:r>
        <w:rPr>
          <w:rFonts w:ascii="Times New Roman" w:hAnsi="Times New Roman"/>
          <w:i/>
          <w:sz w:val="20"/>
          <w:szCs w:val="20"/>
        </w:rPr>
        <w:t>data</w:t>
      </w:r>
      <w:r>
        <w:rPr>
          <w:rFonts w:ascii="Times New Roman" w:hAnsi="Times New Roman"/>
          <w:sz w:val="20"/>
          <w:szCs w:val="20"/>
        </w:rPr>
        <w:t xml:space="preserve"> tikkonċerna s-sena 2018. Ir-rata tat-tagħmir </w:t>
      </w:r>
      <w:r>
        <w:rPr>
          <w:rFonts w:ascii="Times New Roman" w:hAnsi="Times New Roman"/>
          <w:sz w:val="20"/>
          <w:szCs w:val="20"/>
        </w:rPr>
        <w:t>minn 100 % (tagħmir kompletament attivat) għal 0 % (tagħmir ma jeżistix) tindika l-preżenza funzjonali fil-qrati tat-tagħmir kopert mill-graff, skont l-iskala li ġejja: (100 % = 4 punti jekk applikabbli għall-kwistjonijiet kollha / 1,33 punt għal kull kwis</w:t>
      </w:r>
      <w:r>
        <w:rPr>
          <w:rFonts w:ascii="Times New Roman" w:hAnsi="Times New Roman"/>
          <w:sz w:val="20"/>
          <w:szCs w:val="20"/>
        </w:rPr>
        <w:t>tjoni speċifika; 50-99 % = 3 punti jekk applikabbli għall-kwistjonijiet kollha / punt (1) għal kull kwistjoni speċifika; 10-49 % = 2 punti jekk applikabbli għall-kwistjonijiet kollha / 0,66 ta’ punt għal kull kwistjoni speċifika; 1-9 % = punt (1) jekk appl</w:t>
      </w:r>
      <w:r>
        <w:rPr>
          <w:rFonts w:ascii="Times New Roman" w:hAnsi="Times New Roman"/>
          <w:sz w:val="20"/>
          <w:szCs w:val="20"/>
        </w:rPr>
        <w:t>ikabbli għall-kwistjonijiet kollha / 0,33 ta’ punt għal kull kwistjoni speċifika. “Kwistjoni speċifika” hija relatata mat-tip ta’ litigazzjoni ttrattata (ċivili/kummerċjali, kriminali, amministrattiva jew oħra).</w:t>
      </w:r>
    </w:p>
  </w:footnote>
  <w:footnote w:id="63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Ara </w:t>
      </w:r>
      <w:r>
        <w:rPr>
          <w:i/>
          <w:iCs/>
        </w:rPr>
        <w:t xml:space="preserve">Best practice guide for managing </w:t>
      </w:r>
      <w:r>
        <w:rPr>
          <w:i/>
          <w:iCs/>
        </w:rPr>
        <w:t>Supreme Courts</w:t>
      </w:r>
      <w:r>
        <w:t>, taħt il-proġett Supreme Courts as guarantee for effectiveness of judicial systems, p. 29.</w:t>
      </w:r>
    </w:p>
  </w:footnote>
  <w:footnote w:id="64">
    <w:p w:rsidR="00461018" w:rsidRDefault="000329C3">
      <w:pPr>
        <w:pStyle w:val="FootnoteText"/>
        <w:spacing w:before="60"/>
        <w:ind w:left="567" w:firstLine="0"/>
      </w:pPr>
      <w:r>
        <w:t>Ir-Regolament (UE) 2016/679 tal-Parlament Ewropew u tal-Kunsill tas-27 ta’ April 2016 dwar il-protezzjoni tal-persuni fiżiċi fir-rigward tal-ipproċess</w:t>
      </w:r>
      <w:r>
        <w:t xml:space="preserve">ar ta’ </w:t>
      </w:r>
      <w:r>
        <w:rPr>
          <w:i/>
        </w:rPr>
        <w:t>data</w:t>
      </w:r>
      <w:r>
        <w:t xml:space="preserve"> personali u dwar il-moviment liberu ta’ tali </w:t>
      </w:r>
      <w:r>
        <w:rPr>
          <w:i/>
        </w:rPr>
        <w:t>data</w:t>
      </w:r>
      <w:r>
        <w:t>, u li jħassar id-Direttiva 95/46/KE (Regolament Ġenerali dwar il-Protezzjoni tad-</w:t>
      </w:r>
      <w:r>
        <w:rPr>
          <w:i/>
        </w:rPr>
        <w:t>Data</w:t>
      </w:r>
      <w:r>
        <w:t>) (ĠU L 119, 4.5.2016, p. 1).</w:t>
      </w:r>
    </w:p>
  </w:footnote>
  <w:footnote w:id="65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L-anonimizzazzjoni/il-psewdonimizzazzjoni hija aktar effiċjenti jekk tiġi me</w:t>
      </w:r>
      <w:r>
        <w:t>għjuna minn algoritmu. Madankollu, hija meħtieġa superviżjoni umana, peress li l-algoritmi ma jifhmux il-kuntest.</w:t>
      </w:r>
    </w:p>
  </w:footnote>
  <w:footnote w:id="66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Id-Direttiva 2003/98/KE tal-Parlament Ewropew u tal-Kunsill tas-17 ta’ Novembru 2003 dwar l-użu mill-ġdid ta’ informazzjoni tas-settur pubb</w:t>
      </w:r>
      <w:r>
        <w:t>liku (ĠU L 345, 31.12.2003, p. 90) u d-Direttiva 2019/1024 tal-Parlament Ewropew u tal-Kunsill tal-20 ta’ Ġunju 2019 dwar id-</w:t>
      </w:r>
      <w:r>
        <w:rPr>
          <w:i/>
        </w:rPr>
        <w:t>data</w:t>
      </w:r>
      <w:r>
        <w:t xml:space="preserve"> miftuħa u l-użu mill-ġdid tal-informazzjoni tas-settur pubbliku (ĠU L 172, 26.6.2019, p. 56).</w:t>
      </w:r>
    </w:p>
  </w:footnote>
  <w:footnote w:id="67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Is-sentenzi mmudellati skont </w:t>
      </w:r>
      <w:r>
        <w:t xml:space="preserve">l-istandards (eż. Akoma Ntoso) u l-metadata assoċjata tagħhom jistgħu jitniżżlu bla ħlas fil-forma ta’ bażi ta’ </w:t>
      </w:r>
      <w:r>
        <w:rPr>
          <w:i/>
        </w:rPr>
        <w:t>data</w:t>
      </w:r>
      <w:r>
        <w:t xml:space="preserve"> jew b’mezzi awtomatizzati oħrajn (eż. Interfaċċa għall-Ipprogrammar tal-Applikazzjonijiet).</w:t>
      </w:r>
    </w:p>
  </w:footnote>
  <w:footnote w:id="68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Ara wkoll il-Komunikazzjoni mill-Kummissjoni</w:t>
      </w:r>
      <w:r>
        <w:t xml:space="preserve"> lill-Parlament Ewropew, lill-Kunsill, lill-Kumitat Ekonomiku u Soċjali Ewropew u lill-Kumitat tar-Reġjuni – Strateġija Ewropea għad-</w:t>
      </w:r>
      <w:r>
        <w:rPr>
          <w:i/>
        </w:rPr>
        <w:t>data</w:t>
      </w:r>
      <w:r>
        <w:t>, COM(2020) 66 final, il-White Paper tal-Kummissjoni dwar l-Intelliġenza Artifiċjali – Approċċ Ewropew għall-eċċellenza</w:t>
      </w:r>
      <w:r>
        <w:t xml:space="preserve"> u għall-fiduċja, COM (2020) 65 final, u l-Konklużjonijiet tal-Kunsill u tar-rappreżentanti tal-Gvernijiet tal-Istati Membri mlaqqgħin fi ħdan il-Kunsill dwar l-Aħjar Prattiki rigward il-Pubblikazzjoni Online tad-Deċiżjonijiet tal-Qorti (ĠU C 362, 8.10.201</w:t>
      </w:r>
      <w:r>
        <w:t>8, p. 2).</w:t>
      </w:r>
    </w:p>
  </w:footnote>
  <w:footnote w:id="69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ab/>
        <w:t>Id-</w:t>
      </w:r>
      <w:r>
        <w:rPr>
          <w:i/>
        </w:rPr>
        <w:t>data</w:t>
      </w:r>
      <w:r>
        <w:t xml:space="preserve"> għall-2019 inġabret f’kooperazzjoni mal-grupp ta’ persuni ta’ kuntatt dwar is-sistemi tal-ġustizzja nazzjonali.</w:t>
      </w:r>
    </w:p>
  </w:footnote>
  <w:footnote w:id="70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t xml:space="preserve"> </w:t>
      </w:r>
      <w:r>
        <w:tab/>
        <w:t>Id-</w:t>
      </w:r>
      <w:r>
        <w:rPr>
          <w:i/>
        </w:rPr>
        <w:t>data</w:t>
      </w:r>
      <w:r>
        <w:t xml:space="preserve"> għall-2019 inġabret f’kooperazzjoni mal-grupp ta’ persuni ta’ kuntatt dwar is-sistemi tal-ġustizzja nazzjonali.</w:t>
      </w:r>
    </w:p>
  </w:footnote>
  <w:footnote w:id="71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 xml:space="preserve">Il-metodi maħsuba sabiex jippromwovu u jinċentivaw l-użu tal-ADR ma jkoprux ir-rekwiżiti obbligatorji għall-użu tal-ADR qabel id-dħul fil-qorti, hekk kif tali rekwiżiti jqajmu tħassib dwar il-kompatibbiltà tagħhom mad-dritt għal rimedju effettiv quddiem </w:t>
      </w:r>
      <w:r>
        <w:t>tribunal kif stabbilit fil-Karta tad-Drittijiet Fundamentali tal-UE.</w:t>
      </w:r>
    </w:p>
  </w:footnote>
  <w:footnote w:id="72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Id-</w:t>
      </w:r>
      <w:r>
        <w:rPr>
          <w:i/>
        </w:rPr>
        <w:t>data</w:t>
      </w:r>
      <w:r>
        <w:t xml:space="preserve"> għall-2019 inġabret f’kooperazzjoni mal-grupp ta’ persuni ta’ kuntatt dwar is-sistemi tal-ġustizzja nazzjonali.</w:t>
      </w:r>
    </w:p>
  </w:footnote>
  <w:footnote w:id="73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Id-</w:t>
      </w:r>
      <w:r>
        <w:rPr>
          <w:i/>
        </w:rPr>
        <w:t>data</w:t>
      </w:r>
      <w:r>
        <w:t xml:space="preserve"> għall-2019 inġabret f’kooperazzjoni mal-grupp ta’ per</w:t>
      </w:r>
      <w:r>
        <w:t>suni ta’ kuntatt dwar is-sistemi tal-ġustizzja nazzjonali.</w:t>
      </w:r>
    </w:p>
  </w:footnote>
  <w:footnote w:id="74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t xml:space="preserve"> </w:t>
      </w:r>
      <w:r>
        <w:tab/>
        <w:t xml:space="preserve">In-nefqa totali (reali) tal-gvern estiż fuq l-amministrazzjoni, it-tħaddim jew l-appoġġ tal-qrati amministrattivi, ċivili u kriminali u s-sistema ġudizzjarja, inkluża l-eżekuzzjoni ta’ multi u </w:t>
      </w:r>
      <w:r>
        <w:t>ta’ ftehimiet legali ordnati mill-qrati u t-tħaddim ta’ sistemi ta’ libertà kondizzjonali, u l-għajnuna legali kif ukoll ir-rappreżentazzjoni u l-pariri legali f’isem il-gvern jew f’isem oħrajn ipprovduti mill-gvern permezz ta’ flus jew f’servizzi, ħlief g</w:t>
      </w:r>
      <w:r>
        <w:t>ħall-amministrazzjonijiet tal-ħabs (</w:t>
      </w:r>
      <w:r>
        <w:rPr>
          <w:i/>
          <w:iCs/>
        </w:rPr>
        <w:t>Data</w:t>
      </w:r>
      <w:r>
        <w:t xml:space="preserve"> tal-Kontijiet Nazzjonali, Klassifikazzjoni tal-Funzjonijiet tal-Gvern (COFOG), grupp 03.3), </w:t>
      </w:r>
      <w:r>
        <w:rPr>
          <w:rStyle w:val="FootnoteReference"/>
          <w:vertAlign w:val="baseline"/>
        </w:rPr>
        <w:t>Tabella tal-Eurostat</w:t>
      </w:r>
      <w:r>
        <w:t xml:space="preserve"> </w:t>
      </w:r>
      <w:r>
        <w:rPr>
          <w:i/>
          <w:iCs/>
        </w:rPr>
        <w:t xml:space="preserve">gov_10a_exp, </w:t>
      </w:r>
      <w:r>
        <w:t xml:space="preserve">disponibbli hawnhekk: </w:t>
      </w:r>
      <w:hyperlink r:id="rId31" w:history="1">
        <w:r>
          <w:rPr>
            <w:rStyle w:val="Hyperlink"/>
          </w:rPr>
          <w:t>http://e</w:t>
        </w:r>
        <w:r>
          <w:rPr>
            <w:rStyle w:val="Hyperlink"/>
          </w:rPr>
          <w:t>c.europa.eu/eurostat/data/database</w:t>
        </w:r>
      </w:hyperlink>
      <w:r>
        <w:rPr>
          <w:rStyle w:val="Hyperlink"/>
        </w:rPr>
        <w:t>.</w:t>
      </w:r>
    </w:p>
  </w:footnote>
  <w:footnote w:id="75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t xml:space="preserve"> </w:t>
      </w:r>
      <w:r>
        <w:tab/>
        <w:t xml:space="preserve">Il-kumpens tal-impjegati jikkonsisti f’pagi u f’salarji fi flus kontanti jew </w:t>
      </w:r>
      <w:r>
        <w:rPr>
          <w:i/>
        </w:rPr>
        <w:t>in natura</w:t>
      </w:r>
      <w:r>
        <w:t xml:space="preserve"> (D.11) u l-kontribuzzjonijiet soċjali attwali u implikati tal-impjegatur (D.121 u D.122). Ara: </w:t>
      </w:r>
      <w:hyperlink r:id="rId32" w:history="1">
        <w:r>
          <w:rPr>
            <w:rStyle w:val="Hyperlink"/>
          </w:rPr>
          <w:t>https://ec.europa.eu/eurostat/statistics-explained/index.php?title=Glossary:Compensation_of_employees</w:t>
        </w:r>
      </w:hyperlink>
      <w:r>
        <w:t>.</w:t>
      </w:r>
    </w:p>
  </w:footnote>
  <w:footnote w:id="76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>Il-konsum intermedju huwa kunċett tal-kontijiet nazzjonali li jkejj</w:t>
      </w:r>
      <w:r>
        <w:t xml:space="preserve">el il-valur tal-oġġetti u tas-servizzi kkonsmati bħala inputs minn proċess ta’ produzzjoni. Dan jeskludi </w:t>
      </w:r>
      <w:hyperlink r:id="rId33" w:history="1">
        <w:r>
          <w:rPr>
            <w:rStyle w:val="Hyperlink"/>
          </w:rPr>
          <w:t>assi fissi</w:t>
        </w:r>
      </w:hyperlink>
      <w:r>
        <w:t xml:space="preserve"> li l-konsum tagħhom huwa rreġistrat</w:t>
      </w:r>
      <w:r>
        <w:t xml:space="preserve"> bħala konsum ta’ </w:t>
      </w:r>
      <w:hyperlink r:id="rId34" w:history="1">
        <w:r>
          <w:rPr>
            <w:rStyle w:val="Hyperlink"/>
          </w:rPr>
          <w:t>kapital fiss</w:t>
        </w:r>
      </w:hyperlink>
      <w:r>
        <w:t>. L-oġġetti u s-servizzi jistgħu jkunu jew trasformati jew użati mill-proċess tal-produzzjoni.</w:t>
      </w:r>
    </w:p>
    <w:p w:rsidR="00461018" w:rsidRDefault="000329C3">
      <w:pPr>
        <w:pStyle w:val="FootnoteText"/>
        <w:spacing w:before="60"/>
        <w:ind w:left="567" w:firstLine="0"/>
        <w:rPr>
          <w:b/>
          <w:bCs/>
          <w:highlight w:val="yellow"/>
        </w:rPr>
      </w:pPr>
      <w:r>
        <w:t xml:space="preserve">Ara </w:t>
      </w:r>
      <w:hyperlink r:id="rId35">
        <w:r>
          <w:rPr>
            <w:rStyle w:val="Hyperlink"/>
          </w:rPr>
          <w:t>https://ec.europa.eu/eurostat/statistics-explained/index.php?title=Glossary:Intermediate_consumption</w:t>
        </w:r>
      </w:hyperlink>
      <w:r>
        <w:rPr>
          <w:rStyle w:val="Hyperlink"/>
        </w:rPr>
        <w:t>.</w:t>
      </w:r>
    </w:p>
  </w:footnote>
  <w:footnote w:id="77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>Il-formazzjoni grossa tal-kapital</w:t>
      </w:r>
      <w:r>
        <w:t xml:space="preserve"> fiss, imqassra bħala FGKF, tikkonsisti fl-investimenti tal-produtturi residenti, nieqes id-disponimenti f’</w:t>
      </w:r>
      <w:hyperlink r:id="rId36" w:history="1">
        <w:r>
          <w:rPr>
            <w:rStyle w:val="Hyperlink"/>
          </w:rPr>
          <w:t>assi</w:t>
        </w:r>
      </w:hyperlink>
      <w:r>
        <w:t xml:space="preserve"> fissi matul perjodu speċifiku. Din tinkludi wk</w:t>
      </w:r>
      <w:r>
        <w:t>oll ċertu żidiet mal-valur tal-assi mhux prodotti realizzati mill-produtturi jew mill-unitajiet istituzzjonali. L-assi fissi huma assi tanġibbli jew mhux tanġibbli prodotti bħala outputs mill-proċessi tal-produzzjoni li jintużaw ripetutament, jew kontinwam</w:t>
      </w:r>
      <w:r>
        <w:t xml:space="preserve">ent, għal aktar minn sena. Ara </w:t>
      </w:r>
      <w:hyperlink r:id="rId37" w:history="1">
        <w:r>
          <w:rPr>
            <w:rStyle w:val="Hyperlink"/>
          </w:rPr>
          <w:t>https://ec.europa.eu/eurostat/statistics-explained/index.php?title=Glossary:Gross_fixed_capital_</w:t>
        </w:r>
        <w:r>
          <w:rPr>
            <w:rStyle w:val="Hyperlink"/>
          </w:rPr>
          <w:t>formation_(GFCF)</w:t>
        </w:r>
      </w:hyperlink>
      <w:r>
        <w:t>.</w:t>
      </w:r>
    </w:p>
  </w:footnote>
  <w:footnote w:id="78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t xml:space="preserve"> </w:t>
      </w:r>
      <w:r>
        <w:tab/>
      </w:r>
      <w:r>
        <w:rPr>
          <w:i/>
        </w:rPr>
        <w:t>Data</w:t>
      </w:r>
      <w:r>
        <w:t xml:space="preserve"> tal-2019. L-Istitut Ewropew għall-Ugwaljanza bejn is-Sessi, Bażi ta’ </w:t>
      </w:r>
      <w:r>
        <w:rPr>
          <w:i/>
        </w:rPr>
        <w:t>Data</w:t>
      </w:r>
      <w:r>
        <w:t xml:space="preserve"> tal-Istatistika dwar is-Sessi, disponibbli hawnhekk: </w:t>
      </w:r>
      <w:hyperlink r:id="rId38" w:history="1">
        <w:r>
          <w:rPr>
            <w:rStyle w:val="Hyperlink"/>
          </w:rPr>
          <w:t>http://eige.europa.eu/lt/gender-statistics/dgs/indicator/wmidm_jud_natcrt__wmid_natcrt_supcrt</w:t>
        </w:r>
      </w:hyperlink>
    </w:p>
  </w:footnote>
  <w:footnote w:id="79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Id-</w:t>
      </w:r>
      <w:r>
        <w:rPr>
          <w:i/>
        </w:rPr>
        <w:t>data</w:t>
      </w:r>
      <w:r>
        <w:t xml:space="preserve"> tal-2018 inġabret f’kooperazzjoni man-Network Ewropew tat-Taħriġ Ġudizzjarju u mas-CEPEJ. “Is-sengħa tal-imħallef” tinkludi attivitajiet bħat-tm</w:t>
      </w:r>
      <w:r>
        <w:t>exxija tas-seduti, il-kitba tad-deċiżjonijiet jew ir-retorika.</w:t>
      </w:r>
    </w:p>
  </w:footnote>
  <w:footnote w:id="80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Id-</w:t>
      </w:r>
      <w:r>
        <w:rPr>
          <w:i/>
        </w:rPr>
        <w:t>data</w:t>
      </w:r>
      <w:r>
        <w:t xml:space="preserve"> għall-2019 inġabret f’kooperazzjoni mal-grupp ta’ persuni ta’ kuntatt dwar is-sistemi tal-ġustizzja nazzjonali.</w:t>
      </w:r>
    </w:p>
  </w:footnote>
  <w:footnote w:id="81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t xml:space="preserve"> </w:t>
      </w:r>
      <w:r>
        <w:tab/>
      </w:r>
      <w:r>
        <w:rPr>
          <w:i/>
        </w:rPr>
        <w:t>Data</w:t>
      </w:r>
      <w:r>
        <w:t xml:space="preserve"> tal-2018. Ir-rata tat-tagħmir minn 100 % (tagħmir kompletament</w:t>
      </w:r>
      <w:r>
        <w:t xml:space="preserve"> attivat) għal 0 % (tagħmir ma jeżistix) tindika l-preżenza funzjonali fil-qrati tat-tagħmir kopert mill-graff, skont l-iskala li ġejja: 100 % = 4 punti jekk applikabbli għall-kwistjonijiet kollha / 1,33 punt għal kull kwistjoni speċifika; 50-99 % = 3 punt</w:t>
      </w:r>
      <w:r>
        <w:t>i jekk applikabbli għall-kwistjonijiet kollha / punt (1) għal kull kwistjoni speċifika; 10-49 % = 2 punti jekk applikabbli għall-kwistjonijiet kollha / 0,66 ta’ punt għal kull kwistjoni speċifika; 1-9 % = punt (1) jekk applikabbli għall-kwistjonijiet kollh</w:t>
      </w:r>
      <w:r>
        <w:t>a / 0,33 ta’ punt għal kull kwistjoni speċifika; “Kwistjoni speċifika” hija relatata mat-tip ta’ litigazzjoni ttrattata (ċivili/kummerċjali, kriminali, amministrattiva jew oħra).</w:t>
      </w:r>
    </w:p>
  </w:footnote>
  <w:footnote w:id="82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t xml:space="preserve"> </w:t>
      </w:r>
      <w:r>
        <w:tab/>
        <w:t>Id-</w:t>
      </w:r>
      <w:r>
        <w:rPr>
          <w:i/>
        </w:rPr>
        <w:t>data</w:t>
      </w:r>
      <w:r>
        <w:t xml:space="preserve"> għall-2018 inġabret f’kooperazzjoni mal-grupp ta’ persuni ta’ kunt</w:t>
      </w:r>
      <w:r>
        <w:t>att dwar is-sistemi tal-ġustizzja nazzjonali.</w:t>
      </w:r>
    </w:p>
  </w:footnote>
  <w:footnote w:id="83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Id-</w:t>
      </w:r>
      <w:r>
        <w:rPr>
          <w:i/>
        </w:rPr>
        <w:t>data</w:t>
      </w:r>
      <w:r>
        <w:t xml:space="preserve"> għall-2018 inġabret f’kooperazzjoni mal-grupp ta’ persuni ta’ kuntatt dwar is-sistemi tal-ġustizzja nazzjonali.</w:t>
      </w:r>
    </w:p>
  </w:footnote>
  <w:footnote w:id="84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rPr>
          <w:vertAlign w:val="superscript"/>
        </w:rPr>
        <w:t xml:space="preserve">  </w:t>
      </w:r>
      <w:r>
        <w:tab/>
        <w:t>Fit-Tabella ta’ Valutazzjoni tal-Ġustizzja tal-UE, l-istandards dwar it-termini pre</w:t>
      </w:r>
      <w:r>
        <w:t>skrittivi u l-perjodi ta’ żmien imorru lil hinn mid-dritt għal seduta fi żmien raġonevoli kif imnaqqax fl-Artikolu 47 tal-Karta tad-Drittijiet Fundamentali tal-UE u fl-Artikolu 6 tal-Konvenzjoni Ewropea dwar id-Drittijiet tal-Bniedem.</w:t>
      </w:r>
    </w:p>
  </w:footnote>
  <w:footnote w:id="85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t xml:space="preserve"> </w:t>
      </w:r>
      <w:r>
        <w:tab/>
        <w:t>Id-</w:t>
      </w:r>
      <w:r>
        <w:rPr>
          <w:i/>
        </w:rPr>
        <w:t>data</w:t>
      </w:r>
      <w:r>
        <w:t xml:space="preserve"> għall-2019</w:t>
      </w:r>
      <w:r>
        <w:t xml:space="preserve"> inġabret f’kooperazzjoni mal-grupp ta’ persuni ta’ kuntatt dwar is-sistemi tal-ġustizzja nazzjonali.</w:t>
      </w:r>
    </w:p>
  </w:footnote>
  <w:footnote w:id="86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Ara </w:t>
      </w:r>
      <w:hyperlink r:id="rId39" w:history="1">
        <w:r>
          <w:rPr>
            <w:rStyle w:val="Hyperlink"/>
          </w:rPr>
          <w:t>http://eur-lex.europa.eu/legal-content/MT/TXT/PDF/?</w:t>
        </w:r>
        <w:r>
          <w:rPr>
            <w:rStyle w:val="Hyperlink"/>
          </w:rPr>
          <w:t>uri=CELEX:12012P/TXT&amp;from=MT</w:t>
        </w:r>
      </w:hyperlink>
    </w:p>
  </w:footnote>
  <w:footnote w:id="87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Il-Qorti tal-Ġustizzja tal-Unjoni Ewropea, is-sentenza tad-19 ta’ Novembru 2019, A. K. u Oħrajn, C 585/18, C 624/18 u C 625/18, ECLI:EU:C:2019:982, il-punti 121 u 122; is-sentenza tal-24 ta’ Ġunju 2019,</w:t>
      </w:r>
      <w:r>
        <w:rPr>
          <w:i/>
        </w:rPr>
        <w:t xml:space="preserve"> Il-Kummissjoni</w:t>
      </w:r>
      <w:r>
        <w:t xml:space="preserve"> vs </w:t>
      </w:r>
      <w:r>
        <w:rPr>
          <w:i/>
        </w:rPr>
        <w:t>Il-</w:t>
      </w:r>
      <w:r>
        <w:rPr>
          <w:i/>
        </w:rPr>
        <w:t>Polonja</w:t>
      </w:r>
      <w:r>
        <w:t>, C-619/18, ECLI:EU:C:2019:531, il-punti 73 u 74; is-sentenza tas-27 ta’ Frar 2018, Associação Sindical dos Juízes Portugueses, C‑64/16, ECLI:EU:C:2018:117, il-punt 44; is-sentenza tal-25 ta’ Lulju 2018, Minister for Justice and Equality, C‑216/18 P</w:t>
      </w:r>
      <w:r>
        <w:t>PU, ECLI:EU:C:2018:586, il-punt 65.</w:t>
      </w:r>
    </w:p>
  </w:footnote>
  <w:footnote w:id="88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Il-Qorti tal-Ġustizzja tal-Unjoni Ewropea, is-sentenza tal-24 ta’ Ġunju 2019, </w:t>
      </w:r>
      <w:r>
        <w:rPr>
          <w:i/>
        </w:rPr>
        <w:t>Il-Kummissjoni</w:t>
      </w:r>
      <w:r>
        <w:t xml:space="preserve"> vs </w:t>
      </w:r>
      <w:r>
        <w:rPr>
          <w:i/>
        </w:rPr>
        <w:t>Il-Polonja</w:t>
      </w:r>
      <w:r>
        <w:t>, C-619/18, ECLI:EU:C:2019:531, il-punt 44.</w:t>
      </w:r>
    </w:p>
  </w:footnote>
  <w:footnote w:id="89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</w:r>
      <w:r>
        <w:t>L-istħarriġ tal-Ewrobarometru FL483, li sar bejn is-7 u l-11 ta’ Jannar 2020. Tweġibiet għall-mistoqsija: “Minn dak li taf, kif tikklassifika s-sistema tal-ġustizzja f’(pajjiżna) f’termini tal-indipendenza tal-qrati u tal-imħallfin? Kieku tgħid li hija taj</w:t>
      </w:r>
      <w:r>
        <w:t xml:space="preserve">ba ħafna, pjuttost tajba, pjuttost ħażina jew ħażina ħafna?”, ara: </w:t>
      </w:r>
      <w:hyperlink r:id="rId40" w:history="1">
        <w:r>
          <w:rPr>
            <w:rStyle w:val="Hyperlink"/>
          </w:rPr>
          <w:t>https://ec.europa.eu/info/strategy/justice-and-fundamental-right</w:t>
        </w:r>
        <w:r>
          <w:rPr>
            <w:rStyle w:val="Hyperlink"/>
          </w:rPr>
          <w:t>s/effective-justice/eu-justice-scoreboard_mt</w:t>
        </w:r>
      </w:hyperlink>
    </w:p>
  </w:footnote>
  <w:footnote w:id="90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L-istħarriġ tal-Ewrobarometru FL483, tweġibiet għall-mistoqsija: “Tista’ tgħidli sa liema punt kull waħda mir-raġunijiet li ġejjin tispjega l-klassifikazzjoni tiegħek tal-indipendenza tas-sistema ġudizzjarja </w:t>
      </w:r>
      <w:r>
        <w:t>f’(pajjiżna): ħafna, kemxejn, mhux daqstant, lanqas xejn?”.</w:t>
      </w:r>
    </w:p>
  </w:footnote>
  <w:footnote w:id="91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>L-istħarriġ tal-Ewrobarometru FL484, li sar bejn is-7 ta’ Jannar u l-20 ta’ Jannar 2020. Tweġibiet għall-mistoqsija: “Minn dak li taf, kif tikklassifika s-sistema tal-ġustizzja f’(pajjiżna) f’t</w:t>
      </w:r>
      <w:r>
        <w:t xml:space="preserve">ermini tal-indipendenza tal-qrati u tal-imħallfin? Kieku tgħid li hija tajba ħafna, pjuttost tajba, pjuttost ħażina jew ħażina ħafna?”, ara: </w:t>
      </w:r>
      <w:hyperlink r:id="rId41" w:history="1">
        <w:r>
          <w:rPr>
            <w:rStyle w:val="Hyperlink"/>
          </w:rPr>
          <w:t>https://ec.europa.eu/info/strategy/justice-and-fundamental-rights/effective-justice/eu-justice-scoreboard_mt</w:t>
        </w:r>
      </w:hyperlink>
      <w:r>
        <w:rPr>
          <w:rStyle w:val="Hyperlink"/>
        </w:rPr>
        <w:t>.</w:t>
      </w:r>
    </w:p>
  </w:footnote>
  <w:footnote w:id="92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t xml:space="preserve"> </w:t>
      </w:r>
      <w:r>
        <w:tab/>
        <w:t>L-istħarriġ tal-Ewrobarometru FL484: tweġibiet għall-mistoqsija: “Tista’ tgħidli sa liema punt kull waħda mir-raġunijiet li ġejjin ti</w:t>
      </w:r>
      <w:r>
        <w:t>spjega l-klassifikazzjoni tiegħek tal-indipendenza tas-sistema ġudizzjarja f’(pajjiżna): ħafna, kemxejn, mhux daqstant, lanqas xejn?”.</w:t>
      </w:r>
    </w:p>
  </w:footnote>
  <w:footnote w:id="93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t xml:space="preserve"> </w:t>
      </w:r>
      <w:r>
        <w:tab/>
        <w:t>Il-Forum Ekonomiku Dinji (WEF) jibbaża l-indikatur tiegħu fuq it-tweġibiet tal-istħarriġ għall-mistoqsija: “F’pajjiżek</w:t>
      </w:r>
      <w:r>
        <w:t>, kemm hija indipendenti s-sistema ġudizzjarja mill-influwenzi tal-gvern, tal-individwi jew tal-kumpaniji? [1 = mhux indipendenti xejn; 7 = totalment indipendenti]”. It-tweġibiet għall-istħarriġ ittieħdu minn kampjun rappreżentattiv ta’ negozji li jirrappr</w:t>
      </w:r>
      <w:r>
        <w:t>eżentaw is-setturi ewlenin tal-ekonomija (l-agrikoltura, l-industrija tal-manifattura, l-industrija mhux tal-manifattura u s-servizzi) fl-Istati Membri kollha kkonċernati. L-istħarriġ isir f’formati differenti, inklużi intervisti wiċċ imb wiċċ jew bit-tele</w:t>
      </w:r>
      <w:r>
        <w:t xml:space="preserve">fon ma’ diriġenti ta’ negozji, b’formoli stampati mibgħuta bil-posta, u stħarriġijiet online: Ara </w:t>
      </w:r>
      <w:hyperlink r:id="rId42" w:history="1">
        <w:r>
          <w:rPr>
            <w:rStyle w:val="Hyperlink"/>
          </w:rPr>
          <w:t>https://www.weforum.org/reports/global-competitiveness-report-2019</w:t>
        </w:r>
      </w:hyperlink>
      <w:r>
        <w:t xml:space="preserve"> </w:t>
      </w:r>
    </w:p>
  </w:footnote>
  <w:footnote w:id="94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Ara </w:t>
      </w:r>
      <w:r>
        <w:t>s-sentenza tal-Qorti tal-Ġustizzja tad-19 ta’ Novembru 2019, A. K. u Oħrajn (Indipendenza tal-Kamra Dixxiplinari tal-Qorti Suprema), C-585/18, C 624/18 u C-625/18, ECLI:EU:C:2019:982, il-punti 121 u 122; is-sentenza tal-24 ta’ Ġunju 2019,</w:t>
      </w:r>
      <w:r>
        <w:rPr>
          <w:i/>
        </w:rPr>
        <w:t xml:space="preserve"> Il-Kummissjoni</w:t>
      </w:r>
      <w:r>
        <w:t xml:space="preserve"> vs</w:t>
      </w:r>
      <w:r>
        <w:t xml:space="preserve"> </w:t>
      </w:r>
      <w:r>
        <w:rPr>
          <w:i/>
        </w:rPr>
        <w:t>Il-Polonja</w:t>
      </w:r>
      <w:r>
        <w:t>, C-619/18, ECLI:EU:C:2019:531, il-punti 73 u 74; is-sentenza tal-25 ta’ Lulju 2018, LM, C-216/18 PPU, ECLI:EU:C:2018:586. il-punt 66. Ara wkoll il-paragrafi 46 u 47 tar-Rakkomandazzjoni CM/Rec(2010)12 Judges: Independence, Efficiency and Respon</w:t>
      </w:r>
      <w:r>
        <w:t>sibility (adottata mill-Kunsill tal-Ministri tal-Kunsill tal-Ewropa fis-17 ta’ Novembru 2010) u l-Memorandum ta’ Spjegazzjoni, li jipprevedu li l-awtorità li tieħu d-deċiżjonijiet dwar l-għażla u l-karriera tal-imħallfin jenħtieġ li tkun indipendenti mill-</w:t>
      </w:r>
      <w:r>
        <w:t>eżekuttiv u mis-setgħat leġiżlattivi. Bl-għan li tiġi garantita l-indipendenza tagħha, tal-anqas nofs il-membri tal-awtorità jenħtieġ li jkunu mħallfin magħżula mill-pari tagħhom. Madankollu, meta d-dispożizzjonijiet kostituzzjonali jew legali oħrajn jista</w:t>
      </w:r>
      <w:r>
        <w:t>bbilixxu li l-kap tal-istat, il-gvern jew is-setgħa leġiżlattiva jieħdu deċiżjonijiet dwar l-għażla u l-karriera tal-imħallfin, jenħtieġ li jkun hemm awtorità kompetenti u indipendenti li parti sostanzjali minnha tkun ġejja mill-ġudikatura (mingħajr preġud</w:t>
      </w:r>
      <w:r>
        <w:t xml:space="preserve">izzju għar-regoli applikabbli għall-kunsilli għall-ġudikatura li jinsabu fil-Kapitolu IV) li tkun awtorizzata sabiex tagħmel rakkomandazzjonijiet jew tesprimi opinjonijiet li l-awtorità tal-ħatra rilevanti ssegwi fil-prattika. </w:t>
      </w:r>
    </w:p>
  </w:footnote>
  <w:footnote w:id="95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rPr>
          <w:rStyle w:val="FootnoteReference"/>
        </w:rPr>
        <w:t xml:space="preserve"> </w:t>
      </w:r>
      <w:r>
        <w:tab/>
        <w:t xml:space="preserve">Ara s-sentenza tal-Qorti </w:t>
      </w:r>
      <w:r>
        <w:t>tal-Ġustizzja tad-19 ta’ Novembru 2019, A. K. u Oħrajn (Indipendenza tal-Kamra Dixxiplinari tal-Qorti Suprema), C-585/18, C-624/18 u C-625/18, ECLI:EU:C:2019:982, il-punt 123; is-sentenza tal-24 ta’ Ġunju 2019,</w:t>
      </w:r>
      <w:r>
        <w:rPr>
          <w:i/>
        </w:rPr>
        <w:t xml:space="preserve"> Il-Kummissjoni</w:t>
      </w:r>
      <w:r>
        <w:t xml:space="preserve"> vs </w:t>
      </w:r>
      <w:r>
        <w:rPr>
          <w:i/>
        </w:rPr>
        <w:t>Il-Polonja</w:t>
      </w:r>
      <w:r>
        <w:t>, C-619/18, ECLI:</w:t>
      </w:r>
      <w:r>
        <w:t>EU:C:2019:531, il-punt 112.</w:t>
      </w:r>
    </w:p>
  </w:footnote>
  <w:footnote w:id="96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Ara r-Rakkomandazzjoni CM/Rec (2010)12 Judges: Independence, Efficiency and Responsibility, adottata mill-Kunsill tal-Ministri tal-Kunsill tal-Ewropa fis-17 ta’ Novembru 2010 u l-Memorandum ta’ Spjegazzjoni (minn hawn ’il qud</w:t>
      </w:r>
      <w:r>
        <w:t>diem: “ir-Rakkomandazzjoni CM/Rec(2010)12”).</w:t>
      </w:r>
    </w:p>
  </w:footnote>
  <w:footnote w:id="97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>L-illustrazzjonijiet huma bbażati fuq it-tweġibiet għal kwestjonarju aġġornat imfassal mill-Kummissjoni b’assoċjazzjoni mill-qrib mal-ENCJ. It-tweġibiet għall-kwestjonarju aġġornat mill-Istati Membri li ma għ</w:t>
      </w:r>
      <w:r>
        <w:t>andhomx Kunsilli għall-Ġudikatura, li mhumiex membri tal-ENCJ jew is-sħubija tagħhom mal-ENCJ ġiet sospiża (CZ, DE, EE, CY, LU, AT, PL u FI) inkisbu permezz ta’ kooperazzjoni man-Network tal-Presidenti tal-Qrati Ġudizzjarji Supremi tal-UE.</w:t>
      </w:r>
    </w:p>
  </w:footnote>
  <w:footnote w:id="98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>L-illustrazzj</w:t>
      </w:r>
      <w:r>
        <w:t>onijiet huma bbażati fuq-tweġibiet għal kwestjonarju aġġornat imfassal mill-Kummissjoni b’ kooperazzjoni mill-qrib mal-Grupp ta’ Esperti dwar il-Ħasil tal-Flus u l-Finanzjament tat-Terroriżmu.</w:t>
      </w:r>
    </w:p>
  </w:footnote>
  <w:footnote w:id="99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 xml:space="preserve">Ara s-sentenzi tal-Qorti tal-Ġustizzja tal-5 ta’ </w:t>
      </w:r>
      <w:r>
        <w:t>Novembru 2019,</w:t>
      </w:r>
      <w:r>
        <w:rPr>
          <w:i/>
        </w:rPr>
        <w:t xml:space="preserve"> Il-Kummissjoni</w:t>
      </w:r>
      <w:r>
        <w:t xml:space="preserve"> vs </w:t>
      </w:r>
      <w:r>
        <w:rPr>
          <w:i/>
        </w:rPr>
        <w:t>Il-Polonja</w:t>
      </w:r>
      <w:r>
        <w:t xml:space="preserve">, C-192/18, ECLI:EU:C:2019:924, il-punt 114; tal-24 ta’ Ġunju 2019, </w:t>
      </w:r>
      <w:r>
        <w:rPr>
          <w:i/>
        </w:rPr>
        <w:t>Il-Kummissjoni</w:t>
      </w:r>
      <w:r>
        <w:t xml:space="preserve"> vs </w:t>
      </w:r>
      <w:r>
        <w:rPr>
          <w:i/>
        </w:rPr>
        <w:t>Il-Polonja</w:t>
      </w:r>
      <w:r>
        <w:t>, C-619/18, ECLI:EU:C:2019:531, il-punt 77, u tal-25 ta’ Lulju 2018, LM, C-216/18 PPU, ECLI:EU:C:2018:586, il-punt 67</w:t>
      </w:r>
      <w:r>
        <w:t xml:space="preserve">. </w:t>
      </w:r>
    </w:p>
  </w:footnote>
  <w:footnote w:id="100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 xml:space="preserve">Ara s-sentenza tal-Qorti tal-Ġustizzja tal-Unjoni Ewropea tal-24 ta’ Ġunju 2019, </w:t>
      </w:r>
      <w:r>
        <w:rPr>
          <w:i/>
          <w:iCs/>
        </w:rPr>
        <w:t>Il-Kummissjoni</w:t>
      </w:r>
      <w:r>
        <w:t xml:space="preserve"> vs </w:t>
      </w:r>
      <w:r>
        <w:rPr>
          <w:i/>
          <w:iCs/>
        </w:rPr>
        <w:t>Il-Polonja</w:t>
      </w:r>
      <w:r>
        <w:t>, C-619/18, ECLI:EU:C:2019:531, il-punt 77, u s-sentenza tal-25 ta’ Lulju 2018</w:t>
      </w:r>
      <w:r>
        <w:rPr>
          <w:i/>
          <w:iCs/>
        </w:rPr>
        <w:t xml:space="preserve">, LM, </w:t>
      </w:r>
      <w:r>
        <w:t>C-216/18 PPU, ECLI:EU:C:2018:586, il-punt 67.</w:t>
      </w:r>
    </w:p>
  </w:footnote>
  <w:footnote w:id="101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Ara s-se</w:t>
      </w:r>
      <w:r>
        <w:t xml:space="preserve">ntenza tal-Qorti tal-Ġustizzja tal-5 ta’ Lulju 2016, </w:t>
      </w:r>
      <w:r>
        <w:rPr>
          <w:i/>
          <w:iCs/>
        </w:rPr>
        <w:t>Ognyanov,</w:t>
      </w:r>
      <w:r>
        <w:t xml:space="preserve"> C-614/14, ECLI:EU:C:2016:514, il-punt 17. Ara wkoll is-sentenza tal-Qorti tal-Ġustizzja tal-Unjoni Ewropea tad-19 ta’ Novembru 2019, A. K. u Oħrajn (Indipendenza tal-Kamra Dixxiplinari tal-Qort</w:t>
      </w:r>
      <w:r>
        <w:t>i Suprema), C-585/18, C-624/18 u C-625/18, ECLI:EU:C:2019:982, il-punt 103;</w:t>
      </w:r>
    </w:p>
  </w:footnote>
  <w:footnote w:id="102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Ara s-sentenza tal-Qorti tal-Ġustizzja tal-5 ta’ Lulju 2016, </w:t>
      </w:r>
      <w:r>
        <w:rPr>
          <w:i/>
          <w:iCs/>
        </w:rPr>
        <w:t>Ognyanov,</w:t>
      </w:r>
      <w:r>
        <w:t xml:space="preserve"> C-614/14, ECLI:EU:C:2016:514, il-punt 25. </w:t>
      </w:r>
    </w:p>
  </w:footnote>
  <w:footnote w:id="103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Ara l-ordni tal-Qorti tal-Ġustizzja tat-12 ta’ Frar 2019, </w:t>
      </w:r>
      <w:r>
        <w:rPr>
          <w:i/>
          <w:iCs/>
        </w:rPr>
        <w:t>RH</w:t>
      </w:r>
      <w:r>
        <w:t>, C-8/19, ECLI:EU:C:2019:110, il-punt 47.</w:t>
      </w:r>
    </w:p>
  </w:footnote>
  <w:footnote w:id="104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Il-para. 69 tar-Rakkomandazzjoni CM/Rec(2010)12.</w:t>
      </w:r>
    </w:p>
  </w:footnote>
  <w:footnote w:id="105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Il-para. 66 tar-Rakkomandazzjoni CM/Rec(2010)12.</w:t>
      </w:r>
    </w:p>
  </w:footnote>
  <w:footnote w:id="106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>Il-para 69 tar-Rakkomandazzjoni CM/Rec(2010)12.</w:t>
      </w:r>
    </w:p>
  </w:footnote>
  <w:footnote w:id="107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</w:r>
      <w:r>
        <w:rPr>
          <w:i/>
        </w:rPr>
        <w:t>Data</w:t>
      </w:r>
      <w:r>
        <w:t xml:space="preserve"> miġbura permezz ta’ kwestjonarju aġġornat imfassal </w:t>
      </w:r>
      <w:r>
        <w:t>mill-Kummissjoni b’assoċjazzjoni mill-qrib mal-ENCJ. It-tweġibiet għall-kwestjonarju aġġornat mill-Istati Membri li ma għandhomx Kunsilli għall-Ġudikatura, li mhumiex membri tal-ENCJ jew is-sħubija tagħhom mal-ENCJ ġiet sospiża, inkisbu permezz ta’ koopera</w:t>
      </w:r>
      <w:r>
        <w:t>zzjoni mal-NPSC.</w:t>
      </w:r>
    </w:p>
  </w:footnote>
  <w:footnote w:id="108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</w:r>
      <w:r>
        <w:rPr>
          <w:i/>
        </w:rPr>
        <w:t>Data</w:t>
      </w:r>
      <w:r>
        <w:t xml:space="preserve"> miġbura permezz ta’ kwestjonarju aġġornat imfassal mill-Kummissjoni b’assoċjazzjoni mill-qrib mal-ENCJ. It-tweġibiet għall-kwestjonarju aġġornat mill-Istati Membri li ma għandhomx Kunsilli għall-Ġudikatura, li mhumiex membri tal-EN</w:t>
      </w:r>
      <w:r>
        <w:t>CJ jew is-sħubija tagħhom mal-ENCJ ġiet sospiża, inkisbu permezz ta’ kooperazzjoni mal-NPSC.</w:t>
      </w:r>
    </w:p>
  </w:footnote>
  <w:footnote w:id="109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Ir-Rakkomandazzjoni CM/Rec(2010)12, para. 27; Ara wkoll il-pjan ta’ azzjoni tal-KtE tal-2016, C punt (ii); L-Opinjoni Nru 10 (2007) tal-Kunsill Konsultattiv ta’</w:t>
      </w:r>
      <w:r>
        <w:t xml:space="preserve"> Mħallfin Ewropej (CCJE) indirizzata lill-Kumitat tal-Ministri tal-Kunsill tal-Ewropa dwar il-Kunsill għall-Ġudikatura għas-servizz tas-soċjetà, il-para. 27; u l-ENCJ, </w:t>
      </w:r>
      <w:r>
        <w:rPr>
          <w:i/>
          <w:iCs/>
        </w:rPr>
        <w:t>Councils for the Judiciary Report 2010-11</w:t>
      </w:r>
      <w:r>
        <w:t>, il-para. 2.3.</w:t>
      </w:r>
    </w:p>
  </w:footnote>
  <w:footnote w:id="110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t xml:space="preserve"> </w:t>
      </w:r>
      <w:r>
        <w:tab/>
      </w:r>
      <w:r>
        <w:rPr>
          <w:i/>
        </w:rPr>
        <w:t>Data</w:t>
      </w:r>
      <w:r>
        <w:t xml:space="preserve"> miġbura permezz ta’ kwe</w:t>
      </w:r>
      <w:r>
        <w:t>stjonarju aġġornat imfassal mill-Kummissjoni b’assoċjazzjoni mill-qrib mal-ENCJ. It-tweġibiet għall-kwestjonarju aġġornat mill-Istati Membri li ma għandhomx Kunsilli għall-Ġudikatura, li mhumiex membri tal-ENCJ jew is-sħubija tagħhom mal-ENCJ ġiet sospiża,</w:t>
      </w:r>
      <w:r>
        <w:t xml:space="preserve"> inkisbu permezz ta’ kooperazzjoni mal-NPSC.</w:t>
      </w:r>
    </w:p>
  </w:footnote>
  <w:footnote w:id="111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Il-Kunsilli għall-Ġudikatura huma korpi indipendenti, stabbiliti skont il-liġi jew skont il-kostituzzjoni, li jfittxu li jissalvagwardaw l-indipendenza tal-ġudikatura u tal-imħallfin individwali u b’hekk jipp</w:t>
      </w:r>
      <w:r>
        <w:t>romwovu l-funzjonament effiċjenti tas-sistema ġudizzjarja.</w:t>
      </w:r>
    </w:p>
  </w:footnote>
  <w:footnote w:id="112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</w:r>
      <w:r>
        <w:rPr>
          <w:i/>
          <w:iCs/>
        </w:rPr>
        <w:t>Ara</w:t>
      </w:r>
      <w:r>
        <w:t xml:space="preserve"> r-rakkomandazzjoni CM/Rec(2010)12 tal-Kumitat tal-Ministri għall-Istati Membri intitolata Judges: independence, efficiency and responsibilities, §26-27.</w:t>
      </w:r>
    </w:p>
  </w:footnote>
  <w:footnote w:id="113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t xml:space="preserve"> </w:t>
      </w:r>
      <w:r>
        <w:tab/>
        <w:t>Id-Deċiżjoni Kwadru tal-Kunsill 20</w:t>
      </w:r>
      <w:r>
        <w:t>02/584/ĠAI dwar il-mandat ta’ arrest Ewropew u l-proċeduri ta’ konsenja bejn l-Istati Membri (ĠU L 190, 18.7.2002, p. 1).</w:t>
      </w:r>
    </w:p>
  </w:footnote>
  <w:footnote w:id="114">
    <w:p w:rsidR="00461018" w:rsidRDefault="000329C3">
      <w:pPr>
        <w:pStyle w:val="FootnoteText"/>
        <w:spacing w:before="60"/>
        <w:ind w:left="567" w:hanging="567"/>
        <w:rPr>
          <w:highlight w:val="yellow"/>
        </w:rPr>
      </w:pPr>
      <w:r>
        <w:rPr>
          <w:rStyle w:val="FootnoteReference"/>
        </w:rPr>
        <w:footnoteRef/>
      </w:r>
      <w:r>
        <w:t xml:space="preserve"> </w:t>
      </w:r>
      <w:r>
        <w:tab/>
        <w:t xml:space="preserve">Is-sentenza tal-Qorti tal-Ġustizzja tas-27 ta’ Mejju 2019, </w:t>
      </w:r>
      <w:r>
        <w:rPr>
          <w:i/>
          <w:iCs/>
        </w:rPr>
        <w:t>OG u PI (L-Uffiċċju tal-Prosekutur Pubbliku ta’ Lübeck u ta’ Zwickau)</w:t>
      </w:r>
      <w:r>
        <w:t>, i</w:t>
      </w:r>
      <w:r>
        <w:t xml:space="preserve">l-Kawżi Magħquda C-508/18 u C-82/19 PPU, il-punti 73, 74 u 88, ECLI:EU:C:2019:456; is-sentenza tas-27 ta’ Mejju 2019, C‑509/18, il-punt 52, ECLI:EU:C:2019:457; ara wkoll is-sentenzi tat-12 ta’ Diċembru 2019, </w:t>
      </w:r>
      <w:r>
        <w:rPr>
          <w:i/>
          <w:iCs/>
        </w:rPr>
        <w:t>Parquet général du Grand-Duché de Luxembourg u O</w:t>
      </w:r>
      <w:r>
        <w:rPr>
          <w:i/>
          <w:iCs/>
        </w:rPr>
        <w:t xml:space="preserve">penbaar Ministerie (Il-Prosekuturi Pubbliċi ta’ Lyon u ta’ Tours), </w:t>
      </w:r>
      <w:r>
        <w:t>fil-Kawżi Magħquda C-566/19 PPU u C-626/19, ECLI:EU:C:2019:1077;</w:t>
      </w:r>
      <w:r>
        <w:rPr>
          <w:i/>
          <w:iCs/>
        </w:rPr>
        <w:t xml:space="preserve"> Openbaar Ministerie (L-Awtorità tal-Prosekuzzjoni Żvediża), </w:t>
      </w:r>
      <w:r>
        <w:t>C-625/19 PPU, ECLI:EU:C:2019:1078,</w:t>
      </w:r>
      <w:r>
        <w:rPr>
          <w:i/>
          <w:iCs/>
        </w:rPr>
        <w:t xml:space="preserve"> </w:t>
      </w:r>
      <w:r>
        <w:t>u</w:t>
      </w:r>
      <w:r>
        <w:rPr>
          <w:i/>
          <w:iCs/>
        </w:rPr>
        <w:t xml:space="preserve"> Openbaar Ministerie (Il-Pro</w:t>
      </w:r>
      <w:r>
        <w:rPr>
          <w:i/>
          <w:iCs/>
        </w:rPr>
        <w:t xml:space="preserve">sekutur Pubbliku fi Brussell), </w:t>
      </w:r>
      <w:r>
        <w:t xml:space="preserve">C-627/19 PPU, ECLI:EU:C:2019:1079. Ara wkoll is-sentenza tal-10 ta’ Novembru 2016, </w:t>
      </w:r>
      <w:r>
        <w:rPr>
          <w:i/>
          <w:iCs/>
        </w:rPr>
        <w:t xml:space="preserve">Kovalkovas, </w:t>
      </w:r>
      <w:r>
        <w:t xml:space="preserve">C-477/16 PPU, il-punti 34 u 36, ECLI:EU:C:2016:861, u s-sentenza tal-10 ta’ Novembru 2016, </w:t>
      </w:r>
      <w:r>
        <w:rPr>
          <w:i/>
          <w:iCs/>
        </w:rPr>
        <w:t xml:space="preserve">Poltorak, </w:t>
      </w:r>
      <w:r>
        <w:t>C-452/16 PPU, il-punt 35, ECL</w:t>
      </w:r>
      <w:r>
        <w:t>I:EU:C:2016:858, dwar it-terminu “ġudizzjarja”, “li għandha […] tiġi distinta, skont il-prinċipju ta’ separazzjoni tas-setgħat li jikkaratterizza l-funzjonament ta’ Stat ta’ dritt, mis-setgħa eżekuttiva”. Ara wkoll l-Opinjoni Nru 13(2018) dwar l-Indipenden</w:t>
      </w:r>
      <w:r>
        <w:t>za, ir-responsabbiltà u l-etika tal-prosekuturi, adottata permezz tar-rakkomandazzjoni xii tal-Kunsill Konsultattiv ta’ Prosekuturi Ewropej (CCPE).</w:t>
      </w:r>
    </w:p>
  </w:footnote>
  <w:footnote w:id="115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CDL-AD(2010)040-e Report on European Standards as regards the Independence of the Judicial System: Part I</w:t>
      </w:r>
      <w:r>
        <w:t>I — the Prosecution Service — Adottat mill-Kummissjoni ta’ Venezja — waqt il-85 sessjoni plenarja tagħha (Venezja, is-17-18 ta’ Diċembru 2010), il-para. 26.</w:t>
      </w:r>
    </w:p>
  </w:footnote>
  <w:footnote w:id="116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L-Opinjoni Nru 14 (2019), The role of prosecutors in fighting corruption and related economic an</w:t>
      </w:r>
      <w:r>
        <w:t>d financial crime, adottata mill-Kunsill Konsultattiv ta’ Prosekuturi Ewropej (CCPE), rakkomandazzjoni iii.</w:t>
      </w:r>
    </w:p>
  </w:footnote>
  <w:footnote w:id="117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>Ir-Rakkomandazzjoni Rec(2000)19 dwar ir-rwol tal-prosekuzzjoni pubblika fis-sistema ġudizzjarja kriminali, adottata mill-Kumitat tal-Ministri tal</w:t>
      </w:r>
      <w:r>
        <w:t>-Kunsill tal-Ewropa fis-6 ta’ Ottubru 2000 (ir-Rakkomandazzjoni tal-2000), il-para. 4.</w:t>
      </w:r>
    </w:p>
  </w:footnote>
  <w:footnote w:id="118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Ir-Rakkomandazzjoni tal-2000, il-paragrafi 11 u 13. Ara wkoll: L-Opinjoni Nru 13(2018) Independence, accountability and ethics of prosecutors, adottata mill-Kunsill K</w:t>
      </w:r>
      <w:r>
        <w:t>onsultattiv ta’ Prosekuturi Ewropej (CCPE), ir-rakkomandazzjonijiet i u iii; Grupp ta’ Stati kontra l-korruzzjoni (GRECO), ir-raba’ ċiklu ta’ evalwazzjoni “Corruption prevention - Members of Parliament, Judges and Prosecutors”, għadd vast ta’ rakkomandazzj</w:t>
      </w:r>
      <w:r>
        <w:t>onijiet jitolbu l-introduzzjoni ta’ arranġamenti sabiex is-servizz tal-prosekuzzjoni jkun protett minn influwenza u interferenza mhux xierqa fl-investigazzjoni ta’ kawżi kriminali.</w:t>
      </w:r>
    </w:p>
  </w:footnote>
  <w:footnote w:id="119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Ir-Rakkomandazzjoni tal-2000, il-para. 13, punt (c).</w:t>
      </w:r>
    </w:p>
  </w:footnote>
  <w:footnote w:id="120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Ir-Rakkomandazzj</w:t>
      </w:r>
      <w:r>
        <w:t>oni tal-2000, il-para. 13, punt (d).</w:t>
      </w:r>
    </w:p>
  </w:footnote>
  <w:footnote w:id="121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Ir-Rakkomandazzjoni tal-2000, il-para. 13, punt (f). Ara wkoll l-Opinjoni Nru 13(2018) Independence, accountability and ethics of prosecutors, adottata mill-Kunsill Konsultattiv ta’ Prosekuturi Ewropej (CCPE), ir-rak</w:t>
      </w:r>
      <w:r>
        <w:t>komandazzjoni iv.</w:t>
      </w:r>
    </w:p>
  </w:footnote>
  <w:footnote w:id="122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Ir-Rakkomandazzjoni tal-2000, il-para. 34.</w:t>
      </w:r>
    </w:p>
  </w:footnote>
  <w:footnote w:id="123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Ir-Rakkomandazzjoni tal-2000, il-para. 5, punt (e). </w:t>
      </w:r>
    </w:p>
  </w:footnote>
  <w:footnote w:id="124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t xml:space="preserve">  </w:t>
      </w:r>
      <w:r>
        <w:tab/>
        <w:t>Ara r-Rakkomandazzjoni tal-2000, il-para. 13, punti (d) – (e).</w:t>
      </w:r>
    </w:p>
  </w:footnote>
  <w:footnote w:id="125">
    <w:p w:rsidR="00461018" w:rsidRDefault="000329C3">
      <w:pPr>
        <w:pStyle w:val="FootnoteText"/>
        <w:spacing w:before="60"/>
        <w:ind w:left="567" w:hanging="567"/>
      </w:pPr>
      <w:r>
        <w:rPr>
          <w:rStyle w:val="FootnoteReference"/>
        </w:rPr>
        <w:footnoteRef/>
      </w:r>
      <w:r>
        <w:rPr>
          <w:vertAlign w:val="superscript"/>
        </w:rPr>
        <w:t xml:space="preserve"> </w:t>
      </w:r>
      <w:r>
        <w:tab/>
        <w:t>Ara n-nota 18 f’qiegħ il-paġna.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C3" w:rsidRPr="000329C3" w:rsidRDefault="000329C3" w:rsidP="000329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C3" w:rsidRPr="000329C3" w:rsidRDefault="000329C3" w:rsidP="000329C3">
    <w:pPr>
      <w:pStyle w:val="HeaderCoverPag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C3" w:rsidRPr="000329C3" w:rsidRDefault="000329C3" w:rsidP="000329C3">
    <w:pPr>
      <w:pStyle w:val="HeaderCoverPag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C3" w:rsidRDefault="000329C3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C3" w:rsidRDefault="000329C3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C3" w:rsidRDefault="000329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0F4C26A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1D942FB"/>
    <w:multiLevelType w:val="hybridMultilevel"/>
    <w:tmpl w:val="122474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ED023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2276D"/>
    <w:multiLevelType w:val="hybridMultilevel"/>
    <w:tmpl w:val="6DF83F9A"/>
    <w:lvl w:ilvl="0" w:tplc="08090001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 w:tplc="8ED02318">
      <w:start w:val="1"/>
      <w:numFmt w:val="bullet"/>
      <w:lvlText w:val=""/>
      <w:lvlJc w:val="left"/>
      <w:pPr>
        <w:ind w:left="112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3" w15:restartNumberingAfterBreak="0">
    <w:nsid w:val="2D293CE3"/>
    <w:multiLevelType w:val="multilevel"/>
    <w:tmpl w:val="8D7C4D2A"/>
    <w:lvl w:ilvl="0">
      <w:start w:val="1"/>
      <w:numFmt w:val="decimal"/>
      <w:pStyle w:val="LegalNumPar"/>
      <w:lvlText w:val="%1."/>
      <w:lvlJc w:val="left"/>
      <w:pPr>
        <w:ind w:left="476" w:hanging="476"/>
      </w:pPr>
      <w:rPr>
        <w:rFonts w:hint="default"/>
      </w:rPr>
    </w:lvl>
    <w:lvl w:ilvl="1">
      <w:start w:val="1"/>
      <w:numFmt w:val="lowerLetter"/>
      <w:pStyle w:val="LegalNumPar2"/>
      <w:lvlText w:val="%2."/>
      <w:lvlJc w:val="left"/>
      <w:pPr>
        <w:ind w:left="953" w:hanging="477"/>
      </w:pPr>
      <w:rPr>
        <w:rFonts w:hint="default"/>
      </w:rPr>
    </w:lvl>
    <w:lvl w:ilvl="2">
      <w:start w:val="1"/>
      <w:numFmt w:val="lowerRoman"/>
      <w:pStyle w:val="LegalNumPar3"/>
      <w:lvlText w:val="%3."/>
      <w:lvlJc w:val="left"/>
      <w:pPr>
        <w:ind w:left="1429" w:hanging="47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5" w15:restartNumberingAfterBreak="0">
    <w:nsid w:val="44C462E3"/>
    <w:multiLevelType w:val="hybridMultilevel"/>
    <w:tmpl w:val="70F0495E"/>
    <w:lvl w:ilvl="0" w:tplc="26FA8F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FC5A06"/>
    <w:multiLevelType w:val="hybridMultilevel"/>
    <w:tmpl w:val="C7827A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4F3F9F"/>
    <w:multiLevelType w:val="hybridMultilevel"/>
    <w:tmpl w:val="0C00D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9" w15:restartNumberingAfterBreak="0">
    <w:nsid w:val="64A12FA4"/>
    <w:multiLevelType w:val="multilevel"/>
    <w:tmpl w:val="5450F6CA"/>
    <w:lvl w:ilvl="0">
      <w:start w:val="1"/>
      <w:numFmt w:val="decimal"/>
      <w:lvlRestart w:val="0"/>
      <w:pStyle w:val="Heading1"/>
      <w:lvlText w:val="%1.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708"/>
        </w:tabs>
        <w:ind w:left="708" w:hanging="850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708"/>
        </w:tabs>
        <w:ind w:left="708" w:hanging="85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708"/>
        </w:tabs>
        <w:ind w:left="708" w:hanging="85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658"/>
        </w:tabs>
        <w:ind w:left="165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018"/>
        </w:tabs>
        <w:ind w:left="201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378"/>
        </w:tabs>
        <w:ind w:left="237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38"/>
        </w:tabs>
        <w:ind w:left="273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98"/>
        </w:tabs>
        <w:ind w:left="3098" w:hanging="360"/>
      </w:pPr>
      <w:rPr>
        <w:rFonts w:hint="default"/>
      </w:rPr>
    </w:lvl>
  </w:abstractNum>
  <w:abstractNum w:abstractNumId="10" w15:restartNumberingAfterBreak="0">
    <w:nsid w:val="73DB7250"/>
    <w:multiLevelType w:val="hybridMultilevel"/>
    <w:tmpl w:val="8E142830"/>
    <w:lvl w:ilvl="0" w:tplc="8ED023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0"/>
  </w:num>
  <w:num w:numId="5">
    <w:abstractNumId w:val="5"/>
  </w:num>
  <w:num w:numId="6">
    <w:abstractNumId w:val="10"/>
  </w:num>
  <w:num w:numId="7">
    <w:abstractNumId w:val="2"/>
  </w:num>
  <w:num w:numId="8">
    <w:abstractNumId w:val="1"/>
  </w:num>
  <w:num w:numId="9">
    <w:abstractNumId w:val="6"/>
  </w:num>
  <w:num w:numId="10">
    <w:abstractNumId w:val="7"/>
  </w:num>
  <w:num w:numId="11">
    <w:abstractNumId w:val="3"/>
  </w:num>
  <w:num w:numId="12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Red"/>
    <w:docVar w:name="LW_CORRIGENDUM" w:val="&lt;UNUSED&gt;"/>
    <w:docVar w:name="LW_COVERPAGE_EXISTS" w:val="False"/>
    <w:docVar w:name="LW_COVERPAGE_GUID" w:val="CC4EADAF-C100-4673-A786-075E2C904D48"/>
    <w:docVar w:name="LW_COVERPAGE_TYPE" w:val="1"/>
    <w:docVar w:name="LW_CROSSREFERENCE" w:val="&lt;UNUSED&gt;"/>
    <w:docVar w:name="LW_DocType" w:val="NORMAL"/>
    <w:docVar w:name="LW_EMISSION" w:val="10.7.2020"/>
    <w:docVar w:name="LW_EMISSION_ISODATE" w:val="2020-07-10"/>
    <w:docVar w:name="LW_EMISSION_LOCATION" w:val="BRX"/>
    <w:docVar w:name="LW_EMISSION_PREFIX" w:val="Brussell, "/>
    <w:docVar w:name="LW_EMISSION_SUFFIX" w:val=" "/>
    <w:docVar w:name="LW_ID_DOCTYPE_NONLW" w:val="CP-035"/>
    <w:docVar w:name="LW_LANGUE" w:val="MT"/>
    <w:docVar w:name="LW_LEVEL_OF_SENSITIVITY" w:val="Standard treatment"/>
    <w:docVar w:name="LW_NOM.INST" w:val="IL-KUMMISSJONI EWROPEA"/>
    <w:docVar w:name="LW_NOM.INST_JOINTDOC" w:val="&lt;EMPTY&gt;"/>
    <w:docVar w:name="LW_PART_NBR" w:val="1"/>
    <w:docVar w:name="LW_PART_NBR_TOTAL" w:val="1"/>
    <w:docVar w:name="LW_REF.II.NEW.CP" w:val="&lt;UNUSED&gt;"/>
    <w:docVar w:name="LW_REF.II.NEW.CP_NUMBER" w:val="&lt;UNUSED&gt;"/>
    <w:docVar w:name="LW_REF.II.NEW.CP_YEAR" w:val="2020"/>
    <w:docVar w:name="LW_REF.INST.NEW" w:val="COM"/>
    <w:docVar w:name="LW_REF.INST.NEW_ADOPTED" w:val="final"/>
    <w:docVar w:name="LW_REF.INST.NEW_TEXT" w:val="(2020) 306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ITRE.OBJ.CP" w:val="It-Tabella ta\u8217? Valutazzjoni tal-\u288?ustizzja tal-UE tal-2020"/>
    <w:docVar w:name="LW_TYPE.DOC.CP" w:val="KOMUNIKAZZJONI MILL-KUMMISSJONI LILL-PARLAMENT EWROPEW, LILL-KUNSILL, LILL-BANK \u266?ENTRALI EWROPEW, LILL-KUMITAT EKONOMIKU U SO\u266?JALI EWROPEW U LILL-KUMITAT TAR-RE\u288?JUNI_x000b_"/>
  </w:docVars>
  <w:rsids>
    <w:rsidRoot w:val="00461018"/>
    <w:rsid w:val="000329C3"/>
    <w:rsid w:val="00461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ECA460E7-7A42-483B-B7D2-ECAC8AA07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mt-M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Text1"/>
    <w:link w:val="Heading1Char"/>
    <w:qFormat/>
    <w:pPr>
      <w:keepNext/>
      <w:numPr>
        <w:numId w:val="3"/>
      </w:numPr>
      <w:spacing w:before="360" w:after="12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mallCaps/>
      <w:sz w:val="24"/>
      <w:szCs w:val="32"/>
    </w:rPr>
  </w:style>
  <w:style w:type="paragraph" w:styleId="Heading2">
    <w:name w:val="heading 2"/>
    <w:basedOn w:val="Normal"/>
    <w:next w:val="Text1"/>
    <w:link w:val="Heading2Char"/>
    <w:qFormat/>
    <w:pPr>
      <w:keepNext/>
      <w:numPr>
        <w:ilvl w:val="1"/>
        <w:numId w:val="3"/>
      </w:numPr>
      <w:spacing w:before="120" w:after="12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Cs/>
      <w:sz w:val="24"/>
      <w:szCs w:val="28"/>
    </w:rPr>
  </w:style>
  <w:style w:type="paragraph" w:styleId="Heading3">
    <w:name w:val="heading 3"/>
    <w:basedOn w:val="Normal"/>
    <w:next w:val="Text1"/>
    <w:link w:val="Heading3Char"/>
    <w:qFormat/>
    <w:pPr>
      <w:keepNext/>
      <w:numPr>
        <w:ilvl w:val="2"/>
        <w:numId w:val="3"/>
      </w:numPr>
      <w:spacing w:before="120" w:after="12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6"/>
    </w:rPr>
  </w:style>
  <w:style w:type="paragraph" w:styleId="Heading4">
    <w:name w:val="heading 4"/>
    <w:basedOn w:val="Normal"/>
    <w:next w:val="Text1"/>
    <w:link w:val="Heading4Char"/>
    <w:qFormat/>
    <w:pPr>
      <w:keepNext/>
      <w:numPr>
        <w:ilvl w:val="3"/>
        <w:numId w:val="3"/>
      </w:numPr>
      <w:spacing w:before="120" w:after="120" w:line="240" w:lineRule="auto"/>
      <w:jc w:val="both"/>
      <w:outlineLvl w:val="3"/>
    </w:pPr>
    <w:rPr>
      <w:rFonts w:ascii="Times New Roman" w:eastAsia="Times New Roman" w:hAnsi="Times New Roman" w:cs="Times New Roman"/>
      <w:bCs/>
      <w:sz w:val="24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noProof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noProof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  <w:sz w:val="24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 w:line="240" w:lineRule="auto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mallCaps/>
      <w:sz w:val="24"/>
      <w:szCs w:val="32"/>
    </w:rPr>
  </w:style>
  <w:style w:type="character" w:customStyle="1" w:styleId="Heading2Char">
    <w:name w:val="Heading 2 Char"/>
    <w:basedOn w:val="DefaultParagraphFont"/>
    <w:link w:val="Heading2"/>
    <w:rPr>
      <w:rFonts w:ascii="Times New Roman" w:eastAsia="Times New Roman" w:hAnsi="Times New Roman" w:cs="Times New Roman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rPr>
      <w:rFonts w:ascii="Times New Roman" w:eastAsia="Times New Roman" w:hAnsi="Times New Roman" w:cs="Times New Roman"/>
      <w:bCs/>
      <w:sz w:val="24"/>
      <w:szCs w:val="28"/>
    </w:rPr>
  </w:style>
  <w:style w:type="numbering" w:customStyle="1" w:styleId="NoList1">
    <w:name w:val="No List1"/>
    <w:next w:val="NoList"/>
    <w:uiPriority w:val="99"/>
    <w:semiHidden/>
    <w:unhideWhenUsed/>
  </w:style>
  <w:style w:type="numbering" w:customStyle="1" w:styleId="NoList11">
    <w:name w:val="No List11"/>
    <w:next w:val="NoList"/>
    <w:uiPriority w:val="99"/>
    <w:semiHidden/>
    <w:unhideWhenUsed/>
  </w:style>
  <w:style w:type="paragraph" w:styleId="FootnoteText">
    <w:name w:val="footnote text"/>
    <w:aliases w:val="Char,Fußnote,Carattere,fn,Footnotes,Footnote ak,Footnote Text Char Char,fn Char Char,footnote text Char Char,Footnotes Char Char,Footnote ak Char Char,fn Char1,footnote text Char1,Footnotes Char1,ft"/>
    <w:basedOn w:val="Normal"/>
    <w:link w:val="FootnoteTextChar"/>
    <w:uiPriority w:val="99"/>
    <w:pPr>
      <w:spacing w:after="0" w:line="240" w:lineRule="auto"/>
      <w:ind w:left="720" w:hanging="7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aliases w:val="Char Char,Fußnote Char,Carattere Char,fn Char,Footnotes Char,Footnote ak Char,Footnote Text Char Char Char,fn Char Char Char,footnote text Char Char Char,Footnotes Char Char Char,Footnote ak Char Char Char,fn Char1 Char,ft Char"/>
    <w:basedOn w:val="DefaultParagraphFont"/>
    <w:link w:val="FootnoteText"/>
    <w:uiPriority w:val="99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Footnote Reference Superscript,Footnote symbol,Footnote Reference Number,BVI fnr,Voetnootverwijzing,Footnote reference number,Times 10 Point,Exposant 3 Point,Ref,de nota al pie,note TESI,SUPERS,EN Footnote Reference"/>
    <w:uiPriority w:val="99"/>
    <w:rPr>
      <w:shd w:val="clear" w:color="auto" w:fill="auto"/>
      <w:vertAlign w:val="superscript"/>
    </w:rPr>
  </w:style>
  <w:style w:type="paragraph" w:customStyle="1" w:styleId="Text1">
    <w:name w:val="Text 1"/>
    <w:basedOn w:val="Normal"/>
    <w:pPr>
      <w:spacing w:before="120" w:after="120" w:line="240" w:lineRule="auto"/>
      <w:ind w:left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ret0">
    <w:name w:val="Tiret 0"/>
    <w:basedOn w:val="Normal"/>
    <w:pPr>
      <w:numPr>
        <w:numId w:val="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ret1">
    <w:name w:val="Tiret 1"/>
    <w:basedOn w:val="Normal"/>
    <w:pPr>
      <w:numPr>
        <w:numId w:val="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Heading1">
    <w:name w:val="Manual Heading 1"/>
    <w:basedOn w:val="Normal"/>
    <w:next w:val="Text1"/>
    <w:link w:val="ManualHeading1Char"/>
    <w:pPr>
      <w:keepNext/>
      <w:tabs>
        <w:tab w:val="left" w:pos="850"/>
      </w:tabs>
      <w:spacing w:before="360" w:after="120" w:line="240" w:lineRule="auto"/>
      <w:ind w:left="850" w:hanging="850"/>
      <w:jc w:val="both"/>
      <w:outlineLvl w:val="0"/>
    </w:pPr>
    <w:rPr>
      <w:rFonts w:ascii="Times New Roman" w:eastAsia="Times New Roman" w:hAnsi="Times New Roman" w:cs="Times New Roman"/>
      <w:b/>
      <w:smallCaps/>
      <w:sz w:val="24"/>
      <w:szCs w:val="24"/>
    </w:rPr>
  </w:style>
  <w:style w:type="paragraph" w:customStyle="1" w:styleId="ManualHeading3">
    <w:name w:val="Manual Heading 3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2"/>
    </w:pPr>
    <w:rPr>
      <w:rFonts w:ascii="Times New Roman" w:eastAsia="Times New Roman" w:hAnsi="Times New Roman" w:cs="Times New Roman"/>
      <w:i/>
      <w:sz w:val="24"/>
      <w:szCs w:val="24"/>
    </w:rPr>
  </w:style>
  <w:style w:type="paragraph" w:styleId="Caption">
    <w:name w:val="caption"/>
    <w:basedOn w:val="Normal"/>
    <w:next w:val="Normal"/>
    <w:unhideWhenUsed/>
    <w:qFormat/>
    <w:pPr>
      <w:spacing w:before="120" w:after="12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Number">
    <w:name w:val="List Number"/>
    <w:basedOn w:val="Normal"/>
    <w:pPr>
      <w:numPr>
        <w:numId w:val="4"/>
      </w:numPr>
      <w:spacing w:before="120" w:after="1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spacing w:before="120" w:after="360" w:line="240" w:lineRule="auto"/>
      <w:contextualSpacing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ManualHeading1Char">
    <w:name w:val="Manual Heading 1 Char"/>
    <w:link w:val="ManualHeading1"/>
    <w:rPr>
      <w:rFonts w:ascii="Times New Roman" w:eastAsia="Times New Roman" w:hAnsi="Times New Roman" w:cs="Times New Roman"/>
      <w:b/>
      <w:smallCaps/>
      <w:sz w:val="24"/>
      <w:szCs w:val="24"/>
    </w:rPr>
  </w:style>
  <w:style w:type="paragraph" w:customStyle="1" w:styleId="Typedudocument">
    <w:name w:val="Type du document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Titreobjet">
    <w:name w:val="Titre objet"/>
    <w:basedOn w:val="Normal"/>
    <w:next w:val="Normal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ascii="Calibri" w:eastAsia="Calibri" w:hAnsi="Calibri" w:cs="Times New Roman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rFonts w:ascii="Times New Roman" w:eastAsia="Calibri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Calibri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eastAsia="Calibri" w:hAnsi="Times New Roman" w:cs="Times New Roman"/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Pr>
      <w:color w:val="954F72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9">
    <w:name w:val="Pa9"/>
    <w:basedOn w:val="Normal"/>
    <w:next w:val="Normal"/>
    <w:uiPriority w:val="99"/>
    <w:pPr>
      <w:autoSpaceDE w:val="0"/>
      <w:autoSpaceDN w:val="0"/>
      <w:adjustRightInd w:val="0"/>
      <w:spacing w:after="0" w:line="241" w:lineRule="atLeast"/>
    </w:pPr>
    <w:rPr>
      <w:rFonts w:ascii="Helvetica Neue" w:eastAsia="Calibri" w:hAnsi="Helvetica Neue" w:cs="Times New Roman"/>
      <w:sz w:val="24"/>
      <w:szCs w:val="24"/>
      <w:lang w:eastAsia="en-GB"/>
    </w:rPr>
  </w:style>
  <w:style w:type="character" w:customStyle="1" w:styleId="A4">
    <w:name w:val="A4"/>
    <w:uiPriority w:val="99"/>
    <w:rPr>
      <w:rFonts w:cs="Helvetica Neue"/>
      <w:color w:val="000000"/>
      <w:sz w:val="18"/>
      <w:szCs w:val="18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eastAsia="MS Gothic" w:hAnsi="Cambria"/>
      <w:small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left" w:pos="426"/>
        <w:tab w:val="right" w:leader="dot" w:pos="9403"/>
      </w:tabs>
    </w:pPr>
    <w:rPr>
      <w:rFonts w:ascii="Times New Roman" w:eastAsia="Calibri" w:hAnsi="Times New Roman" w:cs="Times New Roman"/>
    </w:rPr>
  </w:style>
  <w:style w:type="paragraph" w:styleId="TOC2">
    <w:name w:val="toc 2"/>
    <w:basedOn w:val="Normal"/>
    <w:next w:val="Normal"/>
    <w:autoRedefine/>
    <w:uiPriority w:val="39"/>
    <w:unhideWhenUsed/>
    <w:pPr>
      <w:ind w:left="220"/>
    </w:pPr>
    <w:rPr>
      <w:rFonts w:ascii="Times New Roman" w:eastAsia="Calibri" w:hAnsi="Times New Roman" w:cs="Times New Roman"/>
    </w:rPr>
  </w:style>
  <w:style w:type="paragraph" w:styleId="TOC3">
    <w:name w:val="toc 3"/>
    <w:basedOn w:val="Normal"/>
    <w:next w:val="Normal"/>
    <w:autoRedefine/>
    <w:uiPriority w:val="39"/>
    <w:unhideWhenUsed/>
    <w:pPr>
      <w:ind w:left="440"/>
    </w:pPr>
    <w:rPr>
      <w:rFonts w:ascii="Times New Roman" w:eastAsia="Calibri" w:hAnsi="Times New Roman" w:cs="Times New Roman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GB"/>
    </w:rPr>
  </w:style>
  <w:style w:type="paragraph" w:customStyle="1" w:styleId="Text0">
    <w:name w:val="Text 0"/>
    <w:basedOn w:val="Text1"/>
    <w:pPr>
      <w:ind w:left="0"/>
    </w:p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rFonts w:ascii="Times New Roman" w:eastAsia="Calibri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customStyle="1" w:styleId="Declassification">
    <w:name w:val="Declassification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HeaderLandscape">
    <w:name w:val="HeaderLandscape"/>
    <w:basedOn w:val="Normal"/>
    <w:pPr>
      <w:tabs>
        <w:tab w:val="center" w:pos="7285"/>
        <w:tab w:val="right" w:pos="14003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Landscape">
    <w:name w:val="FooterLandscape"/>
    <w:basedOn w:val="Normal"/>
    <w:pPr>
      <w:tabs>
        <w:tab w:val="center" w:pos="7285"/>
        <w:tab w:val="center" w:pos="10913"/>
        <w:tab w:val="right" w:pos="15137"/>
      </w:tabs>
      <w:spacing w:before="360" w:after="0" w:line="240" w:lineRule="auto"/>
      <w:ind w:left="-567" w:right="-567"/>
    </w:pPr>
    <w:rPr>
      <w:rFonts w:ascii="Times New Roman" w:hAnsi="Times New Roman" w:cs="Times New Roman"/>
      <w:sz w:val="24"/>
    </w:rPr>
  </w:style>
  <w:style w:type="paragraph" w:customStyle="1" w:styleId="SecurityMarking">
    <w:name w:val="SecurityMarking"/>
    <w:basedOn w:val="Normal"/>
    <w:pPr>
      <w:spacing w:after="0"/>
      <w:ind w:left="5103"/>
    </w:pPr>
    <w:rPr>
      <w:rFonts w:ascii="Times New Roman" w:hAnsi="Times New Roman" w:cs="Times New Roman"/>
      <w:sz w:val="28"/>
    </w:rPr>
  </w:style>
  <w:style w:type="paragraph" w:customStyle="1" w:styleId="DateMarking">
    <w:name w:val="DateMarking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paragraph" w:customStyle="1" w:styleId="ReleasableTo">
    <w:name w:val="ReleasableTo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paragraph" w:customStyle="1" w:styleId="LegalNumPar">
    <w:name w:val="LegalNumPar"/>
    <w:basedOn w:val="Normal"/>
    <w:pPr>
      <w:numPr>
        <w:numId w:val="11"/>
      </w:numPr>
      <w:spacing w:line="360" w:lineRule="auto"/>
    </w:pPr>
    <w:rPr>
      <w:sz w:val="24"/>
    </w:rPr>
  </w:style>
  <w:style w:type="paragraph" w:customStyle="1" w:styleId="LegalNumPar2">
    <w:name w:val="LegalNumPar2"/>
    <w:basedOn w:val="Normal"/>
    <w:pPr>
      <w:numPr>
        <w:ilvl w:val="1"/>
        <w:numId w:val="11"/>
      </w:numPr>
      <w:spacing w:line="360" w:lineRule="auto"/>
    </w:pPr>
    <w:rPr>
      <w:sz w:val="24"/>
    </w:rPr>
  </w:style>
  <w:style w:type="paragraph" w:customStyle="1" w:styleId="LegalNumPar3">
    <w:name w:val="LegalNumPar3"/>
    <w:basedOn w:val="Normal"/>
    <w:pPr>
      <w:numPr>
        <w:ilvl w:val="2"/>
        <w:numId w:val="11"/>
      </w:numPr>
      <w:spacing w:line="240" w:lineRule="auto"/>
    </w:pPr>
    <w:rPr>
      <w:sz w:val="24"/>
    </w:rPr>
  </w:style>
  <w:style w:type="paragraph" w:customStyle="1" w:styleId="Confidentialit">
    <w:name w:val="Confidentialité"/>
    <w:basedOn w:val="Normal"/>
    <w:next w:val="TypedudocumentPagedecouverture"/>
    <w:rsid w:val="000329C3"/>
    <w:pPr>
      <w:spacing w:before="240" w:after="240" w:line="240" w:lineRule="auto"/>
      <w:ind w:left="5103"/>
    </w:pPr>
    <w:rPr>
      <w:rFonts w:ascii="Times New Roman" w:eastAsia="Calibri" w:hAnsi="Times New Roman" w:cs="Times New Roman"/>
      <w:i/>
      <w:sz w:val="32"/>
      <w:lang w:val="en-GB"/>
    </w:rPr>
  </w:style>
  <w:style w:type="paragraph" w:customStyle="1" w:styleId="Emission">
    <w:name w:val="Emission"/>
    <w:basedOn w:val="Normal"/>
    <w:next w:val="Rfrenceinstitutionnelle"/>
    <w:rsid w:val="000329C3"/>
    <w:pPr>
      <w:spacing w:after="0" w:line="240" w:lineRule="auto"/>
      <w:ind w:left="5103"/>
    </w:pPr>
    <w:rPr>
      <w:rFonts w:ascii="Times New Roman" w:eastAsia="Calibri" w:hAnsi="Times New Roman" w:cs="Times New Roman"/>
      <w:sz w:val="24"/>
      <w:lang w:val="en-GB"/>
    </w:rPr>
  </w:style>
  <w:style w:type="paragraph" w:customStyle="1" w:styleId="Langue">
    <w:name w:val="Langue"/>
    <w:basedOn w:val="Normal"/>
    <w:next w:val="Normal"/>
    <w:rsid w:val="000329C3"/>
    <w:pPr>
      <w:framePr w:wrap="around" w:vAnchor="page" w:hAnchor="text" w:xAlign="center" w:y="14741"/>
      <w:spacing w:after="600" w:line="240" w:lineRule="auto"/>
      <w:jc w:val="center"/>
    </w:pPr>
    <w:rPr>
      <w:rFonts w:ascii="Times New Roman" w:eastAsia="Calibri" w:hAnsi="Times New Roman" w:cs="Times New Roman"/>
      <w:b/>
      <w:caps/>
      <w:sz w:val="24"/>
      <w:lang w:val="en-GB"/>
    </w:rPr>
  </w:style>
  <w:style w:type="paragraph" w:customStyle="1" w:styleId="Nomdelinstitution">
    <w:name w:val="Nom de l'institution"/>
    <w:basedOn w:val="Normal"/>
    <w:next w:val="Emission"/>
    <w:rsid w:val="000329C3"/>
    <w:pPr>
      <w:spacing w:after="0" w:line="240" w:lineRule="auto"/>
    </w:pPr>
    <w:rPr>
      <w:rFonts w:ascii="Arial" w:eastAsia="Calibri" w:hAnsi="Arial" w:cs="Arial"/>
      <w:sz w:val="24"/>
      <w:lang w:val="en-GB"/>
    </w:rPr>
  </w:style>
  <w:style w:type="paragraph" w:customStyle="1" w:styleId="Rfrenceinstitutionnelle">
    <w:name w:val="Référence institutionnelle"/>
    <w:basedOn w:val="Normal"/>
    <w:next w:val="Confidentialit"/>
    <w:rsid w:val="000329C3"/>
    <w:pPr>
      <w:spacing w:after="240" w:line="240" w:lineRule="auto"/>
      <w:ind w:left="5103"/>
    </w:pPr>
    <w:rPr>
      <w:rFonts w:ascii="Times New Roman" w:eastAsia="Calibri" w:hAnsi="Times New Roman" w:cs="Times New Roman"/>
      <w:sz w:val="24"/>
      <w:lang w:val="en-GB"/>
    </w:rPr>
  </w:style>
  <w:style w:type="paragraph" w:customStyle="1" w:styleId="TitreobjetPagedecouverture">
    <w:name w:val="Titre objet (Page de couverture)"/>
    <w:basedOn w:val="Titreobjet"/>
    <w:next w:val="Normal"/>
    <w:rsid w:val="000329C3"/>
    <w:rPr>
      <w:rFonts w:eastAsia="Calibri"/>
      <w:szCs w:val="22"/>
      <w:lang w:val="en-GB"/>
    </w:rPr>
  </w:style>
  <w:style w:type="paragraph" w:customStyle="1" w:styleId="TypedudocumentPagedecouverture">
    <w:name w:val="Type du document (Page de couverture)"/>
    <w:basedOn w:val="Typedudocument"/>
    <w:next w:val="TitreobjetPagedecouverture"/>
    <w:rsid w:val="000329C3"/>
    <w:rPr>
      <w:rFonts w:eastAsia="Calibri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emf"/><Relationship Id="rId26" Type="http://schemas.openxmlformats.org/officeDocument/2006/relationships/image" Target="media/image10.emf"/><Relationship Id="rId39" Type="http://schemas.openxmlformats.org/officeDocument/2006/relationships/image" Target="media/image23.emf"/><Relationship Id="rId21" Type="http://schemas.openxmlformats.org/officeDocument/2006/relationships/image" Target="media/image5.emf"/><Relationship Id="rId34" Type="http://schemas.openxmlformats.org/officeDocument/2006/relationships/image" Target="media/image18.emf"/><Relationship Id="rId42" Type="http://schemas.openxmlformats.org/officeDocument/2006/relationships/image" Target="media/image26.emf"/><Relationship Id="rId47" Type="http://schemas.openxmlformats.org/officeDocument/2006/relationships/image" Target="media/image30.emf"/><Relationship Id="rId50" Type="http://schemas.openxmlformats.org/officeDocument/2006/relationships/image" Target="media/image33.png"/><Relationship Id="rId55" Type="http://schemas.openxmlformats.org/officeDocument/2006/relationships/image" Target="media/image38.emf"/><Relationship Id="rId63" Type="http://schemas.openxmlformats.org/officeDocument/2006/relationships/image" Target="media/image46.emf"/><Relationship Id="rId68" Type="http://schemas.openxmlformats.org/officeDocument/2006/relationships/image" Target="media/image51.emf"/><Relationship Id="rId76" Type="http://schemas.openxmlformats.org/officeDocument/2006/relationships/header" Target="header5.xml"/><Relationship Id="rId7" Type="http://schemas.openxmlformats.org/officeDocument/2006/relationships/settings" Target="settings.xml"/><Relationship Id="rId71" Type="http://schemas.openxmlformats.org/officeDocument/2006/relationships/image" Target="media/image53.emf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emf"/><Relationship Id="rId11" Type="http://schemas.openxmlformats.org/officeDocument/2006/relationships/image" Target="media/image1.png"/><Relationship Id="rId24" Type="http://schemas.openxmlformats.org/officeDocument/2006/relationships/image" Target="media/image8.emf"/><Relationship Id="rId32" Type="http://schemas.openxmlformats.org/officeDocument/2006/relationships/image" Target="media/image16.emf"/><Relationship Id="rId37" Type="http://schemas.openxmlformats.org/officeDocument/2006/relationships/image" Target="media/image21.emf"/><Relationship Id="rId40" Type="http://schemas.openxmlformats.org/officeDocument/2006/relationships/image" Target="media/image24.emf"/><Relationship Id="rId45" Type="http://schemas.openxmlformats.org/officeDocument/2006/relationships/image" Target="media/image29.emf"/><Relationship Id="rId53" Type="http://schemas.openxmlformats.org/officeDocument/2006/relationships/image" Target="media/image36.png"/><Relationship Id="rId58" Type="http://schemas.openxmlformats.org/officeDocument/2006/relationships/image" Target="media/image41.emf"/><Relationship Id="rId66" Type="http://schemas.openxmlformats.org/officeDocument/2006/relationships/image" Target="media/image49.emf"/><Relationship Id="rId74" Type="http://schemas.openxmlformats.org/officeDocument/2006/relationships/image" Target="media/image56.emf"/><Relationship Id="rId79" Type="http://schemas.openxmlformats.org/officeDocument/2006/relationships/header" Target="header6.xml"/><Relationship Id="rId5" Type="http://schemas.openxmlformats.org/officeDocument/2006/relationships/numbering" Target="numbering.xml"/><Relationship Id="rId61" Type="http://schemas.openxmlformats.org/officeDocument/2006/relationships/image" Target="media/image44.emf"/><Relationship Id="rId82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5.emf"/><Relationship Id="rId44" Type="http://schemas.openxmlformats.org/officeDocument/2006/relationships/image" Target="media/image28.emf"/><Relationship Id="rId52" Type="http://schemas.openxmlformats.org/officeDocument/2006/relationships/image" Target="media/image35.png"/><Relationship Id="rId60" Type="http://schemas.openxmlformats.org/officeDocument/2006/relationships/image" Target="media/image43.emf"/><Relationship Id="rId65" Type="http://schemas.openxmlformats.org/officeDocument/2006/relationships/image" Target="media/image48.emf"/><Relationship Id="rId73" Type="http://schemas.openxmlformats.org/officeDocument/2006/relationships/image" Target="media/image55.emf"/><Relationship Id="rId78" Type="http://schemas.openxmlformats.org/officeDocument/2006/relationships/footer" Target="footer5.xml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emf"/><Relationship Id="rId27" Type="http://schemas.openxmlformats.org/officeDocument/2006/relationships/image" Target="media/image11.emf"/><Relationship Id="rId30" Type="http://schemas.openxmlformats.org/officeDocument/2006/relationships/image" Target="media/image14.emf"/><Relationship Id="rId35" Type="http://schemas.openxmlformats.org/officeDocument/2006/relationships/image" Target="media/image19.emf"/><Relationship Id="rId43" Type="http://schemas.openxmlformats.org/officeDocument/2006/relationships/image" Target="media/image27.emf"/><Relationship Id="rId48" Type="http://schemas.openxmlformats.org/officeDocument/2006/relationships/image" Target="media/image31.emf"/><Relationship Id="rId56" Type="http://schemas.openxmlformats.org/officeDocument/2006/relationships/image" Target="media/image39.emf"/><Relationship Id="rId64" Type="http://schemas.openxmlformats.org/officeDocument/2006/relationships/image" Target="media/image47.emf"/><Relationship Id="rId69" Type="http://schemas.openxmlformats.org/officeDocument/2006/relationships/image" Target="media/image52.emf"/><Relationship Id="rId77" Type="http://schemas.openxmlformats.org/officeDocument/2006/relationships/footer" Target="footer4.xml"/><Relationship Id="rId8" Type="http://schemas.openxmlformats.org/officeDocument/2006/relationships/webSettings" Target="webSettings.xml"/><Relationship Id="rId51" Type="http://schemas.openxmlformats.org/officeDocument/2006/relationships/image" Target="media/image34.emf"/><Relationship Id="rId72" Type="http://schemas.openxmlformats.org/officeDocument/2006/relationships/image" Target="media/image54.emf"/><Relationship Id="rId80" Type="http://schemas.openxmlformats.org/officeDocument/2006/relationships/footer" Target="footer6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emf"/><Relationship Id="rId33" Type="http://schemas.openxmlformats.org/officeDocument/2006/relationships/image" Target="media/image17.emf"/><Relationship Id="rId38" Type="http://schemas.openxmlformats.org/officeDocument/2006/relationships/image" Target="media/image22.emf"/><Relationship Id="rId46" Type="http://schemas.openxmlformats.org/officeDocument/2006/relationships/chart" Target="charts/chart1.xml"/><Relationship Id="rId59" Type="http://schemas.openxmlformats.org/officeDocument/2006/relationships/image" Target="media/image42.emf"/><Relationship Id="rId67" Type="http://schemas.openxmlformats.org/officeDocument/2006/relationships/image" Target="media/image50.emf"/><Relationship Id="rId20" Type="http://schemas.openxmlformats.org/officeDocument/2006/relationships/image" Target="media/image4.emf"/><Relationship Id="rId41" Type="http://schemas.openxmlformats.org/officeDocument/2006/relationships/image" Target="media/image25.emf"/><Relationship Id="rId54" Type="http://schemas.openxmlformats.org/officeDocument/2006/relationships/image" Target="media/image37.png"/><Relationship Id="rId62" Type="http://schemas.openxmlformats.org/officeDocument/2006/relationships/image" Target="media/image45.emf"/><Relationship Id="rId70" Type="http://schemas.openxmlformats.org/officeDocument/2006/relationships/chart" Target="charts/chart2.xml"/><Relationship Id="rId75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7.emf"/><Relationship Id="rId28" Type="http://schemas.openxmlformats.org/officeDocument/2006/relationships/image" Target="media/image12.emf"/><Relationship Id="rId36" Type="http://schemas.openxmlformats.org/officeDocument/2006/relationships/image" Target="media/image20.emf"/><Relationship Id="rId49" Type="http://schemas.openxmlformats.org/officeDocument/2006/relationships/image" Target="media/image32.png"/><Relationship Id="rId57" Type="http://schemas.openxmlformats.org/officeDocument/2006/relationships/image" Target="media/image40.em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internal_market/scoreboard/performance_by_governance_tool/consumer_protection_cooperation_network/index_en.htm" TargetMode="External"/><Relationship Id="rId13" Type="http://schemas.openxmlformats.org/officeDocument/2006/relationships/hyperlink" Target="https://ec.europa.eu/info/publications/2020-european-semester-country-reports_mt" TargetMode="External"/><Relationship Id="rId18" Type="http://schemas.openxmlformats.org/officeDocument/2006/relationships/hyperlink" Target="http://www.coe.int/t/dghl/cooperation/cepej/evaluation/default_en.asp" TargetMode="External"/><Relationship Id="rId26" Type="http://schemas.openxmlformats.org/officeDocument/2006/relationships/hyperlink" Target="https://ec.europa.eu/info/strategy/justice-and-fundamental-rights/effective-justice/eu-justice-scoreboard_mt" TargetMode="External"/><Relationship Id="rId39" Type="http://schemas.openxmlformats.org/officeDocument/2006/relationships/hyperlink" Target="http://eur-lex.europa.eu/legal-content/MT/TXT/PDF/?uri=CELEX:12012P/TXT&amp;from=MT" TargetMode="External"/><Relationship Id="rId3" Type="http://schemas.openxmlformats.org/officeDocument/2006/relationships/hyperlink" Target="http://network-presidents.eu/" TargetMode="External"/><Relationship Id="rId21" Type="http://schemas.openxmlformats.org/officeDocument/2006/relationships/hyperlink" Target="http://www.biicl.org/documents/625_d4_fdi_main_report.pdf" TargetMode="External"/><Relationship Id="rId34" Type="http://schemas.openxmlformats.org/officeDocument/2006/relationships/hyperlink" Target="https://ec.europa.eu/eurostat/statistics-explained/index.php?title=Glossary:Fixed_capital" TargetMode="External"/><Relationship Id="rId42" Type="http://schemas.openxmlformats.org/officeDocument/2006/relationships/hyperlink" Target="https://www.weforum.org/reports/global-competitiveness-report-2019" TargetMode="External"/><Relationship Id="rId7" Type="http://schemas.openxmlformats.org/officeDocument/2006/relationships/hyperlink" Target="https://euipo.europa.eu/ohimportal/en/web/observatory/home" TargetMode="External"/><Relationship Id="rId12" Type="http://schemas.openxmlformats.org/officeDocument/2006/relationships/hyperlink" Target="https://www.weforum.org/" TargetMode="External"/><Relationship Id="rId17" Type="http://schemas.openxmlformats.org/officeDocument/2006/relationships/hyperlink" Target="http://www.worldbank.org/en/publication/wdr2017" TargetMode="External"/><Relationship Id="rId25" Type="http://schemas.openxmlformats.org/officeDocument/2006/relationships/hyperlink" Target="https://eur-lex.europa.eu/legal-content/MT/TXT/?uri=COM:2020:0409:FIN" TargetMode="External"/><Relationship Id="rId33" Type="http://schemas.openxmlformats.org/officeDocument/2006/relationships/hyperlink" Target="https://ec.europa.eu/eurostat/statistics-explained/index.php?title=Glossary:Fixed_assets" TargetMode="External"/><Relationship Id="rId38" Type="http://schemas.openxmlformats.org/officeDocument/2006/relationships/hyperlink" Target="http://eige.europa.eu/lt/gender-statistics/dgs/indicator/wmidm_jud_natcrt__wmid_natcrt_supcrt" TargetMode="External"/><Relationship Id="rId2" Type="http://schemas.openxmlformats.org/officeDocument/2006/relationships/hyperlink" Target="https://www.encj.eu/" TargetMode="External"/><Relationship Id="rId16" Type="http://schemas.openxmlformats.org/officeDocument/2006/relationships/hyperlink" Target="https://www.weforum.org/reports/global-competitiveness-report-2019" TargetMode="External"/><Relationship Id="rId20" Type="http://schemas.openxmlformats.org/officeDocument/2006/relationships/hyperlink" Target="https://mpra.ub.uni-muenchen.de/40471/1/MPRA_paper_40322.pdf" TargetMode="External"/><Relationship Id="rId29" Type="http://schemas.openxmlformats.org/officeDocument/2006/relationships/hyperlink" Target="https://www.imf.org/en/About/Factsheets/Sheets/2016/08/01/16/31/Fight-Against-Money-Laundering-the-Financing-of-Terrorism" TargetMode="External"/><Relationship Id="rId41" Type="http://schemas.openxmlformats.org/officeDocument/2006/relationships/hyperlink" Target="https://ec.europa.eu/info/strategy/justice-and-fundamental-rights/effective-justice/eu-justice-scoreboard_mt" TargetMode="External"/><Relationship Id="rId1" Type="http://schemas.openxmlformats.org/officeDocument/2006/relationships/hyperlink" Target="https://ec.europa.eu/info/strategy/justice-and-fundamental-rights/effective-justice/eu-justice-scoreboard_mt" TargetMode="External"/><Relationship Id="rId6" Type="http://schemas.openxmlformats.org/officeDocument/2006/relationships/hyperlink" Target="https://ec.europa.eu/digital-single-market/en/communications-committee" TargetMode="External"/><Relationship Id="rId11" Type="http://schemas.openxmlformats.org/officeDocument/2006/relationships/hyperlink" Target="http://www.ejtn.eu/" TargetMode="External"/><Relationship Id="rId24" Type="http://schemas.openxmlformats.org/officeDocument/2006/relationships/hyperlink" Target="https://ec.europa.eu/commission/presscorner/detail/mt/ip_20_940" TargetMode="External"/><Relationship Id="rId32" Type="http://schemas.openxmlformats.org/officeDocument/2006/relationships/hyperlink" Target="https://ec.europa.eu/eurostat/statistics-explained/index.php?title=Glossary:Compensation_of_employees" TargetMode="External"/><Relationship Id="rId37" Type="http://schemas.openxmlformats.org/officeDocument/2006/relationships/hyperlink" Target="https://ec.europa.eu/eurostat/statistics-explained/index.php?title=Glossary:Gross_fixed_capital_formation_(GFCF)" TargetMode="External"/><Relationship Id="rId40" Type="http://schemas.openxmlformats.org/officeDocument/2006/relationships/hyperlink" Target="https://ec.europa.eu/info/strategy/justice-and-fundamental-rights/effective-justice/eu-justice-scoreboard_mt" TargetMode="External"/><Relationship Id="rId5" Type="http://schemas.openxmlformats.org/officeDocument/2006/relationships/hyperlink" Target="http://ec.europa.eu/competition/ecn/index_en.html" TargetMode="External"/><Relationship Id="rId15" Type="http://schemas.openxmlformats.org/officeDocument/2006/relationships/hyperlink" Target="https://www.ecb.europa.eu/pub/pdf/scpops/ecb.op210.en.pdf?3db9355b1d1599799aa0e475e5624651" TargetMode="External"/><Relationship Id="rId23" Type="http://schemas.openxmlformats.org/officeDocument/2006/relationships/hyperlink" Target="https://ec.europa.eu/info/funding-tenders/funding-opportunities/funding-programmes/overview-funding-programmes/structural-reform-support-programme-srsp_mt" TargetMode="External"/><Relationship Id="rId28" Type="http://schemas.openxmlformats.org/officeDocument/2006/relationships/hyperlink" Target="http://eur-lex.europa.eu/legal-content/MT/TXT/PDF/?uri=CELEX:12012E/TXT&amp;from=MT" TargetMode="External"/><Relationship Id="rId36" Type="http://schemas.openxmlformats.org/officeDocument/2006/relationships/hyperlink" Target="https://ec.europa.eu/eurostat/statistics-explained/index.php?title=Glossary:Asset" TargetMode="External"/><Relationship Id="rId10" Type="http://schemas.openxmlformats.org/officeDocument/2006/relationships/hyperlink" Target="http://ec.europa.eu/eurostat/about/overview" TargetMode="External"/><Relationship Id="rId19" Type="http://schemas.openxmlformats.org/officeDocument/2006/relationships/hyperlink" Target="http://publications.jrc.ec.europa.eu/repository/bitstream/JRC104594/jrc104594__2017_the_judicial_system_and_economic_development_across_eu_member_states.pdf" TargetMode="External"/><Relationship Id="rId31" Type="http://schemas.openxmlformats.org/officeDocument/2006/relationships/hyperlink" Target="http://ec.europa.eu/eurostat/data/database" TargetMode="External"/><Relationship Id="rId4" Type="http://schemas.openxmlformats.org/officeDocument/2006/relationships/hyperlink" Target="http://www.juradmin.eu/index.php/en/" TargetMode="External"/><Relationship Id="rId9" Type="http://schemas.openxmlformats.org/officeDocument/2006/relationships/hyperlink" Target="http://ec.europa.eu/justice/civil/financial-crime/index_en.htm" TargetMode="External"/><Relationship Id="rId14" Type="http://schemas.openxmlformats.org/officeDocument/2006/relationships/hyperlink" Target="https://www.imf.org/~/media/Files/Publications/REO/EUR/2017/November/eur-booked-print.ashx?la=en" TargetMode="External"/><Relationship Id="rId22" Type="http://schemas.openxmlformats.org/officeDocument/2006/relationships/hyperlink" Target="https://euipo.europa.eu/tunnel-web/secure/webdav/guest/document_library/observatory/documents/sme_scoreboard_study_2016/Executive-summary_en.pdf" TargetMode="External"/><Relationship Id="rId27" Type="http://schemas.openxmlformats.org/officeDocument/2006/relationships/hyperlink" Target="http://www.coe.int/t/dghl/cooperation/cepej/evaluation/default_en.asp" TargetMode="External"/><Relationship Id="rId30" Type="http://schemas.openxmlformats.org/officeDocument/2006/relationships/hyperlink" Target="http://ec.europa.eu/eurostat/web/income-and-living-conditions/data/database" TargetMode="External"/><Relationship Id="rId35" Type="http://schemas.openxmlformats.org/officeDocument/2006/relationships/hyperlink" Target="https://ec.europa.eu/eurostat/statistics-explained/index.php?title=Glossary:Intermediate_consumption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aruche\AppData\Local\CATE\DGT\Dossiers\JUST\JUST-2020-80050\JUST-2020-80050-00-00-MT-FLC-00\JUST-2020-80050-00-00-00-MT-SLA\Main%20Excel%20source%20file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aruche\AppData\Local\CATE\DGT\Dossiers\JUST\JUST-2020-80050\JUST-2020-80050-00-00-MT-FLC-00\JUST-2020-80050-00-00-00-MT-SLA\Main%20Excel%20source%20fil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9250242698294954E-2"/>
          <c:y val="3.0169748282406813E-2"/>
          <c:w val="0.94026625089175331"/>
          <c:h val="0.4265224959158580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'Fig(29)Arrang.onl.publ.weigthed'!$F$43</c:f>
              <c:strCache>
                <c:ptCount val="1"/>
                <c:pt idx="0">
                  <c:v>Is-sit web huwa aċċessibbli għall-pubbliku ġenerali mingħajr ħlas</c:v>
                </c:pt>
              </c:strCache>
            </c:strRef>
          </c:tx>
          <c:spPr>
            <a:solidFill>
              <a:srgbClr val="58878F"/>
            </a:solidFill>
            <a:ln>
              <a:solidFill>
                <a:schemeClr val="bg1">
                  <a:lumMod val="65000"/>
                </a:schemeClr>
              </a:solidFill>
            </a:ln>
            <a:effectLst/>
          </c:spPr>
          <c:invertIfNegative val="0"/>
          <c:cat>
            <c:strRef>
              <c:f>'Fig(29)Arrang.onl.publ.weigthed'!$G$41:$DI$42</c:f>
              <c:strCache>
                <c:ptCount val="105"/>
                <c:pt idx="0">
                  <c:v>LV</c:v>
                </c:pt>
                <c:pt idx="4">
                  <c:v>SK</c:v>
                </c:pt>
                <c:pt idx="8">
                  <c:v>EE</c:v>
                </c:pt>
                <c:pt idx="12">
                  <c:v>ES</c:v>
                </c:pt>
                <c:pt idx="16">
                  <c:v>DE</c:v>
                </c:pt>
                <c:pt idx="20">
                  <c:v>LT</c:v>
                </c:pt>
                <c:pt idx="24">
                  <c:v>AT</c:v>
                </c:pt>
                <c:pt idx="28">
                  <c:v>HU</c:v>
                </c:pt>
                <c:pt idx="32">
                  <c:v>BG</c:v>
                </c:pt>
                <c:pt idx="36">
                  <c:v>NL</c:v>
                </c:pt>
                <c:pt idx="40">
                  <c:v>IT</c:v>
                </c:pt>
                <c:pt idx="44">
                  <c:v>SI</c:v>
                </c:pt>
                <c:pt idx="48">
                  <c:v>MT</c:v>
                </c:pt>
                <c:pt idx="52">
                  <c:v>CY</c:v>
                </c:pt>
                <c:pt idx="56">
                  <c:v>PL</c:v>
                </c:pt>
                <c:pt idx="60">
                  <c:v>RO</c:v>
                </c:pt>
                <c:pt idx="64">
                  <c:v>PT</c:v>
                </c:pt>
                <c:pt idx="68">
                  <c:v>FR</c:v>
                </c:pt>
                <c:pt idx="72">
                  <c:v>LU</c:v>
                </c:pt>
                <c:pt idx="76">
                  <c:v>CZ</c:v>
                </c:pt>
                <c:pt idx="80">
                  <c:v>DK</c:v>
                </c:pt>
                <c:pt idx="84">
                  <c:v>FI</c:v>
                </c:pt>
                <c:pt idx="88">
                  <c:v>BE</c:v>
                </c:pt>
                <c:pt idx="92">
                  <c:v>SE</c:v>
                </c:pt>
                <c:pt idx="96">
                  <c:v>IE</c:v>
                </c:pt>
                <c:pt idx="100">
                  <c:v>HR</c:v>
                </c:pt>
                <c:pt idx="104">
                  <c:v>EL</c:v>
                </c:pt>
              </c:strCache>
            </c:strRef>
          </c:cat>
          <c:val>
            <c:numRef>
              <c:f>'Fig(29)Arrang.onl.publ.weigthed'!$G$43:$DI$43</c:f>
              <c:numCache>
                <c:formatCode>General</c:formatCode>
                <c:ptCount val="107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2">
                  <c:v>2.5</c:v>
                </c:pt>
                <c:pt idx="13">
                  <c:v>2.5</c:v>
                </c:pt>
                <c:pt idx="14">
                  <c:v>2.5</c:v>
                </c:pt>
                <c:pt idx="16">
                  <c:v>2</c:v>
                </c:pt>
                <c:pt idx="17">
                  <c:v>2</c:v>
                </c:pt>
                <c:pt idx="18">
                  <c:v>2</c:v>
                </c:pt>
                <c:pt idx="20">
                  <c:v>3</c:v>
                </c:pt>
                <c:pt idx="21">
                  <c:v>3</c:v>
                </c:pt>
                <c:pt idx="22">
                  <c:v>3</c:v>
                </c:pt>
                <c:pt idx="24">
                  <c:v>2</c:v>
                </c:pt>
                <c:pt idx="25">
                  <c:v>2.5</c:v>
                </c:pt>
                <c:pt idx="26">
                  <c:v>2</c:v>
                </c:pt>
                <c:pt idx="28">
                  <c:v>3</c:v>
                </c:pt>
                <c:pt idx="29">
                  <c:v>3</c:v>
                </c:pt>
                <c:pt idx="30">
                  <c:v>3</c:v>
                </c:pt>
                <c:pt idx="32">
                  <c:v>2</c:v>
                </c:pt>
                <c:pt idx="33">
                  <c:v>2.5</c:v>
                </c:pt>
                <c:pt idx="34">
                  <c:v>1.5</c:v>
                </c:pt>
                <c:pt idx="36">
                  <c:v>2</c:v>
                </c:pt>
                <c:pt idx="37">
                  <c:v>2</c:v>
                </c:pt>
                <c:pt idx="38">
                  <c:v>2</c:v>
                </c:pt>
                <c:pt idx="40">
                  <c:v>1</c:v>
                </c:pt>
                <c:pt idx="41">
                  <c:v>2</c:v>
                </c:pt>
                <c:pt idx="42">
                  <c:v>1</c:v>
                </c:pt>
                <c:pt idx="44">
                  <c:v>2</c:v>
                </c:pt>
                <c:pt idx="45">
                  <c:v>3</c:v>
                </c:pt>
                <c:pt idx="46">
                  <c:v>2</c:v>
                </c:pt>
                <c:pt idx="48">
                  <c:v>3</c:v>
                </c:pt>
                <c:pt idx="49">
                  <c:v>3</c:v>
                </c:pt>
                <c:pt idx="50">
                  <c:v>3</c:v>
                </c:pt>
                <c:pt idx="52">
                  <c:v>2.5</c:v>
                </c:pt>
                <c:pt idx="53">
                  <c:v>1</c:v>
                </c:pt>
                <c:pt idx="54">
                  <c:v>2.5</c:v>
                </c:pt>
                <c:pt idx="56">
                  <c:v>1.5</c:v>
                </c:pt>
                <c:pt idx="57">
                  <c:v>1.5</c:v>
                </c:pt>
                <c:pt idx="58">
                  <c:v>3</c:v>
                </c:pt>
                <c:pt idx="60">
                  <c:v>1.5</c:v>
                </c:pt>
                <c:pt idx="61">
                  <c:v>1.5</c:v>
                </c:pt>
                <c:pt idx="62">
                  <c:v>1.5</c:v>
                </c:pt>
                <c:pt idx="64">
                  <c:v>1.5</c:v>
                </c:pt>
                <c:pt idx="65">
                  <c:v>2</c:v>
                </c:pt>
                <c:pt idx="66">
                  <c:v>1.5</c:v>
                </c:pt>
                <c:pt idx="68">
                  <c:v>0.5</c:v>
                </c:pt>
                <c:pt idx="69">
                  <c:v>1.5</c:v>
                </c:pt>
                <c:pt idx="70">
                  <c:v>1.5</c:v>
                </c:pt>
                <c:pt idx="72">
                  <c:v>2</c:v>
                </c:pt>
                <c:pt idx="73">
                  <c:v>3</c:v>
                </c:pt>
                <c:pt idx="74">
                  <c:v>2</c:v>
                </c:pt>
                <c:pt idx="76">
                  <c:v>1</c:v>
                </c:pt>
                <c:pt idx="77">
                  <c:v>2</c:v>
                </c:pt>
                <c:pt idx="78">
                  <c:v>1</c:v>
                </c:pt>
                <c:pt idx="80">
                  <c:v>2</c:v>
                </c:pt>
                <c:pt idx="81">
                  <c:v>2</c:v>
                </c:pt>
                <c:pt idx="82">
                  <c:v>2</c:v>
                </c:pt>
                <c:pt idx="84">
                  <c:v>1</c:v>
                </c:pt>
                <c:pt idx="85">
                  <c:v>1.5</c:v>
                </c:pt>
                <c:pt idx="86">
                  <c:v>1</c:v>
                </c:pt>
                <c:pt idx="88">
                  <c:v>1.5</c:v>
                </c:pt>
                <c:pt idx="89">
                  <c:v>1.5</c:v>
                </c:pt>
                <c:pt idx="90">
                  <c:v>1.5</c:v>
                </c:pt>
                <c:pt idx="92">
                  <c:v>1.5</c:v>
                </c:pt>
                <c:pt idx="93">
                  <c:v>1.5</c:v>
                </c:pt>
                <c:pt idx="94">
                  <c:v>1.5</c:v>
                </c:pt>
                <c:pt idx="96">
                  <c:v>3</c:v>
                </c:pt>
                <c:pt idx="97">
                  <c:v>3</c:v>
                </c:pt>
                <c:pt idx="98">
                  <c:v>0.5</c:v>
                </c:pt>
                <c:pt idx="100">
                  <c:v>1</c:v>
                </c:pt>
                <c:pt idx="101">
                  <c:v>1</c:v>
                </c:pt>
                <c:pt idx="102">
                  <c:v>1</c:v>
                </c:pt>
                <c:pt idx="104">
                  <c:v>1</c:v>
                </c:pt>
                <c:pt idx="105">
                  <c:v>1.5</c:v>
                </c:pt>
                <c:pt idx="10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A-43D9-AD5E-636C15BCD7A6}"/>
            </c:ext>
          </c:extLst>
        </c:ser>
        <c:ser>
          <c:idx val="1"/>
          <c:order val="1"/>
          <c:tx>
            <c:strRef>
              <c:f>'Fig(29)Arrang.onl.publ.weigthed'!$F$44</c:f>
              <c:strCache>
                <c:ptCount val="1"/>
                <c:pt idx="0">
                  <c:v>Is-sentenzi huma mmudellati skont standard li jkun jippermetti li jinqraw minn magni</c:v>
                </c:pt>
              </c:strCache>
            </c:strRef>
          </c:tx>
          <c:spPr>
            <a:solidFill>
              <a:srgbClr val="5B4281"/>
            </a:solidFill>
            <a:ln>
              <a:solidFill>
                <a:schemeClr val="bg1">
                  <a:lumMod val="65000"/>
                </a:schemeClr>
              </a:solidFill>
            </a:ln>
            <a:effectLst/>
          </c:spPr>
          <c:invertIfNegative val="0"/>
          <c:cat>
            <c:strRef>
              <c:f>'Fig(29)Arrang.onl.publ.weigthed'!$G$41:$DI$42</c:f>
              <c:strCache>
                <c:ptCount val="105"/>
                <c:pt idx="0">
                  <c:v>LV</c:v>
                </c:pt>
                <c:pt idx="4">
                  <c:v>SK</c:v>
                </c:pt>
                <c:pt idx="8">
                  <c:v>EE</c:v>
                </c:pt>
                <c:pt idx="12">
                  <c:v>ES</c:v>
                </c:pt>
                <c:pt idx="16">
                  <c:v>DE</c:v>
                </c:pt>
                <c:pt idx="20">
                  <c:v>LT</c:v>
                </c:pt>
                <c:pt idx="24">
                  <c:v>AT</c:v>
                </c:pt>
                <c:pt idx="28">
                  <c:v>HU</c:v>
                </c:pt>
                <c:pt idx="32">
                  <c:v>BG</c:v>
                </c:pt>
                <c:pt idx="36">
                  <c:v>NL</c:v>
                </c:pt>
                <c:pt idx="40">
                  <c:v>IT</c:v>
                </c:pt>
                <c:pt idx="44">
                  <c:v>SI</c:v>
                </c:pt>
                <c:pt idx="48">
                  <c:v>MT</c:v>
                </c:pt>
                <c:pt idx="52">
                  <c:v>CY</c:v>
                </c:pt>
                <c:pt idx="56">
                  <c:v>PL</c:v>
                </c:pt>
                <c:pt idx="60">
                  <c:v>RO</c:v>
                </c:pt>
                <c:pt idx="64">
                  <c:v>PT</c:v>
                </c:pt>
                <c:pt idx="68">
                  <c:v>FR</c:v>
                </c:pt>
                <c:pt idx="72">
                  <c:v>LU</c:v>
                </c:pt>
                <c:pt idx="76">
                  <c:v>CZ</c:v>
                </c:pt>
                <c:pt idx="80">
                  <c:v>DK</c:v>
                </c:pt>
                <c:pt idx="84">
                  <c:v>FI</c:v>
                </c:pt>
                <c:pt idx="88">
                  <c:v>BE</c:v>
                </c:pt>
                <c:pt idx="92">
                  <c:v>SE</c:v>
                </c:pt>
                <c:pt idx="96">
                  <c:v>IE</c:v>
                </c:pt>
                <c:pt idx="100">
                  <c:v>HR</c:v>
                </c:pt>
                <c:pt idx="104">
                  <c:v>EL</c:v>
                </c:pt>
              </c:strCache>
            </c:strRef>
          </c:cat>
          <c:val>
            <c:numRef>
              <c:f>'Fig(29)Arrang.onl.publ.weigthed'!$G$44:$DI$44</c:f>
              <c:numCache>
                <c:formatCode>General</c:formatCode>
                <c:ptCount val="107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2">
                  <c:v>2.5</c:v>
                </c:pt>
                <c:pt idx="13">
                  <c:v>2.5</c:v>
                </c:pt>
                <c:pt idx="14">
                  <c:v>2.5</c:v>
                </c:pt>
                <c:pt idx="16">
                  <c:v>2</c:v>
                </c:pt>
                <c:pt idx="17">
                  <c:v>2</c:v>
                </c:pt>
                <c:pt idx="18">
                  <c:v>2</c:v>
                </c:pt>
                <c:pt idx="20">
                  <c:v>3</c:v>
                </c:pt>
                <c:pt idx="21">
                  <c:v>3</c:v>
                </c:pt>
                <c:pt idx="22">
                  <c:v>3</c:v>
                </c:pt>
                <c:pt idx="24">
                  <c:v>2</c:v>
                </c:pt>
                <c:pt idx="25">
                  <c:v>2.5</c:v>
                </c:pt>
                <c:pt idx="26">
                  <c:v>2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2">
                  <c:v>1.5</c:v>
                </c:pt>
                <c:pt idx="33">
                  <c:v>0</c:v>
                </c:pt>
                <c:pt idx="34">
                  <c:v>1.5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40">
                  <c:v>1</c:v>
                </c:pt>
                <c:pt idx="41">
                  <c:v>2</c:v>
                </c:pt>
                <c:pt idx="42">
                  <c:v>1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6">
                  <c:v>1.5</c:v>
                </c:pt>
                <c:pt idx="57">
                  <c:v>1.5</c:v>
                </c:pt>
                <c:pt idx="58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8">
                  <c:v>0.5</c:v>
                </c:pt>
                <c:pt idx="69">
                  <c:v>0</c:v>
                </c:pt>
                <c:pt idx="70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6">
                  <c:v>1</c:v>
                </c:pt>
                <c:pt idx="77">
                  <c:v>2</c:v>
                </c:pt>
                <c:pt idx="78">
                  <c:v>1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8">
                  <c:v>0</c:v>
                </c:pt>
                <c:pt idx="89">
                  <c:v>1</c:v>
                </c:pt>
                <c:pt idx="90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A-43D9-AD5E-636C15BCD7A6}"/>
            </c:ext>
          </c:extLst>
        </c:ser>
        <c:ser>
          <c:idx val="2"/>
          <c:order val="2"/>
          <c:tx>
            <c:strRef>
              <c:f>'Fig(29)Arrang.onl.publ.weigthed'!$F$45</c:f>
              <c:strCache>
                <c:ptCount val="1"/>
                <c:pt idx="0">
                  <c:v>Is-sentenzi huma assenjati Identifikatur Ewropew tal-Każistika (ECLI)</c:v>
                </c:pt>
              </c:strCache>
            </c:strRef>
          </c:tx>
          <c:spPr>
            <a:solidFill>
              <a:srgbClr val="728FC9"/>
            </a:solidFill>
            <a:ln>
              <a:solidFill>
                <a:schemeClr val="bg1">
                  <a:lumMod val="65000"/>
                </a:schemeClr>
              </a:solidFill>
            </a:ln>
            <a:effectLst/>
          </c:spPr>
          <c:invertIfNegative val="0"/>
          <c:cat>
            <c:strRef>
              <c:f>'Fig(29)Arrang.onl.publ.weigthed'!$G$41:$DI$42</c:f>
              <c:strCache>
                <c:ptCount val="105"/>
                <c:pt idx="0">
                  <c:v>LV</c:v>
                </c:pt>
                <c:pt idx="4">
                  <c:v>SK</c:v>
                </c:pt>
                <c:pt idx="8">
                  <c:v>EE</c:v>
                </c:pt>
                <c:pt idx="12">
                  <c:v>ES</c:v>
                </c:pt>
                <c:pt idx="16">
                  <c:v>DE</c:v>
                </c:pt>
                <c:pt idx="20">
                  <c:v>LT</c:v>
                </c:pt>
                <c:pt idx="24">
                  <c:v>AT</c:v>
                </c:pt>
                <c:pt idx="28">
                  <c:v>HU</c:v>
                </c:pt>
                <c:pt idx="32">
                  <c:v>BG</c:v>
                </c:pt>
                <c:pt idx="36">
                  <c:v>NL</c:v>
                </c:pt>
                <c:pt idx="40">
                  <c:v>IT</c:v>
                </c:pt>
                <c:pt idx="44">
                  <c:v>SI</c:v>
                </c:pt>
                <c:pt idx="48">
                  <c:v>MT</c:v>
                </c:pt>
                <c:pt idx="52">
                  <c:v>CY</c:v>
                </c:pt>
                <c:pt idx="56">
                  <c:v>PL</c:v>
                </c:pt>
                <c:pt idx="60">
                  <c:v>RO</c:v>
                </c:pt>
                <c:pt idx="64">
                  <c:v>PT</c:v>
                </c:pt>
                <c:pt idx="68">
                  <c:v>FR</c:v>
                </c:pt>
                <c:pt idx="72">
                  <c:v>LU</c:v>
                </c:pt>
                <c:pt idx="76">
                  <c:v>CZ</c:v>
                </c:pt>
                <c:pt idx="80">
                  <c:v>DK</c:v>
                </c:pt>
                <c:pt idx="84">
                  <c:v>FI</c:v>
                </c:pt>
                <c:pt idx="88">
                  <c:v>BE</c:v>
                </c:pt>
                <c:pt idx="92">
                  <c:v>SE</c:v>
                </c:pt>
                <c:pt idx="96">
                  <c:v>IE</c:v>
                </c:pt>
                <c:pt idx="100">
                  <c:v>HR</c:v>
                </c:pt>
                <c:pt idx="104">
                  <c:v>EL</c:v>
                </c:pt>
              </c:strCache>
            </c:strRef>
          </c:cat>
          <c:val>
            <c:numRef>
              <c:f>'Fig(29)Arrang.onl.publ.weigthed'!$G$45:$DI$45</c:f>
              <c:numCache>
                <c:formatCode>General</c:formatCode>
                <c:ptCount val="107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2">
                  <c:v>2.5</c:v>
                </c:pt>
                <c:pt idx="13">
                  <c:v>2.5</c:v>
                </c:pt>
                <c:pt idx="14">
                  <c:v>2.5</c:v>
                </c:pt>
                <c:pt idx="16">
                  <c:v>2</c:v>
                </c:pt>
                <c:pt idx="17">
                  <c:v>2</c:v>
                </c:pt>
                <c:pt idx="18">
                  <c:v>2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4">
                  <c:v>2</c:v>
                </c:pt>
                <c:pt idx="25">
                  <c:v>2.5</c:v>
                </c:pt>
                <c:pt idx="26">
                  <c:v>2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2">
                  <c:v>0.5</c:v>
                </c:pt>
                <c:pt idx="33">
                  <c:v>0</c:v>
                </c:pt>
                <c:pt idx="34">
                  <c:v>0.5</c:v>
                </c:pt>
                <c:pt idx="36">
                  <c:v>2</c:v>
                </c:pt>
                <c:pt idx="37">
                  <c:v>2</c:v>
                </c:pt>
                <c:pt idx="38">
                  <c:v>2</c:v>
                </c:pt>
                <c:pt idx="40">
                  <c:v>2</c:v>
                </c:pt>
                <c:pt idx="41">
                  <c:v>2</c:v>
                </c:pt>
                <c:pt idx="42">
                  <c:v>2</c:v>
                </c:pt>
                <c:pt idx="44">
                  <c:v>2</c:v>
                </c:pt>
                <c:pt idx="45">
                  <c:v>3</c:v>
                </c:pt>
                <c:pt idx="46">
                  <c:v>2</c:v>
                </c:pt>
                <c:pt idx="48">
                  <c:v>3</c:v>
                </c:pt>
                <c:pt idx="49">
                  <c:v>3</c:v>
                </c:pt>
                <c:pt idx="50">
                  <c:v>3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60">
                  <c:v>1.5</c:v>
                </c:pt>
                <c:pt idx="61">
                  <c:v>1.5</c:v>
                </c:pt>
                <c:pt idx="62">
                  <c:v>1.5</c:v>
                </c:pt>
                <c:pt idx="64">
                  <c:v>1</c:v>
                </c:pt>
                <c:pt idx="65">
                  <c:v>0</c:v>
                </c:pt>
                <c:pt idx="66">
                  <c:v>1</c:v>
                </c:pt>
                <c:pt idx="68">
                  <c:v>0.5</c:v>
                </c:pt>
                <c:pt idx="69">
                  <c:v>0.5</c:v>
                </c:pt>
                <c:pt idx="70">
                  <c:v>0</c:v>
                </c:pt>
                <c:pt idx="72">
                  <c:v>2</c:v>
                </c:pt>
                <c:pt idx="73">
                  <c:v>3</c:v>
                </c:pt>
                <c:pt idx="74">
                  <c:v>2</c:v>
                </c:pt>
                <c:pt idx="76">
                  <c:v>1</c:v>
                </c:pt>
                <c:pt idx="77">
                  <c:v>0</c:v>
                </c:pt>
                <c:pt idx="78">
                  <c:v>1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4">
                  <c:v>0.5</c:v>
                </c:pt>
                <c:pt idx="85">
                  <c:v>1</c:v>
                </c:pt>
                <c:pt idx="86">
                  <c:v>0.5</c:v>
                </c:pt>
                <c:pt idx="88">
                  <c:v>0.5</c:v>
                </c:pt>
                <c:pt idx="89">
                  <c:v>0</c:v>
                </c:pt>
                <c:pt idx="90">
                  <c:v>0.5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4">
                  <c:v>0</c:v>
                </c:pt>
                <c:pt idx="105">
                  <c:v>0.5</c:v>
                </c:pt>
                <c:pt idx="10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A-43D9-AD5E-636C15BCD7A6}"/>
            </c:ext>
          </c:extLst>
        </c:ser>
        <c:ser>
          <c:idx val="3"/>
          <c:order val="3"/>
          <c:tx>
            <c:strRef>
              <c:f>'Fig(29)Arrang.onl.publ.weigthed'!$F$46</c:f>
              <c:strCache>
                <c:ptCount val="1"/>
                <c:pt idx="0">
                  <c:v>Is-sentenzi għandhom informazzjoni assoċjata (“metadata”) dwar il-keyword, id-data tad-deċiżjoni, eċċ.</c:v>
                </c:pt>
              </c:strCache>
            </c:strRef>
          </c:tx>
          <c:spPr>
            <a:solidFill>
              <a:srgbClr val="F5B3C4"/>
            </a:solidFill>
            <a:ln>
              <a:solidFill>
                <a:schemeClr val="bg1">
                  <a:lumMod val="65000"/>
                </a:schemeClr>
              </a:solidFill>
            </a:ln>
            <a:effectLst/>
          </c:spPr>
          <c:invertIfNegative val="0"/>
          <c:cat>
            <c:strRef>
              <c:f>'Fig(29)Arrang.onl.publ.weigthed'!$G$41:$DI$42</c:f>
              <c:strCache>
                <c:ptCount val="105"/>
                <c:pt idx="0">
                  <c:v>LV</c:v>
                </c:pt>
                <c:pt idx="4">
                  <c:v>SK</c:v>
                </c:pt>
                <c:pt idx="8">
                  <c:v>EE</c:v>
                </c:pt>
                <c:pt idx="12">
                  <c:v>ES</c:v>
                </c:pt>
                <c:pt idx="16">
                  <c:v>DE</c:v>
                </c:pt>
                <c:pt idx="20">
                  <c:v>LT</c:v>
                </c:pt>
                <c:pt idx="24">
                  <c:v>AT</c:v>
                </c:pt>
                <c:pt idx="28">
                  <c:v>HU</c:v>
                </c:pt>
                <c:pt idx="32">
                  <c:v>BG</c:v>
                </c:pt>
                <c:pt idx="36">
                  <c:v>NL</c:v>
                </c:pt>
                <c:pt idx="40">
                  <c:v>IT</c:v>
                </c:pt>
                <c:pt idx="44">
                  <c:v>SI</c:v>
                </c:pt>
                <c:pt idx="48">
                  <c:v>MT</c:v>
                </c:pt>
                <c:pt idx="52">
                  <c:v>CY</c:v>
                </c:pt>
                <c:pt idx="56">
                  <c:v>PL</c:v>
                </c:pt>
                <c:pt idx="60">
                  <c:v>RO</c:v>
                </c:pt>
                <c:pt idx="64">
                  <c:v>PT</c:v>
                </c:pt>
                <c:pt idx="68">
                  <c:v>FR</c:v>
                </c:pt>
                <c:pt idx="72">
                  <c:v>LU</c:v>
                </c:pt>
                <c:pt idx="76">
                  <c:v>CZ</c:v>
                </c:pt>
                <c:pt idx="80">
                  <c:v>DK</c:v>
                </c:pt>
                <c:pt idx="84">
                  <c:v>FI</c:v>
                </c:pt>
                <c:pt idx="88">
                  <c:v>BE</c:v>
                </c:pt>
                <c:pt idx="92">
                  <c:v>SE</c:v>
                </c:pt>
                <c:pt idx="96">
                  <c:v>IE</c:v>
                </c:pt>
                <c:pt idx="100">
                  <c:v>HR</c:v>
                </c:pt>
                <c:pt idx="104">
                  <c:v>EL</c:v>
                </c:pt>
              </c:strCache>
            </c:strRef>
          </c:cat>
          <c:val>
            <c:numRef>
              <c:f>'Fig(29)Arrang.onl.publ.weigthed'!$G$46:$DI$46</c:f>
              <c:numCache>
                <c:formatCode>General</c:formatCode>
                <c:ptCount val="107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2">
                  <c:v>2.5</c:v>
                </c:pt>
                <c:pt idx="13">
                  <c:v>2.5</c:v>
                </c:pt>
                <c:pt idx="14">
                  <c:v>2.5</c:v>
                </c:pt>
                <c:pt idx="16">
                  <c:v>2</c:v>
                </c:pt>
                <c:pt idx="17">
                  <c:v>2</c:v>
                </c:pt>
                <c:pt idx="18">
                  <c:v>2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4">
                  <c:v>2</c:v>
                </c:pt>
                <c:pt idx="25">
                  <c:v>2.5</c:v>
                </c:pt>
                <c:pt idx="26">
                  <c:v>2</c:v>
                </c:pt>
                <c:pt idx="28">
                  <c:v>3</c:v>
                </c:pt>
                <c:pt idx="29">
                  <c:v>3</c:v>
                </c:pt>
                <c:pt idx="30">
                  <c:v>3</c:v>
                </c:pt>
                <c:pt idx="32">
                  <c:v>2</c:v>
                </c:pt>
                <c:pt idx="33">
                  <c:v>1</c:v>
                </c:pt>
                <c:pt idx="34">
                  <c:v>1.5</c:v>
                </c:pt>
                <c:pt idx="36">
                  <c:v>2</c:v>
                </c:pt>
                <c:pt idx="37">
                  <c:v>2</c:v>
                </c:pt>
                <c:pt idx="38">
                  <c:v>2</c:v>
                </c:pt>
                <c:pt idx="40">
                  <c:v>2</c:v>
                </c:pt>
                <c:pt idx="41">
                  <c:v>2</c:v>
                </c:pt>
                <c:pt idx="42">
                  <c:v>2</c:v>
                </c:pt>
                <c:pt idx="44">
                  <c:v>2</c:v>
                </c:pt>
                <c:pt idx="45">
                  <c:v>3</c:v>
                </c:pt>
                <c:pt idx="46">
                  <c:v>2</c:v>
                </c:pt>
                <c:pt idx="48">
                  <c:v>3</c:v>
                </c:pt>
                <c:pt idx="49">
                  <c:v>3</c:v>
                </c:pt>
                <c:pt idx="50">
                  <c:v>3</c:v>
                </c:pt>
                <c:pt idx="52">
                  <c:v>2.5</c:v>
                </c:pt>
                <c:pt idx="53">
                  <c:v>3</c:v>
                </c:pt>
                <c:pt idx="54">
                  <c:v>2.5</c:v>
                </c:pt>
                <c:pt idx="56">
                  <c:v>1.5</c:v>
                </c:pt>
                <c:pt idx="57">
                  <c:v>1.5</c:v>
                </c:pt>
                <c:pt idx="58">
                  <c:v>2</c:v>
                </c:pt>
                <c:pt idx="60">
                  <c:v>1.5</c:v>
                </c:pt>
                <c:pt idx="61">
                  <c:v>1</c:v>
                </c:pt>
                <c:pt idx="62">
                  <c:v>1.5</c:v>
                </c:pt>
                <c:pt idx="64">
                  <c:v>1</c:v>
                </c:pt>
                <c:pt idx="65">
                  <c:v>2</c:v>
                </c:pt>
                <c:pt idx="66">
                  <c:v>1</c:v>
                </c:pt>
                <c:pt idx="68">
                  <c:v>0</c:v>
                </c:pt>
                <c:pt idx="69">
                  <c:v>1</c:v>
                </c:pt>
                <c:pt idx="70">
                  <c:v>1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6">
                  <c:v>1</c:v>
                </c:pt>
                <c:pt idx="77">
                  <c:v>0</c:v>
                </c:pt>
                <c:pt idx="78">
                  <c:v>1</c:v>
                </c:pt>
                <c:pt idx="80">
                  <c:v>1.5</c:v>
                </c:pt>
                <c:pt idx="81">
                  <c:v>1.5</c:v>
                </c:pt>
                <c:pt idx="82">
                  <c:v>1.5</c:v>
                </c:pt>
                <c:pt idx="84">
                  <c:v>1</c:v>
                </c:pt>
                <c:pt idx="85">
                  <c:v>1.5</c:v>
                </c:pt>
                <c:pt idx="86">
                  <c:v>1</c:v>
                </c:pt>
                <c:pt idx="88">
                  <c:v>1.5</c:v>
                </c:pt>
                <c:pt idx="89">
                  <c:v>1.5</c:v>
                </c:pt>
                <c:pt idx="90">
                  <c:v>0.5</c:v>
                </c:pt>
                <c:pt idx="92">
                  <c:v>1.5</c:v>
                </c:pt>
                <c:pt idx="93">
                  <c:v>1.5</c:v>
                </c:pt>
                <c:pt idx="94">
                  <c:v>1.5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100">
                  <c:v>1</c:v>
                </c:pt>
                <c:pt idx="101">
                  <c:v>1</c:v>
                </c:pt>
                <c:pt idx="102">
                  <c:v>1</c:v>
                </c:pt>
                <c:pt idx="104">
                  <c:v>1</c:v>
                </c:pt>
                <c:pt idx="105">
                  <c:v>0.5</c:v>
                </c:pt>
                <c:pt idx="10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74A-43D9-AD5E-636C15BCD7A6}"/>
            </c:ext>
          </c:extLst>
        </c:ser>
        <c:ser>
          <c:idx val="4"/>
          <c:order val="4"/>
          <c:tx>
            <c:strRef>
              <c:f>'Fig(29)Arrang.onl.publ.weigthed'!$F$47</c:f>
              <c:strCache>
                <c:ptCount val="1"/>
                <c:pt idx="0">
                  <c:v>Is-sentenzi għandhom informazzjoni assoċjata (“metadata”) dwar ċitazzjonijiet u referenzi għad-dritt għall-ġurisprudenza nazzjonali u/jew tal-UE</c:v>
                </c:pt>
              </c:strCache>
            </c:strRef>
          </c:tx>
          <c:spPr>
            <a:solidFill>
              <a:srgbClr val="22878F"/>
            </a:solidFill>
            <a:ln>
              <a:solidFill>
                <a:schemeClr val="bg1">
                  <a:lumMod val="65000"/>
                </a:schemeClr>
              </a:solidFill>
            </a:ln>
            <a:effectLst/>
          </c:spPr>
          <c:invertIfNegative val="0"/>
          <c:cat>
            <c:strRef>
              <c:f>'Fig(29)Arrang.onl.publ.weigthed'!$G$41:$DI$42</c:f>
              <c:strCache>
                <c:ptCount val="105"/>
                <c:pt idx="0">
                  <c:v>LV</c:v>
                </c:pt>
                <c:pt idx="4">
                  <c:v>SK</c:v>
                </c:pt>
                <c:pt idx="8">
                  <c:v>EE</c:v>
                </c:pt>
                <c:pt idx="12">
                  <c:v>ES</c:v>
                </c:pt>
                <c:pt idx="16">
                  <c:v>DE</c:v>
                </c:pt>
                <c:pt idx="20">
                  <c:v>LT</c:v>
                </c:pt>
                <c:pt idx="24">
                  <c:v>AT</c:v>
                </c:pt>
                <c:pt idx="28">
                  <c:v>HU</c:v>
                </c:pt>
                <c:pt idx="32">
                  <c:v>BG</c:v>
                </c:pt>
                <c:pt idx="36">
                  <c:v>NL</c:v>
                </c:pt>
                <c:pt idx="40">
                  <c:v>IT</c:v>
                </c:pt>
                <c:pt idx="44">
                  <c:v>SI</c:v>
                </c:pt>
                <c:pt idx="48">
                  <c:v>MT</c:v>
                </c:pt>
                <c:pt idx="52">
                  <c:v>CY</c:v>
                </c:pt>
                <c:pt idx="56">
                  <c:v>PL</c:v>
                </c:pt>
                <c:pt idx="60">
                  <c:v>RO</c:v>
                </c:pt>
                <c:pt idx="64">
                  <c:v>PT</c:v>
                </c:pt>
                <c:pt idx="68">
                  <c:v>FR</c:v>
                </c:pt>
                <c:pt idx="72">
                  <c:v>LU</c:v>
                </c:pt>
                <c:pt idx="76">
                  <c:v>CZ</c:v>
                </c:pt>
                <c:pt idx="80">
                  <c:v>DK</c:v>
                </c:pt>
                <c:pt idx="84">
                  <c:v>FI</c:v>
                </c:pt>
                <c:pt idx="88">
                  <c:v>BE</c:v>
                </c:pt>
                <c:pt idx="92">
                  <c:v>SE</c:v>
                </c:pt>
                <c:pt idx="96">
                  <c:v>IE</c:v>
                </c:pt>
                <c:pt idx="100">
                  <c:v>HR</c:v>
                </c:pt>
                <c:pt idx="104">
                  <c:v>EL</c:v>
                </c:pt>
              </c:strCache>
            </c:strRef>
          </c:cat>
          <c:val>
            <c:numRef>
              <c:f>'Fig(29)Arrang.onl.publ.weigthed'!$G$47:$DI$47</c:f>
              <c:numCache>
                <c:formatCode>General</c:formatCode>
                <c:ptCount val="107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2">
                  <c:v>2.5</c:v>
                </c:pt>
                <c:pt idx="13">
                  <c:v>2.5</c:v>
                </c:pt>
                <c:pt idx="14">
                  <c:v>2.5</c:v>
                </c:pt>
                <c:pt idx="16">
                  <c:v>2</c:v>
                </c:pt>
                <c:pt idx="17">
                  <c:v>2</c:v>
                </c:pt>
                <c:pt idx="18">
                  <c:v>2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8">
                  <c:v>3</c:v>
                </c:pt>
                <c:pt idx="29">
                  <c:v>3</c:v>
                </c:pt>
                <c:pt idx="30">
                  <c:v>3</c:v>
                </c:pt>
                <c:pt idx="32">
                  <c:v>2</c:v>
                </c:pt>
                <c:pt idx="33">
                  <c:v>1</c:v>
                </c:pt>
                <c:pt idx="34">
                  <c:v>1.5</c:v>
                </c:pt>
                <c:pt idx="36">
                  <c:v>2</c:v>
                </c:pt>
                <c:pt idx="37">
                  <c:v>2</c:v>
                </c:pt>
                <c:pt idx="38">
                  <c:v>2</c:v>
                </c:pt>
                <c:pt idx="40">
                  <c:v>1</c:v>
                </c:pt>
                <c:pt idx="41">
                  <c:v>0</c:v>
                </c:pt>
                <c:pt idx="42">
                  <c:v>1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2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4">
                  <c:v>1</c:v>
                </c:pt>
                <c:pt idx="65">
                  <c:v>2</c:v>
                </c:pt>
                <c:pt idx="66">
                  <c:v>1</c:v>
                </c:pt>
                <c:pt idx="68">
                  <c:v>0</c:v>
                </c:pt>
                <c:pt idx="69">
                  <c:v>1</c:v>
                </c:pt>
                <c:pt idx="70">
                  <c:v>1.5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6">
                  <c:v>1</c:v>
                </c:pt>
                <c:pt idx="77">
                  <c:v>0</c:v>
                </c:pt>
                <c:pt idx="78">
                  <c:v>1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4">
                  <c:v>1</c:v>
                </c:pt>
                <c:pt idx="85">
                  <c:v>1.5</c:v>
                </c:pt>
                <c:pt idx="86">
                  <c:v>1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74A-43D9-AD5E-636C15BCD7A6}"/>
            </c:ext>
          </c:extLst>
        </c:ser>
        <c:ser>
          <c:idx val="5"/>
          <c:order val="5"/>
          <c:tx>
            <c:strRef>
              <c:f>'Fig(29)Arrang.onl.publ.weigthed'!$F$48</c:f>
              <c:strCache>
                <c:ptCount val="1"/>
                <c:pt idx="0">
                  <c:v>Hemm regoli fis-seħħ għad-determinazzjoni ta' jekk id-data personali tiġix iddivulgata f'sentenzi ppubblikati online</c:v>
                </c:pt>
              </c:strCache>
            </c:strRef>
          </c:tx>
          <c:spPr>
            <a:solidFill>
              <a:srgbClr val="A1CC87"/>
            </a:solidFill>
            <a:ln>
              <a:solidFill>
                <a:schemeClr val="bg1">
                  <a:lumMod val="65000"/>
                </a:schemeClr>
              </a:solidFill>
            </a:ln>
            <a:effectLst/>
          </c:spPr>
          <c:invertIfNegative val="0"/>
          <c:cat>
            <c:strRef>
              <c:f>'Fig(29)Arrang.onl.publ.weigthed'!$G$41:$DI$42</c:f>
              <c:strCache>
                <c:ptCount val="105"/>
                <c:pt idx="0">
                  <c:v>LV</c:v>
                </c:pt>
                <c:pt idx="4">
                  <c:v>SK</c:v>
                </c:pt>
                <c:pt idx="8">
                  <c:v>EE</c:v>
                </c:pt>
                <c:pt idx="12">
                  <c:v>ES</c:v>
                </c:pt>
                <c:pt idx="16">
                  <c:v>DE</c:v>
                </c:pt>
                <c:pt idx="20">
                  <c:v>LT</c:v>
                </c:pt>
                <c:pt idx="24">
                  <c:v>AT</c:v>
                </c:pt>
                <c:pt idx="28">
                  <c:v>HU</c:v>
                </c:pt>
                <c:pt idx="32">
                  <c:v>BG</c:v>
                </c:pt>
                <c:pt idx="36">
                  <c:v>NL</c:v>
                </c:pt>
                <c:pt idx="40">
                  <c:v>IT</c:v>
                </c:pt>
                <c:pt idx="44">
                  <c:v>SI</c:v>
                </c:pt>
                <c:pt idx="48">
                  <c:v>MT</c:v>
                </c:pt>
                <c:pt idx="52">
                  <c:v>CY</c:v>
                </c:pt>
                <c:pt idx="56">
                  <c:v>PL</c:v>
                </c:pt>
                <c:pt idx="60">
                  <c:v>RO</c:v>
                </c:pt>
                <c:pt idx="64">
                  <c:v>PT</c:v>
                </c:pt>
                <c:pt idx="68">
                  <c:v>FR</c:v>
                </c:pt>
                <c:pt idx="72">
                  <c:v>LU</c:v>
                </c:pt>
                <c:pt idx="76">
                  <c:v>CZ</c:v>
                </c:pt>
                <c:pt idx="80">
                  <c:v>DK</c:v>
                </c:pt>
                <c:pt idx="84">
                  <c:v>FI</c:v>
                </c:pt>
                <c:pt idx="88">
                  <c:v>BE</c:v>
                </c:pt>
                <c:pt idx="92">
                  <c:v>SE</c:v>
                </c:pt>
                <c:pt idx="96">
                  <c:v>IE</c:v>
                </c:pt>
                <c:pt idx="100">
                  <c:v>HR</c:v>
                </c:pt>
                <c:pt idx="104">
                  <c:v>EL</c:v>
                </c:pt>
              </c:strCache>
            </c:strRef>
          </c:cat>
          <c:val>
            <c:numRef>
              <c:f>'Fig(29)Arrang.onl.publ.weigthed'!$G$48:$DI$48</c:f>
              <c:numCache>
                <c:formatCode>General</c:formatCode>
                <c:ptCount val="107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2">
                  <c:v>2.5</c:v>
                </c:pt>
                <c:pt idx="13">
                  <c:v>2.5</c:v>
                </c:pt>
                <c:pt idx="14">
                  <c:v>2.5</c:v>
                </c:pt>
                <c:pt idx="16">
                  <c:v>2</c:v>
                </c:pt>
                <c:pt idx="17">
                  <c:v>2</c:v>
                </c:pt>
                <c:pt idx="18">
                  <c:v>2</c:v>
                </c:pt>
                <c:pt idx="20">
                  <c:v>3</c:v>
                </c:pt>
                <c:pt idx="21">
                  <c:v>3</c:v>
                </c:pt>
                <c:pt idx="22">
                  <c:v>3</c:v>
                </c:pt>
                <c:pt idx="24">
                  <c:v>2</c:v>
                </c:pt>
                <c:pt idx="25">
                  <c:v>2.5</c:v>
                </c:pt>
                <c:pt idx="26">
                  <c:v>2</c:v>
                </c:pt>
                <c:pt idx="28">
                  <c:v>3</c:v>
                </c:pt>
                <c:pt idx="29">
                  <c:v>3</c:v>
                </c:pt>
                <c:pt idx="30">
                  <c:v>3</c:v>
                </c:pt>
                <c:pt idx="32">
                  <c:v>2</c:v>
                </c:pt>
                <c:pt idx="33">
                  <c:v>2.5</c:v>
                </c:pt>
                <c:pt idx="34">
                  <c:v>1</c:v>
                </c:pt>
                <c:pt idx="36">
                  <c:v>2</c:v>
                </c:pt>
                <c:pt idx="37">
                  <c:v>2</c:v>
                </c:pt>
                <c:pt idx="38">
                  <c:v>2</c:v>
                </c:pt>
                <c:pt idx="40">
                  <c:v>2</c:v>
                </c:pt>
                <c:pt idx="41">
                  <c:v>2</c:v>
                </c:pt>
                <c:pt idx="42">
                  <c:v>2</c:v>
                </c:pt>
                <c:pt idx="44">
                  <c:v>2</c:v>
                </c:pt>
                <c:pt idx="45">
                  <c:v>3</c:v>
                </c:pt>
                <c:pt idx="46">
                  <c:v>2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2">
                  <c:v>2.5</c:v>
                </c:pt>
                <c:pt idx="53">
                  <c:v>3</c:v>
                </c:pt>
                <c:pt idx="54">
                  <c:v>2.5</c:v>
                </c:pt>
                <c:pt idx="56">
                  <c:v>1.5</c:v>
                </c:pt>
                <c:pt idx="57">
                  <c:v>1.5</c:v>
                </c:pt>
                <c:pt idx="58">
                  <c:v>3</c:v>
                </c:pt>
                <c:pt idx="60">
                  <c:v>1.5</c:v>
                </c:pt>
                <c:pt idx="61">
                  <c:v>1.5</c:v>
                </c:pt>
                <c:pt idx="62">
                  <c:v>1.5</c:v>
                </c:pt>
                <c:pt idx="64">
                  <c:v>1.5</c:v>
                </c:pt>
                <c:pt idx="65">
                  <c:v>2</c:v>
                </c:pt>
                <c:pt idx="66">
                  <c:v>1.5</c:v>
                </c:pt>
                <c:pt idx="68">
                  <c:v>1.5</c:v>
                </c:pt>
                <c:pt idx="69">
                  <c:v>1.5</c:v>
                </c:pt>
                <c:pt idx="70">
                  <c:v>1.5</c:v>
                </c:pt>
                <c:pt idx="72">
                  <c:v>2</c:v>
                </c:pt>
                <c:pt idx="73">
                  <c:v>3</c:v>
                </c:pt>
                <c:pt idx="74">
                  <c:v>0</c:v>
                </c:pt>
                <c:pt idx="76">
                  <c:v>1</c:v>
                </c:pt>
                <c:pt idx="77">
                  <c:v>2</c:v>
                </c:pt>
                <c:pt idx="78">
                  <c:v>1</c:v>
                </c:pt>
                <c:pt idx="80">
                  <c:v>2</c:v>
                </c:pt>
                <c:pt idx="81">
                  <c:v>2</c:v>
                </c:pt>
                <c:pt idx="82">
                  <c:v>2</c:v>
                </c:pt>
                <c:pt idx="84">
                  <c:v>1</c:v>
                </c:pt>
                <c:pt idx="85">
                  <c:v>1.5</c:v>
                </c:pt>
                <c:pt idx="86">
                  <c:v>1</c:v>
                </c:pt>
                <c:pt idx="88">
                  <c:v>1.5</c:v>
                </c:pt>
                <c:pt idx="89">
                  <c:v>1.5</c:v>
                </c:pt>
                <c:pt idx="90">
                  <c:v>1.5</c:v>
                </c:pt>
                <c:pt idx="92">
                  <c:v>1.5</c:v>
                </c:pt>
                <c:pt idx="93">
                  <c:v>1.5</c:v>
                </c:pt>
                <c:pt idx="94">
                  <c:v>1.5</c:v>
                </c:pt>
                <c:pt idx="96">
                  <c:v>3</c:v>
                </c:pt>
                <c:pt idx="97">
                  <c:v>3</c:v>
                </c:pt>
                <c:pt idx="98">
                  <c:v>0.5</c:v>
                </c:pt>
                <c:pt idx="100">
                  <c:v>1</c:v>
                </c:pt>
                <c:pt idx="101">
                  <c:v>1</c:v>
                </c:pt>
                <c:pt idx="102">
                  <c:v>1</c:v>
                </c:pt>
                <c:pt idx="104">
                  <c:v>1</c:v>
                </c:pt>
                <c:pt idx="105">
                  <c:v>0.5</c:v>
                </c:pt>
                <c:pt idx="10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74A-43D9-AD5E-636C15BCD7A6}"/>
            </c:ext>
          </c:extLst>
        </c:ser>
        <c:ser>
          <c:idx val="6"/>
          <c:order val="6"/>
          <c:tx>
            <c:strRef>
              <c:f>'Fig(29)Arrang.onl.publ.weigthed'!$F$49</c:f>
              <c:strCache>
                <c:ptCount val="1"/>
                <c:pt idx="0">
                  <c:v>L-anonimizzazzjoni/il-psewdonimizzazzjoni hija assistita minn algoritmu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solidFill>
                <a:schemeClr val="bg1">
                  <a:lumMod val="65000"/>
                </a:schemeClr>
              </a:solidFill>
            </a:ln>
            <a:effectLst/>
          </c:spPr>
          <c:invertIfNegative val="0"/>
          <c:cat>
            <c:strRef>
              <c:f>'Fig(29)Arrang.onl.publ.weigthed'!$G$41:$DI$42</c:f>
              <c:strCache>
                <c:ptCount val="105"/>
                <c:pt idx="0">
                  <c:v>LV</c:v>
                </c:pt>
                <c:pt idx="4">
                  <c:v>SK</c:v>
                </c:pt>
                <c:pt idx="8">
                  <c:v>EE</c:v>
                </c:pt>
                <c:pt idx="12">
                  <c:v>ES</c:v>
                </c:pt>
                <c:pt idx="16">
                  <c:v>DE</c:v>
                </c:pt>
                <c:pt idx="20">
                  <c:v>LT</c:v>
                </c:pt>
                <c:pt idx="24">
                  <c:v>AT</c:v>
                </c:pt>
                <c:pt idx="28">
                  <c:v>HU</c:v>
                </c:pt>
                <c:pt idx="32">
                  <c:v>BG</c:v>
                </c:pt>
                <c:pt idx="36">
                  <c:v>NL</c:v>
                </c:pt>
                <c:pt idx="40">
                  <c:v>IT</c:v>
                </c:pt>
                <c:pt idx="44">
                  <c:v>SI</c:v>
                </c:pt>
                <c:pt idx="48">
                  <c:v>MT</c:v>
                </c:pt>
                <c:pt idx="52">
                  <c:v>CY</c:v>
                </c:pt>
                <c:pt idx="56">
                  <c:v>PL</c:v>
                </c:pt>
                <c:pt idx="60">
                  <c:v>RO</c:v>
                </c:pt>
                <c:pt idx="64">
                  <c:v>PT</c:v>
                </c:pt>
                <c:pt idx="68">
                  <c:v>FR</c:v>
                </c:pt>
                <c:pt idx="72">
                  <c:v>LU</c:v>
                </c:pt>
                <c:pt idx="76">
                  <c:v>CZ</c:v>
                </c:pt>
                <c:pt idx="80">
                  <c:v>DK</c:v>
                </c:pt>
                <c:pt idx="84">
                  <c:v>FI</c:v>
                </c:pt>
                <c:pt idx="88">
                  <c:v>BE</c:v>
                </c:pt>
                <c:pt idx="92">
                  <c:v>SE</c:v>
                </c:pt>
                <c:pt idx="96">
                  <c:v>IE</c:v>
                </c:pt>
                <c:pt idx="100">
                  <c:v>HR</c:v>
                </c:pt>
                <c:pt idx="104">
                  <c:v>EL</c:v>
                </c:pt>
              </c:strCache>
            </c:strRef>
          </c:cat>
          <c:val>
            <c:numRef>
              <c:f>'Fig(29)Arrang.onl.publ.weigthed'!$G$49:$DI$49</c:f>
              <c:numCache>
                <c:formatCode>General</c:formatCode>
                <c:ptCount val="107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4">
                  <c:v>2</c:v>
                </c:pt>
                <c:pt idx="5">
                  <c:v>3</c:v>
                </c:pt>
                <c:pt idx="6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2">
                  <c:v>2.5</c:v>
                </c:pt>
                <c:pt idx="13">
                  <c:v>2.5</c:v>
                </c:pt>
                <c:pt idx="14">
                  <c:v>2.5</c:v>
                </c:pt>
                <c:pt idx="16">
                  <c:v>2</c:v>
                </c:pt>
                <c:pt idx="17">
                  <c:v>2</c:v>
                </c:pt>
                <c:pt idx="18">
                  <c:v>2</c:v>
                </c:pt>
                <c:pt idx="20">
                  <c:v>3</c:v>
                </c:pt>
                <c:pt idx="21">
                  <c:v>3</c:v>
                </c:pt>
                <c:pt idx="22">
                  <c:v>3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2">
                  <c:v>1.5</c:v>
                </c:pt>
                <c:pt idx="33">
                  <c:v>2.5</c:v>
                </c:pt>
                <c:pt idx="34">
                  <c:v>1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60">
                  <c:v>1.5</c:v>
                </c:pt>
                <c:pt idx="61">
                  <c:v>1.5</c:v>
                </c:pt>
                <c:pt idx="62">
                  <c:v>1.5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8">
                  <c:v>0</c:v>
                </c:pt>
                <c:pt idx="69">
                  <c:v>1.5</c:v>
                </c:pt>
                <c:pt idx="70">
                  <c:v>1.5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74A-43D9-AD5E-636C15BCD7A6}"/>
            </c:ext>
          </c:extLst>
        </c:ser>
        <c:ser>
          <c:idx val="7"/>
          <c:order val="7"/>
          <c:tx>
            <c:strRef>
              <c:f>'Fig(29)Arrang.onl.publ.weigthed'!$F$50</c:f>
              <c:strCache>
                <c:ptCount val="1"/>
                <c:pt idx="0">
                  <c:v>Is-sentenzi u l-metadata assoċjata tagħhom jistgħu jitniżżlu mingħajr ħlas fil-forma ta' bażi ta' data jew b'mezzi awtomatizzati oħra</c:v>
                </c:pt>
              </c:strCache>
            </c:strRef>
          </c:tx>
          <c:spPr>
            <a:solidFill>
              <a:srgbClr val="FFD974"/>
            </a:solidFill>
            <a:ln>
              <a:solidFill>
                <a:schemeClr val="bg1">
                  <a:lumMod val="65000"/>
                </a:schemeClr>
              </a:solidFill>
            </a:ln>
            <a:effectLst/>
          </c:spPr>
          <c:invertIfNegative val="0"/>
          <c:cat>
            <c:strRef>
              <c:f>'Fig(29)Arrang.onl.publ.weigthed'!$G$41:$DI$42</c:f>
              <c:strCache>
                <c:ptCount val="105"/>
                <c:pt idx="0">
                  <c:v>LV</c:v>
                </c:pt>
                <c:pt idx="4">
                  <c:v>SK</c:v>
                </c:pt>
                <c:pt idx="8">
                  <c:v>EE</c:v>
                </c:pt>
                <c:pt idx="12">
                  <c:v>ES</c:v>
                </c:pt>
                <c:pt idx="16">
                  <c:v>DE</c:v>
                </c:pt>
                <c:pt idx="20">
                  <c:v>LT</c:v>
                </c:pt>
                <c:pt idx="24">
                  <c:v>AT</c:v>
                </c:pt>
                <c:pt idx="28">
                  <c:v>HU</c:v>
                </c:pt>
                <c:pt idx="32">
                  <c:v>BG</c:v>
                </c:pt>
                <c:pt idx="36">
                  <c:v>NL</c:v>
                </c:pt>
                <c:pt idx="40">
                  <c:v>IT</c:v>
                </c:pt>
                <c:pt idx="44">
                  <c:v>SI</c:v>
                </c:pt>
                <c:pt idx="48">
                  <c:v>MT</c:v>
                </c:pt>
                <c:pt idx="52">
                  <c:v>CY</c:v>
                </c:pt>
                <c:pt idx="56">
                  <c:v>PL</c:v>
                </c:pt>
                <c:pt idx="60">
                  <c:v>RO</c:v>
                </c:pt>
                <c:pt idx="64">
                  <c:v>PT</c:v>
                </c:pt>
                <c:pt idx="68">
                  <c:v>FR</c:v>
                </c:pt>
                <c:pt idx="72">
                  <c:v>LU</c:v>
                </c:pt>
                <c:pt idx="76">
                  <c:v>CZ</c:v>
                </c:pt>
                <c:pt idx="80">
                  <c:v>DK</c:v>
                </c:pt>
                <c:pt idx="84">
                  <c:v>FI</c:v>
                </c:pt>
                <c:pt idx="88">
                  <c:v>BE</c:v>
                </c:pt>
                <c:pt idx="92">
                  <c:v>SE</c:v>
                </c:pt>
                <c:pt idx="96">
                  <c:v>IE</c:v>
                </c:pt>
                <c:pt idx="100">
                  <c:v>HR</c:v>
                </c:pt>
                <c:pt idx="104">
                  <c:v>EL</c:v>
                </c:pt>
              </c:strCache>
            </c:strRef>
          </c:cat>
          <c:val>
            <c:numRef>
              <c:f>'Fig(29)Arrang.onl.publ.weigthed'!$G$50:$DI$50</c:f>
              <c:numCache>
                <c:formatCode>General</c:formatCode>
                <c:ptCount val="107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6">
                  <c:v>2</c:v>
                </c:pt>
                <c:pt idx="17">
                  <c:v>2</c:v>
                </c:pt>
                <c:pt idx="18">
                  <c:v>2</c:v>
                </c:pt>
                <c:pt idx="20">
                  <c:v>3</c:v>
                </c:pt>
                <c:pt idx="21">
                  <c:v>3</c:v>
                </c:pt>
                <c:pt idx="22">
                  <c:v>3</c:v>
                </c:pt>
                <c:pt idx="24">
                  <c:v>2</c:v>
                </c:pt>
                <c:pt idx="25">
                  <c:v>2.5</c:v>
                </c:pt>
                <c:pt idx="26">
                  <c:v>2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2">
                  <c:v>1.5</c:v>
                </c:pt>
                <c:pt idx="33">
                  <c:v>2</c:v>
                </c:pt>
                <c:pt idx="34">
                  <c:v>0.5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8">
                  <c:v>0</c:v>
                </c:pt>
                <c:pt idx="69">
                  <c:v>1</c:v>
                </c:pt>
                <c:pt idx="70">
                  <c:v>1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8">
                  <c:v>0.5</c:v>
                </c:pt>
                <c:pt idx="89">
                  <c:v>0</c:v>
                </c:pt>
                <c:pt idx="90">
                  <c:v>0.5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74A-43D9-AD5E-636C15BCD7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94380416"/>
        <c:axId val="94381952"/>
      </c:barChart>
      <c:catAx>
        <c:axId val="94380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868686"/>
            </a:solidFill>
            <a:round/>
            <a:headEnd type="none" w="sm" len="sm"/>
            <a:tailEnd type="none" w="sm" len="sm"/>
          </a:ln>
          <a:effectLst/>
        </c:spPr>
        <c:txPr>
          <a:bodyPr rot="0" spcFirstLastPara="1" vertOverflow="ellipsis" wrap="square" anchor="ctr" anchorCtr="0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EC Square Sans Pro Medium" panose="020B0500000000020004" pitchFamily="34" charset="0"/>
                <a:ea typeface="+mn-ea"/>
                <a:cs typeface="+mn-cs"/>
              </a:defRPr>
            </a:pPr>
            <a:endParaRPr lang="en-US"/>
          </a:p>
        </c:txPr>
        <c:crossAx val="94381952"/>
        <c:crosses val="autoZero"/>
        <c:auto val="1"/>
        <c:lblAlgn val="ctr"/>
        <c:lblOffset val="100"/>
        <c:tickMarkSkip val="4"/>
        <c:noMultiLvlLbl val="0"/>
      </c:catAx>
      <c:valAx>
        <c:axId val="94381952"/>
        <c:scaling>
          <c:orientation val="minMax"/>
          <c:max val="24"/>
          <c:min val="0"/>
        </c:scaling>
        <c:delete val="0"/>
        <c:axPos val="l"/>
        <c:majorGridlines>
          <c:spPr>
            <a:ln w="9525" cap="flat" cmpd="sng" algn="ctr">
              <a:solidFill>
                <a:srgbClr val="868686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EC Square Sans Pro Medium" panose="020B0500000000020004" pitchFamily="34" charset="0"/>
                <a:ea typeface="+mn-ea"/>
                <a:cs typeface="+mn-cs"/>
              </a:defRPr>
            </a:pPr>
            <a:endParaRPr lang="en-US"/>
          </a:p>
        </c:txPr>
        <c:crossAx val="94380416"/>
        <c:crosses val="autoZero"/>
        <c:crossBetween val="between"/>
        <c:majorUnit val="3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071982041602325E-2"/>
          <c:y val="0.65087600588387984"/>
          <c:w val="0.95110734665506802"/>
          <c:h val="0.345425110322748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EC Square Sans Pro Medium" panose="020B05000000000200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100"/>
      <c:rAngAx val="1"/>
    </c:view3D>
    <c:floor>
      <c:thickness val="0"/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1.0839540657976401E-2"/>
          <c:y val="1.3104891446507999E-2"/>
          <c:w val="0.97832091868404703"/>
          <c:h val="0.5141398809523809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'Fig(52)Councils.composition'!$F$2</c:f>
              <c:strCache>
                <c:ptCount val="1"/>
                <c:pt idx="0">
                  <c:v>Judges (proposed and elected/selected by their peers)</c:v>
                </c:pt>
              </c:strCache>
            </c:strRef>
          </c:tx>
          <c:spPr>
            <a:solidFill>
              <a:srgbClr val="58A7D2"/>
            </a:solidFill>
          </c:spPr>
          <c:invertIfNegative val="0"/>
          <c:cat>
            <c:strRef>
              <c:f>'Fig(52)Councils.composition'!$A$3:$A$23</c:f>
              <c:strCache>
                <c:ptCount val="21"/>
                <c:pt idx="0">
                  <c:v>BE</c:v>
                </c:pt>
                <c:pt idx="1">
                  <c:v>BG</c:v>
                </c:pt>
                <c:pt idx="2">
                  <c:v>DK</c:v>
                </c:pt>
                <c:pt idx="3">
                  <c:v>IE</c:v>
                </c:pt>
                <c:pt idx="4">
                  <c:v>EL(ċiv. u krim.)</c:v>
                </c:pt>
                <c:pt idx="5">
                  <c:v>EL(ammin.)</c:v>
                </c:pt>
                <c:pt idx="6">
                  <c:v>ES</c:v>
                </c:pt>
                <c:pt idx="7">
                  <c:v>FR</c:v>
                </c:pt>
                <c:pt idx="8">
                  <c:v>HR</c:v>
                </c:pt>
                <c:pt idx="9">
                  <c:v>IT CSM</c:v>
                </c:pt>
                <c:pt idx="10">
                  <c:v>IT CPGA</c:v>
                </c:pt>
                <c:pt idx="11">
                  <c:v>LV</c:v>
                </c:pt>
                <c:pt idx="12">
                  <c:v>LT</c:v>
                </c:pt>
                <c:pt idx="13">
                  <c:v>HU</c:v>
                </c:pt>
                <c:pt idx="14">
                  <c:v>MT</c:v>
                </c:pt>
                <c:pt idx="15">
                  <c:v>NL</c:v>
                </c:pt>
                <c:pt idx="16">
                  <c:v>PL</c:v>
                </c:pt>
                <c:pt idx="17">
                  <c:v>PT</c:v>
                </c:pt>
                <c:pt idx="18">
                  <c:v>RO</c:v>
                </c:pt>
                <c:pt idx="19">
                  <c:v>SI</c:v>
                </c:pt>
                <c:pt idx="20">
                  <c:v>SK</c:v>
                </c:pt>
              </c:strCache>
            </c:strRef>
          </c:cat>
          <c:val>
            <c:numRef>
              <c:f>'Fig(52)Councils.composition'!$F$3:$F$23</c:f>
              <c:numCache>
                <c:formatCode>General</c:formatCode>
                <c:ptCount val="21"/>
                <c:pt idx="0">
                  <c:v>22</c:v>
                </c:pt>
                <c:pt idx="1">
                  <c:v>6</c:v>
                </c:pt>
                <c:pt idx="2">
                  <c:v>6</c:v>
                </c:pt>
                <c:pt idx="3">
                  <c:v>5</c:v>
                </c:pt>
                <c:pt idx="4">
                  <c:v>7</c:v>
                </c:pt>
                <c:pt idx="5">
                  <c:v>10</c:v>
                </c:pt>
                <c:pt idx="7">
                  <c:v>6</c:v>
                </c:pt>
                <c:pt idx="8">
                  <c:v>7</c:v>
                </c:pt>
                <c:pt idx="9">
                  <c:v>12</c:v>
                </c:pt>
                <c:pt idx="10">
                  <c:v>10</c:v>
                </c:pt>
                <c:pt idx="11">
                  <c:v>7</c:v>
                </c:pt>
                <c:pt idx="12">
                  <c:v>20</c:v>
                </c:pt>
                <c:pt idx="13">
                  <c:v>14</c:v>
                </c:pt>
                <c:pt idx="14">
                  <c:v>4</c:v>
                </c:pt>
                <c:pt idx="15">
                  <c:v>2</c:v>
                </c:pt>
                <c:pt idx="17">
                  <c:v>7</c:v>
                </c:pt>
                <c:pt idx="18">
                  <c:v>9</c:v>
                </c:pt>
                <c:pt idx="19">
                  <c:v>6</c:v>
                </c:pt>
                <c:pt idx="2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7-44B7-9669-774FAA5249FB}"/>
            </c:ext>
          </c:extLst>
        </c:ser>
        <c:ser>
          <c:idx val="2"/>
          <c:order val="1"/>
          <c:tx>
            <c:strRef>
              <c:f>'Fig(52)Councils.composition'!$D$2</c:f>
              <c:strCache>
                <c:ptCount val="1"/>
                <c:pt idx="0">
                  <c:v>Judges proposed by judges &amp; appointed by Parliament</c:v>
                </c:pt>
              </c:strCache>
            </c:strRef>
          </c:tx>
          <c:spPr>
            <a:pattFill prst="wdUpDiag">
              <a:fgClr>
                <a:srgbClr val="58A7D2"/>
              </a:fgClr>
              <a:bgClr>
                <a:schemeClr val="bg1"/>
              </a:bgClr>
            </a:patt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6D57-44B7-9669-774FAA5249FB}"/>
              </c:ext>
            </c:extLst>
          </c:dPt>
          <c:cat>
            <c:strRef>
              <c:f>'Fig(52)Councils.composition'!$A$3:$A$23</c:f>
              <c:strCache>
                <c:ptCount val="21"/>
                <c:pt idx="0">
                  <c:v>BE</c:v>
                </c:pt>
                <c:pt idx="1">
                  <c:v>BG</c:v>
                </c:pt>
                <c:pt idx="2">
                  <c:v>DK</c:v>
                </c:pt>
                <c:pt idx="3">
                  <c:v>IE</c:v>
                </c:pt>
                <c:pt idx="4">
                  <c:v>EL(ċiv. u krim.)</c:v>
                </c:pt>
                <c:pt idx="5">
                  <c:v>EL(ammin.)</c:v>
                </c:pt>
                <c:pt idx="6">
                  <c:v>ES</c:v>
                </c:pt>
                <c:pt idx="7">
                  <c:v>FR</c:v>
                </c:pt>
                <c:pt idx="8">
                  <c:v>HR</c:v>
                </c:pt>
                <c:pt idx="9">
                  <c:v>IT CSM</c:v>
                </c:pt>
                <c:pt idx="10">
                  <c:v>IT CPGA</c:v>
                </c:pt>
                <c:pt idx="11">
                  <c:v>LV</c:v>
                </c:pt>
                <c:pt idx="12">
                  <c:v>LT</c:v>
                </c:pt>
                <c:pt idx="13">
                  <c:v>HU</c:v>
                </c:pt>
                <c:pt idx="14">
                  <c:v>MT</c:v>
                </c:pt>
                <c:pt idx="15">
                  <c:v>NL</c:v>
                </c:pt>
                <c:pt idx="16">
                  <c:v>PL</c:v>
                </c:pt>
                <c:pt idx="17">
                  <c:v>PT</c:v>
                </c:pt>
                <c:pt idx="18">
                  <c:v>RO</c:v>
                </c:pt>
                <c:pt idx="19">
                  <c:v>SI</c:v>
                </c:pt>
                <c:pt idx="20">
                  <c:v>SK</c:v>
                </c:pt>
              </c:strCache>
            </c:strRef>
          </c:cat>
          <c:val>
            <c:numRef>
              <c:f>'Fig(52)Councils.composition'!$D$3:$D$23</c:f>
              <c:numCache>
                <c:formatCode>General</c:formatCode>
                <c:ptCount val="21"/>
                <c:pt idx="6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57-44B7-9669-774FAA5249FB}"/>
            </c:ext>
          </c:extLst>
        </c:ser>
        <c:ser>
          <c:idx val="5"/>
          <c:order val="2"/>
          <c:tx>
            <c:strRef>
              <c:f>'Fig(52)Councils.composition'!$E$2</c:f>
              <c:strCache>
                <c:ptCount val="1"/>
                <c:pt idx="0">
                  <c:v>Judges proposed not exclusively by judges &amp; appointed by the Parliament</c:v>
                </c:pt>
              </c:strCache>
            </c:strRef>
          </c:tx>
          <c:spPr>
            <a:solidFill>
              <a:srgbClr val="0BEAF5"/>
            </a:solidFill>
          </c:spPr>
          <c:invertIfNegative val="0"/>
          <c:cat>
            <c:strRef>
              <c:f>'Fig(52)Councils.composition'!$A$3:$A$23</c:f>
              <c:strCache>
                <c:ptCount val="21"/>
                <c:pt idx="0">
                  <c:v>BE</c:v>
                </c:pt>
                <c:pt idx="1">
                  <c:v>BG</c:v>
                </c:pt>
                <c:pt idx="2">
                  <c:v>DK</c:v>
                </c:pt>
                <c:pt idx="3">
                  <c:v>IE</c:v>
                </c:pt>
                <c:pt idx="4">
                  <c:v>EL(ċiv. u krim.)</c:v>
                </c:pt>
                <c:pt idx="5">
                  <c:v>EL(ammin.)</c:v>
                </c:pt>
                <c:pt idx="6">
                  <c:v>ES</c:v>
                </c:pt>
                <c:pt idx="7">
                  <c:v>FR</c:v>
                </c:pt>
                <c:pt idx="8">
                  <c:v>HR</c:v>
                </c:pt>
                <c:pt idx="9">
                  <c:v>IT CSM</c:v>
                </c:pt>
                <c:pt idx="10">
                  <c:v>IT CPGA</c:v>
                </c:pt>
                <c:pt idx="11">
                  <c:v>LV</c:v>
                </c:pt>
                <c:pt idx="12">
                  <c:v>LT</c:v>
                </c:pt>
                <c:pt idx="13">
                  <c:v>HU</c:v>
                </c:pt>
                <c:pt idx="14">
                  <c:v>MT</c:v>
                </c:pt>
                <c:pt idx="15">
                  <c:v>NL</c:v>
                </c:pt>
                <c:pt idx="16">
                  <c:v>PL</c:v>
                </c:pt>
                <c:pt idx="17">
                  <c:v>PT</c:v>
                </c:pt>
                <c:pt idx="18">
                  <c:v>RO</c:v>
                </c:pt>
                <c:pt idx="19">
                  <c:v>SI</c:v>
                </c:pt>
                <c:pt idx="20">
                  <c:v>SK</c:v>
                </c:pt>
              </c:strCache>
            </c:strRef>
          </c:cat>
          <c:val>
            <c:numRef>
              <c:f>'Fig(52)Councils.composition'!$E$3:$E$23</c:f>
              <c:numCache>
                <c:formatCode>General</c:formatCode>
                <c:ptCount val="21"/>
                <c:pt idx="16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D57-44B7-9669-774FAA5249FB}"/>
            </c:ext>
          </c:extLst>
        </c:ser>
        <c:ser>
          <c:idx val="1"/>
          <c:order val="3"/>
          <c:tx>
            <c:strRef>
              <c:f>'Fig(52)Councils.composition'!$C$2</c:f>
              <c:strCache>
                <c:ptCount val="1"/>
                <c:pt idx="0">
                  <c:v>Court presidents (ex officio)</c:v>
                </c:pt>
              </c:strCache>
            </c:strRef>
          </c:tx>
          <c:spPr>
            <a:solidFill>
              <a:srgbClr val="4C7BA4"/>
            </a:solidFill>
          </c:spPr>
          <c:invertIfNegative val="0"/>
          <c:cat>
            <c:strRef>
              <c:f>'Fig(52)Councils.composition'!$A$3:$A$23</c:f>
              <c:strCache>
                <c:ptCount val="21"/>
                <c:pt idx="0">
                  <c:v>BE</c:v>
                </c:pt>
                <c:pt idx="1">
                  <c:v>BG</c:v>
                </c:pt>
                <c:pt idx="2">
                  <c:v>DK</c:v>
                </c:pt>
                <c:pt idx="3">
                  <c:v>IE</c:v>
                </c:pt>
                <c:pt idx="4">
                  <c:v>EL(ċiv. u krim.)</c:v>
                </c:pt>
                <c:pt idx="5">
                  <c:v>EL(ammin.)</c:v>
                </c:pt>
                <c:pt idx="6">
                  <c:v>ES</c:v>
                </c:pt>
                <c:pt idx="7">
                  <c:v>FR</c:v>
                </c:pt>
                <c:pt idx="8">
                  <c:v>HR</c:v>
                </c:pt>
                <c:pt idx="9">
                  <c:v>IT CSM</c:v>
                </c:pt>
                <c:pt idx="10">
                  <c:v>IT CPGA</c:v>
                </c:pt>
                <c:pt idx="11">
                  <c:v>LV</c:v>
                </c:pt>
                <c:pt idx="12">
                  <c:v>LT</c:v>
                </c:pt>
                <c:pt idx="13">
                  <c:v>HU</c:v>
                </c:pt>
                <c:pt idx="14">
                  <c:v>MT</c:v>
                </c:pt>
                <c:pt idx="15">
                  <c:v>NL</c:v>
                </c:pt>
                <c:pt idx="16">
                  <c:v>PL</c:v>
                </c:pt>
                <c:pt idx="17">
                  <c:v>PT</c:v>
                </c:pt>
                <c:pt idx="18">
                  <c:v>RO</c:v>
                </c:pt>
                <c:pt idx="19">
                  <c:v>SI</c:v>
                </c:pt>
                <c:pt idx="20">
                  <c:v>SK</c:v>
                </c:pt>
              </c:strCache>
            </c:strRef>
          </c:cat>
          <c:val>
            <c:numRef>
              <c:f>'Fig(52)Councils.composition'!$C$3:$C$23</c:f>
              <c:numCache>
                <c:formatCode>General</c:formatCode>
                <c:ptCount val="21"/>
                <c:pt idx="1">
                  <c:v>2</c:v>
                </c:pt>
                <c:pt idx="3">
                  <c:v>5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2</c:v>
                </c:pt>
                <c:pt idx="12">
                  <c:v>3</c:v>
                </c:pt>
                <c:pt idx="13">
                  <c:v>1</c:v>
                </c:pt>
                <c:pt idx="14">
                  <c:v>1</c:v>
                </c:pt>
                <c:pt idx="16">
                  <c:v>2</c:v>
                </c:pt>
                <c:pt idx="17">
                  <c:v>1</c:v>
                </c:pt>
                <c:pt idx="1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D57-44B7-9669-774FAA5249FB}"/>
            </c:ext>
          </c:extLst>
        </c:ser>
        <c:ser>
          <c:idx val="3"/>
          <c:order val="4"/>
          <c:tx>
            <c:strRef>
              <c:f>'Fig(52)Councils.composition'!$G$2</c:f>
              <c:strCache>
                <c:ptCount val="1"/>
                <c:pt idx="0">
                  <c:v>Prosecutors (elected by their peers)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cat>
            <c:strRef>
              <c:f>'Fig(52)Councils.composition'!$A$3:$A$23</c:f>
              <c:strCache>
                <c:ptCount val="21"/>
                <c:pt idx="0">
                  <c:v>BE</c:v>
                </c:pt>
                <c:pt idx="1">
                  <c:v>BG</c:v>
                </c:pt>
                <c:pt idx="2">
                  <c:v>DK</c:v>
                </c:pt>
                <c:pt idx="3">
                  <c:v>IE</c:v>
                </c:pt>
                <c:pt idx="4">
                  <c:v>EL(ċiv. u krim.)</c:v>
                </c:pt>
                <c:pt idx="5">
                  <c:v>EL(ammin.)</c:v>
                </c:pt>
                <c:pt idx="6">
                  <c:v>ES</c:v>
                </c:pt>
                <c:pt idx="7">
                  <c:v>FR</c:v>
                </c:pt>
                <c:pt idx="8">
                  <c:v>HR</c:v>
                </c:pt>
                <c:pt idx="9">
                  <c:v>IT CSM</c:v>
                </c:pt>
                <c:pt idx="10">
                  <c:v>IT CPGA</c:v>
                </c:pt>
                <c:pt idx="11">
                  <c:v>LV</c:v>
                </c:pt>
                <c:pt idx="12">
                  <c:v>LT</c:v>
                </c:pt>
                <c:pt idx="13">
                  <c:v>HU</c:v>
                </c:pt>
                <c:pt idx="14">
                  <c:v>MT</c:v>
                </c:pt>
                <c:pt idx="15">
                  <c:v>NL</c:v>
                </c:pt>
                <c:pt idx="16">
                  <c:v>PL</c:v>
                </c:pt>
                <c:pt idx="17">
                  <c:v>PT</c:v>
                </c:pt>
                <c:pt idx="18">
                  <c:v>RO</c:v>
                </c:pt>
                <c:pt idx="19">
                  <c:v>SI</c:v>
                </c:pt>
                <c:pt idx="20">
                  <c:v>SK</c:v>
                </c:pt>
              </c:strCache>
            </c:strRef>
          </c:cat>
          <c:val>
            <c:numRef>
              <c:f>'Fig(52)Councils.composition'!$G$3:$G$23</c:f>
              <c:numCache>
                <c:formatCode>General</c:formatCode>
                <c:ptCount val="21"/>
                <c:pt idx="1">
                  <c:v>5</c:v>
                </c:pt>
                <c:pt idx="4">
                  <c:v>2</c:v>
                </c:pt>
                <c:pt idx="7">
                  <c:v>6</c:v>
                </c:pt>
                <c:pt idx="9">
                  <c:v>4</c:v>
                </c:pt>
                <c:pt idx="18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D57-44B7-9669-774FAA5249FB}"/>
            </c:ext>
          </c:extLst>
        </c:ser>
        <c:ser>
          <c:idx val="4"/>
          <c:order val="5"/>
          <c:tx>
            <c:strRef>
              <c:f>'Fig(52)Councils.composition'!$H$2</c:f>
              <c:strCache>
                <c:ptCount val="1"/>
                <c:pt idx="0">
                  <c:v>Prosecutor General (ex officio)</c:v>
                </c:pt>
              </c:strCache>
            </c:strRef>
          </c:tx>
          <c:spPr>
            <a:solidFill>
              <a:srgbClr val="535351"/>
            </a:solidFill>
          </c:spPr>
          <c:invertIfNegative val="0"/>
          <c:cat>
            <c:strRef>
              <c:f>'Fig(52)Councils.composition'!$A$3:$A$23</c:f>
              <c:strCache>
                <c:ptCount val="21"/>
                <c:pt idx="0">
                  <c:v>BE</c:v>
                </c:pt>
                <c:pt idx="1">
                  <c:v>BG</c:v>
                </c:pt>
                <c:pt idx="2">
                  <c:v>DK</c:v>
                </c:pt>
                <c:pt idx="3">
                  <c:v>IE</c:v>
                </c:pt>
                <c:pt idx="4">
                  <c:v>EL(ċiv. u krim.)</c:v>
                </c:pt>
                <c:pt idx="5">
                  <c:v>EL(ammin.)</c:v>
                </c:pt>
                <c:pt idx="6">
                  <c:v>ES</c:v>
                </c:pt>
                <c:pt idx="7">
                  <c:v>FR</c:v>
                </c:pt>
                <c:pt idx="8">
                  <c:v>HR</c:v>
                </c:pt>
                <c:pt idx="9">
                  <c:v>IT CSM</c:v>
                </c:pt>
                <c:pt idx="10">
                  <c:v>IT CPGA</c:v>
                </c:pt>
                <c:pt idx="11">
                  <c:v>LV</c:v>
                </c:pt>
                <c:pt idx="12">
                  <c:v>LT</c:v>
                </c:pt>
                <c:pt idx="13">
                  <c:v>HU</c:v>
                </c:pt>
                <c:pt idx="14">
                  <c:v>MT</c:v>
                </c:pt>
                <c:pt idx="15">
                  <c:v>NL</c:v>
                </c:pt>
                <c:pt idx="16">
                  <c:v>PL</c:v>
                </c:pt>
                <c:pt idx="17">
                  <c:v>PT</c:v>
                </c:pt>
                <c:pt idx="18">
                  <c:v>RO</c:v>
                </c:pt>
                <c:pt idx="19">
                  <c:v>SI</c:v>
                </c:pt>
                <c:pt idx="20">
                  <c:v>SK</c:v>
                </c:pt>
              </c:strCache>
            </c:strRef>
          </c:cat>
          <c:val>
            <c:numRef>
              <c:f>'Fig(52)Councils.composition'!$H$3:$H$23</c:f>
              <c:numCache>
                <c:formatCode>General</c:formatCode>
                <c:ptCount val="21"/>
                <c:pt idx="1">
                  <c:v>1</c:v>
                </c:pt>
                <c:pt idx="4">
                  <c:v>1</c:v>
                </c:pt>
                <c:pt idx="7">
                  <c:v>1</c:v>
                </c:pt>
                <c:pt idx="9">
                  <c:v>1</c:v>
                </c:pt>
                <c:pt idx="11">
                  <c:v>1</c:v>
                </c:pt>
                <c:pt idx="14">
                  <c:v>1</c:v>
                </c:pt>
                <c:pt idx="1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D57-44B7-9669-774FAA5249FB}"/>
            </c:ext>
          </c:extLst>
        </c:ser>
        <c:ser>
          <c:idx val="6"/>
          <c:order val="6"/>
          <c:tx>
            <c:strRef>
              <c:f>'Fig(52)Councils.composition'!$I$2</c:f>
              <c:strCache>
                <c:ptCount val="1"/>
                <c:pt idx="0">
                  <c:v>Members appointed by associations of lawyers / legal practitioners</c:v>
                </c:pt>
              </c:strCache>
            </c:strRef>
          </c:tx>
          <c:spPr>
            <a:solidFill>
              <a:srgbClr val="F3943F"/>
            </a:solidFill>
          </c:spPr>
          <c:invertIfNegative val="0"/>
          <c:cat>
            <c:strRef>
              <c:f>'Fig(52)Councils.composition'!$A$3:$A$23</c:f>
              <c:strCache>
                <c:ptCount val="21"/>
                <c:pt idx="0">
                  <c:v>BE</c:v>
                </c:pt>
                <c:pt idx="1">
                  <c:v>BG</c:v>
                </c:pt>
                <c:pt idx="2">
                  <c:v>DK</c:v>
                </c:pt>
                <c:pt idx="3">
                  <c:v>IE</c:v>
                </c:pt>
                <c:pt idx="4">
                  <c:v>EL(ċiv. u krim.)</c:v>
                </c:pt>
                <c:pt idx="5">
                  <c:v>EL(ammin.)</c:v>
                </c:pt>
                <c:pt idx="6">
                  <c:v>ES</c:v>
                </c:pt>
                <c:pt idx="7">
                  <c:v>FR</c:v>
                </c:pt>
                <c:pt idx="8">
                  <c:v>HR</c:v>
                </c:pt>
                <c:pt idx="9">
                  <c:v>IT CSM</c:v>
                </c:pt>
                <c:pt idx="10">
                  <c:v>IT CPGA</c:v>
                </c:pt>
                <c:pt idx="11">
                  <c:v>LV</c:v>
                </c:pt>
                <c:pt idx="12">
                  <c:v>LT</c:v>
                </c:pt>
                <c:pt idx="13">
                  <c:v>HU</c:v>
                </c:pt>
                <c:pt idx="14">
                  <c:v>MT</c:v>
                </c:pt>
                <c:pt idx="15">
                  <c:v>NL</c:v>
                </c:pt>
                <c:pt idx="16">
                  <c:v>PL</c:v>
                </c:pt>
                <c:pt idx="17">
                  <c:v>PT</c:v>
                </c:pt>
                <c:pt idx="18">
                  <c:v>RO</c:v>
                </c:pt>
                <c:pt idx="19">
                  <c:v>SI</c:v>
                </c:pt>
                <c:pt idx="20">
                  <c:v>SK</c:v>
                </c:pt>
              </c:strCache>
            </c:strRef>
          </c:cat>
          <c:val>
            <c:numRef>
              <c:f>'Fig(52)Councils.composition'!$I$3:$I$23</c:f>
              <c:numCache>
                <c:formatCode>General</c:formatCode>
                <c:ptCount val="21"/>
                <c:pt idx="2">
                  <c:v>1</c:v>
                </c:pt>
                <c:pt idx="3">
                  <c:v>2</c:v>
                </c:pt>
                <c:pt idx="7">
                  <c:v>1</c:v>
                </c:pt>
                <c:pt idx="11">
                  <c:v>3</c:v>
                </c:pt>
                <c:pt idx="1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D57-44B7-9669-774FAA5249FB}"/>
            </c:ext>
          </c:extLst>
        </c:ser>
        <c:ser>
          <c:idx val="7"/>
          <c:order val="7"/>
          <c:tx>
            <c:strRef>
              <c:f>'Fig(52)Councils.composition'!$J$2</c:f>
              <c:strCache>
                <c:ptCount val="1"/>
                <c:pt idx="0">
                  <c:v>Members elected/appointed by the Parliament</c:v>
                </c:pt>
              </c:strCache>
            </c:strRef>
          </c:tx>
          <c:spPr>
            <a:solidFill>
              <a:srgbClr val="8057A0"/>
            </a:solidFill>
          </c:spPr>
          <c:invertIfNegative val="0"/>
          <c:cat>
            <c:strRef>
              <c:f>'Fig(52)Councils.composition'!$A$3:$A$23</c:f>
              <c:strCache>
                <c:ptCount val="21"/>
                <c:pt idx="0">
                  <c:v>BE</c:v>
                </c:pt>
                <c:pt idx="1">
                  <c:v>BG</c:v>
                </c:pt>
                <c:pt idx="2">
                  <c:v>DK</c:v>
                </c:pt>
                <c:pt idx="3">
                  <c:v>IE</c:v>
                </c:pt>
                <c:pt idx="4">
                  <c:v>EL(ċiv. u krim.)</c:v>
                </c:pt>
                <c:pt idx="5">
                  <c:v>EL(ammin.)</c:v>
                </c:pt>
                <c:pt idx="6">
                  <c:v>ES</c:v>
                </c:pt>
                <c:pt idx="7">
                  <c:v>FR</c:v>
                </c:pt>
                <c:pt idx="8">
                  <c:v>HR</c:v>
                </c:pt>
                <c:pt idx="9">
                  <c:v>IT CSM</c:v>
                </c:pt>
                <c:pt idx="10">
                  <c:v>IT CPGA</c:v>
                </c:pt>
                <c:pt idx="11">
                  <c:v>LV</c:v>
                </c:pt>
                <c:pt idx="12">
                  <c:v>LT</c:v>
                </c:pt>
                <c:pt idx="13">
                  <c:v>HU</c:v>
                </c:pt>
                <c:pt idx="14">
                  <c:v>MT</c:v>
                </c:pt>
                <c:pt idx="15">
                  <c:v>NL</c:v>
                </c:pt>
                <c:pt idx="16">
                  <c:v>PL</c:v>
                </c:pt>
                <c:pt idx="17">
                  <c:v>PT</c:v>
                </c:pt>
                <c:pt idx="18">
                  <c:v>RO</c:v>
                </c:pt>
                <c:pt idx="19">
                  <c:v>SI</c:v>
                </c:pt>
                <c:pt idx="20">
                  <c:v>SK</c:v>
                </c:pt>
              </c:strCache>
            </c:strRef>
          </c:cat>
          <c:val>
            <c:numRef>
              <c:f>'Fig(52)Councils.composition'!$J$3:$J$23</c:f>
              <c:numCache>
                <c:formatCode>General</c:formatCode>
                <c:ptCount val="21"/>
                <c:pt idx="0">
                  <c:v>22</c:v>
                </c:pt>
                <c:pt idx="1">
                  <c:v>11</c:v>
                </c:pt>
                <c:pt idx="6">
                  <c:v>8</c:v>
                </c:pt>
                <c:pt idx="7">
                  <c:v>4</c:v>
                </c:pt>
                <c:pt idx="8">
                  <c:v>2</c:v>
                </c:pt>
                <c:pt idx="9">
                  <c:v>8</c:v>
                </c:pt>
                <c:pt idx="10">
                  <c:v>4</c:v>
                </c:pt>
                <c:pt idx="11">
                  <c:v>1</c:v>
                </c:pt>
                <c:pt idx="16">
                  <c:v>6</c:v>
                </c:pt>
                <c:pt idx="17">
                  <c:v>7</c:v>
                </c:pt>
                <c:pt idx="18">
                  <c:v>2</c:v>
                </c:pt>
                <c:pt idx="19">
                  <c:v>5</c:v>
                </c:pt>
                <c:pt idx="2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D57-44B7-9669-774FAA5249FB}"/>
            </c:ext>
          </c:extLst>
        </c:ser>
        <c:ser>
          <c:idx val="8"/>
          <c:order val="8"/>
          <c:tx>
            <c:strRef>
              <c:f>'Fig(52)Councils.composition'!$K$2</c:f>
              <c:strCache>
                <c:ptCount val="1"/>
                <c:pt idx="0">
                  <c:v>Members appointed by the Head of State / Prime Minister / Government / Minister of justice</c:v>
                </c:pt>
              </c:strCache>
            </c:strRef>
          </c:tx>
          <c:spPr>
            <a:solidFill>
              <a:srgbClr val="FDC300"/>
            </a:solidFill>
          </c:spPr>
          <c:invertIfNegative val="0"/>
          <c:cat>
            <c:strRef>
              <c:f>'Fig(52)Councils.composition'!$A$3:$A$23</c:f>
              <c:strCache>
                <c:ptCount val="21"/>
                <c:pt idx="0">
                  <c:v>BE</c:v>
                </c:pt>
                <c:pt idx="1">
                  <c:v>BG</c:v>
                </c:pt>
                <c:pt idx="2">
                  <c:v>DK</c:v>
                </c:pt>
                <c:pt idx="3">
                  <c:v>IE</c:v>
                </c:pt>
                <c:pt idx="4">
                  <c:v>EL(ċiv. u krim.)</c:v>
                </c:pt>
                <c:pt idx="5">
                  <c:v>EL(ammin.)</c:v>
                </c:pt>
                <c:pt idx="6">
                  <c:v>ES</c:v>
                </c:pt>
                <c:pt idx="7">
                  <c:v>FR</c:v>
                </c:pt>
                <c:pt idx="8">
                  <c:v>HR</c:v>
                </c:pt>
                <c:pt idx="9">
                  <c:v>IT CSM</c:v>
                </c:pt>
                <c:pt idx="10">
                  <c:v>IT CPGA</c:v>
                </c:pt>
                <c:pt idx="11">
                  <c:v>LV</c:v>
                </c:pt>
                <c:pt idx="12">
                  <c:v>LT</c:v>
                </c:pt>
                <c:pt idx="13">
                  <c:v>HU</c:v>
                </c:pt>
                <c:pt idx="14">
                  <c:v>MT</c:v>
                </c:pt>
                <c:pt idx="15">
                  <c:v>NL</c:v>
                </c:pt>
                <c:pt idx="16">
                  <c:v>PL</c:v>
                </c:pt>
                <c:pt idx="17">
                  <c:v>PT</c:v>
                </c:pt>
                <c:pt idx="18">
                  <c:v>RO</c:v>
                </c:pt>
                <c:pt idx="19">
                  <c:v>SI</c:v>
                </c:pt>
                <c:pt idx="20">
                  <c:v>SK</c:v>
                </c:pt>
              </c:strCache>
            </c:strRef>
          </c:cat>
          <c:val>
            <c:numRef>
              <c:f>'Fig(52)Councils.composition'!$K$3:$K$23</c:f>
              <c:numCache>
                <c:formatCode>General</c:formatCode>
                <c:ptCount val="21"/>
                <c:pt idx="3">
                  <c:v>3</c:v>
                </c:pt>
                <c:pt idx="7">
                  <c:v>2</c:v>
                </c:pt>
                <c:pt idx="9">
                  <c:v>1</c:v>
                </c:pt>
                <c:pt idx="14">
                  <c:v>2</c:v>
                </c:pt>
                <c:pt idx="15">
                  <c:v>2</c:v>
                </c:pt>
                <c:pt idx="16">
                  <c:v>1</c:v>
                </c:pt>
                <c:pt idx="17">
                  <c:v>2</c:v>
                </c:pt>
                <c:pt idx="2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D57-44B7-9669-774FAA5249FB}"/>
            </c:ext>
          </c:extLst>
        </c:ser>
        <c:ser>
          <c:idx val="11"/>
          <c:order val="9"/>
          <c:tx>
            <c:strRef>
              <c:f>'Fig(52)Councils.composition'!$M$2</c:f>
              <c:strCache>
                <c:ptCount val="1"/>
                <c:pt idx="0">
                  <c:v>Members appointed/nominated by other bodies/authorities</c:v>
                </c:pt>
              </c:strCache>
            </c:strRef>
          </c:tx>
          <c:spPr>
            <a:solidFill>
              <a:srgbClr val="969696"/>
            </a:solidFill>
          </c:spPr>
          <c:invertIfNegative val="0"/>
          <c:cat>
            <c:strRef>
              <c:f>'Fig(52)Councils.composition'!$A$3:$A$23</c:f>
              <c:strCache>
                <c:ptCount val="21"/>
                <c:pt idx="0">
                  <c:v>BE</c:v>
                </c:pt>
                <c:pt idx="1">
                  <c:v>BG</c:v>
                </c:pt>
                <c:pt idx="2">
                  <c:v>DK</c:v>
                </c:pt>
                <c:pt idx="3">
                  <c:v>IE</c:v>
                </c:pt>
                <c:pt idx="4">
                  <c:v>EL(ċiv. u krim.)</c:v>
                </c:pt>
                <c:pt idx="5">
                  <c:v>EL(ammin.)</c:v>
                </c:pt>
                <c:pt idx="6">
                  <c:v>ES</c:v>
                </c:pt>
                <c:pt idx="7">
                  <c:v>FR</c:v>
                </c:pt>
                <c:pt idx="8">
                  <c:v>HR</c:v>
                </c:pt>
                <c:pt idx="9">
                  <c:v>IT CSM</c:v>
                </c:pt>
                <c:pt idx="10">
                  <c:v>IT CPGA</c:v>
                </c:pt>
                <c:pt idx="11">
                  <c:v>LV</c:v>
                </c:pt>
                <c:pt idx="12">
                  <c:v>LT</c:v>
                </c:pt>
                <c:pt idx="13">
                  <c:v>HU</c:v>
                </c:pt>
                <c:pt idx="14">
                  <c:v>MT</c:v>
                </c:pt>
                <c:pt idx="15">
                  <c:v>NL</c:v>
                </c:pt>
                <c:pt idx="16">
                  <c:v>PL</c:v>
                </c:pt>
                <c:pt idx="17">
                  <c:v>PT</c:v>
                </c:pt>
                <c:pt idx="18">
                  <c:v>RO</c:v>
                </c:pt>
                <c:pt idx="19">
                  <c:v>SI</c:v>
                </c:pt>
                <c:pt idx="20">
                  <c:v>SK</c:v>
                </c:pt>
              </c:strCache>
            </c:strRef>
          </c:cat>
          <c:val>
            <c:numRef>
              <c:f>'Fig(52)Councils.composition'!$M$3:$M$23</c:f>
              <c:numCache>
                <c:formatCode>General</c:formatCode>
                <c:ptCount val="21"/>
                <c:pt idx="2">
                  <c:v>4</c:v>
                </c:pt>
                <c:pt idx="3">
                  <c:v>3</c:v>
                </c:pt>
                <c:pt idx="7">
                  <c:v>1</c:v>
                </c:pt>
                <c:pt idx="8">
                  <c:v>2</c:v>
                </c:pt>
                <c:pt idx="1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D57-44B7-9669-774FAA5249FB}"/>
            </c:ext>
          </c:extLst>
        </c:ser>
        <c:ser>
          <c:idx val="10"/>
          <c:order val="10"/>
          <c:tx>
            <c:strRef>
              <c:f>'Fig(52)Councils.composition'!$L$2</c:f>
              <c:strCache>
                <c:ptCount val="1"/>
                <c:pt idx="0">
                  <c:v>Minister of justice (ex officio)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cat>
            <c:strRef>
              <c:f>'Fig(52)Councils.composition'!$A$3:$A$23</c:f>
              <c:strCache>
                <c:ptCount val="21"/>
                <c:pt idx="0">
                  <c:v>BE</c:v>
                </c:pt>
                <c:pt idx="1">
                  <c:v>BG</c:v>
                </c:pt>
                <c:pt idx="2">
                  <c:v>DK</c:v>
                </c:pt>
                <c:pt idx="3">
                  <c:v>IE</c:v>
                </c:pt>
                <c:pt idx="4">
                  <c:v>EL(ċiv. u krim.)</c:v>
                </c:pt>
                <c:pt idx="5">
                  <c:v>EL(ammin.)</c:v>
                </c:pt>
                <c:pt idx="6">
                  <c:v>ES</c:v>
                </c:pt>
                <c:pt idx="7">
                  <c:v>FR</c:v>
                </c:pt>
                <c:pt idx="8">
                  <c:v>HR</c:v>
                </c:pt>
                <c:pt idx="9">
                  <c:v>IT CSM</c:v>
                </c:pt>
                <c:pt idx="10">
                  <c:v>IT CPGA</c:v>
                </c:pt>
                <c:pt idx="11">
                  <c:v>LV</c:v>
                </c:pt>
                <c:pt idx="12">
                  <c:v>LT</c:v>
                </c:pt>
                <c:pt idx="13">
                  <c:v>HU</c:v>
                </c:pt>
                <c:pt idx="14">
                  <c:v>MT</c:v>
                </c:pt>
                <c:pt idx="15">
                  <c:v>NL</c:v>
                </c:pt>
                <c:pt idx="16">
                  <c:v>PL</c:v>
                </c:pt>
                <c:pt idx="17">
                  <c:v>PT</c:v>
                </c:pt>
                <c:pt idx="18">
                  <c:v>RO</c:v>
                </c:pt>
                <c:pt idx="19">
                  <c:v>SI</c:v>
                </c:pt>
                <c:pt idx="20">
                  <c:v>SK</c:v>
                </c:pt>
              </c:strCache>
            </c:strRef>
          </c:cat>
          <c:val>
            <c:numRef>
              <c:f>'Fig(52)Councils.composition'!$L$3:$L$23</c:f>
              <c:numCache>
                <c:formatCode>General</c:formatCode>
                <c:ptCount val="21"/>
                <c:pt idx="11">
                  <c:v>1</c:v>
                </c:pt>
                <c:pt idx="16">
                  <c:v>1</c:v>
                </c:pt>
                <c:pt idx="1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6D57-44B7-9669-774FAA5249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gapDepth val="100"/>
        <c:shape val="box"/>
        <c:axId val="94974336"/>
        <c:axId val="94975872"/>
        <c:axId val="0"/>
      </c:bar3DChart>
      <c:catAx>
        <c:axId val="949743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700" b="0">
                <a:latin typeface="EC Square Sans Pro Medium" pitchFamily="34" charset="0"/>
              </a:defRPr>
            </a:pPr>
            <a:endParaRPr lang="en-US"/>
          </a:p>
        </c:txPr>
        <c:crossAx val="94975872"/>
        <c:crosses val="autoZero"/>
        <c:auto val="1"/>
        <c:lblAlgn val="ctr"/>
        <c:lblOffset val="100"/>
        <c:noMultiLvlLbl val="0"/>
      </c:catAx>
      <c:valAx>
        <c:axId val="94975872"/>
        <c:scaling>
          <c:orientation val="minMax"/>
        </c:scaling>
        <c:delete val="0"/>
        <c:axPos val="l"/>
        <c:majorGridlines>
          <c:spPr>
            <a:ln w="19050">
              <a:solidFill>
                <a:schemeClr val="tx1">
                  <a:lumMod val="50000"/>
                  <a:lumOff val="50000"/>
                </a:schemeClr>
              </a:solidFill>
            </a:ln>
          </c:spPr>
        </c:majorGridlines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EC Square Sans Pro Medium" pitchFamily="34" charset="0"/>
              </a:defRPr>
            </a:pPr>
            <a:endParaRPr lang="en-US"/>
          </a:p>
        </c:txPr>
        <c:crossAx val="94974336"/>
        <c:crosses val="autoZero"/>
        <c:crossBetween val="between"/>
        <c:majorUnit val="0.5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/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0.035</cdr:x>
      <cdr:y>0.50119</cdr:y>
    </cdr:from>
    <cdr:to>
      <cdr:x>0.92285</cdr:x>
      <cdr:y>0.5697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51355" y="2647861"/>
          <a:ext cx="6375400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0.02174</cdr:x>
      <cdr:y>0.4956</cdr:y>
    </cdr:from>
    <cdr:to>
      <cdr:x>0.68763</cdr:x>
      <cdr:y>0.66305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29946" y="2769413"/>
          <a:ext cx="3980194" cy="9356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l"/>
          <a:r>
            <a:rPr lang="mt-MT" sz="1050" i="0">
              <a:effectLst/>
              <a:latin typeface="EC Square Sans Pro Medium" panose="020B0500000000020004" pitchFamily="34" charset="0"/>
              <a:ea typeface="+mn-ea"/>
              <a:cs typeface="+mn-cs"/>
            </a:rPr>
            <a:t>Għal kull Stat Membru, it-tliet kolonni jirrappreżentaw l-arranġamenti</a:t>
          </a:r>
          <a:r>
            <a:rPr lang="en-GB" sz="1050" i="0">
              <a:effectLst/>
              <a:latin typeface="EC Square Sans Pro Medium" panose="020B0500000000020004" pitchFamily="34" charset="0"/>
              <a:ea typeface="+mn-ea"/>
              <a:cs typeface="+mn-cs"/>
            </a:rPr>
            <a:t> </a:t>
          </a:r>
          <a:r>
            <a:rPr lang="mt-MT" sz="1050" i="0">
              <a:effectLst/>
              <a:latin typeface="EC Square Sans Pro Medium" panose="020B0500000000020004" pitchFamily="34" charset="0"/>
              <a:ea typeface="+mn-ea"/>
              <a:cs typeface="+mn-cs"/>
            </a:rPr>
            <a:t>fis-seħħ</a:t>
          </a:r>
          <a:endParaRPr lang="en-GB" sz="1050" i="0">
            <a:effectLst/>
            <a:latin typeface="EC Square Sans Pro Medium" panose="020B0500000000020004" pitchFamily="34" charset="0"/>
            <a:ea typeface="+mn-ea"/>
            <a:cs typeface="+mn-cs"/>
          </a:endParaRPr>
        </a:p>
        <a:p xmlns:a="http://schemas.openxmlformats.org/drawingml/2006/main">
          <a:pPr algn="l"/>
          <a:r>
            <a:rPr lang="mt-MT" sz="1050" i="0">
              <a:effectLst/>
              <a:latin typeface="EC Square Sans Pro Medium" panose="020B0500000000020004" pitchFamily="34" charset="0"/>
              <a:ea typeface="+mn-ea"/>
              <a:cs typeface="+mn-cs"/>
            </a:rPr>
            <a:t>għat-tipi li ġejjin ta' kawżi</a:t>
          </a:r>
          <a:r>
            <a:rPr lang="en-GB" sz="1050" i="0">
              <a:effectLst/>
              <a:latin typeface="EC Square Sans Pro Medium" panose="020B0500000000020004" pitchFamily="34" charset="0"/>
              <a:ea typeface="+mn-ea"/>
              <a:cs typeface="+mn-cs"/>
            </a:rPr>
            <a:t> (</a:t>
          </a:r>
          <a:r>
            <a:rPr lang="mt-MT" sz="1050" i="0">
              <a:effectLst/>
              <a:latin typeface="EC Square Sans Pro Medium" panose="020B0500000000020004" pitchFamily="34" charset="0"/>
              <a:ea typeface="+mn-ea"/>
              <a:cs typeface="+mn-cs"/>
            </a:rPr>
            <a:t>mix-xellug għal-lemin</a:t>
          </a:r>
          <a:r>
            <a:rPr lang="en-GB" sz="1050" i="0">
              <a:effectLst/>
              <a:latin typeface="EC Square Sans Pro Medium" panose="020B0500000000020004" pitchFamily="34" charset="0"/>
              <a:ea typeface="+mn-ea"/>
              <a:cs typeface="+mn-cs"/>
            </a:rPr>
            <a:t>):</a:t>
          </a:r>
        </a:p>
        <a:p xmlns:a="http://schemas.openxmlformats.org/drawingml/2006/main">
          <a:pPr algn="l"/>
          <a:r>
            <a:rPr lang="en-GB" sz="1050" i="0">
              <a:effectLst/>
              <a:latin typeface="EC Square Sans Pro Medium" panose="020B0500000000020004" pitchFamily="34" charset="0"/>
              <a:ea typeface="+mn-ea"/>
              <a:cs typeface="+mn-cs"/>
            </a:rPr>
            <a:t>1. </a:t>
          </a:r>
          <a:r>
            <a:rPr lang="mt-MT" sz="1050" i="0">
              <a:effectLst/>
              <a:latin typeface="EC Square Sans Pro Medium" panose="020B0500000000020004" pitchFamily="34" charset="0"/>
              <a:ea typeface="+mn-ea"/>
              <a:cs typeface="+mn-cs"/>
            </a:rPr>
            <a:t>kawżi ċivili/kummerċjali</a:t>
          </a:r>
          <a:endParaRPr lang="en-GB" sz="1050" i="0">
            <a:effectLst/>
            <a:latin typeface="EC Square Sans Pro Medium" panose="020B0500000000020004" pitchFamily="34" charset="0"/>
            <a:ea typeface="+mn-ea"/>
            <a:cs typeface="+mn-cs"/>
          </a:endParaRPr>
        </a:p>
        <a:p xmlns:a="http://schemas.openxmlformats.org/drawingml/2006/main">
          <a:pPr algn="l"/>
          <a:r>
            <a:rPr lang="en-GB" sz="1050" i="0">
              <a:effectLst/>
              <a:latin typeface="EC Square Sans Pro Medium" panose="020B0500000000020004" pitchFamily="34" charset="0"/>
              <a:ea typeface="+mn-ea"/>
              <a:cs typeface="+mn-cs"/>
            </a:rPr>
            <a:t>2. </a:t>
          </a:r>
          <a:r>
            <a:rPr lang="mt-MT" sz="1050" i="0">
              <a:effectLst/>
              <a:latin typeface="EC Square Sans Pro Medium" panose="020B0500000000020004" pitchFamily="34" charset="0"/>
              <a:ea typeface="+mn-ea"/>
              <a:cs typeface="+mn-cs"/>
            </a:rPr>
            <a:t>kawżi</a:t>
          </a:r>
          <a:r>
            <a:rPr lang="mt-MT" sz="1050" i="0" baseline="0">
              <a:effectLst/>
              <a:latin typeface="EC Square Sans Pro Medium" panose="020B0500000000020004" pitchFamily="34" charset="0"/>
              <a:ea typeface="+mn-ea"/>
              <a:cs typeface="+mn-cs"/>
            </a:rPr>
            <a:t> amministrattivi</a:t>
          </a:r>
          <a:endParaRPr lang="en-GB" sz="1050" i="0">
            <a:effectLst/>
            <a:latin typeface="EC Square Sans Pro Medium" panose="020B0500000000020004" pitchFamily="34" charset="0"/>
            <a:ea typeface="+mn-ea"/>
            <a:cs typeface="+mn-cs"/>
          </a:endParaRPr>
        </a:p>
        <a:p xmlns:a="http://schemas.openxmlformats.org/drawingml/2006/main">
          <a:pPr algn="l"/>
          <a:r>
            <a:rPr lang="en-GB" sz="1050" i="0">
              <a:effectLst/>
              <a:latin typeface="EC Square Sans Pro Medium" panose="020B0500000000020004" pitchFamily="34" charset="0"/>
              <a:ea typeface="+mn-ea"/>
              <a:cs typeface="+mn-cs"/>
            </a:rPr>
            <a:t>3. </a:t>
          </a:r>
          <a:r>
            <a:rPr lang="mt-MT" sz="1050" i="0">
              <a:effectLst/>
              <a:latin typeface="EC Square Sans Pro Medium" panose="020B0500000000020004" pitchFamily="34" charset="0"/>
              <a:ea typeface="+mn-ea"/>
              <a:cs typeface="+mn-cs"/>
            </a:rPr>
            <a:t>kawżi kriminali</a:t>
          </a:r>
          <a:r>
            <a:rPr lang="en-GB" sz="1050" i="0">
              <a:effectLst/>
              <a:latin typeface="EC Square Sans Pro Medium" panose="020B0500000000020004" pitchFamily="34" charset="0"/>
              <a:ea typeface="+mn-ea"/>
              <a:cs typeface="+mn-cs"/>
            </a:rPr>
            <a:t>.</a:t>
          </a:r>
          <a:endParaRPr lang="en-US" sz="1050" i="0">
            <a:latin typeface="EC Square Sans Pro Medium" panose="020B05000000000200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413CD145F789BB4B8AE4B42C0D616160" ma:contentTypeVersion="0" ma:contentTypeDescription="Create a new document in this library." ma:contentTypeScope="" ma:versionID="f56f42b557a10d86031122fceb60d648">
  <xsd:schema xmlns:xsd="http://www.w3.org/2001/XMLSchema" xmlns:xs="http://www.w3.org/2001/XMLSchema" xmlns:p="http://schemas.microsoft.com/office/2006/metadata/properties" xmlns:ns2="http://schemas.microsoft.com/sharepoint/v3/fields" xmlns:ns3="c8fafeeb-07ef-460a-9e5d-a02cd2f60677" targetNamespace="http://schemas.microsoft.com/office/2006/metadata/properties" ma:root="true" ma:fieldsID="0f9d3b6cdbcb9d7b3860c81304cdfd1c" ns2:_="" ns3:_="">
    <xsd:import namespace="http://schemas.microsoft.com/sharepoint/v3/fields"/>
    <xsd:import namespace="c8fafeeb-07ef-460a-9e5d-a02cd2f60677"/>
    <xsd:element name="properties">
      <xsd:complexType>
        <xsd:sequence>
          <xsd:element name="documentManagement">
            <xsd:complexType>
              <xsd:all>
                <xsd:element ref="ns3:EC_Collab_Reference" minOccurs="0"/>
                <xsd:element ref="ns2:_Status" minOccurs="0"/>
                <xsd:element ref="ns3:EC_Collab_DocumentLanguage"/>
                <xsd:element ref="ns3:EC_Collab_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3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afeeb-07ef-460a-9e5d-a02cd2f60677" elementFormDefault="qualified">
    <xsd:import namespace="http://schemas.microsoft.com/office/2006/documentManagement/types"/>
    <xsd:import namespace="http://schemas.microsoft.com/office/infopath/2007/PartnerControls"/>
    <xsd:element name="EC_Collab_Reference" ma:index="12" nillable="true" ma:displayName="Reference" ma:internalName="EC_Collab_Reference">
      <xsd:simpleType>
        <xsd:restriction base="dms:Text"/>
      </xsd:simpleType>
    </xsd:element>
    <xsd:element name="EC_Collab_DocumentLanguage" ma:index="14" ma:displayName="Language" ma:default="EN" ma:internalName="EC_Collab_DocumentLanguage">
      <xsd:simpleType>
        <xsd:restriction base="dms:Choice">
          <xsd:enumeration value="BG"/>
          <xsd:enumeration value="ES"/>
          <xsd:enumeration value="CS"/>
          <xsd:enumeration value="DA"/>
          <xsd:enumeration value="DE"/>
          <xsd:enumeration value="ET"/>
          <xsd:enumeration value="EL"/>
          <xsd:enumeration value="EN"/>
          <xsd:enumeration value="FR"/>
          <xsd:enumeration value="GA"/>
          <xsd:enumeration value="IT"/>
          <xsd:enumeration value="LT"/>
          <xsd:enumeration value="LV"/>
          <xsd:enumeration value="HU"/>
          <xsd:enumeration value="MT"/>
          <xsd:enumeration value="NL"/>
          <xsd:enumeration value="PL"/>
          <xsd:enumeration value="PT"/>
          <xsd:enumeration value="RO"/>
          <xsd:enumeration value="SK"/>
          <xsd:enumeration value="SL"/>
          <xsd:enumeration value="FI"/>
          <xsd:enumeration value="SV"/>
          <xsd:enumeration value="HR"/>
          <xsd:enumeration value="MK"/>
          <xsd:enumeration value="TR"/>
          <xsd:enumeration value="EU"/>
          <xsd:enumeration value="CA"/>
          <xsd:enumeration value="GL"/>
          <xsd:enumeration value="AB"/>
          <xsd:enumeration value="AA"/>
          <xsd:enumeration value="AF"/>
          <xsd:enumeration value="AK"/>
          <xsd:enumeration value="SQ"/>
          <xsd:enumeration value="AM"/>
          <xsd:enumeration value="AR"/>
          <xsd:enumeration value="AN"/>
          <xsd:enumeration value="HY"/>
          <xsd:enumeration value="AS"/>
          <xsd:enumeration value="AV"/>
          <xsd:enumeration value="AE"/>
          <xsd:enumeration value="AY"/>
          <xsd:enumeration value="AZ"/>
          <xsd:enumeration value="BM"/>
          <xsd:enumeration value="BA"/>
          <xsd:enumeration value="BE"/>
          <xsd:enumeration value="BN"/>
          <xsd:enumeration value="BH"/>
          <xsd:enumeration value="BI"/>
          <xsd:enumeration value="NB"/>
          <xsd:enumeration value="BS"/>
          <xsd:enumeration value="BR"/>
          <xsd:enumeration value="MY"/>
          <xsd:enumeration value="KM"/>
          <xsd:enumeration value="CH"/>
          <xsd:enumeration value="CE"/>
          <xsd:enumeration value="NY"/>
          <xsd:enumeration value="ZH"/>
          <xsd:enumeration value="CU"/>
          <xsd:enumeration value="CV"/>
          <xsd:enumeration value="KW"/>
          <xsd:enumeration value="CO"/>
          <xsd:enumeration value="CR"/>
          <xsd:enumeration value="DV"/>
          <xsd:enumeration value="DZ"/>
          <xsd:enumeration value="EO"/>
          <xsd:enumeration value="EE"/>
          <xsd:enumeration value="FO"/>
          <xsd:enumeration value="FJ"/>
          <xsd:enumeration value="FF"/>
          <xsd:enumeration value="GD"/>
          <xsd:enumeration value="LG"/>
          <xsd:enumeration value="KA"/>
          <xsd:enumeration value="GN"/>
          <xsd:enumeration value="GU"/>
          <xsd:enumeration value="HT"/>
          <xsd:enumeration value="HA"/>
          <xsd:enumeration value="HE"/>
          <xsd:enumeration value="HZ"/>
          <xsd:enumeration value="HI"/>
          <xsd:enumeration value="HO"/>
          <xsd:enumeration value="IS"/>
          <xsd:enumeration value="IO"/>
          <xsd:enumeration value="IG"/>
          <xsd:enumeration value="ID"/>
          <xsd:enumeration value="IA"/>
          <xsd:enumeration value="IE"/>
          <xsd:enumeration value="IU"/>
          <xsd:enumeration value="IK"/>
          <xsd:enumeration value="JA"/>
          <xsd:enumeration value="JV"/>
          <xsd:enumeration value="KL"/>
          <xsd:enumeration value="KN"/>
          <xsd:enumeration value="KR"/>
          <xsd:enumeration value="KS"/>
          <xsd:enumeration value="KK"/>
          <xsd:enumeration value="KI"/>
          <xsd:enumeration value="RW"/>
          <xsd:enumeration value="KY"/>
          <xsd:enumeration value="KV"/>
          <xsd:enumeration value="KG"/>
          <xsd:enumeration value="KO"/>
          <xsd:enumeration value="KJ"/>
          <xsd:enumeration value="KU"/>
          <xsd:enumeration value="LO"/>
          <xsd:enumeration value="LA"/>
          <xsd:enumeration value="LI"/>
          <xsd:enumeration value="LN"/>
          <xsd:enumeration value="LU"/>
          <xsd:enumeration value="LB"/>
          <xsd:enumeration value="MG"/>
          <xsd:enumeration value="MS"/>
          <xsd:enumeration value="ML"/>
          <xsd:enumeration value="GV"/>
          <xsd:enumeration value="MI"/>
          <xsd:enumeration value="MR"/>
          <xsd:enumeration value="MH"/>
          <xsd:enumeration value="MN"/>
          <xsd:enumeration value="NA"/>
          <xsd:enumeration value="NV"/>
          <xsd:enumeration value="ND"/>
          <xsd:enumeration value="NR"/>
          <xsd:enumeration value="NG"/>
          <xsd:enumeration value="NE"/>
          <xsd:enumeration value="SE"/>
          <xsd:enumeration value="NO"/>
          <xsd:enumeration value="NN"/>
          <xsd:enumeration value="OC"/>
          <xsd:enumeration value="OJ"/>
          <xsd:enumeration value="OR"/>
          <xsd:enumeration value="OM"/>
          <xsd:enumeration value="OS"/>
          <xsd:enumeration value="PI"/>
          <xsd:enumeration value="PA"/>
          <xsd:enumeration value="FA"/>
          <xsd:enumeration value="PS"/>
          <xsd:enumeration value="QU"/>
          <xsd:enumeration value="RM"/>
          <xsd:enumeration value="RN"/>
          <xsd:enumeration value="RU"/>
          <xsd:enumeration value="SM"/>
          <xsd:enumeration value="SG"/>
          <xsd:enumeration value="SA"/>
          <xsd:enumeration value="SC"/>
          <xsd:enumeration value="SR"/>
          <xsd:enumeration value="SN"/>
          <xsd:enumeration value="II"/>
          <xsd:enumeration value="SD"/>
          <xsd:enumeration value="SI"/>
          <xsd:enumeration value="SO"/>
          <xsd:enumeration value="ST"/>
          <xsd:enumeration value="SU"/>
          <xsd:enumeration value="SW"/>
          <xsd:enumeration value="SS"/>
          <xsd:enumeration value="TL"/>
          <xsd:enumeration value="TY"/>
          <xsd:enumeration value="TG"/>
          <xsd:enumeration value="TA"/>
          <xsd:enumeration value="TT"/>
          <xsd:enumeration value="TE"/>
          <xsd:enumeration value="TH"/>
          <xsd:enumeration value="BO"/>
          <xsd:enumeration value="TI"/>
          <xsd:enumeration value="TO"/>
          <xsd:enumeration value="TS"/>
          <xsd:enumeration value="TN"/>
          <xsd:enumeration value="TK"/>
          <xsd:enumeration value="TW"/>
          <xsd:enumeration value="UG"/>
          <xsd:enumeration value="UK"/>
          <xsd:enumeration value="UR"/>
          <xsd:enumeration value="UZ"/>
          <xsd:enumeration value="VE"/>
          <xsd:enumeration value="VI"/>
          <xsd:enumeration value="VO"/>
          <xsd:enumeration value="WA"/>
          <xsd:enumeration value="CY"/>
          <xsd:enumeration value="FY"/>
          <xsd:enumeration value="WO"/>
          <xsd:enumeration value="XH"/>
          <xsd:enumeration value="YI"/>
          <xsd:enumeration value="YO"/>
          <xsd:enumeration value="ZA"/>
          <xsd:enumeration value="ZU"/>
        </xsd:restriction>
      </xsd:simpleType>
    </xsd:element>
    <xsd:element name="EC_Collab_Status" ma:index="15" ma:displayName="EC Status" ma:default="Not Started" ma:internalName="EC_Collab_Status">
      <xsd:simpleType>
        <xsd:restriction base="dms:Choice">
          <xsd:enumeration value="Not Started"/>
          <xsd:enumeration value="Draft"/>
          <xsd:enumeration value="Reviewed"/>
          <xsd:enumeration value="Scheduled"/>
          <xsd:enumeration value="Published"/>
          <xsd:enumeration value="Final"/>
          <xsd:enumeration value="Expir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9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 ma:index="8" ma:displayName="Subject"/>
        <xsd:element ref="dc:description" minOccurs="0" maxOccurs="1" ma:index="11" ma:displayName="Comments"/>
        <xsd:element name="keywords" minOccurs="0" maxOccurs="1" type="xsd:string" ma:index="1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C_Collab_DocumentLanguage xmlns="c8fafeeb-07ef-460a-9e5d-a02cd2f60677">EN</EC_Collab_DocumentLanguage>
    <EC_Collab_Reference xmlns="c8fafeeb-07ef-460a-9e5d-a02cd2f60677">draft 2020 EU Justice Scoreboard</EC_Collab_Reference>
    <_Status xmlns="http://schemas.microsoft.com/sharepoint/v3/fields">Not Started</_Status>
    <EC_Collab_Status xmlns="c8fafeeb-07ef-460a-9e5d-a02cd2f60677">Draft</EC_Collab_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AD0007F-3028-4EBF-A75F-E42C64C39C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0093AE-1111-402E-B807-152E2849E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c8fafeeb-07ef-460a-9e5d-a02cd2f606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E6C905-645C-4F44-8609-58178BF04F1B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8fafeeb-07ef-460a-9e5d-a02cd2f60677"/>
    <ds:schemaRef ds:uri="http://purl.org/dc/elements/1.1/"/>
    <ds:schemaRef ds:uri="http://schemas.microsoft.com/sharepoint/v3/field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528E8DB-A47C-4E55-9F8D-5DAFA53E1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66</Pages>
  <Words>18571</Words>
  <Characters>139844</Characters>
  <Application>Microsoft Office Word</Application>
  <DocSecurity>0</DocSecurity>
  <Lines>1726</Lines>
  <Paragraphs>331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2020 EU Justice Scoreboard</vt:lpstr>
    </vt:vector>
  </TitlesOfParts>
  <Manager/>
  <Company/>
  <LinksUpToDate>false</LinksUpToDate>
  <CharactersWithSpaces>158084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2020 EU Justice Scoreboard</dc:title>
  <dc:subject>2020 EU Justice Scoreboard</dc:subject>
  <dc:creator/>
  <cp:keywords/>
  <dc:description/>
  <cp:lastModifiedBy>PAGANELI Erifili (SG)</cp:lastModifiedBy>
  <cp:revision>17</cp:revision>
  <dcterms:created xsi:type="dcterms:W3CDTF">2020-08-19T09:57:00Z</dcterms:created>
  <dcterms:modified xsi:type="dcterms:W3CDTF">2020-09-11T15:41:00Z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Part">
    <vt:lpwstr>1</vt:lpwstr>
  </property>
  <property fmtid="{D5CDD505-2E9C-101B-9397-08002B2CF9AE}" pid="4" name="Total parts">
    <vt:lpwstr>1</vt:lpwstr>
  </property>
  <property fmtid="{D5CDD505-2E9C-101B-9397-08002B2CF9AE}" pid="5" name="DocStatus">
    <vt:lpwstr>Red</vt:lpwstr>
  </property>
  <property fmtid="{D5CDD505-2E9C-101B-9397-08002B2CF9AE}" pid="6" name="CPTemplateID">
    <vt:lpwstr>CP-035</vt:lpwstr>
  </property>
  <property fmtid="{D5CDD505-2E9C-101B-9397-08002B2CF9AE}" pid="7" name="Created using">
    <vt:lpwstr>LW 7.0, Build 20190717</vt:lpwstr>
  </property>
  <property fmtid="{D5CDD505-2E9C-101B-9397-08002B2CF9AE}" pid="8" name="Last edited using">
    <vt:lpwstr>LW 7.0.1, Build 20190916</vt:lpwstr>
  </property>
  <property fmtid="{D5CDD505-2E9C-101B-9397-08002B2CF9AE}" pid="9" name="_LW_INVALIDATED__LW_INVALIDATED__LW_INVALIDATED__LW_INVALIDATED__LW_INVALIDATED__LW_INVALIDATED_ContentTypeId">
    <vt:lpwstr>0x010100258AA79CEB83498886A3A0868112325000413CD145F789BB4B8AE4B42C0D616160</vt:lpwstr>
  </property>
</Properties>
</file>