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7D88788-2E15-4362-A94C-2C1789ED0668"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spacing w:after="240"/>
        <w:rPr>
          <w:noProof/>
        </w:rPr>
      </w:pPr>
      <w:r>
        <w:rPr>
          <w:noProof/>
        </w:rPr>
        <w:t>1.</w:t>
      </w:r>
      <w:r>
        <w:rPr>
          <w:noProof/>
        </w:rPr>
        <w:tab/>
        <w:t>BAKGRUND TILL FÖRSLAGET</w:t>
      </w:r>
    </w:p>
    <w:p>
      <w:pPr>
        <w:pStyle w:val="ManualHeading2"/>
        <w:spacing w:after="240"/>
        <w:rPr>
          <w:noProof/>
        </w:rPr>
      </w:pPr>
      <w:r>
        <w:rPr>
          <w:noProof/>
        </w:rPr>
        <w:t>•</w:t>
      </w:r>
      <w:r>
        <w:rPr>
          <w:noProof/>
        </w:rPr>
        <w:tab/>
        <w:t>Motiv och syfte med förslaget</w:t>
      </w:r>
    </w:p>
    <w:p>
      <w:pPr>
        <w:pBdr>
          <w:top w:val="nil"/>
          <w:left w:val="nil"/>
          <w:bottom w:val="nil"/>
          <w:right w:val="nil"/>
          <w:between w:val="nil"/>
          <w:bar w:val="nil"/>
        </w:pBdr>
        <w:spacing w:before="0" w:after="240"/>
        <w:rPr>
          <w:noProof/>
        </w:rPr>
      </w:pPr>
      <w:r>
        <w:rPr>
          <w:noProof/>
        </w:rPr>
        <w:t>Interbus-överenskommelsen om tillfällig internationell persontransport med buss</w:t>
      </w:r>
      <w:r>
        <w:rPr>
          <w:rStyle w:val="FootnoteReference"/>
          <w:noProof/>
        </w:rPr>
        <w:footnoteReference w:id="1"/>
      </w:r>
      <w:r>
        <w:rPr>
          <w:noProof/>
        </w:rPr>
        <w:t xml:space="preserve"> trädde i kraft den 1 januari 2003. Överenskommelsen uppdaterades senare för att återspegla framsteg inom teknik och lagstiftning genom beslut nr 1/2011</w:t>
      </w:r>
      <w:r>
        <w:rPr>
          <w:rStyle w:val="FootnoteReference"/>
          <w:noProof/>
        </w:rPr>
        <w:footnoteReference w:id="2"/>
      </w:r>
      <w:r>
        <w:rPr>
          <w:noProof/>
        </w:rPr>
        <w:t xml:space="preserve"> av den gemensamma kommitté som inrättats genom artikel 23 i överenskommelsen.</w:t>
      </w:r>
    </w:p>
    <w:p>
      <w:pPr>
        <w:pBdr>
          <w:top w:val="nil"/>
          <w:left w:val="nil"/>
          <w:bottom w:val="nil"/>
          <w:right w:val="nil"/>
          <w:between w:val="nil"/>
          <w:bar w:val="nil"/>
        </w:pBdr>
        <w:spacing w:before="0" w:after="240"/>
        <w:rPr>
          <w:noProof/>
        </w:rPr>
      </w:pPr>
      <w:r>
        <w:rPr>
          <w:noProof/>
        </w:rPr>
        <w:t>Interbus-överenskommelsen omfattar för närvarande tillfällig internationell persontransport med buss. Den 5 december 2014 bemyndigade rådet kommissionen att inleda förhandlingar, på Europeiska unionens vägnar (unionen är en avtalsslutande part till Interbus-överenskommelsen), om att utvidga överenskommelsens tillämpningsområde till internationell linjetrafik och särskild linjetrafik för persontransport med buss (med krav på tillstånd)</w:t>
      </w:r>
      <w:r>
        <w:rPr>
          <w:rStyle w:val="FootnoteReference"/>
          <w:noProof/>
        </w:rPr>
        <w:footnoteReference w:id="3"/>
      </w:r>
      <w:r>
        <w:rPr>
          <w:noProof/>
        </w:rPr>
        <w:t>.</w:t>
      </w:r>
    </w:p>
    <w:p>
      <w:pPr>
        <w:autoSpaceDE w:val="0"/>
        <w:autoSpaceDN w:val="0"/>
        <w:adjustRightInd w:val="0"/>
        <w:spacing w:before="0" w:after="240"/>
        <w:rPr>
          <w:noProof/>
          <w:szCs w:val="24"/>
        </w:rPr>
      </w:pPr>
      <w:r>
        <w:rPr>
          <w:noProof/>
        </w:rPr>
        <w:t>Den 16 juli 2018 antog rådet beslut (EU) 2018/1195</w:t>
      </w:r>
      <w:r>
        <w:rPr>
          <w:rStyle w:val="FootnoteReference"/>
          <w:bCs/>
          <w:noProof/>
        </w:rPr>
        <w:footnoteReference w:id="4"/>
      </w:r>
      <w:r>
        <w:rPr>
          <w:noProof/>
        </w:rPr>
        <w:t xml:space="preserve"> om undertecknande av ett protokoll till Interbus-överenskommelsen avseende internationell linjetrafik och internationell särskild linjetrafik för persontransport med buss (nedan kallat </w:t>
      </w:r>
      <w:r>
        <w:rPr>
          <w:i/>
          <w:noProof/>
        </w:rPr>
        <w:t>linjetrafikprotokollet</w:t>
      </w:r>
      <w:r>
        <w:rPr>
          <w:noProof/>
        </w:rPr>
        <w:t>).</w:t>
      </w:r>
    </w:p>
    <w:p>
      <w:pPr>
        <w:pBdr>
          <w:top w:val="nil"/>
          <w:left w:val="nil"/>
          <w:bottom w:val="nil"/>
          <w:right w:val="nil"/>
          <w:between w:val="nil"/>
          <w:bar w:val="nil"/>
        </w:pBdr>
        <w:spacing w:before="0" w:after="240"/>
        <w:rPr>
          <w:noProof/>
        </w:rPr>
      </w:pPr>
      <w:r>
        <w:rPr>
          <w:noProof/>
        </w:rPr>
        <w:t>Det bör erinras att internationell linjetrafik och särskild linjetrafik för persontransport med buss är viktiga branscher som erbjuder europeiska medborgare mobilitet till ett överkomligt pris. Deras fortsatta utveckling utanför EU skulle i lika hög grad gynna EU-medborgare, turister, turistbranschen och europeiska regioner. Det som begränsar denna utveckling är skillnaderna mellan de bilaterala avtalen mellan medlemsstater och tredjeländer som gör att tillståndsförfarandet för och bedrivandet av internationell linjetrafik och särskild linjetrafik blir tungarbetat. Detta syns tydligast när det gäller långväga internationell linjetrafik som passerar genom flera länder.</w:t>
      </w:r>
    </w:p>
    <w:p>
      <w:pPr>
        <w:pBdr>
          <w:top w:val="nil"/>
          <w:left w:val="nil"/>
          <w:bottom w:val="nil"/>
          <w:right w:val="nil"/>
          <w:between w:val="nil"/>
          <w:bar w:val="nil"/>
        </w:pBdr>
        <w:spacing w:before="0" w:after="240"/>
        <w:rPr>
          <w:noProof/>
        </w:rPr>
      </w:pPr>
      <w:r>
        <w:rPr>
          <w:noProof/>
        </w:rPr>
        <w:t>Marknadstillträde i fråga om linjetrafik och särskild linjetrafik bör beviljas, så som fastställs i protokollet, genom ett enhetligt tillståndsförfarande som förutsätter genomförande av EU:s regelverk på området för persontransport på väg, inbegripet när det gäller vägsäkerhet, tekniska bestämmelser, förarkompetens, sociala regler, passagerares rättigheter, miljö och yrkesmässigt bedrivande av trafik.</w:t>
      </w:r>
    </w:p>
    <w:p>
      <w:pPr>
        <w:pBdr>
          <w:top w:val="nil"/>
          <w:left w:val="nil"/>
          <w:bottom w:val="nil"/>
          <w:right w:val="nil"/>
          <w:between w:val="nil"/>
          <w:bar w:val="nil"/>
        </w:pBdr>
        <w:spacing w:before="0" w:after="240"/>
        <w:rPr>
          <w:noProof/>
        </w:rPr>
      </w:pPr>
      <w:r>
        <w:rPr>
          <w:noProof/>
        </w:rPr>
        <w:lastRenderedPageBreak/>
        <w:t>Interbus-överenskommelsen kommer att fortsätta vara i kraft, utan ändringar, för tillfällig internationell persontransport med buss.</w:t>
      </w:r>
    </w:p>
    <w:p>
      <w:pPr>
        <w:pBdr>
          <w:top w:val="nil"/>
          <w:left w:val="nil"/>
          <w:bottom w:val="nil"/>
          <w:right w:val="nil"/>
          <w:between w:val="nil"/>
          <w:bar w:val="nil"/>
        </w:pBdr>
        <w:spacing w:before="0" w:after="240"/>
        <w:rPr>
          <w:noProof/>
        </w:rPr>
      </w:pPr>
      <w:r>
        <w:rPr>
          <w:noProof/>
        </w:rPr>
        <w:t>Protokollet omfattar endast de bestämmelser som krävs för att utvidga Interbus-överenskommelsen till internationell linjetrafik och särskild linjetrafik för persontransport med buss (som kräver tillstånd). Det ändrar eller upprepar inte de generella reglerna utan hänvisar till de grundläggande bestämmelserna i Interbus-överenskommelsen. Detta faktum, liksom att en avtalsslutande part kan underteckna och ingå, ratificera eller ansluta sig till protokollet endast efter att ha undertecknat och ingått, ratificerat eller anslutit sig till Interbus-överenskommelsen kommer att garantera att Interbus-reglerna godtas och tillämpas av de avtalsslutande parterna i och med att de undertecknar och ingår, ratificerar eller ansluter sig till protokollet.</w:t>
      </w:r>
    </w:p>
    <w:p>
      <w:pPr>
        <w:pBdr>
          <w:top w:val="nil"/>
          <w:left w:val="nil"/>
          <w:bottom w:val="nil"/>
          <w:right w:val="nil"/>
          <w:between w:val="nil"/>
          <w:bar w:val="nil"/>
        </w:pBdr>
        <w:spacing w:before="0" w:after="240"/>
        <w:rPr>
          <w:noProof/>
        </w:rPr>
      </w:pPr>
      <w:r>
        <w:rPr>
          <w:noProof/>
        </w:rPr>
        <w:t>Utöver Europeiska unionen är för närvarande Republiken Albanien, Bosnien och Hercegovina, Republiken Moldavien, Montenegro, Republiken Nordmakedonien, Republiken Turkiet och Ukraina avtalsslutande parter till Interbus-överenskommelsen, och de kan underteckna och ingå, ratificera eller ansluta sig till protokollet.</w:t>
      </w:r>
    </w:p>
    <w:p>
      <w:pPr>
        <w:spacing w:before="0" w:after="240"/>
        <w:rPr>
          <w:noProof/>
        </w:rPr>
      </w:pPr>
      <w:r>
        <w:rPr>
          <w:noProof/>
        </w:rPr>
        <w:t>Protokollet understryker EU-lagstiftningen (förordning (EG) nr 1071/2009</w:t>
      </w:r>
      <w:r>
        <w:rPr>
          <w:rStyle w:val="FootnoteReference"/>
          <w:noProof/>
        </w:rPr>
        <w:footnoteReference w:id="5"/>
      </w:r>
      <w:r>
        <w:rPr>
          <w:noProof/>
        </w:rPr>
        <w:t>) när det gäller sanktioner och de allvarligaste överträdelserna, liksom när det gäller att uppfylla de fyra villkoren för yrkesmässigt bedrivande av persontransport på väg (faktisk och stabil etablering, gott anseende, finansiella resurser och yrkeskompetens).</w:t>
      </w:r>
    </w:p>
    <w:p>
      <w:pPr>
        <w:pBdr>
          <w:top w:val="nil"/>
          <w:left w:val="nil"/>
          <w:bottom w:val="nil"/>
          <w:right w:val="nil"/>
          <w:between w:val="nil"/>
          <w:bar w:val="nil"/>
        </w:pBdr>
        <w:spacing w:before="0" w:after="240"/>
        <w:rPr>
          <w:noProof/>
        </w:rPr>
      </w:pPr>
      <w:r>
        <w:rPr>
          <w:noProof/>
        </w:rPr>
        <w:t xml:space="preserve">Genom protokollet införs en gemensam kommitté för att underlätta förvaltningen av protokollet. De bestämmelser om den gemensamma kommittén som fastställts inom ramen för Interbus-överenskommelsen gäller i tillämpliga delar den gemensamma kommittén inom ramen för protokollet. </w:t>
      </w:r>
    </w:p>
    <w:p>
      <w:pPr>
        <w:pBdr>
          <w:top w:val="nil"/>
          <w:left w:val="nil"/>
          <w:bottom w:val="nil"/>
          <w:right w:val="nil"/>
          <w:between w:val="nil"/>
          <w:bar w:val="nil"/>
        </w:pBdr>
        <w:spacing w:before="0" w:after="240"/>
        <w:rPr>
          <w:noProof/>
        </w:rPr>
      </w:pPr>
      <w:r>
        <w:rPr>
          <w:noProof/>
        </w:rPr>
        <w:t>Enligt protokollet kan giltighetstiden för ett tillstånd till internationell linjetrafik och särskild linjetrafik inte överskrida fem år.</w:t>
      </w:r>
    </w:p>
    <w:p>
      <w:pPr>
        <w:pBdr>
          <w:top w:val="nil"/>
          <w:left w:val="nil"/>
          <w:bottom w:val="nil"/>
          <w:right w:val="nil"/>
          <w:between w:val="nil"/>
          <w:bar w:val="nil"/>
        </w:pBdr>
        <w:spacing w:before="0" w:after="240"/>
        <w:rPr>
          <w:rFonts w:eastAsia="Times New Roman"/>
          <w:noProof/>
          <w:szCs w:val="24"/>
        </w:rPr>
      </w:pPr>
      <w:r>
        <w:rPr>
          <w:noProof/>
        </w:rPr>
        <w:t>Själva protokollet kan ingås för en period på fem år från och med den dag då det träder i kraft. Protokollets varaktighet kommer att förlängas automatiskt i perioder på fem år mellan de avtalsslutande parter som inte uttrycker någon önskan om att detta inte ska ske.</w:t>
      </w:r>
    </w:p>
    <w:p>
      <w:pPr>
        <w:rPr>
          <w:noProof/>
        </w:rPr>
      </w:pPr>
      <w:r>
        <w:rPr>
          <w:noProof/>
        </w:rPr>
        <w:t>Linjetrafikprotokollet var öppet för undertecknande från och med den 16 juli 2018 till och med den 16 april 2019. Unionen skrev under protokollet den 11 april 2019. Inga andra avtalsslutande parter skrev emellertid under protokollet innan tidsfristen för undertecknande löpte ut. Detta innebar att det var omöjligt för protokollet att träda i kraft.</w:t>
      </w:r>
    </w:p>
    <w:p>
      <w:pPr>
        <w:pBdr>
          <w:top w:val="nil"/>
          <w:left w:val="nil"/>
          <w:bottom w:val="nil"/>
          <w:right w:val="nil"/>
          <w:between w:val="nil"/>
          <w:bar w:val="nil"/>
        </w:pBdr>
        <w:spacing w:before="0" w:after="240"/>
        <w:rPr>
          <w:noProof/>
        </w:rPr>
      </w:pPr>
      <w:r>
        <w:rPr>
          <w:noProof/>
        </w:rPr>
        <w:t>Den 18 februari 2020 bemyndigade rådet kommissionen att på unionens vägnar inleda förhandlingar om ändring av linjetrafikprotokollet för att göra vissa tekniska ändringar i fråga om undertecknande och ikraftträdande av protokollet samt att återspegla ändringen av namnet på en avtalsslutande part i Interbus-överenskommelsen.</w:t>
      </w:r>
    </w:p>
    <w:p>
      <w:pPr>
        <w:pBdr>
          <w:top w:val="nil"/>
          <w:left w:val="nil"/>
          <w:bottom w:val="nil"/>
          <w:right w:val="nil"/>
          <w:between w:val="nil"/>
          <w:bar w:val="nil"/>
        </w:pBdr>
        <w:spacing w:before="0" w:after="240"/>
        <w:rPr>
          <w:noProof/>
        </w:rPr>
      </w:pPr>
      <w:r>
        <w:rPr>
          <w:noProof/>
        </w:rPr>
        <w:t xml:space="preserve">Förhandlingarna slutfördes med framgång och en ny version av linjetrafikprotokollet har utarbetats i enlighet med detta. Med tanke på att unionen var den enda avtalsslutande part som undertecknade det ursprungliga protokollet har det ansetts lämpligare att ersätta hela </w:t>
      </w:r>
      <w:r>
        <w:rPr>
          <w:noProof/>
        </w:rPr>
        <w:lastRenderedPageBreak/>
        <w:t xml:space="preserve">protokollet med ett nytt protokoll i stället för att förhandla om ett protokoll som ändrar det ursprungliga protokollet. </w:t>
      </w:r>
    </w:p>
    <w:p>
      <w:pPr>
        <w:pBdr>
          <w:top w:val="nil"/>
          <w:left w:val="nil"/>
          <w:bottom w:val="nil"/>
          <w:right w:val="nil"/>
          <w:between w:val="nil"/>
          <w:bar w:val="nil"/>
        </w:pBdr>
        <w:spacing w:before="0" w:after="240"/>
        <w:rPr>
          <w:noProof/>
          <w:szCs w:val="24"/>
        </w:rPr>
      </w:pPr>
      <w:r>
        <w:rPr>
          <w:noProof/>
        </w:rPr>
        <w:t>Nu behöver tre av de avtalsslutande parterna i Interbus-överenskommelsen (i stället för fyra) inklusive unionen ingå, ratificera eller ansluta sig till protokollet för att det ska kunna träda i kraft för de avtalsslutande parter som har ingått, ratificerat eller anslutit sig till det.</w:t>
      </w:r>
    </w:p>
    <w:p>
      <w:pPr>
        <w:pBdr>
          <w:top w:val="nil"/>
          <w:left w:val="nil"/>
          <w:bottom w:val="nil"/>
          <w:right w:val="nil"/>
          <w:between w:val="nil"/>
          <w:bar w:val="nil"/>
        </w:pBdr>
        <w:spacing w:before="0" w:after="240"/>
        <w:rPr>
          <w:noProof/>
          <w:szCs w:val="24"/>
        </w:rPr>
      </w:pPr>
      <w:r>
        <w:rPr>
          <w:noProof/>
        </w:rPr>
        <w:t xml:space="preserve">Tidsfristen för undertecknandet av protokollet är nu två år från och med dagen för antagandet av rådets beslut om Europeiska unionens undertecknande av protokollet. </w:t>
      </w:r>
    </w:p>
    <w:p>
      <w:pPr>
        <w:pBdr>
          <w:top w:val="nil"/>
          <w:left w:val="nil"/>
          <w:bottom w:val="nil"/>
          <w:right w:val="nil"/>
          <w:between w:val="nil"/>
          <w:bar w:val="nil"/>
        </w:pBdr>
        <w:spacing w:before="0" w:after="240"/>
        <w:rPr>
          <w:noProof/>
        </w:rPr>
      </w:pPr>
      <w:r>
        <w:rPr>
          <w:noProof/>
        </w:rPr>
        <w:t>Fristen för ikraftträdande av protokollet förkortades för de fördragsslutande parter som ingår, ratificerar eller ansluter sig till det, nämligen från den första dagen i den tredje månaden till den första dagen i den månad som följer på den månad då det föreskrivna antalet godkännanden eller ratifikationer från de avtalsslutande parterna har uppnåtts.</w:t>
      </w:r>
    </w:p>
    <w:p>
      <w:pPr>
        <w:pBdr>
          <w:top w:val="nil"/>
          <w:left w:val="nil"/>
          <w:bottom w:val="nil"/>
          <w:right w:val="nil"/>
          <w:between w:val="nil"/>
          <w:bar w:val="nil"/>
        </w:pBdr>
        <w:spacing w:before="0" w:after="240"/>
        <w:rPr>
          <w:noProof/>
          <w:szCs w:val="24"/>
        </w:rPr>
      </w:pPr>
      <w:r>
        <w:rPr>
          <w:noProof/>
        </w:rPr>
        <w:t>En av de avtalsslutande parterna har ändrat sitt namn till Republiken Nordmakedonien, vilket också återspeglas i protokollet.</w:t>
      </w:r>
    </w:p>
    <w:p>
      <w:pPr>
        <w:pBdr>
          <w:top w:val="nil"/>
          <w:left w:val="nil"/>
          <w:bottom w:val="nil"/>
          <w:right w:val="nil"/>
          <w:between w:val="nil"/>
          <w:bar w:val="nil"/>
        </w:pBdr>
        <w:spacing w:before="0" w:after="240"/>
        <w:rPr>
          <w:noProof/>
        </w:rPr>
      </w:pPr>
      <w:r>
        <w:rPr>
          <w:noProof/>
        </w:rPr>
        <w:t xml:space="preserve">Protokollet kommer att ersätta protokollet till Interbus-överenskommelsen avseende internationell linjetrafik och internationell särskild linjetrafik för persontransport med buss vilket var öppet för undertecknande mellan den 16 juli 2018 och den 16 april 2019 men som enbart skrevs under av unionen på grundval av rådets beslut (EU) 2018/1195. </w:t>
      </w:r>
    </w:p>
    <w:p>
      <w:pPr>
        <w:pBdr>
          <w:top w:val="nil"/>
          <w:left w:val="nil"/>
          <w:bottom w:val="nil"/>
          <w:right w:val="nil"/>
          <w:between w:val="nil"/>
          <w:bar w:val="nil"/>
        </w:pBdr>
        <w:spacing w:before="0" w:after="240"/>
        <w:rPr>
          <w:noProof/>
          <w:szCs w:val="24"/>
        </w:rPr>
      </w:pPr>
      <w:r>
        <w:rPr>
          <w:noProof/>
        </w:rPr>
        <w:t xml:space="preserve">Rådets arbetsgrupp för landtransporter, som utsetts av rådet som särskild kommitté enligt artikel 218.4 i EUF-fördraget, har fortlöpande informerats om framstegen i förhandlingarna. </w:t>
      </w:r>
    </w:p>
    <w:p>
      <w:pPr>
        <w:pStyle w:val="ManualHeading2"/>
        <w:spacing w:after="240"/>
        <w:rPr>
          <w:noProof/>
        </w:rPr>
      </w:pPr>
      <w:r>
        <w:rPr>
          <w:noProof/>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Det föreslagna protokollet stämmer överens med unionens vägtransportpolitik. Det omfattar de relevanta delarna av förordning (EG) nr 1073/2009</w:t>
      </w:r>
      <w:r>
        <w:rPr>
          <w:rStyle w:val="FootnoteReference"/>
          <w:noProof/>
        </w:rPr>
        <w:footnoteReference w:id="6"/>
      </w:r>
      <w:r>
        <w:rPr>
          <w:noProof/>
        </w:rPr>
        <w:t>, anpassade till syftet med en multilateral, internationell överenskommelse.</w:t>
      </w:r>
    </w:p>
    <w:p>
      <w:pPr>
        <w:pStyle w:val="ManualHeading2"/>
        <w:spacing w:after="240"/>
        <w:rPr>
          <w:noProof/>
        </w:rPr>
      </w:pPr>
      <w:r>
        <w:rPr>
          <w:noProof/>
        </w:rPr>
        <w:t>•</w:t>
      </w:r>
      <w:r>
        <w:rPr>
          <w:noProof/>
        </w:rPr>
        <w:tab/>
        <w:t>Förenlighet med unionens politik inom andra områden</w:t>
      </w:r>
    </w:p>
    <w:p>
      <w:pPr>
        <w:pBdr>
          <w:top w:val="nil"/>
          <w:left w:val="nil"/>
          <w:bottom w:val="nil"/>
          <w:right w:val="nil"/>
          <w:between w:val="nil"/>
          <w:bar w:val="nil"/>
        </w:pBdr>
        <w:spacing w:before="0" w:after="240"/>
        <w:rPr>
          <w:noProof/>
        </w:rPr>
      </w:pPr>
      <w:r>
        <w:rPr>
          <w:noProof/>
        </w:rPr>
        <w:t>Förslaget till protokoll är förenligt med EU:s grannskapspolitik och yttre förbindelser.</w:t>
      </w:r>
    </w:p>
    <w:p>
      <w:pPr>
        <w:pStyle w:val="ManualHeading2"/>
        <w:spacing w:after="240"/>
        <w:rPr>
          <w:noProof/>
        </w:rPr>
      </w:pPr>
      <w:r>
        <w:rPr>
          <w:noProof/>
        </w:rPr>
        <w:t>•</w:t>
      </w:r>
      <w:r>
        <w:rPr>
          <w:noProof/>
        </w:rPr>
        <w:tab/>
        <w:t>Skattebestämmelser</w:t>
      </w:r>
    </w:p>
    <w:p>
      <w:pPr>
        <w:pBdr>
          <w:top w:val="nil"/>
          <w:left w:val="nil"/>
          <w:bottom w:val="nil"/>
          <w:right w:val="nil"/>
          <w:between w:val="nil"/>
          <w:bar w:val="nil"/>
        </w:pBdr>
        <w:spacing w:before="0" w:after="240"/>
        <w:rPr>
          <w:noProof/>
        </w:rPr>
      </w:pPr>
      <w:r>
        <w:rPr>
          <w:noProof/>
        </w:rPr>
        <w:t>Tillnärmning av tull- och skattebestämmelser i protokollet är, till sitt syfte och innehåll, endast sekundär och indirekt till sin natur, i jämförelse med de transportpolitiska mål som eftersträvas i protokollet.</w:t>
      </w:r>
    </w:p>
    <w:p>
      <w:pPr>
        <w:pStyle w:val="ManualHeading1"/>
        <w:spacing w:after="240"/>
        <w:rPr>
          <w:noProof/>
        </w:rPr>
      </w:pPr>
      <w:r>
        <w:rPr>
          <w:noProof/>
        </w:rPr>
        <w:lastRenderedPageBreak/>
        <w:t>2.</w:t>
      </w:r>
      <w:r>
        <w:rPr>
          <w:noProof/>
        </w:rPr>
        <w:tab/>
        <w:t>RESULTAT AV SAMRÅD MED BERÖRDA PARTER SAMT KONSEKVENSBEDÖMNINGAR</w:t>
      </w:r>
    </w:p>
    <w:p>
      <w:pPr>
        <w:pStyle w:val="ManualHeading2"/>
        <w:spacing w:after="240"/>
        <w:rPr>
          <w:noProof/>
        </w:rPr>
      </w:pPr>
      <w:r>
        <w:rPr>
          <w:noProof/>
        </w:rPr>
        <w:t>•</w:t>
      </w:r>
      <w:r>
        <w:rPr>
          <w:noProof/>
        </w:rPr>
        <w:tab/>
        <w:t>Insamling och användning av sakkunnigutlåtanden och konsekvensbedömning</w:t>
      </w:r>
    </w:p>
    <w:p>
      <w:pPr>
        <w:pBdr>
          <w:top w:val="nil"/>
          <w:left w:val="nil"/>
          <w:bottom w:val="nil"/>
          <w:right w:val="nil"/>
          <w:between w:val="nil"/>
          <w:bar w:val="nil"/>
        </w:pBdr>
        <w:spacing w:before="0" w:after="240"/>
        <w:rPr>
          <w:noProof/>
        </w:rPr>
      </w:pPr>
      <w:r>
        <w:rPr>
          <w:noProof/>
        </w:rPr>
        <w:t xml:space="preserve">Kommissionen har inte gjort någon konsekvensbedömning eller utnyttjat externa sakkunnigutlåtanden. En utvidgning av Interbus-överenskommelsen till internationell linjetrafik och särskild linjetrafik med buss skulle bidra till att bredda den geografiska tillämpningen av EU:s regelverk på området för persontransport på väg. </w:t>
      </w:r>
    </w:p>
    <w:p>
      <w:pPr>
        <w:pBdr>
          <w:top w:val="nil"/>
          <w:left w:val="nil"/>
          <w:bottom w:val="nil"/>
          <w:right w:val="nil"/>
          <w:between w:val="nil"/>
          <w:bar w:val="nil"/>
        </w:pBdr>
        <w:spacing w:before="0" w:after="240"/>
        <w:rPr>
          <w:noProof/>
        </w:rPr>
      </w:pPr>
      <w:r>
        <w:rPr>
          <w:noProof/>
        </w:rPr>
        <w:t>De ekonomiska och sociala effekterna skulle gynna persontransportbranschen och turismen. Ökade trafikvolymer skulle troligen ge måttliga miljöeffekter.</w:t>
      </w:r>
    </w:p>
    <w:p>
      <w:pPr>
        <w:pStyle w:val="ManualHeading2"/>
        <w:spacing w:after="240"/>
        <w:rPr>
          <w:noProof/>
        </w:rPr>
      </w:pPr>
      <w:r>
        <w:rPr>
          <w:noProof/>
        </w:rPr>
        <w:t>•</w:t>
      </w:r>
      <w:r>
        <w:rPr>
          <w:noProof/>
        </w:rPr>
        <w:tab/>
        <w:t>Förenkling</w:t>
      </w:r>
    </w:p>
    <w:p>
      <w:pPr>
        <w:spacing w:before="0" w:after="240" w:line="280" w:lineRule="atLeast"/>
        <w:rPr>
          <w:noProof/>
        </w:rPr>
      </w:pPr>
      <w:r>
        <w:rPr>
          <w:noProof/>
        </w:rPr>
        <w:t>En harmonisering av förfarandena för att få tillstånd till internationell linjetrafik och särskild linjetrafik för persontransport med buss skulle förenkla tillståndsförfarandet.</w:t>
      </w:r>
    </w:p>
    <w:p>
      <w:pPr>
        <w:pStyle w:val="ManualHeading1"/>
        <w:spacing w:before="240" w:after="240"/>
        <w:rPr>
          <w:noProof/>
        </w:rPr>
      </w:pPr>
      <w:r>
        <w:rPr>
          <w:noProof/>
        </w:rPr>
        <w:t>3.</w:t>
      </w:r>
      <w:r>
        <w:rPr>
          <w:noProof/>
        </w:rPr>
        <w:tab/>
        <w:t>FÖRSLAGETS RÄTTSLIGA ASPEKTER</w:t>
      </w:r>
    </w:p>
    <w:p>
      <w:pPr>
        <w:pStyle w:val="ManualHeading2"/>
        <w:spacing w:after="240"/>
        <w:rPr>
          <w:noProof/>
        </w:rPr>
      </w:pPr>
      <w:r>
        <w:rPr>
          <w:noProof/>
        </w:rPr>
        <w:t>•</w:t>
      </w:r>
      <w:r>
        <w:rPr>
          <w:noProof/>
        </w:rPr>
        <w:tab/>
        <w:t>Rättslig grund</w:t>
      </w:r>
    </w:p>
    <w:p>
      <w:pPr>
        <w:spacing w:after="240"/>
        <w:rPr>
          <w:noProof/>
        </w:rPr>
      </w:pPr>
      <w:r>
        <w:rPr>
          <w:noProof/>
        </w:rPr>
        <w:t>Den rättsliga grunden är fördraget om Europeiska unionens funktionssätt (EUF-fördraget), och den materiella rättsliga grunden är särskilt artikel 91 i EUF-fördraget jämförd med artikel 218.5 i EUF-fördraget.</w:t>
      </w:r>
    </w:p>
    <w:p>
      <w:pPr>
        <w:pStyle w:val="ManualHeading2"/>
        <w:spacing w:after="240"/>
        <w:rPr>
          <w:noProof/>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Enligt artikel 218.5 i EUF-fördraget ska det tillämpliga instrumentet vara ett rådsbeslut.</w:t>
      </w:r>
    </w:p>
    <w:p>
      <w:pPr>
        <w:pStyle w:val="ManualHeading1"/>
        <w:spacing w:after="240"/>
        <w:rPr>
          <w:noProof/>
        </w:rPr>
      </w:pPr>
      <w:r>
        <w:rPr>
          <w:noProof/>
        </w:rPr>
        <w:t>4.</w:t>
      </w:r>
      <w:r>
        <w:rPr>
          <w:noProof/>
        </w:rPr>
        <w:tab/>
        <w:t>BUDGETKONSEKVENSER</w:t>
      </w:r>
    </w:p>
    <w:p>
      <w:pPr>
        <w:spacing w:before="0" w:after="240" w:line="280" w:lineRule="atLeast"/>
        <w:rPr>
          <w:noProof/>
        </w:rPr>
      </w:pPr>
      <w:r>
        <w:rPr>
          <w:noProof/>
        </w:rPr>
        <w:t>Inga.</w:t>
      </w:r>
    </w:p>
    <w:p>
      <w:pPr>
        <w:pStyle w:val="ManualHeading1"/>
        <w:spacing w:after="240"/>
        <w:rPr>
          <w:noProof/>
        </w:rPr>
      </w:pPr>
      <w:r>
        <w:rPr>
          <w:noProof/>
        </w:rPr>
        <w:t>5.</w:t>
      </w:r>
      <w:r>
        <w:rPr>
          <w:noProof/>
        </w:rPr>
        <w:tab/>
        <w:t>ÖVRIGA INSLAG</w:t>
      </w:r>
    </w:p>
    <w:p>
      <w:pPr>
        <w:pStyle w:val="ManualHeading2"/>
        <w:spacing w:after="240"/>
        <w:rPr>
          <w:noProof/>
        </w:rPr>
      </w:pPr>
      <w:r>
        <w:rPr>
          <w:noProof/>
        </w:rPr>
        <w:t>•</w:t>
      </w:r>
      <w:r>
        <w:rPr>
          <w:noProof/>
        </w:rPr>
        <w:tab/>
        <w:t>Utvärdering och rapportering</w:t>
      </w:r>
    </w:p>
    <w:p>
      <w:pPr>
        <w:spacing w:before="0" w:after="240" w:line="280" w:lineRule="atLeast"/>
        <w:rPr>
          <w:noProof/>
        </w:rPr>
      </w:pPr>
      <w:r>
        <w:rPr>
          <w:noProof/>
        </w:rPr>
        <w:t>I artikel 16 i protokollet föreskrivs att den gemensamma kommitté som avses i artikel 18 i protokollet vart femte år ska utvärdera hur protokollet fungerar.</w:t>
      </w:r>
    </w:p>
    <w:p>
      <w:pPr>
        <w:pStyle w:val="ManualHeading2"/>
        <w:spacing w:after="240"/>
        <w:rPr>
          <w:noProof/>
        </w:rPr>
      </w:pPr>
      <w:r>
        <w:rPr>
          <w:noProof/>
        </w:rPr>
        <w:t>•</w:t>
      </w:r>
      <w:r>
        <w:rPr>
          <w:noProof/>
        </w:rPr>
        <w:tab/>
        <w:t>Ytterligare förfarande</w:t>
      </w:r>
    </w:p>
    <w:p>
      <w:pPr>
        <w:spacing w:after="240"/>
        <w:rPr>
          <w:noProof/>
        </w:rPr>
      </w:pPr>
      <w:r>
        <w:rPr>
          <w:noProof/>
        </w:rPr>
        <w:t>Kommissionen anser att det är nödvändigt att inleda förfarandet för att underteckna protokollet. Följaktligen överlämnar kommissionen härmed till rådet detta nya förslag till ett rådsbeslut om undertecknande av ett protokoll avseende internationell linjetrafik och internationell särskild linjetrafik för persontransport med buss som hör till överenskommelsen om tillfällig internationell persontransport med buss (Interbus-överenskommelsen).</w:t>
      </w:r>
    </w:p>
    <w:p>
      <w:pPr>
        <w:pStyle w:val="ManualHeading2"/>
        <w:spacing w:after="240"/>
        <w:rPr>
          <w:noProof/>
        </w:rPr>
      </w:pPr>
      <w:r>
        <w:rPr>
          <w:noProof/>
        </w:rPr>
        <w:lastRenderedPageBreak/>
        <w:t>•</w:t>
      </w:r>
      <w:r>
        <w:rPr>
          <w:noProof/>
        </w:rPr>
        <w:tab/>
        <w:t>Ingående redogörelse för de specifika bestämmelserna i förslaget</w:t>
      </w:r>
    </w:p>
    <w:p>
      <w:pPr>
        <w:pStyle w:val="ManualHeading3"/>
        <w:spacing w:after="240"/>
        <w:rPr>
          <w:noProof/>
        </w:rPr>
      </w:pPr>
      <w:r>
        <w:rPr>
          <w:noProof/>
        </w:rPr>
        <w:t>Särskilda bestämmelser i utkastet till rådets beslut:</w:t>
      </w:r>
    </w:p>
    <w:p>
      <w:pPr>
        <w:pStyle w:val="Bullet0"/>
        <w:numPr>
          <w:ilvl w:val="0"/>
          <w:numId w:val="12"/>
        </w:numPr>
        <w:spacing w:after="240"/>
        <w:rPr>
          <w:noProof/>
          <w:szCs w:val="24"/>
        </w:rPr>
      </w:pPr>
      <w:r>
        <w:rPr>
          <w:noProof/>
        </w:rPr>
        <w:t>I artikel 1 i rådsbeslutet föreskrivs undertecknandet, på unionens vägnar, av en ny version av protokollet om internationell linjetrafik och särskild linjetrafik för persontransport med buss som hör till Interbus-överenskommelsen.</w:t>
      </w:r>
    </w:p>
    <w:p>
      <w:pPr>
        <w:pStyle w:val="Bullet0"/>
        <w:spacing w:after="240"/>
        <w:rPr>
          <w:noProof/>
        </w:rPr>
      </w:pPr>
      <w:r>
        <w:rPr>
          <w:noProof/>
        </w:rPr>
        <w:t>I artikel 2 fastställs befogenheterna att underteckna protokollet.</w:t>
      </w:r>
    </w:p>
    <w:p>
      <w:pPr>
        <w:pStyle w:val="Bullet0"/>
        <w:spacing w:after="240"/>
        <w:rPr>
          <w:noProof/>
        </w:rPr>
      </w:pPr>
      <w:r>
        <w:rPr>
          <w:noProof/>
        </w:rPr>
        <w:t>I artikel 3 föreskrivs rådsbeslutets ikraftträdande.</w:t>
      </w:r>
    </w:p>
    <w:p>
      <w:pPr>
        <w:pStyle w:val="ManualHeading3"/>
        <w:spacing w:after="240"/>
        <w:rPr>
          <w:noProof/>
        </w:rPr>
      </w:pPr>
      <w:r>
        <w:rPr>
          <w:noProof/>
        </w:rPr>
        <w:t>Särskilda bestämmelser i protokollet:</w:t>
      </w:r>
    </w:p>
    <w:p>
      <w:pPr>
        <w:pStyle w:val="Bullet0"/>
        <w:spacing w:after="240"/>
        <w:rPr>
          <w:noProof/>
        </w:rPr>
      </w:pPr>
      <w:r>
        <w:rPr>
          <w:noProof/>
        </w:rPr>
        <w:t>I artikel 1 anges protokollets tillämpningsområde för internationell linjetrafik och särskild linjetrafik för persontransport med startpunkt eller slutpunkt i den avtalsslutande part där transportören är etablerad eller där fordonen är registrerade eller där trafiken passerar oavsett om passagerare tas upp eller släpps av eller inte. I artikeln hänvisas också till partnerskapsarrangemang. Cabotage i alla former är förbjudet.</w:t>
      </w:r>
    </w:p>
    <w:p>
      <w:pPr>
        <w:pStyle w:val="Bullet0"/>
        <w:spacing w:after="240"/>
        <w:rPr>
          <w:noProof/>
        </w:rPr>
      </w:pPr>
      <w:r>
        <w:rPr>
          <w:noProof/>
        </w:rPr>
        <w:t>Artikel 2 innehåller en bestämmelse om icke-diskriminering.</w:t>
      </w:r>
    </w:p>
    <w:p>
      <w:pPr>
        <w:pStyle w:val="Bullet0"/>
        <w:spacing w:after="240"/>
        <w:rPr>
          <w:noProof/>
        </w:rPr>
      </w:pPr>
      <w:r>
        <w:rPr>
          <w:noProof/>
        </w:rPr>
        <w:t>Artikel 3 innehåller definitioner.</w:t>
      </w:r>
    </w:p>
    <w:p>
      <w:pPr>
        <w:pStyle w:val="Bullet0"/>
        <w:spacing w:after="240"/>
        <w:rPr>
          <w:noProof/>
        </w:rPr>
      </w:pPr>
      <w:r>
        <w:rPr>
          <w:noProof/>
        </w:rPr>
        <w:t>I artikel 4 hänvisas till bilaga 1 till Interbus-överenskommelsen om de bestämmelser som gäller för yrkesmässigt bedrivande av persontransport på väg.</w:t>
      </w:r>
    </w:p>
    <w:p>
      <w:pPr>
        <w:pStyle w:val="Bullet0"/>
        <w:spacing w:after="240"/>
        <w:rPr>
          <w:noProof/>
        </w:rPr>
      </w:pPr>
      <w:r>
        <w:rPr>
          <w:noProof/>
        </w:rPr>
        <w:t>I artikel 5 hänvisas till bilaga 2 till Interbus-överenskommelsen om de tekniska villkor som gäller för fordon.</w:t>
      </w:r>
    </w:p>
    <w:p>
      <w:pPr>
        <w:pStyle w:val="Bullet0"/>
        <w:spacing w:after="240"/>
        <w:rPr>
          <w:noProof/>
        </w:rPr>
      </w:pPr>
      <w:r>
        <w:rPr>
          <w:noProof/>
        </w:rPr>
        <w:t>I artikel 6 finns bestämmelser om internationell linjetrafik och särskild linjetrafik som kräver tillstånd. Bland annat föreskrivs möjligheten för avtalsslutande parter och EU-medlemsstater att besluta att all internationell linjetrafik och särskild linjetrafik mellan avtalsslutande parter ska vara föremål för partnerskapsarrangemang mellan transportörer från trafikens startpunkt och slutpunkt. Transportörer från de avtalsslutande parter eller medlemsstater som passeras och har hållplatser för att ta upp eller släppa av passagerare bör ha rätt att delta i dessa partnerskap, om de så beslutar.</w:t>
      </w:r>
    </w:p>
    <w:p>
      <w:pPr>
        <w:pStyle w:val="Bullet0"/>
        <w:spacing w:after="240"/>
        <w:rPr>
          <w:noProof/>
        </w:rPr>
      </w:pPr>
      <w:r>
        <w:rPr>
          <w:noProof/>
        </w:rPr>
        <w:t xml:space="preserve">I artikel 7 föreskrivs att avsnitten V och VI i Interbus-överenskommelsen om sociala bestämmelser och tull- och skattebestämmelser gäller för protokollet. </w:t>
      </w:r>
    </w:p>
    <w:p>
      <w:pPr>
        <w:pStyle w:val="Bullet0"/>
        <w:spacing w:after="240"/>
        <w:rPr>
          <w:noProof/>
        </w:rPr>
      </w:pPr>
      <w:r>
        <w:rPr>
          <w:noProof/>
        </w:rPr>
        <w:t>Artikel 8 innehåller bestämmelser om den tillståndsgivande myndighet som utfärdar tillstånd, mottagarna av tillstånd, giltighetstiden för ett tillstånd, uppgifter som ska anges i ett tillstånd och användning av extrafordon i tillfälliga situationer och undantagssituationer.</w:t>
      </w:r>
    </w:p>
    <w:p>
      <w:pPr>
        <w:pStyle w:val="Bullet0"/>
        <w:spacing w:after="240"/>
        <w:rPr>
          <w:noProof/>
        </w:rPr>
      </w:pPr>
      <w:r>
        <w:rPr>
          <w:noProof/>
        </w:rPr>
        <w:t>I artikel 9 definieras förfarandet för att lämna in en ansökan om tillstånd.</w:t>
      </w:r>
    </w:p>
    <w:p>
      <w:pPr>
        <w:pStyle w:val="Bullet0"/>
        <w:spacing w:after="240"/>
        <w:rPr>
          <w:noProof/>
        </w:rPr>
      </w:pPr>
      <w:r>
        <w:rPr>
          <w:noProof/>
        </w:rPr>
        <w:lastRenderedPageBreak/>
        <w:t>I artikel 10 föreskrivs tillståndsförfarandet, inbegripet kontakter mellan de relevanta behöriga myndigheterna, för att bevilja tillståndet och de särskilda orsakerna till att en anmälan avslås.</w:t>
      </w:r>
    </w:p>
    <w:p>
      <w:pPr>
        <w:pStyle w:val="Bullet0"/>
        <w:spacing w:after="240"/>
        <w:rPr>
          <w:noProof/>
        </w:rPr>
      </w:pPr>
      <w:r>
        <w:rPr>
          <w:noProof/>
        </w:rPr>
        <w:t>I artikel 11 fastställs regler för förnyelse eller ändring av ett tillstånd.</w:t>
      </w:r>
    </w:p>
    <w:p>
      <w:pPr>
        <w:pStyle w:val="Bullet0"/>
        <w:spacing w:after="240"/>
        <w:rPr>
          <w:noProof/>
        </w:rPr>
      </w:pPr>
      <w:r>
        <w:rPr>
          <w:noProof/>
        </w:rPr>
        <w:t>I artikel 12 finns regler om hur ett tillstånd upphör att gälla.</w:t>
      </w:r>
    </w:p>
    <w:p>
      <w:pPr>
        <w:pStyle w:val="Bullet0"/>
        <w:spacing w:after="240"/>
        <w:rPr>
          <w:noProof/>
        </w:rPr>
      </w:pPr>
      <w:r>
        <w:rPr>
          <w:noProof/>
        </w:rPr>
        <w:t>I artikel 13 finns bestämmelser om transportörers skyldigheter.</w:t>
      </w:r>
    </w:p>
    <w:p>
      <w:pPr>
        <w:pStyle w:val="Bullet0"/>
        <w:spacing w:after="240"/>
        <w:rPr>
          <w:noProof/>
        </w:rPr>
      </w:pPr>
      <w:r>
        <w:rPr>
          <w:noProof/>
        </w:rPr>
        <w:t>I artikel 14 föreskrivs att de avtalsslutande parterna ska säkerställa att transportörer uppfyller de relevanta bestämmelserna i protokollet.</w:t>
      </w:r>
    </w:p>
    <w:p>
      <w:pPr>
        <w:pStyle w:val="Bullet0"/>
        <w:spacing w:after="240"/>
        <w:rPr>
          <w:noProof/>
        </w:rPr>
      </w:pPr>
      <w:r>
        <w:rPr>
          <w:noProof/>
        </w:rPr>
        <w:t>I artikel 15 (jämförd med artikel 8.9) förtecknas de handlingar som ska medföras i fordonet. Samma förteckning över handlingar som ska medföras i fordonet återges på sidan tre i mallen för tillstånd i bilaga 4 till protokollet.</w:t>
      </w:r>
    </w:p>
    <w:p>
      <w:pPr>
        <w:pStyle w:val="Bullet0"/>
        <w:spacing w:after="240"/>
        <w:rPr>
          <w:noProof/>
        </w:rPr>
      </w:pPr>
      <w:r>
        <w:rPr>
          <w:noProof/>
        </w:rPr>
        <w:t>I artikel 16 föreskrivs protokollets varaktighet (fem år), med en automatisk förlängning i perioder på fem år, samt regelbundna utvärderingar av hur protokollet fungerar.</w:t>
      </w:r>
    </w:p>
    <w:p>
      <w:pPr>
        <w:pStyle w:val="Bullet0"/>
        <w:spacing w:after="240"/>
        <w:rPr>
          <w:noProof/>
        </w:rPr>
      </w:pPr>
      <w:r>
        <w:rPr>
          <w:noProof/>
        </w:rPr>
        <w:t>I artikel 17 beskrivs hur bestämmelserna i Interbus-överenskommelsen, med vissa ändringar, ska tillämpas, särskilt den femåriga övergångsperioden för befintlig linjetrafik och särskild linjetrafik för persontransport på väg i bilaterala avtal samt ingående, ratificering eller godkännande av protokollet, dess ikraftträdande, uppsägning och språk. I artikeln föreskrivs också att antalet ratificeringar som krävs för att protokollet ska träda i kraft ska minskas från fyra (i enlighet med Interbus-överenskommelsen) till tre. För de avtalsslutande parter som har undertecknat och godkänt eller ratificerat protokollet bör protokollet träda i kraft den första dagen i den månad som följer på den månad då tre avtalsslutande parter, däribland unionen, har deponerat sina instrument för godkännande eller ratificering vid rådets generalsekretariat.</w:t>
      </w:r>
    </w:p>
    <w:p>
      <w:pPr>
        <w:pStyle w:val="Bullet0"/>
        <w:spacing w:after="240"/>
        <w:rPr>
          <w:noProof/>
        </w:rPr>
      </w:pPr>
      <w:r>
        <w:rPr>
          <w:noProof/>
        </w:rPr>
        <w:t>Genom artikel 18 inrättas en gemensam kommitté som ska förvalta protokollet i tillämpliga delar avseende artiklarna 23 och 24 i Interbus-överenskommelsen.</w:t>
      </w:r>
    </w:p>
    <w:p>
      <w:pPr>
        <w:pStyle w:val="Bullet0"/>
        <w:spacing w:after="240"/>
        <w:rPr>
          <w:noProof/>
        </w:rPr>
      </w:pPr>
      <w:r>
        <w:rPr>
          <w:noProof/>
        </w:rPr>
        <w:t>I artikel 19 föreskrivs förfarandet när ett tredjeland som är avtalsslutande part till protokollet ansluter sig till EU.</w:t>
      </w:r>
    </w:p>
    <w:p>
      <w:pPr>
        <w:pStyle w:val="Bullet0"/>
        <w:spacing w:after="240"/>
        <w:rPr>
          <w:noProof/>
        </w:rPr>
      </w:pPr>
      <w:r>
        <w:rPr>
          <w:noProof/>
        </w:rPr>
        <w:t>I artikel 20 anges en tidsfrist för undertecknande på två år för protokollet från och med den dag då rådet antar detta rådsbeslut. Här anges också att endast de avtalsslutande parterna i Interbus-överenskommelsen kan ingå, ansluta sig till eller ratificera protokollet.</w:t>
      </w:r>
    </w:p>
    <w:p>
      <w:pPr>
        <w:pStyle w:val="Bullet0"/>
        <w:spacing w:after="240"/>
        <w:rPr>
          <w:noProof/>
        </w:rPr>
      </w:pPr>
      <w:r>
        <w:rPr>
          <w:noProof/>
        </w:rPr>
        <w:t>I artikel 21 föreskrivs att varje avtalsslutande part till Interbus-överenskommelsen får ansluta sig till protokollet efter dess ikraftträdande.</w:t>
      </w:r>
    </w:p>
    <w:p>
      <w:pPr>
        <w:pStyle w:val="Bullet0"/>
        <w:spacing w:after="240"/>
        <w:rPr>
          <w:noProof/>
        </w:rPr>
      </w:pPr>
      <w:r>
        <w:rPr>
          <w:noProof/>
        </w:rPr>
        <w:t>I artikel 22 fastställs att bilagorna till protokollet ska utgöra en integrerad del av protokollet.</w:t>
      </w:r>
    </w:p>
    <w:p>
      <w:pPr>
        <w:pStyle w:val="Bullet0"/>
        <w:spacing w:after="240"/>
        <w:rPr>
          <w:noProof/>
        </w:rPr>
      </w:pPr>
      <w:r>
        <w:rPr>
          <w:noProof/>
        </w:rPr>
        <w:lastRenderedPageBreak/>
        <w:t xml:space="preserve">I artikel 23 föreskrivs att protokollet ska ersätta linjetrafikprotokollet, som var öppet för undertecknande mellan den 16 juli och den 16 april 2019. </w:t>
      </w:r>
    </w:p>
    <w:p>
      <w:pPr>
        <w:pStyle w:val="Bullet0"/>
        <w:spacing w:after="240"/>
        <w:rPr>
          <w:noProof/>
        </w:rPr>
      </w:pPr>
      <w:r>
        <w:rPr>
          <w:noProof/>
        </w:rPr>
        <w:t xml:space="preserve">I bilagorna 1 och 2 till protokollet hänvisas till bilagorna 1 och 2 till Interbus-överenskommelsen. </w:t>
      </w:r>
    </w:p>
    <w:p>
      <w:pPr>
        <w:pStyle w:val="Bullet0"/>
        <w:spacing w:after="240"/>
        <w:rPr>
          <w:noProof/>
        </w:rPr>
      </w:pPr>
      <w:r>
        <w:rPr>
          <w:noProof/>
        </w:rPr>
        <w:t>I bilaga 3 finns en mall för ansökan om internationell linjetrafik eller särskild linjetrafik för persontransport med krav på tillstånd.</w:t>
      </w:r>
    </w:p>
    <w:p>
      <w:pPr>
        <w:pStyle w:val="Bullet0"/>
        <w:spacing w:after="240"/>
        <w:rPr>
          <w:noProof/>
        </w:rPr>
      </w:pPr>
      <w:r>
        <w:rPr>
          <w:noProof/>
        </w:rPr>
        <w:t>I bilaga 4 finns en mall för tillstånd till internationell linjetrafik eller särskild linjetrafik för persontransport på väg.</w:t>
      </w:r>
    </w:p>
    <w:p>
      <w:pPr>
        <w:rPr>
          <w:noProof/>
          <w:sz w:val="23"/>
          <w:szCs w:val="23"/>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2020/0257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undertecknande på Europeiska unionens vägnar av ett protokoll till överenskommelsen om tillfällig internationell persontransport med buss (Interbus-överenskommelsen) avseende internationell linjetrafik och särskild linjetrafik för persontransport med buss</w:t>
      </w:r>
    </w:p>
    <w:p>
      <w:pPr>
        <w:pStyle w:val="Institutionquiagit"/>
        <w:spacing w:before="240"/>
        <w:rPr>
          <w:noProof/>
          <w:szCs w:val="24"/>
        </w:rPr>
      </w:pPr>
      <w:r>
        <w:rPr>
          <w:noProof/>
        </w:rPr>
        <w:t>EUROPEISKA UNIONENS RÅD HAR ANTAGIT DETTA BESLUT</w:t>
      </w:r>
    </w:p>
    <w:p>
      <w:pPr>
        <w:spacing w:before="240"/>
        <w:rPr>
          <w:noProof/>
          <w:szCs w:val="24"/>
        </w:rPr>
      </w:pPr>
      <w:r>
        <w:rPr>
          <w:noProof/>
        </w:rPr>
        <w:t>med beaktande av fördraget om Europeiska unionens funktionssätt, särskilt artikel 91 jämförd med artikel 218.5,</w:t>
      </w:r>
    </w:p>
    <w:p>
      <w:pPr>
        <w:spacing w:before="240"/>
        <w:rPr>
          <w:rFonts w:eastAsia="Times New Roman"/>
          <w:noProof/>
        </w:rPr>
      </w:pPr>
      <w:r>
        <w:rPr>
          <w:noProof/>
        </w:rPr>
        <w:t>med beaktande av Europeiska kommissionens förslag,</w:t>
      </w:r>
      <w:r>
        <w:rPr>
          <w:rStyle w:val="FootnoteReference"/>
          <w:rFonts w:eastAsia="Times New Roman"/>
          <w:noProof/>
          <w:szCs w:val="24"/>
          <w:lang w:eastAsia="en-GB"/>
        </w:rPr>
        <w:footnoteReference w:id="7"/>
      </w:r>
      <w:r>
        <w:rPr>
          <w:rStyle w:val="FootnoteReference"/>
          <w:rFonts w:eastAsia="Times New Roman"/>
          <w:noProof/>
          <w:vertAlign w:val="baseline"/>
          <w:lang w:eastAsia="en-GB"/>
        </w:rPr>
        <w:t>,</w:t>
      </w:r>
      <w:r>
        <w:rPr>
          <w:noProof/>
        </w:rPr>
        <w:t xml:space="preserve"> och</w:t>
      </w:r>
    </w:p>
    <w:p>
      <w:pPr>
        <w:spacing w:before="240"/>
        <w:rPr>
          <w:noProof/>
          <w:szCs w:val="24"/>
        </w:rPr>
      </w:pPr>
      <w:r>
        <w:rPr>
          <w:noProof/>
        </w:rPr>
        <w:t>av följande skäl:</w:t>
      </w:r>
    </w:p>
    <w:p>
      <w:pPr>
        <w:pStyle w:val="ManualConsidrant"/>
        <w:spacing w:before="240" w:after="240"/>
        <w:rPr>
          <w:noProof/>
        </w:rPr>
      </w:pPr>
      <w:r>
        <w:rPr>
          <w:noProof/>
        </w:rPr>
        <w:t>1)</w:t>
      </w:r>
      <w:r>
        <w:rPr>
          <w:noProof/>
        </w:rPr>
        <w:tab/>
        <w:t>I enlighet med rådets beslut 2002/917/EG</w:t>
      </w:r>
      <w:r>
        <w:rPr>
          <w:rStyle w:val="FootnoteReference"/>
          <w:noProof/>
        </w:rPr>
        <w:footnoteReference w:id="8"/>
      </w:r>
      <w:r>
        <w:rPr>
          <w:noProof/>
        </w:rPr>
        <w:t xml:space="preserve"> ingicks överenskommelsen om tillfällig internationell persontransport med buss</w:t>
      </w:r>
      <w:r>
        <w:rPr>
          <w:rStyle w:val="FootnoteReference"/>
          <w:noProof/>
        </w:rPr>
        <w:footnoteReference w:id="9"/>
      </w:r>
      <w:r>
        <w:rPr>
          <w:noProof/>
        </w:rPr>
        <w:t xml:space="preserve"> (Interbus-överenskommelsen) på unionens vägnar den 3 oktober 2002 och trädde i kraft den 1 januari 2003</w:t>
      </w:r>
      <w:r>
        <w:rPr>
          <w:rStyle w:val="FootnoteReference"/>
          <w:rFonts w:eastAsia="Times New Roman"/>
          <w:noProof/>
          <w:szCs w:val="24"/>
          <w:lang w:eastAsia="en-GB"/>
        </w:rPr>
        <w:footnoteReference w:id="10"/>
      </w:r>
      <w:r>
        <w:rPr>
          <w:noProof/>
        </w:rPr>
        <w:t>.</w:t>
      </w:r>
    </w:p>
    <w:p>
      <w:pPr>
        <w:pStyle w:val="ManualConsidrant"/>
        <w:spacing w:after="240"/>
        <w:rPr>
          <w:noProof/>
        </w:rPr>
      </w:pPr>
      <w:r>
        <w:rPr>
          <w:noProof/>
        </w:rPr>
        <w:t>2)</w:t>
      </w:r>
      <w:r>
        <w:rPr>
          <w:noProof/>
        </w:rPr>
        <w:tab/>
        <w:t>Den 16 juli 2018 antog rådet beslut (EU) 2018/1195</w:t>
      </w:r>
      <w:r>
        <w:rPr>
          <w:rStyle w:val="FootnoteReference"/>
          <w:bCs/>
          <w:noProof/>
        </w:rPr>
        <w:footnoteReference w:id="11"/>
      </w:r>
      <w:r>
        <w:rPr>
          <w:noProof/>
        </w:rPr>
        <w:t xml:space="preserve"> om undertecknande av protokollet avseende internationell linjetrafik och internationell särskild linjetrafik för persontransport med buss. </w:t>
      </w:r>
    </w:p>
    <w:p>
      <w:pPr>
        <w:pStyle w:val="ManualConsidrant"/>
        <w:rPr>
          <w:noProof/>
        </w:rPr>
      </w:pPr>
      <w:r>
        <w:rPr>
          <w:noProof/>
        </w:rPr>
        <w:t>3)</w:t>
      </w:r>
      <w:r>
        <w:rPr>
          <w:noProof/>
        </w:rPr>
        <w:tab/>
        <w:t xml:space="preserve">Linjetrafikprotokollet var öppet för undertecknande från och med den 16 juli 2018 till och med den 16 april 2019. Unionen skrev under protokollet den 11 april 2019. Inga andra avtalsslutande parter till Interbus-överenskommelsen skrev under protokollet innan tidsfristen för undertecknande löpte ut. Detta innebar att det var omöjligt för protokollet att träda i kraft. </w:t>
      </w:r>
    </w:p>
    <w:p>
      <w:pPr>
        <w:pStyle w:val="ManualConsidrant"/>
        <w:spacing w:before="240" w:after="240"/>
        <w:rPr>
          <w:noProof/>
        </w:rPr>
      </w:pPr>
      <w:r>
        <w:rPr>
          <w:noProof/>
        </w:rPr>
        <w:t>4)</w:t>
      </w:r>
      <w:r>
        <w:rPr>
          <w:noProof/>
        </w:rPr>
        <w:tab/>
        <w:t>Den 18 februari 2020 bemyndigade rådet kommissionen att inleda förhandlingar om ändring av linjetrafikprotokollet för att göra vissa tekniska ändringar i fråga om undertecknande och ikraftträdande av protokollet samt att återspegla ändringen av namnet på en avtalsslutande part i Interbus-överenskommelsen.</w:t>
      </w:r>
    </w:p>
    <w:p>
      <w:pPr>
        <w:pStyle w:val="ManualConsidrant"/>
        <w:spacing w:before="240" w:after="240"/>
        <w:rPr>
          <w:noProof/>
        </w:rPr>
      </w:pPr>
      <w:r>
        <w:rPr>
          <w:noProof/>
        </w:rPr>
        <w:lastRenderedPageBreak/>
        <w:t>5)</w:t>
      </w:r>
      <w:r>
        <w:rPr>
          <w:noProof/>
        </w:rPr>
        <w:tab/>
        <w:t>Förhandlingarna slutfördes framgångsrikt. En ny tidsfrist på två år för undertecknande av protokollet har fastställts. Dessutom har linjetrafikprotokollet ändrats så att dess ikraftträdande kräver godkännande eller ratificering av ett mindre antal avtalsslutande parter och så att det har en kortare väntetid efter detta godkännande eller denna ratificering, än vad som anges i Interbus-överenskommelsen. Dessutom har namnändringen från f.d. jugoslaviska republiken Makedonien till Republiken Nordmakedonien återspeglats i protokollet.</w:t>
      </w:r>
    </w:p>
    <w:p>
      <w:pPr>
        <w:pStyle w:val="ManualConsidrant"/>
        <w:spacing w:before="240" w:after="240"/>
        <w:ind w:left="720" w:hanging="720"/>
        <w:rPr>
          <w:noProof/>
        </w:rPr>
      </w:pPr>
      <w:r>
        <w:rPr>
          <w:noProof/>
        </w:rPr>
        <w:t>6)</w:t>
      </w:r>
      <w:r>
        <w:rPr>
          <w:noProof/>
        </w:rPr>
        <w:tab/>
        <w:t xml:space="preserve">Av tydlighetsskäl och för att underlätta att protokollet snabbt kan undertecknas och träda i kraft har det ansetts lämpligt att utarbeta ett nytt linjetrafikprotokoll, med aktuella ändringar, vilket ersätter linjetrafikprotokollet som var öppet för undertecknande mellan den 16 juli 2018 och den 16 april 2019. </w:t>
      </w:r>
    </w:p>
    <w:p>
      <w:pPr>
        <w:pStyle w:val="ManualConsidrant"/>
        <w:spacing w:before="240" w:after="240"/>
        <w:rPr>
          <w:bCs/>
          <w:noProof/>
        </w:rPr>
      </w:pPr>
      <w:r>
        <w:rPr>
          <w:noProof/>
        </w:rPr>
        <w:t>7)</w:t>
      </w:r>
      <w:r>
        <w:rPr>
          <w:noProof/>
        </w:rPr>
        <w:tab/>
        <w:t xml:space="preserve">Protokollet bör underlätta tillhandahållandet av linjetrafik och särskild linjetrafik mellan de avtalsslutande parterna i Interbus-överenskommelsen och därmed ge upphov till förbättrade persontransportförbindelser dem emellan. </w:t>
      </w:r>
    </w:p>
    <w:p>
      <w:pPr>
        <w:pStyle w:val="ManualConsidrant"/>
        <w:spacing w:before="240" w:after="240"/>
        <w:rPr>
          <w:bCs/>
          <w:noProof/>
        </w:rPr>
      </w:pPr>
      <w:r>
        <w:rPr>
          <w:noProof/>
        </w:rPr>
        <w:t>8)</w:t>
      </w:r>
      <w:r>
        <w:rPr>
          <w:noProof/>
        </w:rPr>
        <w:tab/>
        <w:t xml:space="preserve">I fråga om allmänna regler, särskilt om den gemensamma kommitténs funktion, och för att underlätta dess tillämpning, återspeglar det nya protokollet mestadels de regler som fastställs i Interbus-överenskommelsen. </w:t>
      </w:r>
    </w:p>
    <w:p>
      <w:pPr>
        <w:pStyle w:val="ManualConsidrant"/>
        <w:spacing w:before="240" w:after="240"/>
        <w:rPr>
          <w:bCs/>
          <w:noProof/>
        </w:rPr>
      </w:pPr>
      <w:r>
        <w:rPr>
          <w:noProof/>
        </w:rPr>
        <w:t>9)</w:t>
      </w:r>
      <w:r>
        <w:rPr>
          <w:noProof/>
        </w:rPr>
        <w:tab/>
        <w:t>För att protokollets nytta inte ska försenas alltför mycket, föreskrivs att protokollet ska träda ikraft, för de avtalsslutande parter som har godkänt eller ratificerat det, när tre avtalsslutande parter, inbegripet unionen, har godkänt eller ratificerat det.</w:t>
      </w:r>
    </w:p>
    <w:p>
      <w:pPr>
        <w:pStyle w:val="ManualConsidrant"/>
        <w:spacing w:before="240" w:after="480"/>
        <w:rPr>
          <w:noProof/>
        </w:rPr>
      </w:pPr>
      <w:r>
        <w:rPr>
          <w:noProof/>
        </w:rPr>
        <w:t>10)</w:t>
      </w:r>
      <w:r>
        <w:rPr>
          <w:noProof/>
        </w:rPr>
        <w:tab/>
        <w:t>Därför bör det nya linjetrafikprotokollet undertecknas på unionens vägnar, med förbehåll för att det senare ingås.</w:t>
      </w:r>
    </w:p>
    <w:p>
      <w:pPr>
        <w:pStyle w:val="Formuledadoption"/>
        <w:spacing w:after="240"/>
        <w:rPr>
          <w:noProof/>
          <w:szCs w:val="24"/>
        </w:rPr>
      </w:pPr>
      <w:r>
        <w:rPr>
          <w:noProof/>
        </w:rPr>
        <w:t>HÄRIGENOM FÖRESKRIVS FÖLJANDE.</w:t>
      </w:r>
    </w:p>
    <w:p>
      <w:pPr>
        <w:pStyle w:val="Titrearticle"/>
        <w:spacing w:after="240"/>
        <w:rPr>
          <w:noProof/>
        </w:rPr>
      </w:pPr>
      <w:r>
        <w:rPr>
          <w:noProof/>
        </w:rPr>
        <w:t>Artikel 1</w:t>
      </w:r>
    </w:p>
    <w:p>
      <w:pPr>
        <w:spacing w:before="0" w:after="240"/>
        <w:rPr>
          <w:noProof/>
        </w:rPr>
      </w:pPr>
      <w:r>
        <w:rPr>
          <w:noProof/>
        </w:rPr>
        <w:t>Undertecknandet av protokollet till överenskommelsen om tillfällig internationell persontransport med buss (Interbus-överenskommelsen) avseende internationell linjetrafik och särskild linjetrafik för persontransport med buss, som ersätter protokollet till Interbus-överenskommelsen som var öppet för undertecknande mellan den 16 juli 2018 och den 16 april 2019, godkänns härigenom på unionens vägnar, under förbehåll för att den nämnda överenskommelsen ingås</w:t>
      </w:r>
      <w:r>
        <w:rPr>
          <w:rStyle w:val="FootnoteReference"/>
          <w:noProof/>
        </w:rPr>
        <w:footnoteReference w:id="12"/>
      </w:r>
      <w:r>
        <w:rPr>
          <w:noProof/>
        </w:rPr>
        <w:t>.</w:t>
      </w:r>
    </w:p>
    <w:p>
      <w:pPr>
        <w:pStyle w:val="Titrearticle"/>
        <w:spacing w:before="0" w:after="240"/>
        <w:rPr>
          <w:noProof/>
        </w:rPr>
      </w:pPr>
      <w:r>
        <w:rPr>
          <w:noProof/>
        </w:rPr>
        <w:t>Artikel 2</w:t>
      </w:r>
    </w:p>
    <w:p>
      <w:pPr>
        <w:spacing w:before="0" w:after="240"/>
        <w:rPr>
          <w:noProof/>
        </w:rPr>
      </w:pPr>
      <w:r>
        <w:rPr>
          <w:noProof/>
        </w:rPr>
        <w:t>Rådets generalsekretariat ska utfärda det instrument som ger den eller de personer som anges av protokollets förhandlare full befogenhet att underteckna protokollet.</w:t>
      </w:r>
    </w:p>
    <w:p>
      <w:pPr>
        <w:pStyle w:val="Titrearticle"/>
        <w:spacing w:before="0" w:after="240"/>
        <w:rPr>
          <w:noProof/>
        </w:rPr>
      </w:pPr>
      <w:r>
        <w:rPr>
          <w:noProof/>
        </w:rPr>
        <w:t>Artikel 3</w:t>
      </w:r>
    </w:p>
    <w:p>
      <w:pPr>
        <w:spacing w:before="0" w:after="240"/>
        <w:rPr>
          <w:noProof/>
        </w:rPr>
      </w:pPr>
      <w:r>
        <w:rPr>
          <w:noProof/>
        </w:rPr>
        <w:t>Detta beslut träder i kraft samma dag som det antas.</w:t>
      </w:r>
    </w:p>
    <w:p>
      <w:pPr>
        <w:rPr>
          <w:noProof/>
        </w:rPr>
      </w:pPr>
    </w:p>
    <w:p>
      <w:pPr>
        <w:rPr>
          <w:noProof/>
        </w:rPr>
      </w:pPr>
    </w:p>
    <w:p>
      <w:pPr>
        <w:pStyle w:val="Fait"/>
        <w:rPr>
          <w:noProof/>
        </w:rPr>
      </w:pPr>
      <w:r>
        <w:t>Utfärdat i Bryssel den</w:t>
      </w:r>
    </w:p>
    <w:p>
      <w:pPr>
        <w:pStyle w:val="Institutionquisigne"/>
        <w:rPr>
          <w:noProof/>
          <w:szCs w:val="24"/>
        </w:rPr>
      </w:pPr>
      <w:r>
        <w:rPr>
          <w:noProof/>
        </w:rPr>
        <w:tab/>
        <w:t>På rådets vägnar</w:t>
      </w:r>
    </w:p>
    <w:p>
      <w:pPr>
        <w:pStyle w:val="Personnequisigne"/>
        <w:spacing w:after="720"/>
        <w:rPr>
          <w:noProof/>
          <w:szCs w:val="24"/>
        </w:rPr>
      </w:pPr>
      <w:r>
        <w:rPr>
          <w:noProof/>
        </w:rPr>
        <w:tab/>
        <w:t>Ordförande</w:t>
      </w:r>
    </w:p>
    <w:sectPr>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120"/>
      </w:pPr>
      <w:r>
        <w:rPr>
          <w:rStyle w:val="FootnoteReference"/>
        </w:rPr>
        <w:footnoteRef/>
      </w:r>
      <w:r>
        <w:tab/>
        <w:t>EGT L 321, 26.11.2002, s. 11.</w:t>
      </w:r>
    </w:p>
  </w:footnote>
  <w:footnote w:id="2">
    <w:p>
      <w:pPr>
        <w:pStyle w:val="FootnoteText"/>
        <w:spacing w:after="120"/>
      </w:pPr>
      <w:r>
        <w:rPr>
          <w:rStyle w:val="FootnoteReference"/>
        </w:rPr>
        <w:footnoteRef/>
      </w:r>
      <w:r>
        <w:tab/>
        <w:t>Beslut nr 1/2011 av den gemensamma kommitté som inrättats i enlighet med Interbus-överenskommelsen om tillfällig internationell persontransport med buss av den 11 november 2011 om antagande av den gemensamma kommitténs arbetsordning och om anpassning av bilaga 1 till överenskommelsen om villkor för yrkesmässigt bedrivande av persontransport på väg, bilaga 2 till överenskommelsen om tekniska standarder för bussar och de krav på sociala bestämmelser som avses i artikel 8 i överenskommelsen (2012/25/EU) (EUT L 8, 12.1.2012, s. 38).</w:t>
      </w:r>
    </w:p>
  </w:footnote>
  <w:footnote w:id="3">
    <w:p>
      <w:pPr>
        <w:pStyle w:val="FootnoteText"/>
        <w:spacing w:after="120"/>
      </w:pPr>
      <w:r>
        <w:rPr>
          <w:rStyle w:val="FootnoteReference"/>
        </w:rPr>
        <w:footnoteRef/>
      </w:r>
      <w:r>
        <w:tab/>
        <w:t>Rådets beslut av den 5 december 2014 (SGS14/15073).</w:t>
      </w:r>
    </w:p>
  </w:footnote>
  <w:footnote w:id="4">
    <w:p>
      <w:pPr>
        <w:pStyle w:val="FootnoteText"/>
        <w:spacing w:after="120"/>
      </w:pPr>
      <w:r>
        <w:rPr>
          <w:rStyle w:val="FootnoteReference"/>
        </w:rPr>
        <w:footnoteRef/>
      </w:r>
      <w:r>
        <w:tab/>
        <w:t>Rådets beslut (EU) 2018/1195 av den 16 juli 2018 om undertecknande på Europeiska unionens vägnar av ett protokoll till överenskommelsen om tillfällig internationell persontransport med buss (Interbus-överenskommelsen) avseende internationell linjetrafik och internationell särskild linjetrafik för persontransport med buss (EUT L 214, 23.8.2018, s. 3).</w:t>
      </w:r>
    </w:p>
  </w:footnote>
  <w:footnote w:id="5">
    <w:p>
      <w:pPr>
        <w:pStyle w:val="FootnoteText"/>
        <w:spacing w:after="120"/>
      </w:pPr>
      <w:r>
        <w:rPr>
          <w:rStyle w:val="FootnoteReference"/>
        </w:rPr>
        <w:footnoteRef/>
      </w:r>
      <w:r>
        <w:tab/>
        <w:t>Europaparlamentets och rådets förordning (EG) nr 1071/2009 av den 21 oktober 2009 om gemensamma regler beträffande de villkor som ska uppfyllas av personer som bedriver yrkesmässig trafik och om upphävande av rådets direktiv 96/26/EG (EUT L 300, 14.11.2009, s. 51).</w:t>
      </w:r>
    </w:p>
  </w:footnote>
  <w:footnote w:id="6">
    <w:p>
      <w:pPr>
        <w:pStyle w:val="FootnoteText"/>
        <w:spacing w:after="120"/>
      </w:pPr>
      <w:r>
        <w:rPr>
          <w:rStyle w:val="FootnoteReference"/>
        </w:rPr>
        <w:footnoteRef/>
      </w:r>
      <w:r>
        <w:tab/>
        <w:t>Europaparlamentets och rådets förordning (EG) nr 1073/2009 av den 21 oktober 2009 om gemensamma regler för tillträde till den internationella marknaden för persontransporter med buss och om ändring av förordning (EG) nr 561/2006 (EUT L 300, 14.11.2009, s. 88).</w:t>
      </w:r>
    </w:p>
  </w:footnote>
  <w:footnote w:id="7">
    <w:p>
      <w:pPr>
        <w:pStyle w:val="FootnoteText"/>
        <w:spacing w:after="120"/>
      </w:pPr>
      <w:r>
        <w:rPr>
          <w:rStyle w:val="FootnoteReference"/>
        </w:rPr>
        <w:footnoteRef/>
      </w:r>
      <w:r>
        <w:tab/>
      </w:r>
      <w:r>
        <w:rPr>
          <w:highlight w:val="yellow"/>
        </w:rPr>
        <w:t>[Lägg till hänvisning]</w:t>
      </w:r>
    </w:p>
  </w:footnote>
  <w:footnote w:id="8">
    <w:p>
      <w:pPr>
        <w:pStyle w:val="FootnoteText"/>
        <w:spacing w:after="120"/>
      </w:pPr>
      <w:r>
        <w:rPr>
          <w:rStyle w:val="FootnoteReference"/>
        </w:rPr>
        <w:footnoteRef/>
      </w:r>
      <w:r>
        <w:tab/>
        <w:t>Rådets beslut 2002/917/EG av den 3 oktober 2002 om ingåendet av Interbus-överenskommelsen om tillfällig internationell persontransport med buss (EGT L 321, 26.11.2002, s. 11).</w:t>
      </w:r>
    </w:p>
  </w:footnote>
  <w:footnote w:id="9">
    <w:p>
      <w:pPr>
        <w:pStyle w:val="FootnoteText"/>
        <w:spacing w:after="120"/>
      </w:pPr>
      <w:r>
        <w:rPr>
          <w:rStyle w:val="FootnoteReference"/>
        </w:rPr>
        <w:footnoteRef/>
      </w:r>
      <w:r>
        <w:tab/>
        <w:t>EGT L 321, 26.11.2002, s. 13.</w:t>
      </w:r>
    </w:p>
  </w:footnote>
  <w:footnote w:id="10">
    <w:p>
      <w:pPr>
        <w:pStyle w:val="FootnoteText"/>
        <w:spacing w:after="120"/>
      </w:pPr>
      <w:r>
        <w:rPr>
          <w:rStyle w:val="FootnoteReference"/>
        </w:rPr>
        <w:footnoteRef/>
      </w:r>
      <w:r>
        <w:tab/>
        <w:t>EGT L 321, 26.11.2002, s. 44.</w:t>
      </w:r>
    </w:p>
  </w:footnote>
  <w:footnote w:id="11">
    <w:p>
      <w:pPr>
        <w:pStyle w:val="FootnoteText"/>
        <w:spacing w:after="120"/>
      </w:pPr>
      <w:r>
        <w:rPr>
          <w:rStyle w:val="FootnoteReference"/>
        </w:rPr>
        <w:footnoteRef/>
      </w:r>
      <w:r>
        <w:tab/>
        <w:t>Rådets beslut (EU) 2018/1195 av den 16 juli 2018 om undertecknande på Europeiska unionens vägnar av ett protokoll till överenskommelsen om tillfällig internationell persontransport med buss (Interbus-överenskommelsen) avseende internationell linjetrafik och internationell särskild linjetrafik för persontransport med buss (EUT L 214, 23.8.2018, s. 3).</w:t>
      </w:r>
    </w:p>
  </w:footnote>
  <w:footnote w:id="12">
    <w:p>
      <w:pPr>
        <w:pStyle w:val="FootnoteText"/>
      </w:pPr>
      <w:r>
        <w:rPr>
          <w:rStyle w:val="FootnoteReference"/>
        </w:rPr>
        <w:footnoteRef/>
      </w:r>
      <w:r>
        <w:tab/>
        <w:t>Texten till protokollet kommer att offentliggöras tillsammans med beslutet om dess ingående.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9228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43E8D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0CAD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8073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FA9F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i-FI" w:vendorID="64" w:dllVersion="131078" w:nlCheck="1" w:checkStyle="0"/>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9-09 09:21: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7D88788-2E15-4362-A94C-2C1789ED0668"/>
    <w:docVar w:name="LW_COVERPAGE_TYPE" w:val="1"/>
    <w:docVar w:name="LW_CROSSREFERENCE" w:val="&lt;UNUSED&gt;"/>
    <w:docVar w:name="LW_DocType" w:val="COM"/>
    <w:docVar w:name="LW_EMISSION" w:val="18.9.2020"/>
    <w:docVar w:name="LW_EMISSION_ISODATE" w:val="2020-09-18"/>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57"/>
    <w:docVar w:name="LW_REF.II.NEW.CP_YEAR" w:val="2020"/>
    <w:docVar w:name="LW_REF.INST.NEW" w:val="COM"/>
    <w:docVar w:name="LW_REF.INST.NEW_ADOPTED" w:val="final"/>
    <w:docVar w:name="LW_REF.INST.NEW_TEXT" w:val="(2020) 5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Förslag till"/>
    <w:docVar w:name="LW_SUPERTITRE" w:val="&lt;UNUSED&gt;"/>
    <w:docVar w:name="LW_TITRE.OBJ.CP" w:val="om undertecknande på Europeiska unionens vägnar av ett protokoll till överenskommelsen om tillfällig internationell persontransport med buss (Interbus-överenskommelsen) avseende internationell linjetrafik och särskild linjetrafik för persontransport med buss"/>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orpsdutexte">
    <w:name w:val="Corps du texte_"/>
    <w:basedOn w:val="DefaultParagraphFont"/>
    <w:link w:val="Corpsdutexte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300" w:after="180" w:line="235" w:lineRule="exact"/>
      <w:ind w:hanging="560"/>
      <w:jc w:val="right"/>
    </w:pPr>
    <w:rPr>
      <w:rFonts w:asciiTheme="minorHAnsi" w:hAnsiTheme="minorHAnsi" w:cstheme="minorBidi"/>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DefaultParagraphFont"/>
    <w:link w:val="Notedebasdepage0"/>
    <w:rPr>
      <w:sz w:val="17"/>
      <w:szCs w:val="17"/>
      <w:shd w:val="clear" w:color="auto" w:fill="FFFFFF"/>
    </w:rPr>
  </w:style>
  <w:style w:type="character" w:customStyle="1" w:styleId="En-tte3">
    <w:name w:val="En-tête #3_"/>
    <w:basedOn w:val="DefaultParagraphFont"/>
    <w:link w:val="En-tte30"/>
    <w:rPr>
      <w:sz w:val="27"/>
      <w:szCs w:val="27"/>
      <w:shd w:val="clear" w:color="auto" w:fill="FFFFFF"/>
    </w:rPr>
  </w:style>
  <w:style w:type="character" w:customStyle="1" w:styleId="Tabledesmatires">
    <w:name w:val="Table des matières_"/>
    <w:basedOn w:val="DefaultParagraphFont"/>
    <w:link w:val="Tabledesmatires0"/>
    <w:rPr>
      <w:sz w:val="19"/>
      <w:szCs w:val="19"/>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11" w:lineRule="exact"/>
      <w:ind w:hanging="180"/>
    </w:pPr>
    <w:rPr>
      <w:rFonts w:asciiTheme="minorHAnsi" w:hAnsiTheme="minorHAnsi" w:cstheme="minorBidi"/>
      <w:sz w:val="17"/>
      <w:szCs w:val="17"/>
    </w:rPr>
  </w:style>
  <w:style w:type="paragraph" w:customStyle="1" w:styleId="En-tte30">
    <w:name w:val="En-tête #3"/>
    <w:basedOn w:val="Normal"/>
    <w:link w:val="En-tte3"/>
    <w:pPr>
      <w:widowControl w:val="0"/>
      <w:shd w:val="clear" w:color="auto" w:fill="FFFFFF"/>
      <w:spacing w:before="1860" w:after="180" w:line="0" w:lineRule="atLeast"/>
      <w:jc w:val="left"/>
      <w:outlineLvl w:val="2"/>
    </w:pPr>
    <w:rPr>
      <w:rFonts w:asciiTheme="minorHAnsi" w:hAnsiTheme="minorHAnsi" w:cstheme="minorBidi"/>
      <w:sz w:val="27"/>
      <w:szCs w:val="27"/>
    </w:rPr>
  </w:style>
  <w:style w:type="paragraph" w:customStyle="1" w:styleId="Tabledesmatires0">
    <w:name w:val="Table des matières"/>
    <w:basedOn w:val="Normal"/>
    <w:link w:val="Tabledesmatires"/>
    <w:pPr>
      <w:widowControl w:val="0"/>
      <w:shd w:val="clear" w:color="auto" w:fill="FFFFFF"/>
      <w:spacing w:before="300" w:after="0" w:line="355" w:lineRule="exact"/>
    </w:pPr>
    <w:rPr>
      <w:rFonts w:asciiTheme="minorHAnsi" w:hAnsiTheme="minorHAnsi" w:cstheme="minorBidi"/>
      <w:sz w:val="19"/>
      <w:szCs w:val="19"/>
    </w:rPr>
  </w:style>
  <w:style w:type="character" w:customStyle="1" w:styleId="Corpsdutexte7">
    <w:name w:val="Corps du texte (7)_"/>
    <w:basedOn w:val="DefaultParagraphFont"/>
    <w:rPr>
      <w:b w:val="0"/>
      <w:bCs w:val="0"/>
      <w:i w:val="0"/>
      <w:iCs w:val="0"/>
      <w:smallCaps w:val="0"/>
      <w:strike w:val="0"/>
      <w:sz w:val="15"/>
      <w:szCs w:val="15"/>
      <w:u w:val="none"/>
    </w:rPr>
  </w:style>
  <w:style w:type="character" w:customStyle="1" w:styleId="Corpsdutexte8">
    <w:name w:val="Corps du texte (8)_"/>
    <w:basedOn w:val="DefaultParagraphFont"/>
    <w:link w:val="Corpsdutexte80"/>
    <w:rPr>
      <w:sz w:val="17"/>
      <w:szCs w:val="17"/>
      <w:shd w:val="clear" w:color="auto" w:fill="FFFFFF"/>
    </w:rPr>
  </w:style>
  <w:style w:type="character" w:customStyle="1" w:styleId="Corpsdutexte70">
    <w:name w:val="Corps du texte (7)"/>
    <w:basedOn w:val="Corpsdutexte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sv-SE"/>
    </w:rPr>
  </w:style>
  <w:style w:type="character" w:customStyle="1" w:styleId="Corpsdutexte7NonItalique">
    <w:name w:val="Corps du texte (7) + Non Italique"/>
    <w:basedOn w:val="Corpsdutexte7"/>
    <w:rPr>
      <w:rFonts w:ascii="Times New Roman" w:eastAsia="Times New Roman" w:hAnsi="Times New Roman" w:cs="Times New Roman"/>
      <w:b w:val="0"/>
      <w:bCs w:val="0"/>
      <w:i/>
      <w:iCs/>
      <w:smallCaps w:val="0"/>
      <w:strike w:val="0"/>
      <w:color w:val="000000"/>
      <w:spacing w:val="0"/>
      <w:w w:val="100"/>
      <w:position w:val="0"/>
      <w:sz w:val="15"/>
      <w:szCs w:val="15"/>
      <w:u w:val="none"/>
      <w:lang w:val="sv-SE"/>
    </w:rPr>
  </w:style>
  <w:style w:type="character" w:customStyle="1" w:styleId="Corpsdutexte12">
    <w:name w:val="Corps du texte (12)_"/>
    <w:basedOn w:val="DefaultParagraphFont"/>
    <w:link w:val="Corpsdutexte120"/>
    <w:rPr>
      <w:spacing w:val="30"/>
      <w:w w:val="75"/>
      <w:sz w:val="15"/>
      <w:szCs w:val="15"/>
      <w:shd w:val="clear" w:color="auto" w:fill="FFFFFF"/>
      <w:lang w:val="sv-SE"/>
    </w:rPr>
  </w:style>
  <w:style w:type="paragraph" w:customStyle="1" w:styleId="Corpsdutexte80">
    <w:name w:val="Corps du texte (8)"/>
    <w:basedOn w:val="Normal"/>
    <w:link w:val="Corpsdutexte8"/>
    <w:pPr>
      <w:widowControl w:val="0"/>
      <w:shd w:val="clear" w:color="auto" w:fill="FFFFFF"/>
      <w:spacing w:after="420" w:line="0" w:lineRule="atLeast"/>
      <w:ind w:hanging="560"/>
      <w:jc w:val="left"/>
    </w:pPr>
    <w:rPr>
      <w:rFonts w:asciiTheme="minorHAnsi" w:hAnsiTheme="minorHAnsi" w:cstheme="minorBidi"/>
      <w:sz w:val="17"/>
      <w:szCs w:val="17"/>
    </w:rPr>
  </w:style>
  <w:style w:type="paragraph" w:customStyle="1" w:styleId="Corpsdutexte120">
    <w:name w:val="Corps du texte (12)"/>
    <w:basedOn w:val="Normal"/>
    <w:link w:val="Corpsdutexte12"/>
    <w:pPr>
      <w:widowControl w:val="0"/>
      <w:shd w:val="clear" w:color="auto" w:fill="FFFFFF"/>
      <w:spacing w:before="0" w:after="0" w:line="0" w:lineRule="atLeast"/>
      <w:jc w:val="left"/>
    </w:pPr>
    <w:rPr>
      <w:rFonts w:asciiTheme="minorHAnsi" w:hAnsiTheme="minorHAnsi" w:cstheme="minorBidi"/>
      <w:spacing w:val="30"/>
      <w:w w:val="75"/>
      <w:sz w:val="15"/>
      <w:szCs w:val="15"/>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orpsdutexte">
    <w:name w:val="Corps du texte_"/>
    <w:basedOn w:val="DefaultParagraphFont"/>
    <w:link w:val="Corpsdutexte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300" w:after="180" w:line="235" w:lineRule="exact"/>
      <w:ind w:hanging="560"/>
      <w:jc w:val="right"/>
    </w:pPr>
    <w:rPr>
      <w:rFonts w:asciiTheme="minorHAnsi" w:hAnsiTheme="minorHAnsi" w:cstheme="minorBidi"/>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DefaultParagraphFont"/>
    <w:link w:val="Notedebasdepage0"/>
    <w:rPr>
      <w:sz w:val="17"/>
      <w:szCs w:val="17"/>
      <w:shd w:val="clear" w:color="auto" w:fill="FFFFFF"/>
    </w:rPr>
  </w:style>
  <w:style w:type="character" w:customStyle="1" w:styleId="En-tte3">
    <w:name w:val="En-tête #3_"/>
    <w:basedOn w:val="DefaultParagraphFont"/>
    <w:link w:val="En-tte30"/>
    <w:rPr>
      <w:sz w:val="27"/>
      <w:szCs w:val="27"/>
      <w:shd w:val="clear" w:color="auto" w:fill="FFFFFF"/>
    </w:rPr>
  </w:style>
  <w:style w:type="character" w:customStyle="1" w:styleId="Tabledesmatires">
    <w:name w:val="Table des matières_"/>
    <w:basedOn w:val="DefaultParagraphFont"/>
    <w:link w:val="Tabledesmatires0"/>
    <w:rPr>
      <w:sz w:val="19"/>
      <w:szCs w:val="19"/>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11" w:lineRule="exact"/>
      <w:ind w:hanging="180"/>
    </w:pPr>
    <w:rPr>
      <w:rFonts w:asciiTheme="minorHAnsi" w:hAnsiTheme="minorHAnsi" w:cstheme="minorBidi"/>
      <w:sz w:val="17"/>
      <w:szCs w:val="17"/>
    </w:rPr>
  </w:style>
  <w:style w:type="paragraph" w:customStyle="1" w:styleId="En-tte30">
    <w:name w:val="En-tête #3"/>
    <w:basedOn w:val="Normal"/>
    <w:link w:val="En-tte3"/>
    <w:pPr>
      <w:widowControl w:val="0"/>
      <w:shd w:val="clear" w:color="auto" w:fill="FFFFFF"/>
      <w:spacing w:before="1860" w:after="180" w:line="0" w:lineRule="atLeast"/>
      <w:jc w:val="left"/>
      <w:outlineLvl w:val="2"/>
    </w:pPr>
    <w:rPr>
      <w:rFonts w:asciiTheme="minorHAnsi" w:hAnsiTheme="minorHAnsi" w:cstheme="minorBidi"/>
      <w:sz w:val="27"/>
      <w:szCs w:val="27"/>
    </w:rPr>
  </w:style>
  <w:style w:type="paragraph" w:customStyle="1" w:styleId="Tabledesmatires0">
    <w:name w:val="Table des matières"/>
    <w:basedOn w:val="Normal"/>
    <w:link w:val="Tabledesmatires"/>
    <w:pPr>
      <w:widowControl w:val="0"/>
      <w:shd w:val="clear" w:color="auto" w:fill="FFFFFF"/>
      <w:spacing w:before="300" w:after="0" w:line="355" w:lineRule="exact"/>
    </w:pPr>
    <w:rPr>
      <w:rFonts w:asciiTheme="minorHAnsi" w:hAnsiTheme="minorHAnsi" w:cstheme="minorBidi"/>
      <w:sz w:val="19"/>
      <w:szCs w:val="19"/>
    </w:rPr>
  </w:style>
  <w:style w:type="character" w:customStyle="1" w:styleId="Corpsdutexte7">
    <w:name w:val="Corps du texte (7)_"/>
    <w:basedOn w:val="DefaultParagraphFont"/>
    <w:rPr>
      <w:b w:val="0"/>
      <w:bCs w:val="0"/>
      <w:i w:val="0"/>
      <w:iCs w:val="0"/>
      <w:smallCaps w:val="0"/>
      <w:strike w:val="0"/>
      <w:sz w:val="15"/>
      <w:szCs w:val="15"/>
      <w:u w:val="none"/>
    </w:rPr>
  </w:style>
  <w:style w:type="character" w:customStyle="1" w:styleId="Corpsdutexte8">
    <w:name w:val="Corps du texte (8)_"/>
    <w:basedOn w:val="DefaultParagraphFont"/>
    <w:link w:val="Corpsdutexte80"/>
    <w:rPr>
      <w:sz w:val="17"/>
      <w:szCs w:val="17"/>
      <w:shd w:val="clear" w:color="auto" w:fill="FFFFFF"/>
    </w:rPr>
  </w:style>
  <w:style w:type="character" w:customStyle="1" w:styleId="Corpsdutexte70">
    <w:name w:val="Corps du texte (7)"/>
    <w:basedOn w:val="Corpsdutexte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sv-SE"/>
    </w:rPr>
  </w:style>
  <w:style w:type="character" w:customStyle="1" w:styleId="Corpsdutexte7NonItalique">
    <w:name w:val="Corps du texte (7) + Non Italique"/>
    <w:basedOn w:val="Corpsdutexte7"/>
    <w:rPr>
      <w:rFonts w:ascii="Times New Roman" w:eastAsia="Times New Roman" w:hAnsi="Times New Roman" w:cs="Times New Roman"/>
      <w:b w:val="0"/>
      <w:bCs w:val="0"/>
      <w:i/>
      <w:iCs/>
      <w:smallCaps w:val="0"/>
      <w:strike w:val="0"/>
      <w:color w:val="000000"/>
      <w:spacing w:val="0"/>
      <w:w w:val="100"/>
      <w:position w:val="0"/>
      <w:sz w:val="15"/>
      <w:szCs w:val="15"/>
      <w:u w:val="none"/>
      <w:lang w:val="sv-SE"/>
    </w:rPr>
  </w:style>
  <w:style w:type="character" w:customStyle="1" w:styleId="Corpsdutexte12">
    <w:name w:val="Corps du texte (12)_"/>
    <w:basedOn w:val="DefaultParagraphFont"/>
    <w:link w:val="Corpsdutexte120"/>
    <w:rPr>
      <w:spacing w:val="30"/>
      <w:w w:val="75"/>
      <w:sz w:val="15"/>
      <w:szCs w:val="15"/>
      <w:shd w:val="clear" w:color="auto" w:fill="FFFFFF"/>
      <w:lang w:val="sv-SE"/>
    </w:rPr>
  </w:style>
  <w:style w:type="paragraph" w:customStyle="1" w:styleId="Corpsdutexte80">
    <w:name w:val="Corps du texte (8)"/>
    <w:basedOn w:val="Normal"/>
    <w:link w:val="Corpsdutexte8"/>
    <w:pPr>
      <w:widowControl w:val="0"/>
      <w:shd w:val="clear" w:color="auto" w:fill="FFFFFF"/>
      <w:spacing w:after="420" w:line="0" w:lineRule="atLeast"/>
      <w:ind w:hanging="560"/>
      <w:jc w:val="left"/>
    </w:pPr>
    <w:rPr>
      <w:rFonts w:asciiTheme="minorHAnsi" w:hAnsiTheme="minorHAnsi" w:cstheme="minorBidi"/>
      <w:sz w:val="17"/>
      <w:szCs w:val="17"/>
    </w:rPr>
  </w:style>
  <w:style w:type="paragraph" w:customStyle="1" w:styleId="Corpsdutexte120">
    <w:name w:val="Corps du texte (12)"/>
    <w:basedOn w:val="Normal"/>
    <w:link w:val="Corpsdutexte12"/>
    <w:pPr>
      <w:widowControl w:val="0"/>
      <w:shd w:val="clear" w:color="auto" w:fill="FFFFFF"/>
      <w:spacing w:before="0" w:after="0" w:line="0" w:lineRule="atLeast"/>
      <w:jc w:val="left"/>
    </w:pPr>
    <w:rPr>
      <w:rFonts w:asciiTheme="minorHAnsi" w:hAnsiTheme="minorHAnsi" w:cstheme="minorBidi"/>
      <w:spacing w:val="30"/>
      <w:w w:val="75"/>
      <w:sz w:val="15"/>
      <w:szCs w:val="15"/>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711">
      <w:bodyDiv w:val="1"/>
      <w:marLeft w:val="0"/>
      <w:marRight w:val="0"/>
      <w:marTop w:val="0"/>
      <w:marBottom w:val="0"/>
      <w:divBdr>
        <w:top w:val="none" w:sz="0" w:space="0" w:color="auto"/>
        <w:left w:val="none" w:sz="0" w:space="0" w:color="auto"/>
        <w:bottom w:val="none" w:sz="0" w:space="0" w:color="auto"/>
        <w:right w:val="none" w:sz="0" w:space="0" w:color="auto"/>
      </w:divBdr>
    </w:div>
    <w:div w:id="220485601">
      <w:bodyDiv w:val="1"/>
      <w:marLeft w:val="0"/>
      <w:marRight w:val="0"/>
      <w:marTop w:val="0"/>
      <w:marBottom w:val="0"/>
      <w:divBdr>
        <w:top w:val="none" w:sz="0" w:space="0" w:color="auto"/>
        <w:left w:val="none" w:sz="0" w:space="0" w:color="auto"/>
        <w:bottom w:val="none" w:sz="0" w:space="0" w:color="auto"/>
        <w:right w:val="none" w:sz="0" w:space="0" w:color="auto"/>
      </w:divBdr>
    </w:div>
    <w:div w:id="1677999265">
      <w:bodyDiv w:val="1"/>
      <w:marLeft w:val="0"/>
      <w:marRight w:val="0"/>
      <w:marTop w:val="0"/>
      <w:marBottom w:val="0"/>
      <w:divBdr>
        <w:top w:val="none" w:sz="0" w:space="0" w:color="auto"/>
        <w:left w:val="none" w:sz="0" w:space="0" w:color="auto"/>
        <w:bottom w:val="none" w:sz="0" w:space="0" w:color="auto"/>
        <w:right w:val="none" w:sz="0" w:space="0" w:color="auto"/>
      </w:divBdr>
    </w:div>
    <w:div w:id="2057850978">
      <w:bodyDiv w:val="1"/>
      <w:marLeft w:val="0"/>
      <w:marRight w:val="0"/>
      <w:marTop w:val="0"/>
      <w:marBottom w:val="0"/>
      <w:divBdr>
        <w:top w:val="none" w:sz="0" w:space="0" w:color="auto"/>
        <w:left w:val="none" w:sz="0" w:space="0" w:color="auto"/>
        <w:bottom w:val="none" w:sz="0" w:space="0" w:color="auto"/>
        <w:right w:val="none" w:sz="0" w:space="0" w:color="auto"/>
      </w:divBdr>
    </w:div>
    <w:div w:id="2117359591">
      <w:bodyDiv w:val="1"/>
      <w:marLeft w:val="0"/>
      <w:marRight w:val="0"/>
      <w:marTop w:val="0"/>
      <w:marBottom w:val="0"/>
      <w:divBdr>
        <w:top w:val="none" w:sz="0" w:space="0" w:color="auto"/>
        <w:left w:val="none" w:sz="0" w:space="0" w:color="auto"/>
        <w:bottom w:val="none" w:sz="0" w:space="0" w:color="auto"/>
        <w:right w:val="none" w:sz="0" w:space="0" w:color="auto"/>
      </w:divBdr>
      <w:divsChild>
        <w:div w:id="240413450">
          <w:marLeft w:val="0"/>
          <w:marRight w:val="0"/>
          <w:marTop w:val="0"/>
          <w:marBottom w:val="0"/>
          <w:divBdr>
            <w:top w:val="none" w:sz="0" w:space="0" w:color="auto"/>
            <w:left w:val="none" w:sz="0" w:space="0" w:color="auto"/>
            <w:bottom w:val="none" w:sz="0" w:space="0" w:color="auto"/>
            <w:right w:val="none" w:sz="0" w:space="0" w:color="auto"/>
          </w:divBdr>
          <w:divsChild>
            <w:div w:id="516773107">
              <w:marLeft w:val="0"/>
              <w:marRight w:val="0"/>
              <w:marTop w:val="0"/>
              <w:marBottom w:val="0"/>
              <w:divBdr>
                <w:top w:val="none" w:sz="0" w:space="0" w:color="auto"/>
                <w:left w:val="none" w:sz="0" w:space="0" w:color="auto"/>
                <w:bottom w:val="none" w:sz="0" w:space="0" w:color="auto"/>
                <w:right w:val="none" w:sz="0" w:space="0" w:color="auto"/>
              </w:divBdr>
              <w:divsChild>
                <w:div w:id="834877608">
                  <w:marLeft w:val="0"/>
                  <w:marRight w:val="0"/>
                  <w:marTop w:val="0"/>
                  <w:marBottom w:val="0"/>
                  <w:divBdr>
                    <w:top w:val="none" w:sz="0" w:space="0" w:color="auto"/>
                    <w:left w:val="none" w:sz="0" w:space="0" w:color="auto"/>
                    <w:bottom w:val="none" w:sz="0" w:space="0" w:color="auto"/>
                    <w:right w:val="none" w:sz="0" w:space="0" w:color="auto"/>
                  </w:divBdr>
                  <w:divsChild>
                    <w:div w:id="543714349">
                      <w:marLeft w:val="1"/>
                      <w:marRight w:val="1"/>
                      <w:marTop w:val="0"/>
                      <w:marBottom w:val="0"/>
                      <w:divBdr>
                        <w:top w:val="none" w:sz="0" w:space="0" w:color="auto"/>
                        <w:left w:val="none" w:sz="0" w:space="0" w:color="auto"/>
                        <w:bottom w:val="none" w:sz="0" w:space="0" w:color="auto"/>
                        <w:right w:val="none" w:sz="0" w:space="0" w:color="auto"/>
                      </w:divBdr>
                      <w:divsChild>
                        <w:div w:id="190147569">
                          <w:marLeft w:val="0"/>
                          <w:marRight w:val="0"/>
                          <w:marTop w:val="0"/>
                          <w:marBottom w:val="0"/>
                          <w:divBdr>
                            <w:top w:val="none" w:sz="0" w:space="0" w:color="auto"/>
                            <w:left w:val="none" w:sz="0" w:space="0" w:color="auto"/>
                            <w:bottom w:val="none" w:sz="0" w:space="0" w:color="auto"/>
                            <w:right w:val="none" w:sz="0" w:space="0" w:color="auto"/>
                          </w:divBdr>
                          <w:divsChild>
                            <w:div w:id="1102916338">
                              <w:marLeft w:val="0"/>
                              <w:marRight w:val="0"/>
                              <w:marTop w:val="0"/>
                              <w:marBottom w:val="360"/>
                              <w:divBdr>
                                <w:top w:val="none" w:sz="0" w:space="0" w:color="auto"/>
                                <w:left w:val="none" w:sz="0" w:space="0" w:color="auto"/>
                                <w:bottom w:val="none" w:sz="0" w:space="0" w:color="auto"/>
                                <w:right w:val="none" w:sz="0" w:space="0" w:color="auto"/>
                              </w:divBdr>
                              <w:divsChild>
                                <w:div w:id="1685857698">
                                  <w:marLeft w:val="0"/>
                                  <w:marRight w:val="0"/>
                                  <w:marTop w:val="0"/>
                                  <w:marBottom w:val="0"/>
                                  <w:divBdr>
                                    <w:top w:val="none" w:sz="0" w:space="0" w:color="auto"/>
                                    <w:left w:val="none" w:sz="0" w:space="0" w:color="auto"/>
                                    <w:bottom w:val="none" w:sz="0" w:space="0" w:color="auto"/>
                                    <w:right w:val="none" w:sz="0" w:space="0" w:color="auto"/>
                                  </w:divBdr>
                                  <w:divsChild>
                                    <w:div w:id="337465746">
                                      <w:marLeft w:val="0"/>
                                      <w:marRight w:val="0"/>
                                      <w:marTop w:val="0"/>
                                      <w:marBottom w:val="0"/>
                                      <w:divBdr>
                                        <w:top w:val="none" w:sz="0" w:space="0" w:color="auto"/>
                                        <w:left w:val="none" w:sz="0" w:space="0" w:color="auto"/>
                                        <w:bottom w:val="none" w:sz="0" w:space="0" w:color="auto"/>
                                        <w:right w:val="none" w:sz="0" w:space="0" w:color="auto"/>
                                      </w:divBdr>
                                      <w:divsChild>
                                        <w:div w:id="1147168542">
                                          <w:marLeft w:val="0"/>
                                          <w:marRight w:val="0"/>
                                          <w:marTop w:val="0"/>
                                          <w:marBottom w:val="0"/>
                                          <w:divBdr>
                                            <w:top w:val="none" w:sz="0" w:space="0" w:color="auto"/>
                                            <w:left w:val="none" w:sz="0" w:space="0" w:color="auto"/>
                                            <w:bottom w:val="none" w:sz="0" w:space="0" w:color="auto"/>
                                            <w:right w:val="none" w:sz="0" w:space="0" w:color="auto"/>
                                          </w:divBdr>
                                          <w:divsChild>
                                            <w:div w:id="574897952">
                                              <w:marLeft w:val="0"/>
                                              <w:marRight w:val="0"/>
                                              <w:marTop w:val="0"/>
                                              <w:marBottom w:val="0"/>
                                              <w:divBdr>
                                                <w:top w:val="none" w:sz="0" w:space="0" w:color="auto"/>
                                                <w:left w:val="none" w:sz="0" w:space="0" w:color="auto"/>
                                                <w:bottom w:val="none" w:sz="0" w:space="0" w:color="auto"/>
                                                <w:right w:val="none" w:sz="0" w:space="0" w:color="auto"/>
                                              </w:divBdr>
                                              <w:divsChild>
                                                <w:div w:id="479661695">
                                                  <w:marLeft w:val="0"/>
                                                  <w:marRight w:val="0"/>
                                                  <w:marTop w:val="0"/>
                                                  <w:marBottom w:val="0"/>
                                                  <w:divBdr>
                                                    <w:top w:val="none" w:sz="0" w:space="0" w:color="auto"/>
                                                    <w:left w:val="none" w:sz="0" w:space="0" w:color="auto"/>
                                                    <w:bottom w:val="none" w:sz="0" w:space="0" w:color="auto"/>
                                                    <w:right w:val="none" w:sz="0" w:space="0" w:color="auto"/>
                                                  </w:divBdr>
                                                  <w:divsChild>
                                                    <w:div w:id="13315204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95B2-B92D-41C2-9DD4-522FC8B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2523</Words>
  <Characters>16555</Characters>
  <Application>Microsoft Office Word</Application>
  <DocSecurity>0</DocSecurity>
  <Lines>280</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2020-06-29T06:33:00Z</cp:lastPrinted>
  <dcterms:created xsi:type="dcterms:W3CDTF">2020-09-07T15:17:00Z</dcterms:created>
  <dcterms:modified xsi:type="dcterms:W3CDTF">2020-09-09T07:21:00Z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