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236E5D4-059A-49AA-96B7-D688DE4F2985" style="width:450.8pt;height:365.9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spacing w:after="240"/>
        <w:rPr>
          <w:noProof/>
        </w:rPr>
      </w:pPr>
      <w:r>
        <w:rPr>
          <w:noProof/>
        </w:rPr>
        <w:t>1.</w:t>
      </w:r>
      <w:r>
        <w:rPr>
          <w:noProof/>
        </w:rPr>
        <w:tab/>
        <w:t>OZADJE PREDLOGA</w:t>
      </w:r>
    </w:p>
    <w:p>
      <w:pPr>
        <w:pStyle w:val="ManualHeading2"/>
        <w:spacing w:after="240"/>
        <w:rPr>
          <w:noProof/>
        </w:rPr>
      </w:pPr>
      <w:r>
        <w:rPr>
          <w:noProof/>
        </w:rPr>
        <w:t>•</w:t>
      </w:r>
      <w:r>
        <w:rPr>
          <w:noProof/>
        </w:rPr>
        <w:tab/>
        <w:t>Razlogi za predlog in njegovi cilji</w:t>
      </w:r>
    </w:p>
    <w:p>
      <w:pPr>
        <w:pBdr>
          <w:top w:val="nil"/>
          <w:left w:val="nil"/>
          <w:bottom w:val="nil"/>
          <w:right w:val="nil"/>
          <w:between w:val="nil"/>
          <w:bar w:val="nil"/>
        </w:pBdr>
        <w:spacing w:before="0" w:after="240"/>
        <w:rPr>
          <w:noProof/>
        </w:rPr>
      </w:pPr>
      <w:r>
        <w:rPr>
          <w:noProof/>
        </w:rPr>
        <w:t>Sporazum Interbus o mednarodnih občasnih avtobusnih prevozih potnikov</w:t>
      </w:r>
      <w:r>
        <w:rPr>
          <w:rStyle w:val="FootnoteReference"/>
          <w:noProof/>
        </w:rPr>
        <w:footnoteReference w:id="1"/>
      </w:r>
      <w:r>
        <w:rPr>
          <w:noProof/>
        </w:rPr>
        <w:t xml:space="preserve"> je začel veljati 1. januarja 2003. Sporazum je bil pozneje posodobljen s Sklepom št. 1/2011</w:t>
      </w:r>
      <w:r>
        <w:rPr>
          <w:rStyle w:val="FootnoteReference"/>
          <w:noProof/>
        </w:rPr>
        <w:footnoteReference w:id="2"/>
      </w:r>
      <w:r>
        <w:rPr>
          <w:noProof/>
        </w:rPr>
        <w:t xml:space="preserve"> Skupnega odbora, ustanovljenega v členu 23 Sporazuma, da bi se upoštevala tehnični in zakonodajni napredek.</w:t>
      </w:r>
    </w:p>
    <w:p>
      <w:pPr>
        <w:pBdr>
          <w:top w:val="nil"/>
          <w:left w:val="nil"/>
          <w:bottom w:val="nil"/>
          <w:right w:val="nil"/>
          <w:between w:val="nil"/>
          <w:bar w:val="nil"/>
        </w:pBdr>
        <w:spacing w:before="0" w:after="240"/>
        <w:rPr>
          <w:noProof/>
        </w:rPr>
      </w:pPr>
      <w:r>
        <w:rPr>
          <w:noProof/>
        </w:rPr>
        <w:t>Sporazum Interbus trenutno zajema mednarodne občasne avtobusne prevoze potnikov. Svet je 5. decembra 2014 pooblastil Komisijo za začetek pogajanj v imenu Evropske unije, ki je pogodbenica Sporazuma Interbus, da se področje Sporazuma razširi na mednarodne linijske in posebne linijske avtobusne prevoze potnikov (na podlagi dovoljenja)</w:t>
      </w:r>
      <w:r>
        <w:rPr>
          <w:rStyle w:val="FootnoteReference"/>
          <w:noProof/>
        </w:rPr>
        <w:footnoteReference w:id="3"/>
      </w:r>
      <w:r>
        <w:rPr>
          <w:noProof/>
        </w:rPr>
        <w:t>.</w:t>
      </w:r>
    </w:p>
    <w:p>
      <w:pPr>
        <w:autoSpaceDE w:val="0"/>
        <w:autoSpaceDN w:val="0"/>
        <w:adjustRightInd w:val="0"/>
        <w:spacing w:before="0" w:after="240"/>
        <w:rPr>
          <w:noProof/>
          <w:szCs w:val="24"/>
        </w:rPr>
      </w:pPr>
      <w:r>
        <w:rPr>
          <w:noProof/>
        </w:rPr>
        <w:t>Svet je 16. julija 2018 sprejel Sklep (EU) 2018/1195</w:t>
      </w:r>
      <w:r>
        <w:rPr>
          <w:rStyle w:val="FootnoteReference"/>
          <w:bCs/>
          <w:noProof/>
        </w:rPr>
        <w:footnoteReference w:id="4"/>
      </w:r>
      <w:r>
        <w:rPr>
          <w:noProof/>
        </w:rPr>
        <w:t xml:space="preserve"> o podpisu Protokola k Sporazumu Interbus glede mednarodnih linijskih in posebnih linijskih avtobusnih prevozov potnikov (v nadaljnjem besedilu: Protokol o linijskih in posebnih linijskih prevozih).</w:t>
      </w:r>
    </w:p>
    <w:p>
      <w:pPr>
        <w:pBdr>
          <w:top w:val="nil"/>
          <w:left w:val="nil"/>
          <w:bottom w:val="nil"/>
          <w:right w:val="nil"/>
          <w:between w:val="nil"/>
          <w:bar w:val="nil"/>
        </w:pBdr>
        <w:spacing w:before="0" w:after="240"/>
        <w:rPr>
          <w:noProof/>
        </w:rPr>
      </w:pPr>
      <w:r>
        <w:rPr>
          <w:noProof/>
        </w:rPr>
        <w:t>Opozoriti je treba, da sta mednarodni linijski in posebni linijski avtobusni prevoz potnikov pomembna sektorja, ki evropskim državljanom zagotavljata mobilnost ob ugodni cenovni strukturi. Njun nadaljnji razvoj zunaj EU bi v enaki meri koristil državljanom EU, tujim turistom, turistični industriji in evropskim regijam. Navedeni razvoj ovirajo razlike v dvostranskih sporazumih med državami članicami in tretjimi državami, zaradi česar je postopek izdaje dovoljenj in opravljanja mednarodnih linijskih in posebnih linijskih prevozov okoren. To je najbolj očitno pri dolgih mednarodnih linijskih prevozih, pri katerih se prečka več držav.</w:t>
      </w:r>
    </w:p>
    <w:p>
      <w:pPr>
        <w:pBdr>
          <w:top w:val="nil"/>
          <w:left w:val="nil"/>
          <w:bottom w:val="nil"/>
          <w:right w:val="nil"/>
          <w:between w:val="nil"/>
          <w:bar w:val="nil"/>
        </w:pBdr>
        <w:spacing w:before="0" w:after="240"/>
        <w:rPr>
          <w:noProof/>
        </w:rPr>
      </w:pPr>
      <w:r>
        <w:rPr>
          <w:noProof/>
        </w:rPr>
        <w:t>Kot je navedeno v Protokolu, bi moral biti dostop na trg linijskih in posebnih linijskih prevozov omogočen prek enotnega postopka izdaje dovoljenj, ob upoštevanju pravnega reda EU na področju cestnega potniškega prometa, vključno z varnostjo v cestnem prometu, tehničnimi določbami, kvalifikacijami voznikov, socialnimi pravili, pravicami potnikov, okoljem in dovoljenji za opravljanje dejavnosti.</w:t>
      </w:r>
    </w:p>
    <w:p>
      <w:pPr>
        <w:pBdr>
          <w:top w:val="nil"/>
          <w:left w:val="nil"/>
          <w:bottom w:val="nil"/>
          <w:right w:val="nil"/>
          <w:between w:val="nil"/>
          <w:bar w:val="nil"/>
        </w:pBdr>
        <w:spacing w:before="0" w:after="240"/>
        <w:rPr>
          <w:noProof/>
        </w:rPr>
      </w:pPr>
      <w:r>
        <w:rPr>
          <w:noProof/>
        </w:rPr>
        <w:t>Sporazum Interbus bo še naprej veljal nespremenjen glede mednarodnih občasnih avtobusnih prevozov potnikov.</w:t>
      </w:r>
    </w:p>
    <w:p>
      <w:pPr>
        <w:pBdr>
          <w:top w:val="nil"/>
          <w:left w:val="nil"/>
          <w:bottom w:val="nil"/>
          <w:right w:val="nil"/>
          <w:between w:val="nil"/>
          <w:bar w:val="nil"/>
        </w:pBdr>
        <w:spacing w:before="0" w:after="240"/>
        <w:rPr>
          <w:noProof/>
        </w:rPr>
      </w:pPr>
      <w:r>
        <w:rPr>
          <w:noProof/>
        </w:rPr>
        <w:t xml:space="preserve">Protokol zajema le določbe, ki so potrebne za razširitev Sporazuma Interbus na mednarodne linijske in posebne linijske avtobusne prevoze potnikov (na podlagi dovoljenja). Z njim se ne </w:t>
      </w:r>
      <w:r>
        <w:rPr>
          <w:noProof/>
        </w:rPr>
        <w:lastRenderedPageBreak/>
        <w:t>spremenijo niti ponovijo skupna pravila, temveč se nanaša na temeljne določbe Sporazuma Interbus. Navedena okoliščina in dejstvo, da lahko pogodbenica podpiše in sklene ter ratificira Protokol ali pristopi k njemu šele po podpisu in sklenitvi ter ratifikaciji Sporazuma Interbus ali po pristopu k njemu, bosta zagotovila, da bodo pogodbenice ob podpisu in sklenitvi ter ratifikaciji Protokola ali ob pristopu k njemu sprejele in uporabljale pravila iz Sporazuma Interbus.</w:t>
      </w:r>
    </w:p>
    <w:p>
      <w:pPr>
        <w:pBdr>
          <w:top w:val="nil"/>
          <w:left w:val="nil"/>
          <w:bottom w:val="nil"/>
          <w:right w:val="nil"/>
          <w:between w:val="nil"/>
          <w:bar w:val="nil"/>
        </w:pBdr>
        <w:spacing w:before="0" w:after="240"/>
        <w:rPr>
          <w:noProof/>
        </w:rPr>
      </w:pPr>
      <w:r>
        <w:rPr>
          <w:noProof/>
        </w:rPr>
        <w:t>Poleg Evropske unije so pogodbenice Sporazuma Interbus tudi Republika Albanija, Bosna in Hercegovina, Črna gora, Republika Moldavija, Republika Severna Makedonija, Republika Turčija in Ukrajina, ki lahko podpišejo in sklenejo ter ratificirajo Protokol oziroma pristopijo k njemu.</w:t>
      </w:r>
    </w:p>
    <w:p>
      <w:pPr>
        <w:spacing w:before="0" w:after="240"/>
        <w:rPr>
          <w:noProof/>
        </w:rPr>
      </w:pPr>
      <w:r>
        <w:rPr>
          <w:noProof/>
        </w:rPr>
        <w:t>V Protokolu je poudarjena zakonodaja Evropske unije (Uredba (ES) št. 1071/2009</w:t>
      </w:r>
      <w:r>
        <w:rPr>
          <w:rStyle w:val="FootnoteReference"/>
          <w:noProof/>
        </w:rPr>
        <w:footnoteReference w:id="5"/>
      </w:r>
      <w:r>
        <w:rPr>
          <w:noProof/>
        </w:rPr>
        <w:t>) glede sankcij in najhujših kršitev ter glede izpolnjevanja štirih pogojev dostopa do dejavnosti cestnega prevoznika v potniškem prometu (dejanski in stalni sedež, dober ugled, finančni položaj in strokovna usposobljenost).</w:t>
      </w:r>
    </w:p>
    <w:p>
      <w:pPr>
        <w:pBdr>
          <w:top w:val="nil"/>
          <w:left w:val="nil"/>
          <w:bottom w:val="nil"/>
          <w:right w:val="nil"/>
          <w:between w:val="nil"/>
          <w:bar w:val="nil"/>
        </w:pBdr>
        <w:spacing w:before="0" w:after="240"/>
        <w:rPr>
          <w:noProof/>
        </w:rPr>
      </w:pPr>
      <w:r>
        <w:rPr>
          <w:noProof/>
        </w:rPr>
        <w:t xml:space="preserve">V Protokolu je vzpostavljen Skupni odbor za lažje upravljanje Protokola. Določbe glede Skupnega odbora, ustanovljenega s Sporazumom Interbus, se smiselno uporabljajo za Skupni odbor na podlagi Protokola. </w:t>
      </w:r>
    </w:p>
    <w:p>
      <w:pPr>
        <w:pBdr>
          <w:top w:val="nil"/>
          <w:left w:val="nil"/>
          <w:bottom w:val="nil"/>
          <w:right w:val="nil"/>
          <w:between w:val="nil"/>
          <w:bar w:val="nil"/>
        </w:pBdr>
        <w:spacing w:before="0" w:after="240"/>
        <w:rPr>
          <w:noProof/>
        </w:rPr>
      </w:pPr>
      <w:r>
        <w:rPr>
          <w:noProof/>
        </w:rPr>
        <w:t>V skladu s Protokolom obdobje veljavnosti dovoljenj za mednarodne linijske in posebne linijske prevoze ne sme presegati pet let.</w:t>
      </w:r>
    </w:p>
    <w:p>
      <w:pPr>
        <w:pBdr>
          <w:top w:val="nil"/>
          <w:left w:val="nil"/>
          <w:bottom w:val="nil"/>
          <w:right w:val="nil"/>
          <w:between w:val="nil"/>
          <w:bar w:val="nil"/>
        </w:pBdr>
        <w:spacing w:before="0" w:after="240"/>
        <w:rPr>
          <w:rFonts w:eastAsia="Times New Roman"/>
          <w:noProof/>
          <w:szCs w:val="24"/>
        </w:rPr>
      </w:pPr>
      <w:r>
        <w:rPr>
          <w:noProof/>
        </w:rPr>
        <w:t>Sam Protokol bi se sklenil za pet let, šteto od njegovega začetka veljavnosti. Veljavnost Protokola bi se samodejno podaljšala za nadaljnjih pet let, razen za pogodbenice, ki izjavijo, da veljavnosti ne želijo podaljšati.</w:t>
      </w:r>
    </w:p>
    <w:p>
      <w:pPr>
        <w:rPr>
          <w:noProof/>
        </w:rPr>
      </w:pPr>
      <w:r>
        <w:rPr>
          <w:noProof/>
        </w:rPr>
        <w:t>Protokol o linijskih in posebnih linijskih prevozih je bil na voljo za podpis od 16. julija 2018 do 16. aprila 2019. Unija ga je podpisala 11. aprila 2019. Vendar nobena druga pogodbenica ni podpisala navedenega protokola pred iztekom roka za podpis. To je onemogočilo začetek veljavnosti Protokola.</w:t>
      </w:r>
    </w:p>
    <w:p>
      <w:pPr>
        <w:pBdr>
          <w:top w:val="nil"/>
          <w:left w:val="nil"/>
          <w:bottom w:val="nil"/>
          <w:right w:val="nil"/>
          <w:between w:val="nil"/>
          <w:bar w:val="nil"/>
        </w:pBdr>
        <w:spacing w:before="0" w:after="240"/>
        <w:rPr>
          <w:noProof/>
        </w:rPr>
      </w:pPr>
      <w:r>
        <w:rPr>
          <w:noProof/>
        </w:rPr>
        <w:t>Svet je 18. februarja 2020 pooblastil Komisijo, da v imenu Unije začne pogajanja za spremembo Protokola o linijskih in posebnih linijskih prevozih, da se izvedejo nekatere tehnične spremembe glede njegovega podpisa in začetka veljavnosti ter da se upošteva sprememba imena ene od pogodbenic Sporazuma Interbus.</w:t>
      </w:r>
    </w:p>
    <w:p>
      <w:pPr>
        <w:pBdr>
          <w:top w:val="nil"/>
          <w:left w:val="nil"/>
          <w:bottom w:val="nil"/>
          <w:right w:val="nil"/>
          <w:between w:val="nil"/>
          <w:bar w:val="nil"/>
        </w:pBdr>
        <w:spacing w:before="0" w:after="240"/>
        <w:rPr>
          <w:noProof/>
        </w:rPr>
      </w:pPr>
      <w:r>
        <w:rPr>
          <w:noProof/>
        </w:rPr>
        <w:t xml:space="preserve">Pogajanja so se uspešno zaključila in v skladu s tem se je pripravila nova različica Protokola o linijskih in posebnih linijskih prevozih. Glede na to, da je Unija edina pogodbenica, ki je podpisala izvirni Protokol, se je zdelo primernejše, da se cel Protokol nadomesti z novim, namesto da se pogaja o protokolu o spremembi izvirnega Protokola. </w:t>
      </w:r>
    </w:p>
    <w:p>
      <w:pPr>
        <w:pBdr>
          <w:top w:val="nil"/>
          <w:left w:val="nil"/>
          <w:bottom w:val="nil"/>
          <w:right w:val="nil"/>
          <w:between w:val="nil"/>
          <w:bar w:val="nil"/>
        </w:pBdr>
        <w:spacing w:before="0" w:after="240"/>
        <w:rPr>
          <w:noProof/>
          <w:szCs w:val="24"/>
        </w:rPr>
      </w:pPr>
      <w:r>
        <w:rPr>
          <w:noProof/>
        </w:rPr>
        <w:t>Zdaj morajo Protokol skleniti, ratificirati ali pristopiti k njemu tri pogodbenice Sporazuma Interbus (namesto štirih), vključno z Unijo, da bi začel veljati za pogodbenice, ki so ga sklenile, ratificirale ali pristopile k njemu.</w:t>
      </w:r>
    </w:p>
    <w:p>
      <w:pPr>
        <w:pBdr>
          <w:top w:val="nil"/>
          <w:left w:val="nil"/>
          <w:bottom w:val="nil"/>
          <w:right w:val="nil"/>
          <w:between w:val="nil"/>
          <w:bar w:val="nil"/>
        </w:pBdr>
        <w:spacing w:before="0" w:after="240"/>
        <w:rPr>
          <w:noProof/>
          <w:szCs w:val="24"/>
        </w:rPr>
      </w:pPr>
      <w:r>
        <w:rPr>
          <w:noProof/>
        </w:rPr>
        <w:lastRenderedPageBreak/>
        <w:t xml:space="preserve">Rok za podpis Protokola je dve leti od datuma sprejetja Sklepa Sveta o podpisu Protokola s strani Evropske unije. </w:t>
      </w:r>
    </w:p>
    <w:p>
      <w:pPr>
        <w:pBdr>
          <w:top w:val="nil"/>
          <w:left w:val="nil"/>
          <w:bottom w:val="nil"/>
          <w:right w:val="nil"/>
          <w:between w:val="nil"/>
          <w:bar w:val="nil"/>
        </w:pBdr>
        <w:spacing w:before="0" w:after="240"/>
        <w:rPr>
          <w:noProof/>
        </w:rPr>
      </w:pPr>
      <w:r>
        <w:rPr>
          <w:noProof/>
        </w:rPr>
        <w:t>Za začetek veljavnosti Protokola se je za pogodbenice, ki so ga sklenile, ratificirale ali pristopile k njemu, določil zgodnejši datum, in sicer se je prvi dan v tretjem mesecu nadomestil s prvim dnem v mesecu, ki sledi mesecu, v katerem je zadostno število pogodbenic odobrilo ali ratificiralo Protokol.</w:t>
      </w:r>
    </w:p>
    <w:p>
      <w:pPr>
        <w:pBdr>
          <w:top w:val="nil"/>
          <w:left w:val="nil"/>
          <w:bottom w:val="nil"/>
          <w:right w:val="nil"/>
          <w:between w:val="nil"/>
          <w:bar w:val="nil"/>
        </w:pBdr>
        <w:spacing w:before="0" w:after="240"/>
        <w:rPr>
          <w:noProof/>
          <w:szCs w:val="24"/>
        </w:rPr>
      </w:pPr>
      <w:r>
        <w:rPr>
          <w:noProof/>
        </w:rPr>
        <w:t>Ena od pogodbenic je spremenila svoje ime v Republiko Severno Makedonijo, kar se je tudi upoštevalo v Protokolu.</w:t>
      </w:r>
    </w:p>
    <w:p>
      <w:pPr>
        <w:pBdr>
          <w:top w:val="nil"/>
          <w:left w:val="nil"/>
          <w:bottom w:val="nil"/>
          <w:right w:val="nil"/>
          <w:between w:val="nil"/>
          <w:bar w:val="nil"/>
        </w:pBdr>
        <w:spacing w:before="0" w:after="240"/>
        <w:rPr>
          <w:noProof/>
        </w:rPr>
      </w:pPr>
      <w:r>
        <w:rPr>
          <w:noProof/>
        </w:rPr>
        <w:t xml:space="preserve">Protokol bo nadomestil Protokol k Sporazumu Interbus glede mednarodnih linijskih in posebnih linijskih avtobusnih prevozov potnikov, ki je bil na podlagi Sklepa Sveta (EU) 2018/1195 na voljo za podpis med 16. julijem 2018 in 16. aprilom 2019, vendar ga je podpisala samo Unija. </w:t>
      </w:r>
    </w:p>
    <w:p>
      <w:pPr>
        <w:pBdr>
          <w:top w:val="nil"/>
          <w:left w:val="nil"/>
          <w:bottom w:val="nil"/>
          <w:right w:val="nil"/>
          <w:between w:val="nil"/>
          <w:bar w:val="nil"/>
        </w:pBdr>
        <w:spacing w:before="0" w:after="240"/>
        <w:rPr>
          <w:noProof/>
          <w:szCs w:val="24"/>
        </w:rPr>
      </w:pPr>
      <w:r>
        <w:rPr>
          <w:noProof/>
        </w:rPr>
        <w:t xml:space="preserve">O napredku pri pogajanjih se je stalno obveščalo delovno skupino Sveta za kopenski promet, ki jo je Svet določil za posebni odbor v skladu s členom 218(4) PDEU. </w:t>
      </w:r>
    </w:p>
    <w:p>
      <w:pPr>
        <w:pStyle w:val="ManualHeading2"/>
        <w:spacing w:after="240"/>
        <w:rPr>
          <w:noProof/>
        </w:rPr>
      </w:pPr>
      <w:r>
        <w:rPr>
          <w:noProof/>
        </w:rPr>
        <w:t>•</w:t>
      </w:r>
      <w:r>
        <w:rPr>
          <w:noProof/>
        </w:rPr>
        <w:tab/>
        <w:t>Skladnost z veljavnimi določbami politike na tem področju</w:t>
      </w:r>
    </w:p>
    <w:p>
      <w:pPr>
        <w:pBdr>
          <w:top w:val="nil"/>
          <w:left w:val="nil"/>
          <w:bottom w:val="nil"/>
          <w:right w:val="nil"/>
          <w:between w:val="nil"/>
          <w:bar w:val="nil"/>
        </w:pBdr>
        <w:spacing w:before="0" w:after="240"/>
        <w:rPr>
          <w:noProof/>
        </w:rPr>
      </w:pPr>
      <w:r>
        <w:rPr>
          <w:noProof/>
        </w:rPr>
        <w:t>Predlagani Protokol je skladen s skupno prometno politiko Unije. Vsebuje zadevne dele Uredbe (ES) št. 1073/2009</w:t>
      </w:r>
      <w:r>
        <w:rPr>
          <w:rStyle w:val="FootnoteReference"/>
          <w:noProof/>
        </w:rPr>
        <w:footnoteReference w:id="6"/>
      </w:r>
      <w:r>
        <w:rPr>
          <w:noProof/>
        </w:rPr>
        <w:t>, prilagojene za večstranski mednarodni sporazum.</w:t>
      </w:r>
    </w:p>
    <w:p>
      <w:pPr>
        <w:pStyle w:val="ManualHeading2"/>
        <w:spacing w:after="240"/>
        <w:rPr>
          <w:noProof/>
        </w:rPr>
      </w:pPr>
      <w:r>
        <w:rPr>
          <w:noProof/>
        </w:rPr>
        <w:t>•</w:t>
      </w:r>
      <w:r>
        <w:rPr>
          <w:noProof/>
        </w:rPr>
        <w:tab/>
        <w:t>Skladnost z drugimi politikami Unije</w:t>
      </w:r>
    </w:p>
    <w:p>
      <w:pPr>
        <w:pBdr>
          <w:top w:val="nil"/>
          <w:left w:val="nil"/>
          <w:bottom w:val="nil"/>
          <w:right w:val="nil"/>
          <w:between w:val="nil"/>
          <w:bar w:val="nil"/>
        </w:pBdr>
        <w:spacing w:before="0" w:after="240"/>
        <w:rPr>
          <w:noProof/>
        </w:rPr>
      </w:pPr>
      <w:r>
        <w:rPr>
          <w:noProof/>
        </w:rPr>
        <w:t>Predlagani Protokol je skladen z evropsko sosedsko politiko in zunanjimi odnosi.</w:t>
      </w:r>
    </w:p>
    <w:p>
      <w:pPr>
        <w:pStyle w:val="ManualHeading2"/>
        <w:spacing w:after="240"/>
        <w:rPr>
          <w:noProof/>
        </w:rPr>
      </w:pPr>
      <w:r>
        <w:rPr>
          <w:noProof/>
        </w:rPr>
        <w:t>•</w:t>
      </w:r>
      <w:r>
        <w:rPr>
          <w:noProof/>
        </w:rPr>
        <w:tab/>
        <w:t>Davčne določbe</w:t>
      </w:r>
    </w:p>
    <w:p>
      <w:pPr>
        <w:pBdr>
          <w:top w:val="nil"/>
          <w:left w:val="nil"/>
          <w:bottom w:val="nil"/>
          <w:right w:val="nil"/>
          <w:between w:val="nil"/>
          <w:bar w:val="nil"/>
        </w:pBdr>
        <w:spacing w:before="0" w:after="240"/>
        <w:rPr>
          <w:noProof/>
        </w:rPr>
      </w:pPr>
      <w:r>
        <w:rPr>
          <w:noProof/>
        </w:rPr>
        <w:t>Približevanje carinskih in davčnih določb je v Protokolu glede na njihov cilj in vsebino le drugotno in posredno v primerjavi s cilji prometne politike Protokola.</w:t>
      </w:r>
    </w:p>
    <w:p>
      <w:pPr>
        <w:pStyle w:val="ManualHeading1"/>
        <w:spacing w:after="240"/>
        <w:rPr>
          <w:noProof/>
        </w:rPr>
      </w:pPr>
      <w:r>
        <w:rPr>
          <w:noProof/>
        </w:rPr>
        <w:t>2.</w:t>
      </w:r>
      <w:r>
        <w:rPr>
          <w:noProof/>
        </w:rPr>
        <w:tab/>
        <w:t>REZULTATI POSVETOVANJ Z ZAINTERESIRANIMI STRANMI IN OCEN UČINKA</w:t>
      </w:r>
    </w:p>
    <w:p>
      <w:pPr>
        <w:pStyle w:val="ManualHeading2"/>
        <w:spacing w:after="240"/>
        <w:rPr>
          <w:noProof/>
        </w:rPr>
      </w:pPr>
      <w:r>
        <w:rPr>
          <w:noProof/>
        </w:rPr>
        <w:t>•</w:t>
      </w:r>
      <w:r>
        <w:rPr>
          <w:noProof/>
        </w:rPr>
        <w:tab/>
        <w:t>Zbiranje in uporaba strokovnih mnenj ter ocena učinka</w:t>
      </w:r>
    </w:p>
    <w:p>
      <w:pPr>
        <w:pBdr>
          <w:top w:val="nil"/>
          <w:left w:val="nil"/>
          <w:bottom w:val="nil"/>
          <w:right w:val="nil"/>
          <w:between w:val="nil"/>
          <w:bar w:val="nil"/>
        </w:pBdr>
        <w:spacing w:before="0" w:after="240"/>
        <w:rPr>
          <w:noProof/>
        </w:rPr>
      </w:pPr>
      <w:r>
        <w:rPr>
          <w:noProof/>
        </w:rPr>
        <w:t xml:space="preserve">Komisija ni opravila ocene učinka in ni uporabila zunanjih strokovnjakov. Razširitev Sporazuma Interbus na mednarodne linijske in posebne linijske avtobusne prevoze potnikov bi pripomogla k razširitvi geografskega področja izvajanja pravnega reda Evropske unije na področju cestnega prevoza potnikov. </w:t>
      </w:r>
    </w:p>
    <w:p>
      <w:pPr>
        <w:pBdr>
          <w:top w:val="nil"/>
          <w:left w:val="nil"/>
          <w:bottom w:val="nil"/>
          <w:right w:val="nil"/>
          <w:between w:val="nil"/>
          <w:bar w:val="nil"/>
        </w:pBdr>
        <w:spacing w:before="0" w:after="240"/>
        <w:rPr>
          <w:noProof/>
        </w:rPr>
      </w:pPr>
      <w:r>
        <w:rPr>
          <w:noProof/>
        </w:rPr>
        <w:t>Gospodarski in socialni učinki bi koristili industriji potniškega prometa in turizmu. Povečan obseg prometa bi najverjetneje imel zmerne okoljske učinke.</w:t>
      </w:r>
    </w:p>
    <w:p>
      <w:pPr>
        <w:pStyle w:val="ManualHeading2"/>
        <w:spacing w:after="240"/>
        <w:rPr>
          <w:noProof/>
        </w:rPr>
      </w:pPr>
      <w:r>
        <w:rPr>
          <w:noProof/>
        </w:rPr>
        <w:lastRenderedPageBreak/>
        <w:t>•</w:t>
      </w:r>
      <w:r>
        <w:rPr>
          <w:noProof/>
        </w:rPr>
        <w:tab/>
        <w:t>Poenostavitev</w:t>
      </w:r>
    </w:p>
    <w:p>
      <w:pPr>
        <w:spacing w:before="0" w:after="240" w:line="280" w:lineRule="atLeast"/>
        <w:rPr>
          <w:noProof/>
        </w:rPr>
      </w:pPr>
      <w:r>
        <w:rPr>
          <w:noProof/>
        </w:rPr>
        <w:t>Harmonizacija postopkov za pridobivanje dovoljenj za mednarodne linijske in posebne linijske avtobusne prevoze potnikov bi poenostavila izvajanje teh dejavnosti.</w:t>
      </w:r>
    </w:p>
    <w:p>
      <w:pPr>
        <w:pStyle w:val="ManualHeading1"/>
        <w:spacing w:before="240" w:after="240"/>
        <w:rPr>
          <w:noProof/>
        </w:rPr>
      </w:pPr>
      <w:r>
        <w:rPr>
          <w:noProof/>
        </w:rPr>
        <w:t>3.</w:t>
      </w:r>
      <w:r>
        <w:rPr>
          <w:noProof/>
        </w:rPr>
        <w:tab/>
        <w:t>PRAVNI ELEMENTI PREDLOGA</w:t>
      </w:r>
    </w:p>
    <w:p>
      <w:pPr>
        <w:pStyle w:val="ManualHeading2"/>
        <w:spacing w:after="240"/>
        <w:rPr>
          <w:noProof/>
        </w:rPr>
      </w:pPr>
      <w:r>
        <w:rPr>
          <w:noProof/>
        </w:rPr>
        <w:t>•</w:t>
      </w:r>
      <w:r>
        <w:rPr>
          <w:noProof/>
        </w:rPr>
        <w:tab/>
        <w:t>Pravna podlaga</w:t>
      </w:r>
    </w:p>
    <w:p>
      <w:pPr>
        <w:spacing w:after="240"/>
        <w:rPr>
          <w:noProof/>
        </w:rPr>
      </w:pPr>
      <w:r>
        <w:rPr>
          <w:noProof/>
        </w:rPr>
        <w:t>Pravna podlaga je Pogodba o delovanju Evropske unije (PDEU), zlasti materialna pravna podlaga, člen 91 PDEU, v povezavi s členom 218(5) PDEU.</w:t>
      </w:r>
    </w:p>
    <w:p>
      <w:pPr>
        <w:pStyle w:val="ManualHeading2"/>
        <w:spacing w:after="240"/>
        <w:rPr>
          <w:noProof/>
        </w:rPr>
      </w:pPr>
      <w:r>
        <w:rPr>
          <w:noProof/>
        </w:rPr>
        <w:t>•</w:t>
      </w:r>
      <w:r>
        <w:rPr>
          <w:noProof/>
        </w:rPr>
        <w:tab/>
        <w:t>Izbira instrumenta</w:t>
      </w:r>
    </w:p>
    <w:p>
      <w:pPr>
        <w:pBdr>
          <w:top w:val="nil"/>
          <w:left w:val="nil"/>
          <w:bottom w:val="nil"/>
          <w:right w:val="nil"/>
          <w:between w:val="nil"/>
          <w:bar w:val="nil"/>
        </w:pBdr>
        <w:spacing w:before="0" w:after="240"/>
        <w:rPr>
          <w:noProof/>
        </w:rPr>
      </w:pPr>
      <w:r>
        <w:rPr>
          <w:noProof/>
        </w:rPr>
        <w:t>V členu 218(5) PDEU je sklep Sveta naveden kot ustrezen instrument.</w:t>
      </w:r>
    </w:p>
    <w:p>
      <w:pPr>
        <w:pStyle w:val="ManualHeading1"/>
        <w:spacing w:after="240"/>
        <w:rPr>
          <w:noProof/>
        </w:rPr>
      </w:pPr>
      <w:r>
        <w:rPr>
          <w:noProof/>
        </w:rPr>
        <w:t>4.</w:t>
      </w:r>
      <w:r>
        <w:rPr>
          <w:noProof/>
        </w:rPr>
        <w:tab/>
        <w:t>PRORAČUNSKE POSLEDICE</w:t>
      </w:r>
    </w:p>
    <w:p>
      <w:pPr>
        <w:spacing w:before="0" w:after="240" w:line="280" w:lineRule="atLeast"/>
        <w:rPr>
          <w:noProof/>
        </w:rPr>
      </w:pPr>
      <w:r>
        <w:rPr>
          <w:noProof/>
        </w:rPr>
        <w:t>Jih ni.</w:t>
      </w:r>
    </w:p>
    <w:p>
      <w:pPr>
        <w:pStyle w:val="ManualHeading1"/>
        <w:spacing w:after="240"/>
        <w:rPr>
          <w:noProof/>
        </w:rPr>
      </w:pPr>
      <w:r>
        <w:rPr>
          <w:noProof/>
        </w:rPr>
        <w:t>5.</w:t>
      </w:r>
      <w:r>
        <w:rPr>
          <w:noProof/>
        </w:rPr>
        <w:tab/>
        <w:t>NEOBVEZNI ELEMENTI</w:t>
      </w:r>
    </w:p>
    <w:p>
      <w:pPr>
        <w:pStyle w:val="ManualHeading2"/>
        <w:spacing w:after="240"/>
        <w:rPr>
          <w:noProof/>
        </w:rPr>
      </w:pPr>
      <w:r>
        <w:rPr>
          <w:noProof/>
        </w:rPr>
        <w:t>•</w:t>
      </w:r>
      <w:r>
        <w:rPr>
          <w:noProof/>
        </w:rPr>
        <w:tab/>
        <w:t>Ocenjevanje in poročanje</w:t>
      </w:r>
    </w:p>
    <w:p>
      <w:pPr>
        <w:spacing w:before="0" w:after="240" w:line="280" w:lineRule="atLeast"/>
        <w:rPr>
          <w:noProof/>
        </w:rPr>
      </w:pPr>
      <w:r>
        <w:rPr>
          <w:noProof/>
        </w:rPr>
        <w:t>Člen 16 Protokola določa, da mora Skupni odbor, ustanovljen s členom 18 Protokola, delovanje Protokola oceniti vsakih pet let.</w:t>
      </w:r>
    </w:p>
    <w:p>
      <w:pPr>
        <w:pStyle w:val="ManualHeading2"/>
        <w:spacing w:after="240"/>
        <w:rPr>
          <w:noProof/>
        </w:rPr>
      </w:pPr>
      <w:r>
        <w:rPr>
          <w:noProof/>
        </w:rPr>
        <w:t>•</w:t>
      </w:r>
      <w:r>
        <w:rPr>
          <w:noProof/>
        </w:rPr>
        <w:tab/>
        <w:t>Nadaljnji postopek</w:t>
      </w:r>
    </w:p>
    <w:p>
      <w:pPr>
        <w:spacing w:after="240"/>
        <w:rPr>
          <w:noProof/>
        </w:rPr>
      </w:pPr>
      <w:r>
        <w:rPr>
          <w:noProof/>
        </w:rPr>
        <w:t>Komisija meni, da je treba začeti postopek s ciljem podpisa Protokola. Zato Komisija Svetu pošilja ta novi predlog sklepa Sveta o podpisu Protokola o mednarodnih linijskih in posebnih linijskih avtobusnih prevozih potnikov k Sporazumu o mednarodnih občasnih avtobusnih prevozih potnikov (Sporazum Interbus).</w:t>
      </w:r>
    </w:p>
    <w:p>
      <w:pPr>
        <w:pStyle w:val="ManualHeading2"/>
        <w:spacing w:after="240"/>
        <w:rPr>
          <w:noProof/>
        </w:rPr>
      </w:pPr>
      <w:r>
        <w:rPr>
          <w:noProof/>
        </w:rPr>
        <w:t>•</w:t>
      </w:r>
      <w:r>
        <w:rPr>
          <w:noProof/>
        </w:rPr>
        <w:tab/>
        <w:t>Natančnejša pojasnitev posameznih določb predloga</w:t>
      </w:r>
    </w:p>
    <w:p>
      <w:pPr>
        <w:pStyle w:val="ManualHeading3"/>
        <w:spacing w:after="240"/>
        <w:rPr>
          <w:noProof/>
        </w:rPr>
      </w:pPr>
      <w:r>
        <w:rPr>
          <w:noProof/>
        </w:rPr>
        <w:t>Posamezne določbe predlaganega sklepa Sveta:</w:t>
      </w:r>
    </w:p>
    <w:p>
      <w:pPr>
        <w:pStyle w:val="Bullet0"/>
        <w:numPr>
          <w:ilvl w:val="0"/>
          <w:numId w:val="12"/>
        </w:numPr>
        <w:spacing w:after="240"/>
        <w:rPr>
          <w:noProof/>
          <w:szCs w:val="24"/>
        </w:rPr>
      </w:pPr>
      <w:r>
        <w:rPr>
          <w:noProof/>
        </w:rPr>
        <w:t>Člen 1 sklepa Sveta določa podpis nove različice Protokola k Sporazumu Interbus o mednarodnih linijskih in posebnih linijskih avtobusnih prevozih potnikov v imenu Unije.</w:t>
      </w:r>
    </w:p>
    <w:p>
      <w:pPr>
        <w:pStyle w:val="Bullet0"/>
        <w:spacing w:after="240"/>
        <w:rPr>
          <w:noProof/>
        </w:rPr>
      </w:pPr>
      <w:r>
        <w:rPr>
          <w:noProof/>
        </w:rPr>
        <w:t>Člen 2 zadeva pooblastila za podpis Protokola.</w:t>
      </w:r>
    </w:p>
    <w:p>
      <w:pPr>
        <w:pStyle w:val="Bullet0"/>
        <w:spacing w:after="240"/>
        <w:rPr>
          <w:noProof/>
        </w:rPr>
      </w:pPr>
      <w:r>
        <w:rPr>
          <w:noProof/>
        </w:rPr>
        <w:t>Člen 3 določa začetek veljavnosti sklepa Sveta.</w:t>
      </w:r>
    </w:p>
    <w:p>
      <w:pPr>
        <w:pStyle w:val="ManualHeading3"/>
        <w:spacing w:after="240"/>
        <w:rPr>
          <w:noProof/>
        </w:rPr>
      </w:pPr>
      <w:r>
        <w:rPr>
          <w:noProof/>
        </w:rPr>
        <w:t>Posamezne določbe Protokola:</w:t>
      </w:r>
    </w:p>
    <w:p>
      <w:pPr>
        <w:pStyle w:val="Bullet0"/>
        <w:spacing w:after="240"/>
        <w:rPr>
          <w:noProof/>
        </w:rPr>
      </w:pPr>
      <w:r>
        <w:rPr>
          <w:noProof/>
        </w:rPr>
        <w:t xml:space="preserve">V členu 1 je opredeljeno področje uporabe Protokola o mednarodnih linijskih in posebnih linijskih cestnih prevozih potnikov z odhodnim ali namembnim krajem v pogodbenici, kjer ima prevoznik sedež in kjer so vozila registrirana ali prek katere </w:t>
      </w:r>
      <w:r>
        <w:rPr>
          <w:noProof/>
        </w:rPr>
        <w:lastRenderedPageBreak/>
        <w:t>poteka prevoz z vstopom ali izstopom potnikov ali brez njega. Ta člen se nanaša tudi na partnerske sporazume. Vse oblike kabotaže so prepovedane.</w:t>
      </w:r>
    </w:p>
    <w:p>
      <w:pPr>
        <w:pStyle w:val="Bullet0"/>
        <w:spacing w:after="240"/>
        <w:rPr>
          <w:noProof/>
        </w:rPr>
      </w:pPr>
      <w:r>
        <w:rPr>
          <w:noProof/>
        </w:rPr>
        <w:t>Člen 2 je nediskriminacijska klavzula.</w:t>
      </w:r>
    </w:p>
    <w:p>
      <w:pPr>
        <w:pStyle w:val="Bullet0"/>
        <w:spacing w:after="240"/>
        <w:rPr>
          <w:noProof/>
        </w:rPr>
      </w:pPr>
      <w:r>
        <w:rPr>
          <w:noProof/>
        </w:rPr>
        <w:t>Člen 3 vsebuje opredelitve pojmov.</w:t>
      </w:r>
    </w:p>
    <w:p>
      <w:pPr>
        <w:pStyle w:val="Bullet0"/>
        <w:spacing w:after="240"/>
        <w:rPr>
          <w:noProof/>
        </w:rPr>
      </w:pPr>
      <w:r>
        <w:rPr>
          <w:noProof/>
        </w:rPr>
        <w:t>Člen 4 se nanaša na Prilogo 1 k Sporazumu Interbus o določbah, ki se uporabljajo za cestne prevoznike v potniškem prometu.</w:t>
      </w:r>
    </w:p>
    <w:p>
      <w:pPr>
        <w:pStyle w:val="Bullet0"/>
        <w:spacing w:after="240"/>
        <w:rPr>
          <w:noProof/>
        </w:rPr>
      </w:pPr>
      <w:r>
        <w:rPr>
          <w:noProof/>
        </w:rPr>
        <w:t>Člen 5 se nanaša na Prilogo 2 k Sporazumu Interbus o tehničnih pogojih, ki se uporabljajo za vozila.</w:t>
      </w:r>
    </w:p>
    <w:p>
      <w:pPr>
        <w:pStyle w:val="Bullet0"/>
        <w:spacing w:after="240"/>
        <w:rPr>
          <w:noProof/>
        </w:rPr>
      </w:pPr>
      <w:r>
        <w:rPr>
          <w:noProof/>
        </w:rPr>
        <w:t>Člen 6 vsebuje določbe o mednarodnih linijskih in posebnih linijskih prevozih na podlagi dovoljenj. Med drugim določa možnost, da se pogodbenice in države članice Unije odločijo, da se za linijske ali posebne linijske prevoze med pogodbenicami uporabljajo partnerski sporazumi med prevozniki iz odhodnega in namembnega kraja prevoza. Prevozniki s sedežem v pogodbenicah ali državah članicah Unije, ki jih proga prečka ter kjer potniki vstopajo in izstopajo, bi morali imeti pravico, da se pridružijo takim partnerstvom, če se tako odločijo.</w:t>
      </w:r>
    </w:p>
    <w:p>
      <w:pPr>
        <w:pStyle w:val="Bullet0"/>
        <w:spacing w:after="240"/>
        <w:rPr>
          <w:noProof/>
        </w:rPr>
      </w:pPr>
      <w:r>
        <w:rPr>
          <w:noProof/>
        </w:rPr>
        <w:t xml:space="preserve">Člen 7 določa, da se za Protokol uporabljata oddelka V in VI Sporazuma Interbus o socialnih določbah ter carinskih in davčnih določbah. </w:t>
      </w:r>
    </w:p>
    <w:p>
      <w:pPr>
        <w:pStyle w:val="Bullet0"/>
        <w:spacing w:after="240"/>
        <w:rPr>
          <w:noProof/>
        </w:rPr>
      </w:pPr>
      <w:r>
        <w:rPr>
          <w:noProof/>
        </w:rPr>
        <w:t>Člen 8 določa organ, ki izdaja dovoljenja, prejemnike dovoljenj, obdobje veljavnosti dovoljenja, postavke, ki jih je treba navesti v dovoljenjih, ter uporabo dodatnih vozil v začasnih in izrednih okoliščinah.</w:t>
      </w:r>
    </w:p>
    <w:p>
      <w:pPr>
        <w:pStyle w:val="Bullet0"/>
        <w:spacing w:after="240"/>
        <w:rPr>
          <w:noProof/>
        </w:rPr>
      </w:pPr>
      <w:r>
        <w:rPr>
          <w:noProof/>
        </w:rPr>
        <w:t>Člen 9 določa postopek za predložitev vloge za dovoljenje.</w:t>
      </w:r>
    </w:p>
    <w:p>
      <w:pPr>
        <w:pStyle w:val="Bullet0"/>
        <w:spacing w:after="240"/>
        <w:rPr>
          <w:noProof/>
        </w:rPr>
      </w:pPr>
      <w:r>
        <w:rPr>
          <w:noProof/>
        </w:rPr>
        <w:t>Člen 10 določa postopek izdaje dovoljenja, vključno s stiki med zadevnimi pristojnimi organi, ki izdajajo dovoljenja, in izključne razloge za morebitno zavrnitev vloge.</w:t>
      </w:r>
    </w:p>
    <w:p>
      <w:pPr>
        <w:pStyle w:val="Bullet0"/>
        <w:spacing w:after="240"/>
        <w:rPr>
          <w:noProof/>
        </w:rPr>
      </w:pPr>
      <w:r>
        <w:rPr>
          <w:noProof/>
        </w:rPr>
        <w:t>Člen 11 določa pravila glede podaljšanja ali spremembe dovoljenja.</w:t>
      </w:r>
    </w:p>
    <w:p>
      <w:pPr>
        <w:pStyle w:val="Bullet0"/>
        <w:spacing w:after="240"/>
        <w:rPr>
          <w:noProof/>
        </w:rPr>
      </w:pPr>
      <w:r>
        <w:rPr>
          <w:noProof/>
        </w:rPr>
        <w:t>Člen 12 določa pravila glede izteka veljavnosti dovoljenja.</w:t>
      </w:r>
    </w:p>
    <w:p>
      <w:pPr>
        <w:pStyle w:val="Bullet0"/>
        <w:spacing w:after="240"/>
        <w:rPr>
          <w:noProof/>
        </w:rPr>
      </w:pPr>
      <w:r>
        <w:rPr>
          <w:noProof/>
        </w:rPr>
        <w:t>Člen 13 določa obveznosti prevoznikov.</w:t>
      </w:r>
    </w:p>
    <w:p>
      <w:pPr>
        <w:pStyle w:val="Bullet0"/>
        <w:spacing w:after="240"/>
        <w:rPr>
          <w:noProof/>
        </w:rPr>
      </w:pPr>
      <w:r>
        <w:rPr>
          <w:noProof/>
        </w:rPr>
        <w:t>Člen 14 določa, da bi morale pogodbenice zagotoviti, da prevozniki upoštevajo zadevne določbe.</w:t>
      </w:r>
    </w:p>
    <w:p>
      <w:pPr>
        <w:pStyle w:val="Bullet0"/>
        <w:spacing w:after="240"/>
        <w:rPr>
          <w:noProof/>
        </w:rPr>
      </w:pPr>
      <w:r>
        <w:rPr>
          <w:noProof/>
        </w:rPr>
        <w:t>V členu 15 so (v povezavi s členom 8(9)) našteti dokumenti, ki jih je treba imeti v vozilu. Isti seznam dokumentov, ki jih je treba imeti v vozilu, je naveden na tretji strani vzorca dovoljenja v Prilogi 4 k Protokolu.</w:t>
      </w:r>
    </w:p>
    <w:p>
      <w:pPr>
        <w:pStyle w:val="Bullet0"/>
        <w:spacing w:after="240"/>
        <w:rPr>
          <w:noProof/>
        </w:rPr>
      </w:pPr>
      <w:r>
        <w:rPr>
          <w:noProof/>
        </w:rPr>
        <w:t>Člen 16 določa trajanje Protokola (pet let) s tihim podaljšanjem za naslednjih pet let in redne ocene delovanja Protokola.</w:t>
      </w:r>
    </w:p>
    <w:p>
      <w:pPr>
        <w:pStyle w:val="Bullet0"/>
        <w:spacing w:after="240"/>
        <w:rPr>
          <w:noProof/>
        </w:rPr>
      </w:pPr>
      <w:r>
        <w:rPr>
          <w:noProof/>
        </w:rPr>
        <w:t xml:space="preserve">Člen 17 se nanaša na smiselno uporabo določb Sporazuma Interbus z nekaterimi spremembami, zlasti na petletno prehodno obdobje glede obstoječih linijskih in </w:t>
      </w:r>
      <w:r>
        <w:rPr>
          <w:noProof/>
        </w:rPr>
        <w:lastRenderedPageBreak/>
        <w:t>posebnih linijskih cestnih prevozov potnikov v dvostranskih sporazumih ter sklenitev, ratifikacijo ali odobritev Protokola, njegov začetek veljavnosti, odpoved in jezike. Člen določa tudi zmanjšanje števila ratifikacij, potrebnih za začetek veljavnosti Protokola, s štiri (v skladu s Sporazumom Interbus) na tri. Poleg tega bi moral Protokol za pogodbenice, ki so ga podpisale in odobrile ali ratificirale, začeti veljati prvi dan v mesecu, ki sledi mesecu, v katerem so tri pogodbenice, vključno z Unijo, deponirale svoje listine o odobritvi ali ratifikaciji pri generalnem sekretariatu Sveta Evropske unije.</w:t>
      </w:r>
    </w:p>
    <w:p>
      <w:pPr>
        <w:pStyle w:val="Bullet0"/>
        <w:spacing w:after="240"/>
        <w:rPr>
          <w:noProof/>
        </w:rPr>
      </w:pPr>
      <w:r>
        <w:rPr>
          <w:noProof/>
        </w:rPr>
        <w:t>Člen 18 ustanavlja Skupni odbor za smiselno upravljanje Protokola v skladu s členoma 23 in 24 Sporazuma Interbus.</w:t>
      </w:r>
    </w:p>
    <w:p>
      <w:pPr>
        <w:pStyle w:val="Bullet0"/>
        <w:spacing w:after="240"/>
        <w:rPr>
          <w:noProof/>
        </w:rPr>
      </w:pPr>
      <w:r>
        <w:rPr>
          <w:noProof/>
        </w:rPr>
        <w:t>Člen 19 določa postopek, ko pogodbenica Protokola, ki ni članica Unije, pristopi k Evropski uniji.</w:t>
      </w:r>
    </w:p>
    <w:p>
      <w:pPr>
        <w:pStyle w:val="Bullet0"/>
        <w:spacing w:after="240"/>
        <w:rPr>
          <w:noProof/>
        </w:rPr>
      </w:pPr>
      <w:r>
        <w:rPr>
          <w:noProof/>
        </w:rPr>
        <w:t>Člen 20 navaja rok za podpis Protokola, ki je dve leti od datuma sprejetja tega sklepa Sveta s strani Sveta, in določa, da Protokol lahko sklenejo, pristopijo k njemu ali ga ratificirajo samo pogodbenice Sporazuma Interbus.</w:t>
      </w:r>
    </w:p>
    <w:p>
      <w:pPr>
        <w:pStyle w:val="Bullet0"/>
        <w:spacing w:after="240"/>
        <w:rPr>
          <w:noProof/>
        </w:rPr>
      </w:pPr>
      <w:r>
        <w:rPr>
          <w:noProof/>
        </w:rPr>
        <w:t>Člen 21 določa, da lahko po začetku veljavnosti Protokola k njemu pristopi katera koli pogodbenica Sporazuma Interbus.</w:t>
      </w:r>
    </w:p>
    <w:p>
      <w:pPr>
        <w:pStyle w:val="Bullet0"/>
        <w:spacing w:after="240"/>
        <w:rPr>
          <w:noProof/>
        </w:rPr>
      </w:pPr>
      <w:r>
        <w:rPr>
          <w:noProof/>
        </w:rPr>
        <w:t>Člen 22 določa, da so priloge k Protokolu njegov sestavni del.</w:t>
      </w:r>
    </w:p>
    <w:p>
      <w:pPr>
        <w:pStyle w:val="Bullet0"/>
        <w:spacing w:after="240"/>
        <w:rPr>
          <w:noProof/>
        </w:rPr>
      </w:pPr>
      <w:r>
        <w:rPr>
          <w:noProof/>
        </w:rPr>
        <w:t xml:space="preserve">Člen 23 določa, da Protokol nadomešča Protokol o linijskih in posebnih linijskih prevozih, ki je bil na voljo za podpis med 16. julijem 2018 in 16. aprilom 2019. </w:t>
      </w:r>
    </w:p>
    <w:p>
      <w:pPr>
        <w:pStyle w:val="Bullet0"/>
        <w:spacing w:after="240"/>
        <w:rPr>
          <w:noProof/>
        </w:rPr>
      </w:pPr>
      <w:r>
        <w:rPr>
          <w:noProof/>
        </w:rPr>
        <w:t xml:space="preserve">Prilogi 1 in 2 k Protokolu se nanašata na Prilogi 1 in 2 k Sporazumu Interbus. </w:t>
      </w:r>
    </w:p>
    <w:p>
      <w:pPr>
        <w:pStyle w:val="Bullet0"/>
        <w:spacing w:after="240"/>
        <w:rPr>
          <w:noProof/>
        </w:rPr>
      </w:pPr>
      <w:r>
        <w:rPr>
          <w:noProof/>
        </w:rPr>
        <w:t>Priloga 3 določa vzorec vloge za dovoljenje za mednarodni linijski ali posebni linijski cestni prevoz potnikov.</w:t>
      </w:r>
    </w:p>
    <w:p>
      <w:pPr>
        <w:pStyle w:val="Bullet0"/>
        <w:spacing w:after="240"/>
        <w:rPr>
          <w:noProof/>
        </w:rPr>
      </w:pPr>
      <w:r>
        <w:rPr>
          <w:noProof/>
        </w:rPr>
        <w:t>Priloga 4 določa vzorec dovoljenja za mednarodni linijski ali posebni linijski cestni prevoz potnikov.</w:t>
      </w:r>
    </w:p>
    <w:p>
      <w:pPr>
        <w:rPr>
          <w:noProof/>
          <w:sz w:val="23"/>
          <w:szCs w:val="23"/>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2020/0257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podpisu Protokola k Sporazumu o mednarodnih občasnih avtobusnih prevozih potnikov (Sporazum Interbus) glede mednarodnih linijskih in posebnih linijskih avtobusnih prevozov potnikov, v imenu Evropske unije</w:t>
      </w:r>
    </w:p>
    <w:p>
      <w:pPr>
        <w:pStyle w:val="Institutionquiagit"/>
        <w:spacing w:before="240"/>
        <w:rPr>
          <w:noProof/>
          <w:szCs w:val="24"/>
        </w:rPr>
      </w:pPr>
      <w:r>
        <w:rPr>
          <w:noProof/>
        </w:rPr>
        <w:t>SVET EVROPSKE UNIJE JE −</w:t>
      </w:r>
    </w:p>
    <w:p>
      <w:pPr>
        <w:spacing w:before="240"/>
        <w:rPr>
          <w:noProof/>
          <w:szCs w:val="24"/>
        </w:rPr>
      </w:pPr>
      <w:r>
        <w:rPr>
          <w:noProof/>
        </w:rPr>
        <w:t>ob upoštevanju Pogodbe o delovanju Evropske unije in zlasti člena 91 v povezavi s členom 218(5) Pogodbe,</w:t>
      </w:r>
    </w:p>
    <w:p>
      <w:pPr>
        <w:spacing w:before="240"/>
        <w:rPr>
          <w:rFonts w:eastAsia="Times New Roman"/>
          <w:noProof/>
        </w:rPr>
      </w:pPr>
      <w:r>
        <w:rPr>
          <w:noProof/>
        </w:rPr>
        <w:t>ob upoštevanju predloga Evropske komisije</w:t>
      </w:r>
      <w:r>
        <w:rPr>
          <w:rStyle w:val="FootnoteReference"/>
          <w:rFonts w:eastAsia="Times New Roman"/>
          <w:noProof/>
          <w:szCs w:val="24"/>
          <w:lang w:eastAsia="en-GB"/>
        </w:rPr>
        <w:footnoteReference w:id="7"/>
      </w:r>
      <w:r>
        <w:rPr>
          <w:rStyle w:val="FootnoteReference"/>
          <w:rFonts w:eastAsia="Times New Roman"/>
          <w:noProof/>
          <w:vertAlign w:val="baseline"/>
          <w:lang w:eastAsia="en-GB"/>
        </w:rPr>
        <w:t>,</w:t>
      </w:r>
      <w:r>
        <w:rPr>
          <w:rStyle w:val="FootnoteReference"/>
          <w:noProof/>
          <w:vertAlign w:val="baseline"/>
        </w:rPr>
        <w:t>,</w:t>
      </w:r>
      <w:r>
        <w:rPr>
          <w:noProof/>
        </w:rPr>
        <w:t>,</w:t>
      </w:r>
    </w:p>
    <w:p>
      <w:pPr>
        <w:spacing w:before="240"/>
        <w:rPr>
          <w:noProof/>
          <w:szCs w:val="24"/>
        </w:rPr>
      </w:pPr>
      <w:r>
        <w:rPr>
          <w:noProof/>
        </w:rPr>
        <w:t>ob upoštevanju naslednjega:</w:t>
      </w:r>
    </w:p>
    <w:p>
      <w:pPr>
        <w:pStyle w:val="ManualConsidrant"/>
        <w:spacing w:before="240" w:after="240"/>
        <w:rPr>
          <w:noProof/>
        </w:rPr>
      </w:pPr>
      <w:r>
        <w:rPr>
          <w:noProof/>
        </w:rPr>
        <w:t>(1)</w:t>
      </w:r>
      <w:r>
        <w:rPr>
          <w:noProof/>
        </w:rPr>
        <w:tab/>
        <w:t>S Sklepom Sveta 2002/917/ES</w:t>
      </w:r>
      <w:r>
        <w:rPr>
          <w:rStyle w:val="FootnoteReference"/>
          <w:noProof/>
        </w:rPr>
        <w:footnoteReference w:id="8"/>
      </w:r>
      <w:r>
        <w:rPr>
          <w:noProof/>
        </w:rPr>
        <w:t xml:space="preserve"> je bil Sporazum o mednarodnih občasnih avtobusnih prevozih potnikov (Sporazum Interbus)</w:t>
      </w:r>
      <w:r>
        <w:rPr>
          <w:rStyle w:val="FootnoteReference"/>
          <w:noProof/>
        </w:rPr>
        <w:footnoteReference w:id="9"/>
      </w:r>
      <w:r>
        <w:rPr>
          <w:noProof/>
        </w:rPr>
        <w:t xml:space="preserve"> v imenu Unije sklenjen 3. oktobra 2002, veljati pa je začel 1. januarja 2003</w:t>
      </w:r>
      <w:r>
        <w:rPr>
          <w:rStyle w:val="FootnoteReference"/>
          <w:rFonts w:eastAsia="Times New Roman"/>
          <w:noProof/>
          <w:szCs w:val="24"/>
          <w:lang w:eastAsia="en-GB"/>
        </w:rPr>
        <w:footnoteReference w:id="10"/>
      </w:r>
      <w:r>
        <w:rPr>
          <w:noProof/>
        </w:rPr>
        <w:t>.</w:t>
      </w:r>
    </w:p>
    <w:p>
      <w:pPr>
        <w:pStyle w:val="ManualConsidrant"/>
        <w:spacing w:after="240"/>
        <w:rPr>
          <w:noProof/>
        </w:rPr>
      </w:pPr>
      <w:r>
        <w:rPr>
          <w:noProof/>
        </w:rPr>
        <w:t>(2)</w:t>
      </w:r>
      <w:r>
        <w:rPr>
          <w:noProof/>
        </w:rPr>
        <w:tab/>
        <w:t>Svet je 16. julija 2018 sprejel Sklep (EU) 2018/1195</w:t>
      </w:r>
      <w:r>
        <w:rPr>
          <w:rStyle w:val="FootnoteReference"/>
          <w:bCs/>
          <w:noProof/>
        </w:rPr>
        <w:footnoteReference w:id="11"/>
      </w:r>
      <w:r>
        <w:rPr>
          <w:noProof/>
        </w:rPr>
        <w:t xml:space="preserve"> o podpisu Protokola o linijskih in posebnih linijskih prevozih. </w:t>
      </w:r>
    </w:p>
    <w:p>
      <w:pPr>
        <w:pStyle w:val="ManualConsidrant"/>
        <w:rPr>
          <w:noProof/>
        </w:rPr>
      </w:pPr>
      <w:r>
        <w:rPr>
          <w:noProof/>
        </w:rPr>
        <w:t>(3)</w:t>
      </w:r>
      <w:r>
        <w:rPr>
          <w:noProof/>
        </w:rPr>
        <w:tab/>
        <w:t xml:space="preserve">Protokol o linijskih in posebnih linijskih prevozih je bil na voljo za podpis od 16. julija 2018 do 16. aprila 2019. Unija ga je podpisala 11. aprila 2019. Nobena druga pogodbenica Sporazuma Interbus ni podpisala navedenega protokola pred iztekom roka za podpis. To je onemogočilo začetek veljavnosti Protokola. </w:t>
      </w:r>
    </w:p>
    <w:p>
      <w:pPr>
        <w:pStyle w:val="ManualConsidrant"/>
        <w:spacing w:before="240" w:after="240"/>
        <w:rPr>
          <w:noProof/>
        </w:rPr>
      </w:pPr>
      <w:r>
        <w:rPr>
          <w:noProof/>
        </w:rPr>
        <w:t>(4)</w:t>
      </w:r>
      <w:r>
        <w:rPr>
          <w:noProof/>
        </w:rPr>
        <w:tab/>
        <w:t>Svet je 18. februarja 2020 pooblastil Komisijo, da začne pogajanja za spremembo Protokola o linijskih in posebnih linijskih prevozih, da se izvedejo nekatere tehnične spremembe glede njegovega podpisa in začetka veljavnosti ter da se upošteva sprememba imena ene od pogodbenic Sporazuma Interbus.</w:t>
      </w:r>
    </w:p>
    <w:p>
      <w:pPr>
        <w:pStyle w:val="ManualConsidrant"/>
        <w:spacing w:before="240" w:after="240"/>
        <w:rPr>
          <w:noProof/>
        </w:rPr>
      </w:pPr>
      <w:r>
        <w:rPr>
          <w:noProof/>
        </w:rPr>
        <w:t>(5)</w:t>
      </w:r>
      <w:r>
        <w:rPr>
          <w:noProof/>
        </w:rPr>
        <w:tab/>
        <w:t xml:space="preserve">Pogajanja so se uspešno zaključila. Za podpis Protokola je bil določen nov rok, tj. dve leti. Poleg tega je bil Protokol o linijskih in posebnih linijskih prevozih spremenjen tako, da sta za začetek njegove veljavnosti potrebna odobritev ali ratifikacija s strani </w:t>
      </w:r>
      <w:r>
        <w:rPr>
          <w:noProof/>
        </w:rPr>
        <w:lastRenderedPageBreak/>
        <w:t>manjšega števila pogodbenic in čakalna doba po navedeni odobritvi ali ratifikaciji, krajša od tiste iz Sporazuma Interbus. V Protokolu se je tudi upoštevala sprememba imena nekdanje jugoslovanske republike Makedonije v Republiko Severno Makedonijo.</w:t>
      </w:r>
    </w:p>
    <w:p>
      <w:pPr>
        <w:pStyle w:val="ManualConsidrant"/>
        <w:spacing w:before="240" w:after="240"/>
        <w:ind w:left="720" w:hanging="720"/>
        <w:rPr>
          <w:noProof/>
        </w:rPr>
      </w:pPr>
      <w:r>
        <w:rPr>
          <w:noProof/>
        </w:rPr>
        <w:t>(6)</w:t>
      </w:r>
      <w:r>
        <w:rPr>
          <w:noProof/>
        </w:rPr>
        <w:tab/>
        <w:t xml:space="preserve">Zaradi jasnosti ter da bi se omogočila hiter podpis in začetek veljavnosti Protokola, se je štelo za primerno, da se pripravi nov, ustrezno spremenjen Protokol o linijskih in posebnih linijskih prevozih, ki bi nadomestil Protokol o linijskih in posebnih linijskih prevozih, ki je bil na voljo za podpis med 16. julijem 2018 in 16. aprilom 2019. </w:t>
      </w:r>
    </w:p>
    <w:p>
      <w:pPr>
        <w:pStyle w:val="ManualConsidrant"/>
        <w:spacing w:before="240" w:after="240"/>
        <w:rPr>
          <w:bCs/>
          <w:noProof/>
        </w:rPr>
      </w:pPr>
      <w:r>
        <w:rPr>
          <w:noProof/>
        </w:rPr>
        <w:t>(7)</w:t>
      </w:r>
      <w:r>
        <w:rPr>
          <w:noProof/>
        </w:rPr>
        <w:tab/>
        <w:t xml:space="preserve">Protokol bi moral olajšati zagotavljanje linijskih in posebnih linijskih prevozov med pogodbenicami Sporazuma Interbus in s tem izboljšati potniške prometne povezave med njimi. </w:t>
      </w:r>
    </w:p>
    <w:p>
      <w:pPr>
        <w:pStyle w:val="ManualConsidrant"/>
        <w:spacing w:before="240" w:after="240"/>
        <w:rPr>
          <w:bCs/>
          <w:noProof/>
        </w:rPr>
      </w:pPr>
      <w:r>
        <w:rPr>
          <w:noProof/>
        </w:rPr>
        <w:t>(8)</w:t>
      </w:r>
      <w:r>
        <w:rPr>
          <w:noProof/>
        </w:rPr>
        <w:tab/>
        <w:t xml:space="preserve">Glede splošnih pravil, predvsem delovanja Skupnega odbora, novi Protokol večinoma ohranja podobna pravila, kot so določena v Sporazumu Interbus, da se olajša njegova uporaba. </w:t>
      </w:r>
    </w:p>
    <w:p>
      <w:pPr>
        <w:pStyle w:val="ManualConsidrant"/>
        <w:spacing w:before="240" w:after="240"/>
        <w:rPr>
          <w:bCs/>
          <w:noProof/>
        </w:rPr>
      </w:pPr>
      <w:r>
        <w:rPr>
          <w:noProof/>
        </w:rPr>
        <w:t>(9)</w:t>
      </w:r>
      <w:r>
        <w:rPr>
          <w:noProof/>
        </w:rPr>
        <w:tab/>
        <w:t>Protokol za to, da se njegove koristi ne bi zamaknile preveč v prihodnost, določa, da začne veljati za tiste pogodbenice, ki so ga odobrile ali ratificirale, ko ga odobrijo ali ratificirajo tri pogodbenice, vključno z Unijo.</w:t>
      </w:r>
    </w:p>
    <w:p>
      <w:pPr>
        <w:pStyle w:val="ManualConsidrant"/>
        <w:spacing w:before="240" w:after="480"/>
        <w:rPr>
          <w:noProof/>
        </w:rPr>
      </w:pPr>
      <w:r>
        <w:rPr>
          <w:noProof/>
        </w:rPr>
        <w:t>(10)</w:t>
      </w:r>
      <w:r>
        <w:rPr>
          <w:noProof/>
        </w:rPr>
        <w:tab/>
        <w:t>Zato bi bilo treba v imenu Unije podpisati novi Protokol o linijskih in posebnih linijskih prevozih, s pridržkom njegove poznejše sklenitve –</w:t>
      </w:r>
    </w:p>
    <w:p>
      <w:pPr>
        <w:pStyle w:val="Formuledadoption"/>
        <w:spacing w:after="240"/>
        <w:rPr>
          <w:noProof/>
          <w:szCs w:val="24"/>
        </w:rPr>
      </w:pPr>
      <w:r>
        <w:rPr>
          <w:noProof/>
        </w:rPr>
        <w:t>SPREJEL NASLEDNJI SKLEP:</w:t>
      </w:r>
    </w:p>
    <w:p>
      <w:pPr>
        <w:pStyle w:val="Titrearticle"/>
        <w:spacing w:after="240"/>
        <w:rPr>
          <w:noProof/>
        </w:rPr>
      </w:pPr>
      <w:r>
        <w:rPr>
          <w:noProof/>
        </w:rPr>
        <w:t>Člen 1</w:t>
      </w:r>
    </w:p>
    <w:p>
      <w:pPr>
        <w:spacing w:before="0" w:after="240"/>
        <w:rPr>
          <w:noProof/>
        </w:rPr>
      </w:pPr>
      <w:r>
        <w:rPr>
          <w:noProof/>
        </w:rPr>
        <w:t>V imenu Unije se odobri podpis Protokola k Sporazumu o mednarodnih občasnih avtobusnih prevozih potnikov (Sporazum Interbus) glede mednarodnih linijskih in posebnih linijskih avtobusnih prevozov potnikov, ki nadomešča Protokol k Sporazumu Interbus, ki je bil na voljo za podpis med 16. julijem 2018 in 16. aprilom 2019, s pridržkom sklenitve navedenega sporazuma</w:t>
      </w:r>
      <w:r>
        <w:rPr>
          <w:rStyle w:val="FootnoteReference"/>
          <w:noProof/>
        </w:rPr>
        <w:footnoteReference w:id="12"/>
      </w:r>
      <w:r>
        <w:rPr>
          <w:noProof/>
        </w:rPr>
        <w:t>.</w:t>
      </w:r>
    </w:p>
    <w:p>
      <w:pPr>
        <w:pStyle w:val="Titrearticle"/>
        <w:spacing w:before="0" w:after="240"/>
        <w:rPr>
          <w:noProof/>
        </w:rPr>
      </w:pPr>
      <w:r>
        <w:rPr>
          <w:noProof/>
        </w:rPr>
        <w:t>Člen 2</w:t>
      </w:r>
    </w:p>
    <w:p>
      <w:pPr>
        <w:spacing w:before="0" w:after="240"/>
        <w:rPr>
          <w:noProof/>
        </w:rPr>
      </w:pPr>
      <w:r>
        <w:rPr>
          <w:noProof/>
        </w:rPr>
        <w:t>Generalni sekretariat Sveta vzpostavi instrument popolnih pooblastil za podpis Protokola za osebe, ki jih določi pogajalec Protokola.</w:t>
      </w:r>
    </w:p>
    <w:p>
      <w:pPr>
        <w:pStyle w:val="Titrearticle"/>
        <w:spacing w:before="0" w:after="240"/>
        <w:rPr>
          <w:noProof/>
        </w:rPr>
      </w:pPr>
      <w:r>
        <w:rPr>
          <w:noProof/>
        </w:rPr>
        <w:t>Člen 3</w:t>
      </w:r>
    </w:p>
    <w:p>
      <w:pPr>
        <w:spacing w:before="0" w:after="240"/>
        <w:rPr>
          <w:noProof/>
        </w:rPr>
      </w:pPr>
      <w:r>
        <w:rPr>
          <w:noProof/>
        </w:rPr>
        <w:t>Ta sklep začne veljati na dan sprejetja.</w:t>
      </w:r>
    </w:p>
    <w:p>
      <w:pPr>
        <w:rPr>
          <w:noProof/>
        </w:rPr>
      </w:pPr>
    </w:p>
    <w:p>
      <w:pPr>
        <w:keepNext/>
        <w:keepLines/>
        <w:rPr>
          <w:noProof/>
        </w:rPr>
      </w:pPr>
    </w:p>
    <w:p>
      <w:pPr>
        <w:pStyle w:val="Fait"/>
        <w:rPr>
          <w:noProof/>
        </w:rPr>
      </w:pPr>
      <w:r>
        <w:t>V Bruslju,</w:t>
      </w:r>
    </w:p>
    <w:p>
      <w:pPr>
        <w:pStyle w:val="Institutionquisigne"/>
        <w:rPr>
          <w:noProof/>
          <w:szCs w:val="24"/>
        </w:rPr>
      </w:pPr>
      <w:r>
        <w:rPr>
          <w:noProof/>
        </w:rPr>
        <w:tab/>
        <w:t>Za Svet</w:t>
      </w:r>
    </w:p>
    <w:p>
      <w:pPr>
        <w:pStyle w:val="Personnequisigne"/>
        <w:spacing w:after="720"/>
        <w:rPr>
          <w:noProof/>
          <w:szCs w:val="24"/>
        </w:rPr>
      </w:pPr>
      <w:r>
        <w:rPr>
          <w:noProof/>
        </w:rPr>
        <w:tab/>
        <w:t>Predsednik</w:t>
      </w:r>
    </w:p>
    <w:sectPr>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120"/>
      </w:pPr>
      <w:r>
        <w:rPr>
          <w:rStyle w:val="FootnoteReference"/>
        </w:rPr>
        <w:footnoteRef/>
      </w:r>
      <w:r>
        <w:tab/>
        <w:t>UL L 321, 26.11.2002, str. 11.</w:t>
      </w:r>
    </w:p>
  </w:footnote>
  <w:footnote w:id="2">
    <w:p>
      <w:pPr>
        <w:pStyle w:val="FootnoteText"/>
        <w:spacing w:after="120"/>
      </w:pPr>
      <w:r>
        <w:rPr>
          <w:rStyle w:val="FootnoteReference"/>
        </w:rPr>
        <w:footnoteRef/>
      </w:r>
      <w:r>
        <w:tab/>
        <w:t>Sklep št. 1/2011 Skupnega odbora, ustanovljenega s Sporazumom Interbus o mednarodnih občasnih avtobusnih prevozih potnikov z dne 11. novembra 2011 o sprejetju poslovnika in prilagoditvah Priloge 1 Sporazuma glede pogojev za prevoznike v potniškem prometu in njegove Priloge 2 glede tehničnih standardov za avtobuse ter zahtev glede socialnih določb iz člena 8 Sporazuma (2012/25/EU) (UL L 8, 12.1.2012, str. 38).</w:t>
      </w:r>
    </w:p>
  </w:footnote>
  <w:footnote w:id="3">
    <w:p>
      <w:pPr>
        <w:pStyle w:val="FootnoteText"/>
        <w:spacing w:after="120"/>
      </w:pPr>
      <w:r>
        <w:rPr>
          <w:rStyle w:val="FootnoteReference"/>
        </w:rPr>
        <w:footnoteRef/>
      </w:r>
      <w:r>
        <w:tab/>
        <w:t>Sklep Sveta z dne 5. decembra 2014 (SGS14/15073).</w:t>
      </w:r>
    </w:p>
  </w:footnote>
  <w:footnote w:id="4">
    <w:p>
      <w:pPr>
        <w:pStyle w:val="FootnoteText"/>
        <w:spacing w:after="120"/>
      </w:pPr>
      <w:r>
        <w:rPr>
          <w:rStyle w:val="FootnoteReference"/>
        </w:rPr>
        <w:footnoteRef/>
      </w:r>
      <w:r>
        <w:tab/>
        <w:t>Sklep Sveta (EU) 2018/1195 z dne 16. julija 2018 o podpisu, v imenu Evropske unije, Protokola k Sporazumu o mednarodnih občasnih avtobusnih prevozih potnikov (Sporazum Interbus) glede mednarodnih linijskih in posebnih linijskih avtobusnih prevozov potnikov (UL L 214, 23.8.2018, str. 3).</w:t>
      </w:r>
    </w:p>
  </w:footnote>
  <w:footnote w:id="5">
    <w:p>
      <w:pPr>
        <w:pStyle w:val="FootnoteText"/>
        <w:spacing w:after="120"/>
      </w:pPr>
      <w:r>
        <w:rPr>
          <w:rStyle w:val="FootnoteReference"/>
        </w:rPr>
        <w:footnoteRef/>
      </w:r>
      <w:r>
        <w:tab/>
        <w:t>Uredba (ES) št. 1071/2009 Evropskega parlamenta in Sveta z dne 21. oktobra 2009 o skupnih pravilih glede pogojev za opravljanje dejavnosti cestnega prevoznika in o razveljavitvi Direktive Sveta 96/26/ES (UL L 300, 14.11.2009, str. 51).</w:t>
      </w:r>
    </w:p>
  </w:footnote>
  <w:footnote w:id="6">
    <w:p>
      <w:pPr>
        <w:pStyle w:val="FootnoteText"/>
        <w:spacing w:after="120"/>
      </w:pPr>
      <w:r>
        <w:rPr>
          <w:rStyle w:val="FootnoteReference"/>
        </w:rPr>
        <w:footnoteRef/>
      </w:r>
      <w:r>
        <w:tab/>
        <w:t>Uredba (ES) št. 1073/2009 Evropskega parlamenta in Sveta z dne 21. oktobra 2009 o skupnih pravilih za dostop do mednarodnega trga avtobusnih prevozov in spremembi Uredbe (ES) št. 561/2006 (UL L 300, 14.11.2009, str. 88).</w:t>
      </w:r>
    </w:p>
  </w:footnote>
  <w:footnote w:id="7">
    <w:p>
      <w:pPr>
        <w:pStyle w:val="FootnoteText"/>
        <w:spacing w:after="120"/>
      </w:pPr>
      <w:r>
        <w:rPr>
          <w:rStyle w:val="FootnoteReference"/>
        </w:rPr>
        <w:footnoteRef/>
      </w:r>
      <w:r>
        <w:tab/>
      </w:r>
      <w:r>
        <w:rPr>
          <w:highlight w:val="yellow"/>
        </w:rPr>
        <w:t>[DODATI SKLIC]</w:t>
      </w:r>
    </w:p>
  </w:footnote>
  <w:footnote w:id="8">
    <w:p>
      <w:pPr>
        <w:pStyle w:val="FootnoteText"/>
        <w:spacing w:after="120"/>
      </w:pPr>
      <w:r>
        <w:rPr>
          <w:rStyle w:val="FootnoteReference"/>
        </w:rPr>
        <w:footnoteRef/>
      </w:r>
      <w:r>
        <w:tab/>
        <w:t>Sklep Sveta 2002/917/ES z dne 3. oktobra 2002 o sklenitvi Sporazuma Interbus o mednarodnih občasnih avtobusnih prevozih potnikov (UL L 321, 26.11.2002, str. 11).</w:t>
      </w:r>
    </w:p>
  </w:footnote>
  <w:footnote w:id="9">
    <w:p>
      <w:pPr>
        <w:pStyle w:val="FootnoteText"/>
        <w:spacing w:after="120"/>
      </w:pPr>
      <w:r>
        <w:rPr>
          <w:rStyle w:val="FootnoteReference"/>
        </w:rPr>
        <w:footnoteRef/>
      </w:r>
      <w:r>
        <w:tab/>
        <w:t>UL L 321, 26.11.2002, str. 13.</w:t>
      </w:r>
    </w:p>
  </w:footnote>
  <w:footnote w:id="10">
    <w:p>
      <w:pPr>
        <w:pStyle w:val="FootnoteText"/>
        <w:spacing w:after="120"/>
      </w:pPr>
      <w:r>
        <w:rPr>
          <w:rStyle w:val="FootnoteReference"/>
        </w:rPr>
        <w:footnoteRef/>
      </w:r>
      <w:r>
        <w:tab/>
        <w:t>UL L 321, 26.11.2002, str. 44.</w:t>
      </w:r>
    </w:p>
  </w:footnote>
  <w:footnote w:id="11">
    <w:p>
      <w:pPr>
        <w:pStyle w:val="FootnoteText"/>
        <w:spacing w:after="120"/>
      </w:pPr>
      <w:r>
        <w:rPr>
          <w:rStyle w:val="FootnoteReference"/>
        </w:rPr>
        <w:footnoteRef/>
      </w:r>
      <w:r>
        <w:tab/>
        <w:t>Sklep Sveta (EU) 2018/1195 z dne 16. julija 2018 o podpisu, v imenu Evropske unije, Protokola k Sporazumu o mednarodnih občasnih avtobusnih prevozih potnikov (Sporazum Interbus) glede mednarodnih linijskih in posebnih linijskih avtobusnih prevozov potnikov (UL L 214, 23.8.2018, str. 3).</w:t>
      </w:r>
    </w:p>
  </w:footnote>
  <w:footnote w:id="12">
    <w:p>
      <w:pPr>
        <w:pStyle w:val="FootnoteText"/>
      </w:pPr>
      <w:r>
        <w:rPr>
          <w:rStyle w:val="FootnoteReference"/>
        </w:rPr>
        <w:footnoteRef/>
      </w:r>
      <w:r>
        <w:tab/>
        <w:t>Besedilo Protokola bo objavljeno skupaj s sklepom o njegovi sklenitvi.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9228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43E8D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0CAD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8073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FA9F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i-FI" w:vendorID="64" w:dllVersion="131078" w:nlCheck="1" w:checkStyle="0"/>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9-09 09:23: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236E5D4-059A-49AA-96B7-D688DE4F2985"/>
    <w:docVar w:name="LW_COVERPAGE_TYPE" w:val="1"/>
    <w:docVar w:name="LW_CROSSREFERENCE" w:val="&lt;UNUSED&gt;"/>
    <w:docVar w:name="LW_DocType" w:val="COM"/>
    <w:docVar w:name="LW_EMISSION" w:val="18.9.2020"/>
    <w:docVar w:name="LW_EMISSION_ISODATE" w:val="2020-09-18"/>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57"/>
    <w:docVar w:name="LW_REF.II.NEW.CP_YEAR" w:val="2020"/>
    <w:docVar w:name="LW_REF.INST.NEW" w:val="COM"/>
    <w:docVar w:name="LW_REF.INST.NEW_ADOPTED" w:val="final"/>
    <w:docVar w:name="LW_REF.INST.NEW_TEXT" w:val="(2020) 5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edlog"/>
    <w:docVar w:name="LW_SUPERTITRE" w:val="&lt;UNUSED&gt;"/>
    <w:docVar w:name="LW_TITRE.OBJ.CP" w:val="o podpisu Protokola k Sporazumu o mednarodnih ob\u269?asnih avtobusnih prevozih potnikov (Sporazum Interbus) glede mednarodnih linijskih in posebnih linijskih avtobusnih prevozov potnikov, v imenu Evropske unije"/>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orpsdutexte">
    <w:name w:val="Corps du texte_"/>
    <w:basedOn w:val="DefaultParagraphFont"/>
    <w:link w:val="Corpsdutexte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300" w:after="180" w:line="235" w:lineRule="exact"/>
      <w:ind w:hanging="560"/>
      <w:jc w:val="right"/>
    </w:pPr>
    <w:rPr>
      <w:rFonts w:asciiTheme="minorHAnsi" w:hAnsiTheme="minorHAnsi" w:cstheme="minorBidi"/>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DefaultParagraphFont"/>
    <w:link w:val="Notedebasdepage0"/>
    <w:rPr>
      <w:sz w:val="17"/>
      <w:szCs w:val="17"/>
      <w:shd w:val="clear" w:color="auto" w:fill="FFFFFF"/>
    </w:rPr>
  </w:style>
  <w:style w:type="character" w:customStyle="1" w:styleId="En-tte3">
    <w:name w:val="En-tête #3_"/>
    <w:basedOn w:val="DefaultParagraphFont"/>
    <w:link w:val="En-tte30"/>
    <w:rPr>
      <w:sz w:val="27"/>
      <w:szCs w:val="27"/>
      <w:shd w:val="clear" w:color="auto" w:fill="FFFFFF"/>
    </w:rPr>
  </w:style>
  <w:style w:type="character" w:customStyle="1" w:styleId="Tabledesmatires">
    <w:name w:val="Table des matières_"/>
    <w:basedOn w:val="DefaultParagraphFont"/>
    <w:link w:val="Tabledesmatires0"/>
    <w:rPr>
      <w:sz w:val="19"/>
      <w:szCs w:val="19"/>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11" w:lineRule="exact"/>
      <w:ind w:hanging="180"/>
    </w:pPr>
    <w:rPr>
      <w:rFonts w:asciiTheme="minorHAnsi" w:hAnsiTheme="minorHAnsi" w:cstheme="minorBidi"/>
      <w:sz w:val="17"/>
      <w:szCs w:val="17"/>
    </w:rPr>
  </w:style>
  <w:style w:type="paragraph" w:customStyle="1" w:styleId="En-tte30">
    <w:name w:val="En-tête #3"/>
    <w:basedOn w:val="Normal"/>
    <w:link w:val="En-tte3"/>
    <w:pPr>
      <w:widowControl w:val="0"/>
      <w:shd w:val="clear" w:color="auto" w:fill="FFFFFF"/>
      <w:spacing w:before="1860" w:after="180" w:line="0" w:lineRule="atLeast"/>
      <w:jc w:val="left"/>
      <w:outlineLvl w:val="2"/>
    </w:pPr>
    <w:rPr>
      <w:rFonts w:asciiTheme="minorHAnsi" w:hAnsiTheme="minorHAnsi" w:cstheme="minorBidi"/>
      <w:sz w:val="27"/>
      <w:szCs w:val="27"/>
    </w:rPr>
  </w:style>
  <w:style w:type="paragraph" w:customStyle="1" w:styleId="Tabledesmatires0">
    <w:name w:val="Table des matières"/>
    <w:basedOn w:val="Normal"/>
    <w:link w:val="Tabledesmatires"/>
    <w:pPr>
      <w:widowControl w:val="0"/>
      <w:shd w:val="clear" w:color="auto" w:fill="FFFFFF"/>
      <w:spacing w:before="300" w:after="0" w:line="355" w:lineRule="exact"/>
    </w:pPr>
    <w:rPr>
      <w:rFonts w:asciiTheme="minorHAnsi" w:hAnsiTheme="minorHAnsi" w:cstheme="minorBidi"/>
      <w:sz w:val="19"/>
      <w:szCs w:val="19"/>
    </w:rPr>
  </w:style>
  <w:style w:type="character" w:customStyle="1" w:styleId="Corpsdutexte7">
    <w:name w:val="Corps du texte (7)_"/>
    <w:basedOn w:val="DefaultParagraphFont"/>
    <w:rPr>
      <w:b w:val="0"/>
      <w:bCs w:val="0"/>
      <w:i w:val="0"/>
      <w:iCs w:val="0"/>
      <w:smallCaps w:val="0"/>
      <w:strike w:val="0"/>
      <w:sz w:val="15"/>
      <w:szCs w:val="15"/>
      <w:u w:val="none"/>
    </w:rPr>
  </w:style>
  <w:style w:type="character" w:customStyle="1" w:styleId="Corpsdutexte8">
    <w:name w:val="Corps du texte (8)_"/>
    <w:basedOn w:val="DefaultParagraphFont"/>
    <w:link w:val="Corpsdutexte80"/>
    <w:rPr>
      <w:sz w:val="17"/>
      <w:szCs w:val="17"/>
      <w:shd w:val="clear" w:color="auto" w:fill="FFFFFF"/>
    </w:rPr>
  </w:style>
  <w:style w:type="character" w:customStyle="1" w:styleId="Corpsdutexte70">
    <w:name w:val="Corps du texte (7)"/>
    <w:basedOn w:val="Corpsdutexte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sl-SI"/>
    </w:rPr>
  </w:style>
  <w:style w:type="character" w:customStyle="1" w:styleId="Corpsdutexte7NonItalique">
    <w:name w:val="Corps du texte (7) + Non Italique"/>
    <w:basedOn w:val="Corpsdutexte7"/>
    <w:rPr>
      <w:rFonts w:ascii="Times New Roman" w:eastAsia="Times New Roman" w:hAnsi="Times New Roman" w:cs="Times New Roman"/>
      <w:b w:val="0"/>
      <w:bCs w:val="0"/>
      <w:i/>
      <w:iCs/>
      <w:smallCaps w:val="0"/>
      <w:strike w:val="0"/>
      <w:color w:val="000000"/>
      <w:spacing w:val="0"/>
      <w:w w:val="100"/>
      <w:position w:val="0"/>
      <w:sz w:val="15"/>
      <w:szCs w:val="15"/>
      <w:u w:val="none"/>
      <w:lang w:val="sl-SI"/>
    </w:rPr>
  </w:style>
  <w:style w:type="character" w:customStyle="1" w:styleId="Corpsdutexte12">
    <w:name w:val="Corps du texte (12)_"/>
    <w:basedOn w:val="DefaultParagraphFont"/>
    <w:link w:val="Corpsdutexte120"/>
    <w:rPr>
      <w:spacing w:val="30"/>
      <w:w w:val="75"/>
      <w:sz w:val="15"/>
      <w:szCs w:val="15"/>
      <w:shd w:val="clear" w:color="auto" w:fill="FFFFFF"/>
      <w:lang w:val="sl-SI"/>
    </w:rPr>
  </w:style>
  <w:style w:type="paragraph" w:customStyle="1" w:styleId="Corpsdutexte80">
    <w:name w:val="Corps du texte (8)"/>
    <w:basedOn w:val="Normal"/>
    <w:link w:val="Corpsdutexte8"/>
    <w:pPr>
      <w:widowControl w:val="0"/>
      <w:shd w:val="clear" w:color="auto" w:fill="FFFFFF"/>
      <w:spacing w:after="420" w:line="0" w:lineRule="atLeast"/>
      <w:ind w:hanging="560"/>
      <w:jc w:val="left"/>
    </w:pPr>
    <w:rPr>
      <w:rFonts w:asciiTheme="minorHAnsi" w:hAnsiTheme="minorHAnsi" w:cstheme="minorBidi"/>
      <w:sz w:val="17"/>
      <w:szCs w:val="17"/>
    </w:rPr>
  </w:style>
  <w:style w:type="paragraph" w:customStyle="1" w:styleId="Corpsdutexte120">
    <w:name w:val="Corps du texte (12)"/>
    <w:basedOn w:val="Normal"/>
    <w:link w:val="Corpsdutexte12"/>
    <w:pPr>
      <w:widowControl w:val="0"/>
      <w:shd w:val="clear" w:color="auto" w:fill="FFFFFF"/>
      <w:spacing w:before="0" w:after="0" w:line="0" w:lineRule="atLeast"/>
      <w:jc w:val="left"/>
    </w:pPr>
    <w:rPr>
      <w:rFonts w:asciiTheme="minorHAnsi" w:hAnsiTheme="minorHAnsi" w:cstheme="minorBidi"/>
      <w:spacing w:val="30"/>
      <w:w w:val="75"/>
      <w:sz w:val="15"/>
      <w:szCs w:val="15"/>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orpsdutexte">
    <w:name w:val="Corps du texte_"/>
    <w:basedOn w:val="DefaultParagraphFont"/>
    <w:link w:val="Corpsdutexte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300" w:after="180" w:line="235" w:lineRule="exact"/>
      <w:ind w:hanging="560"/>
      <w:jc w:val="right"/>
    </w:pPr>
    <w:rPr>
      <w:rFonts w:asciiTheme="minorHAnsi" w:hAnsiTheme="minorHAnsi" w:cstheme="minorBidi"/>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DefaultParagraphFont"/>
    <w:link w:val="Notedebasdepage0"/>
    <w:rPr>
      <w:sz w:val="17"/>
      <w:szCs w:val="17"/>
      <w:shd w:val="clear" w:color="auto" w:fill="FFFFFF"/>
    </w:rPr>
  </w:style>
  <w:style w:type="character" w:customStyle="1" w:styleId="En-tte3">
    <w:name w:val="En-tête #3_"/>
    <w:basedOn w:val="DefaultParagraphFont"/>
    <w:link w:val="En-tte30"/>
    <w:rPr>
      <w:sz w:val="27"/>
      <w:szCs w:val="27"/>
      <w:shd w:val="clear" w:color="auto" w:fill="FFFFFF"/>
    </w:rPr>
  </w:style>
  <w:style w:type="character" w:customStyle="1" w:styleId="Tabledesmatires">
    <w:name w:val="Table des matières_"/>
    <w:basedOn w:val="DefaultParagraphFont"/>
    <w:link w:val="Tabledesmatires0"/>
    <w:rPr>
      <w:sz w:val="19"/>
      <w:szCs w:val="19"/>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11" w:lineRule="exact"/>
      <w:ind w:hanging="180"/>
    </w:pPr>
    <w:rPr>
      <w:rFonts w:asciiTheme="minorHAnsi" w:hAnsiTheme="minorHAnsi" w:cstheme="minorBidi"/>
      <w:sz w:val="17"/>
      <w:szCs w:val="17"/>
    </w:rPr>
  </w:style>
  <w:style w:type="paragraph" w:customStyle="1" w:styleId="En-tte30">
    <w:name w:val="En-tête #3"/>
    <w:basedOn w:val="Normal"/>
    <w:link w:val="En-tte3"/>
    <w:pPr>
      <w:widowControl w:val="0"/>
      <w:shd w:val="clear" w:color="auto" w:fill="FFFFFF"/>
      <w:spacing w:before="1860" w:after="180" w:line="0" w:lineRule="atLeast"/>
      <w:jc w:val="left"/>
      <w:outlineLvl w:val="2"/>
    </w:pPr>
    <w:rPr>
      <w:rFonts w:asciiTheme="minorHAnsi" w:hAnsiTheme="minorHAnsi" w:cstheme="minorBidi"/>
      <w:sz w:val="27"/>
      <w:szCs w:val="27"/>
    </w:rPr>
  </w:style>
  <w:style w:type="paragraph" w:customStyle="1" w:styleId="Tabledesmatires0">
    <w:name w:val="Table des matières"/>
    <w:basedOn w:val="Normal"/>
    <w:link w:val="Tabledesmatires"/>
    <w:pPr>
      <w:widowControl w:val="0"/>
      <w:shd w:val="clear" w:color="auto" w:fill="FFFFFF"/>
      <w:spacing w:before="300" w:after="0" w:line="355" w:lineRule="exact"/>
    </w:pPr>
    <w:rPr>
      <w:rFonts w:asciiTheme="minorHAnsi" w:hAnsiTheme="minorHAnsi" w:cstheme="minorBidi"/>
      <w:sz w:val="19"/>
      <w:szCs w:val="19"/>
    </w:rPr>
  </w:style>
  <w:style w:type="character" w:customStyle="1" w:styleId="Corpsdutexte7">
    <w:name w:val="Corps du texte (7)_"/>
    <w:basedOn w:val="DefaultParagraphFont"/>
    <w:rPr>
      <w:b w:val="0"/>
      <w:bCs w:val="0"/>
      <w:i w:val="0"/>
      <w:iCs w:val="0"/>
      <w:smallCaps w:val="0"/>
      <w:strike w:val="0"/>
      <w:sz w:val="15"/>
      <w:szCs w:val="15"/>
      <w:u w:val="none"/>
    </w:rPr>
  </w:style>
  <w:style w:type="character" w:customStyle="1" w:styleId="Corpsdutexte8">
    <w:name w:val="Corps du texte (8)_"/>
    <w:basedOn w:val="DefaultParagraphFont"/>
    <w:link w:val="Corpsdutexte80"/>
    <w:rPr>
      <w:sz w:val="17"/>
      <w:szCs w:val="17"/>
      <w:shd w:val="clear" w:color="auto" w:fill="FFFFFF"/>
    </w:rPr>
  </w:style>
  <w:style w:type="character" w:customStyle="1" w:styleId="Corpsdutexte70">
    <w:name w:val="Corps du texte (7)"/>
    <w:basedOn w:val="Corpsdutexte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sl-SI"/>
    </w:rPr>
  </w:style>
  <w:style w:type="character" w:customStyle="1" w:styleId="Corpsdutexte7NonItalique">
    <w:name w:val="Corps du texte (7) + Non Italique"/>
    <w:basedOn w:val="Corpsdutexte7"/>
    <w:rPr>
      <w:rFonts w:ascii="Times New Roman" w:eastAsia="Times New Roman" w:hAnsi="Times New Roman" w:cs="Times New Roman"/>
      <w:b w:val="0"/>
      <w:bCs w:val="0"/>
      <w:i/>
      <w:iCs/>
      <w:smallCaps w:val="0"/>
      <w:strike w:val="0"/>
      <w:color w:val="000000"/>
      <w:spacing w:val="0"/>
      <w:w w:val="100"/>
      <w:position w:val="0"/>
      <w:sz w:val="15"/>
      <w:szCs w:val="15"/>
      <w:u w:val="none"/>
      <w:lang w:val="sl-SI"/>
    </w:rPr>
  </w:style>
  <w:style w:type="character" w:customStyle="1" w:styleId="Corpsdutexte12">
    <w:name w:val="Corps du texte (12)_"/>
    <w:basedOn w:val="DefaultParagraphFont"/>
    <w:link w:val="Corpsdutexte120"/>
    <w:rPr>
      <w:spacing w:val="30"/>
      <w:w w:val="75"/>
      <w:sz w:val="15"/>
      <w:szCs w:val="15"/>
      <w:shd w:val="clear" w:color="auto" w:fill="FFFFFF"/>
      <w:lang w:val="sl-SI"/>
    </w:rPr>
  </w:style>
  <w:style w:type="paragraph" w:customStyle="1" w:styleId="Corpsdutexte80">
    <w:name w:val="Corps du texte (8)"/>
    <w:basedOn w:val="Normal"/>
    <w:link w:val="Corpsdutexte8"/>
    <w:pPr>
      <w:widowControl w:val="0"/>
      <w:shd w:val="clear" w:color="auto" w:fill="FFFFFF"/>
      <w:spacing w:after="420" w:line="0" w:lineRule="atLeast"/>
      <w:ind w:hanging="560"/>
      <w:jc w:val="left"/>
    </w:pPr>
    <w:rPr>
      <w:rFonts w:asciiTheme="minorHAnsi" w:hAnsiTheme="minorHAnsi" w:cstheme="minorBidi"/>
      <w:sz w:val="17"/>
      <w:szCs w:val="17"/>
    </w:rPr>
  </w:style>
  <w:style w:type="paragraph" w:customStyle="1" w:styleId="Corpsdutexte120">
    <w:name w:val="Corps du texte (12)"/>
    <w:basedOn w:val="Normal"/>
    <w:link w:val="Corpsdutexte12"/>
    <w:pPr>
      <w:widowControl w:val="0"/>
      <w:shd w:val="clear" w:color="auto" w:fill="FFFFFF"/>
      <w:spacing w:before="0" w:after="0" w:line="0" w:lineRule="atLeast"/>
      <w:jc w:val="left"/>
    </w:pPr>
    <w:rPr>
      <w:rFonts w:asciiTheme="minorHAnsi" w:hAnsiTheme="minorHAnsi" w:cstheme="minorBidi"/>
      <w:spacing w:val="30"/>
      <w:w w:val="75"/>
      <w:sz w:val="15"/>
      <w:szCs w:val="15"/>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711">
      <w:bodyDiv w:val="1"/>
      <w:marLeft w:val="0"/>
      <w:marRight w:val="0"/>
      <w:marTop w:val="0"/>
      <w:marBottom w:val="0"/>
      <w:divBdr>
        <w:top w:val="none" w:sz="0" w:space="0" w:color="auto"/>
        <w:left w:val="none" w:sz="0" w:space="0" w:color="auto"/>
        <w:bottom w:val="none" w:sz="0" w:space="0" w:color="auto"/>
        <w:right w:val="none" w:sz="0" w:space="0" w:color="auto"/>
      </w:divBdr>
    </w:div>
    <w:div w:id="220485601">
      <w:bodyDiv w:val="1"/>
      <w:marLeft w:val="0"/>
      <w:marRight w:val="0"/>
      <w:marTop w:val="0"/>
      <w:marBottom w:val="0"/>
      <w:divBdr>
        <w:top w:val="none" w:sz="0" w:space="0" w:color="auto"/>
        <w:left w:val="none" w:sz="0" w:space="0" w:color="auto"/>
        <w:bottom w:val="none" w:sz="0" w:space="0" w:color="auto"/>
        <w:right w:val="none" w:sz="0" w:space="0" w:color="auto"/>
      </w:divBdr>
    </w:div>
    <w:div w:id="1677999265">
      <w:bodyDiv w:val="1"/>
      <w:marLeft w:val="0"/>
      <w:marRight w:val="0"/>
      <w:marTop w:val="0"/>
      <w:marBottom w:val="0"/>
      <w:divBdr>
        <w:top w:val="none" w:sz="0" w:space="0" w:color="auto"/>
        <w:left w:val="none" w:sz="0" w:space="0" w:color="auto"/>
        <w:bottom w:val="none" w:sz="0" w:space="0" w:color="auto"/>
        <w:right w:val="none" w:sz="0" w:space="0" w:color="auto"/>
      </w:divBdr>
    </w:div>
    <w:div w:id="2057850978">
      <w:bodyDiv w:val="1"/>
      <w:marLeft w:val="0"/>
      <w:marRight w:val="0"/>
      <w:marTop w:val="0"/>
      <w:marBottom w:val="0"/>
      <w:divBdr>
        <w:top w:val="none" w:sz="0" w:space="0" w:color="auto"/>
        <w:left w:val="none" w:sz="0" w:space="0" w:color="auto"/>
        <w:bottom w:val="none" w:sz="0" w:space="0" w:color="auto"/>
        <w:right w:val="none" w:sz="0" w:space="0" w:color="auto"/>
      </w:divBdr>
    </w:div>
    <w:div w:id="2117359591">
      <w:bodyDiv w:val="1"/>
      <w:marLeft w:val="0"/>
      <w:marRight w:val="0"/>
      <w:marTop w:val="0"/>
      <w:marBottom w:val="0"/>
      <w:divBdr>
        <w:top w:val="none" w:sz="0" w:space="0" w:color="auto"/>
        <w:left w:val="none" w:sz="0" w:space="0" w:color="auto"/>
        <w:bottom w:val="none" w:sz="0" w:space="0" w:color="auto"/>
        <w:right w:val="none" w:sz="0" w:space="0" w:color="auto"/>
      </w:divBdr>
      <w:divsChild>
        <w:div w:id="240413450">
          <w:marLeft w:val="0"/>
          <w:marRight w:val="0"/>
          <w:marTop w:val="0"/>
          <w:marBottom w:val="0"/>
          <w:divBdr>
            <w:top w:val="none" w:sz="0" w:space="0" w:color="auto"/>
            <w:left w:val="none" w:sz="0" w:space="0" w:color="auto"/>
            <w:bottom w:val="none" w:sz="0" w:space="0" w:color="auto"/>
            <w:right w:val="none" w:sz="0" w:space="0" w:color="auto"/>
          </w:divBdr>
          <w:divsChild>
            <w:div w:id="516773107">
              <w:marLeft w:val="0"/>
              <w:marRight w:val="0"/>
              <w:marTop w:val="0"/>
              <w:marBottom w:val="0"/>
              <w:divBdr>
                <w:top w:val="none" w:sz="0" w:space="0" w:color="auto"/>
                <w:left w:val="none" w:sz="0" w:space="0" w:color="auto"/>
                <w:bottom w:val="none" w:sz="0" w:space="0" w:color="auto"/>
                <w:right w:val="none" w:sz="0" w:space="0" w:color="auto"/>
              </w:divBdr>
              <w:divsChild>
                <w:div w:id="834877608">
                  <w:marLeft w:val="0"/>
                  <w:marRight w:val="0"/>
                  <w:marTop w:val="0"/>
                  <w:marBottom w:val="0"/>
                  <w:divBdr>
                    <w:top w:val="none" w:sz="0" w:space="0" w:color="auto"/>
                    <w:left w:val="none" w:sz="0" w:space="0" w:color="auto"/>
                    <w:bottom w:val="none" w:sz="0" w:space="0" w:color="auto"/>
                    <w:right w:val="none" w:sz="0" w:space="0" w:color="auto"/>
                  </w:divBdr>
                  <w:divsChild>
                    <w:div w:id="543714349">
                      <w:marLeft w:val="1"/>
                      <w:marRight w:val="1"/>
                      <w:marTop w:val="0"/>
                      <w:marBottom w:val="0"/>
                      <w:divBdr>
                        <w:top w:val="none" w:sz="0" w:space="0" w:color="auto"/>
                        <w:left w:val="none" w:sz="0" w:space="0" w:color="auto"/>
                        <w:bottom w:val="none" w:sz="0" w:space="0" w:color="auto"/>
                        <w:right w:val="none" w:sz="0" w:space="0" w:color="auto"/>
                      </w:divBdr>
                      <w:divsChild>
                        <w:div w:id="190147569">
                          <w:marLeft w:val="0"/>
                          <w:marRight w:val="0"/>
                          <w:marTop w:val="0"/>
                          <w:marBottom w:val="0"/>
                          <w:divBdr>
                            <w:top w:val="none" w:sz="0" w:space="0" w:color="auto"/>
                            <w:left w:val="none" w:sz="0" w:space="0" w:color="auto"/>
                            <w:bottom w:val="none" w:sz="0" w:space="0" w:color="auto"/>
                            <w:right w:val="none" w:sz="0" w:space="0" w:color="auto"/>
                          </w:divBdr>
                          <w:divsChild>
                            <w:div w:id="1102916338">
                              <w:marLeft w:val="0"/>
                              <w:marRight w:val="0"/>
                              <w:marTop w:val="0"/>
                              <w:marBottom w:val="360"/>
                              <w:divBdr>
                                <w:top w:val="none" w:sz="0" w:space="0" w:color="auto"/>
                                <w:left w:val="none" w:sz="0" w:space="0" w:color="auto"/>
                                <w:bottom w:val="none" w:sz="0" w:space="0" w:color="auto"/>
                                <w:right w:val="none" w:sz="0" w:space="0" w:color="auto"/>
                              </w:divBdr>
                              <w:divsChild>
                                <w:div w:id="1685857698">
                                  <w:marLeft w:val="0"/>
                                  <w:marRight w:val="0"/>
                                  <w:marTop w:val="0"/>
                                  <w:marBottom w:val="0"/>
                                  <w:divBdr>
                                    <w:top w:val="none" w:sz="0" w:space="0" w:color="auto"/>
                                    <w:left w:val="none" w:sz="0" w:space="0" w:color="auto"/>
                                    <w:bottom w:val="none" w:sz="0" w:space="0" w:color="auto"/>
                                    <w:right w:val="none" w:sz="0" w:space="0" w:color="auto"/>
                                  </w:divBdr>
                                  <w:divsChild>
                                    <w:div w:id="337465746">
                                      <w:marLeft w:val="0"/>
                                      <w:marRight w:val="0"/>
                                      <w:marTop w:val="0"/>
                                      <w:marBottom w:val="0"/>
                                      <w:divBdr>
                                        <w:top w:val="none" w:sz="0" w:space="0" w:color="auto"/>
                                        <w:left w:val="none" w:sz="0" w:space="0" w:color="auto"/>
                                        <w:bottom w:val="none" w:sz="0" w:space="0" w:color="auto"/>
                                        <w:right w:val="none" w:sz="0" w:space="0" w:color="auto"/>
                                      </w:divBdr>
                                      <w:divsChild>
                                        <w:div w:id="1147168542">
                                          <w:marLeft w:val="0"/>
                                          <w:marRight w:val="0"/>
                                          <w:marTop w:val="0"/>
                                          <w:marBottom w:val="0"/>
                                          <w:divBdr>
                                            <w:top w:val="none" w:sz="0" w:space="0" w:color="auto"/>
                                            <w:left w:val="none" w:sz="0" w:space="0" w:color="auto"/>
                                            <w:bottom w:val="none" w:sz="0" w:space="0" w:color="auto"/>
                                            <w:right w:val="none" w:sz="0" w:space="0" w:color="auto"/>
                                          </w:divBdr>
                                          <w:divsChild>
                                            <w:div w:id="574897952">
                                              <w:marLeft w:val="0"/>
                                              <w:marRight w:val="0"/>
                                              <w:marTop w:val="0"/>
                                              <w:marBottom w:val="0"/>
                                              <w:divBdr>
                                                <w:top w:val="none" w:sz="0" w:space="0" w:color="auto"/>
                                                <w:left w:val="none" w:sz="0" w:space="0" w:color="auto"/>
                                                <w:bottom w:val="none" w:sz="0" w:space="0" w:color="auto"/>
                                                <w:right w:val="none" w:sz="0" w:space="0" w:color="auto"/>
                                              </w:divBdr>
                                              <w:divsChild>
                                                <w:div w:id="479661695">
                                                  <w:marLeft w:val="0"/>
                                                  <w:marRight w:val="0"/>
                                                  <w:marTop w:val="0"/>
                                                  <w:marBottom w:val="0"/>
                                                  <w:divBdr>
                                                    <w:top w:val="none" w:sz="0" w:space="0" w:color="auto"/>
                                                    <w:left w:val="none" w:sz="0" w:space="0" w:color="auto"/>
                                                    <w:bottom w:val="none" w:sz="0" w:space="0" w:color="auto"/>
                                                    <w:right w:val="none" w:sz="0" w:space="0" w:color="auto"/>
                                                  </w:divBdr>
                                                  <w:divsChild>
                                                    <w:div w:id="13315204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3289-2370-4604-B66C-AD93137A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2379</Words>
  <Characters>14018</Characters>
  <Application>Microsoft Office Word</Application>
  <DocSecurity>0</DocSecurity>
  <Lines>259</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2020-06-29T06:33:00Z</cp:lastPrinted>
  <dcterms:created xsi:type="dcterms:W3CDTF">2020-09-04T11:54:00Z</dcterms:created>
  <dcterms:modified xsi:type="dcterms:W3CDTF">2020-09-09T07:23:00Z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