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451C272C-B384-4AF3-8F16-5B85A90CE658" style="width:451.25pt;height:411.0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rStyle w:val="Marker"/>
          <w:noProof/>
        </w:rPr>
      </w:pPr>
      <w:bookmarkStart w:id="0" w:name="_GoBack"/>
      <w:bookmarkEnd w:id="0"/>
      <w:r>
        <w:rPr>
          <w:noProof/>
        </w:rPr>
        <w:lastRenderedPageBreak/>
        <w:t xml:space="preserve">ZAŁĄCZNIK </w:t>
      </w:r>
    </w:p>
    <w:p>
      <w:pPr>
        <w:spacing w:before="0" w:after="0"/>
        <w:rPr>
          <w:rFonts w:eastAsia="Times New Roman"/>
          <w:noProof/>
          <w:szCs w:val="20"/>
        </w:rPr>
      </w:pPr>
      <w:r>
        <w:rPr>
          <w:noProof/>
        </w:rPr>
        <w:t>Państwa członkowskie działające wspólnie w interesie Unii popierają jedynie, i z zastrzeżeniem wszelkich przyszłych przeglądów uwzględniających rozwój sytuacji, następujące projekty rezolucji w etapie 7. dotyczące praktyk enologicznych, wymogów dotyczących czystości i tożsamości substancji stosowanych w praktykach enologicznych oraz metod analizy służących określaniu składu produktów sektora wina:</w:t>
      </w:r>
    </w:p>
    <w:p>
      <w:pPr>
        <w:rPr>
          <w:noProof/>
        </w:rPr>
      </w:pPr>
    </w:p>
    <w:p>
      <w:pPr>
        <w:pStyle w:val="Tiret0"/>
        <w:numPr>
          <w:ilvl w:val="0"/>
          <w:numId w:val="1"/>
        </w:numPr>
        <w:rPr>
          <w:noProof/>
        </w:rPr>
      </w:pPr>
      <w:r>
        <w:rPr>
          <w:noProof/>
        </w:rPr>
        <w:t>OENO-TECHNO 17-614A – Obróbka moszczu z zastosowaniem adsorpcyjnych granulek styrenowo-diwinylobenzenowych</w:t>
      </w:r>
    </w:p>
    <w:p>
      <w:pPr>
        <w:pStyle w:val="Tiret0"/>
        <w:numPr>
          <w:ilvl w:val="0"/>
          <w:numId w:val="1"/>
        </w:numPr>
        <w:rPr>
          <w:noProof/>
        </w:rPr>
      </w:pPr>
      <w:r>
        <w:rPr>
          <w:noProof/>
        </w:rPr>
        <w:t>OENO-TECHNO 17-614B – Obróbka wina z zastosowaniem adsorpcyjnych granulek styrenowo-diwinylobenzenowych</w:t>
      </w:r>
    </w:p>
    <w:p>
      <w:pPr>
        <w:pStyle w:val="Tiret0"/>
        <w:numPr>
          <w:ilvl w:val="0"/>
          <w:numId w:val="1"/>
        </w:numPr>
        <w:rPr>
          <w:noProof/>
        </w:rPr>
      </w:pPr>
      <w:r>
        <w:rPr>
          <w:noProof/>
        </w:rPr>
        <w:t>OENO-TECHNO 18-634 – Obróbka winogron za pomocą pulsacyjnych pól elektrycznych (PEF)</w:t>
      </w:r>
    </w:p>
    <w:p>
      <w:pPr>
        <w:pStyle w:val="Tiret0"/>
        <w:numPr>
          <w:ilvl w:val="0"/>
          <w:numId w:val="1"/>
        </w:numPr>
        <w:rPr>
          <w:rFonts w:eastAsia="Times New Roman"/>
          <w:noProof/>
        </w:rPr>
      </w:pPr>
      <w:r>
        <w:rPr>
          <w:noProof/>
        </w:rPr>
        <w:t>OENO-TECHNO 19-659 – Aktualizacja arkusza 3.3.14. Obróbka z zastosowaniem gumy celulozowej (karboksymetylocelulozy)</w:t>
      </w:r>
    </w:p>
    <w:p>
      <w:pPr>
        <w:pStyle w:val="Tiret0"/>
        <w:numPr>
          <w:ilvl w:val="0"/>
          <w:numId w:val="1"/>
        </w:numPr>
        <w:rPr>
          <w:rFonts w:eastAsia="Times New Roman"/>
          <w:noProof/>
        </w:rPr>
      </w:pPr>
      <w:r>
        <w:rPr>
          <w:noProof/>
        </w:rPr>
        <w:t>OENO-MICRO 16-594B – Eliminacja dzikich mikroorganizmów w moszczu za pomocą ciągłych procesów wysokociśnieniowych (homogenizacja ultrawysokociśnieniowa – UHPH)</w:t>
      </w:r>
    </w:p>
    <w:p>
      <w:pPr>
        <w:pStyle w:val="Tiret0"/>
        <w:numPr>
          <w:ilvl w:val="0"/>
          <w:numId w:val="1"/>
        </w:numPr>
        <w:rPr>
          <w:noProof/>
        </w:rPr>
      </w:pPr>
      <w:r>
        <w:rPr>
          <w:noProof/>
        </w:rPr>
        <w:t>OENO-SPECIF 18-643 – Monografia dotycząca adsorpcyjnych granulek styrenowo-diwinylobenzenowych</w:t>
      </w:r>
    </w:p>
    <w:p>
      <w:pPr>
        <w:pStyle w:val="Tiret0"/>
        <w:numPr>
          <w:ilvl w:val="0"/>
          <w:numId w:val="1"/>
        </w:numPr>
        <w:rPr>
          <w:noProof/>
        </w:rPr>
      </w:pPr>
      <w:r>
        <w:rPr>
          <w:noProof/>
        </w:rPr>
        <w:t>OENO-SPECIF 18-644 – Monografia dotycząca siarczanu wapnia</w:t>
      </w:r>
    </w:p>
    <w:p>
      <w:pPr>
        <w:pStyle w:val="Tiret0"/>
        <w:numPr>
          <w:ilvl w:val="0"/>
          <w:numId w:val="1"/>
        </w:numPr>
        <w:rPr>
          <w:noProof/>
        </w:rPr>
      </w:pPr>
      <w:r>
        <w:rPr>
          <w:noProof/>
        </w:rPr>
        <w:t>OENO-SPECIF 18-645 – Metoda oznaczania średniej masy cząsteczkowej poliasparaginianu potasu</w:t>
      </w:r>
    </w:p>
    <w:p>
      <w:pPr>
        <w:pStyle w:val="Tiret0"/>
        <w:numPr>
          <w:ilvl w:val="0"/>
          <w:numId w:val="1"/>
        </w:numPr>
        <w:rPr>
          <w:noProof/>
        </w:rPr>
      </w:pPr>
      <w:r>
        <w:rPr>
          <w:noProof/>
        </w:rPr>
        <w:t>OENO-SCMA 17-618 – Oznaczenie ilości glukozy, kwasu jabłkowego, kwasu octowego, kwasu fumarowego, kwasu szikimowego i kwasu sorbowego w winie metodą ilościowej spektrometrii magnetycznego rezonansu jądrowego (1H NMR)</w:t>
      </w:r>
    </w:p>
    <w:p>
      <w:pPr>
        <w:pStyle w:val="Tiret0"/>
        <w:numPr>
          <w:ilvl w:val="0"/>
          <w:numId w:val="1"/>
        </w:numPr>
        <w:spacing w:before="0" w:after="0"/>
        <w:rPr>
          <w:rFonts w:eastAsia="Times New Roman"/>
          <w:noProof/>
          <w:szCs w:val="20"/>
        </w:rPr>
      </w:pPr>
      <w:r>
        <w:rPr>
          <w:noProof/>
        </w:rPr>
        <w:t xml:space="preserve">OENO-SCMA 17-620 – Oznaczenie alkilofenoli w winie metodą chromatografii gazowej ze spektrometrią mas (GC-MS lub GC-MS/MS) </w:t>
      </w:r>
    </w:p>
    <w:p>
      <w:pPr>
        <w:rPr>
          <w:noProof/>
        </w:rPr>
      </w:pPr>
    </w:p>
    <w:p>
      <w:pPr>
        <w:spacing w:before="0" w:after="0"/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6702E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136315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9EE12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2D46D8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2B844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B27CCB4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BDAC1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7E073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8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9-18 12:21:58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451C272C-B384-4AF3-8F16-5B85A90CE658"/>
    <w:docVar w:name="LW_COVERPAGE_TYPE" w:val="1"/>
    <w:docVar w:name="LW_CROSSREFERENCE" w:val="&lt;UNUSED&gt;"/>
    <w:docVar w:name="LW_DocType" w:val="ANNEX"/>
    <w:docVar w:name="LW_EMISSION" w:val="18.9.2020"/>
    <w:docVar w:name="LW_EMISSION_ISODATE" w:val="2020-09-18"/>
    <w:docVar w:name="LW_EMISSION_LOCATION" w:val="BRX"/>
    <w:docVar w:name="LW_EMISSION_PREFIX" w:val="Bruksela, dnia "/>
    <w:docVar w:name="LW_EMISSION_SUFFIX" w:val=" r."/>
    <w:docVar w:name="LW_ID_DOCSTRUCTURE" w:val="COM/ANNEX"/>
    <w:docVar w:name="LW_ID_DOCTYPE" w:val="SG-01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w sprawie stanowiska, jakie ma zosta\u263? zaj\u281?te w imieniu Unii Europejskiej w Mi\u281?dzynarodowej Organizacji ds. Winoro\u347?li i Wina (OIV)_x000d__x000d__x000d__x000b_"/>
    <w:docVar w:name="LW_OBJETACTEPRINCIPAL.CP" w:val="w sprawie stanowiska, jakie ma zosta\u263? zaj\u281?te w imieniu Unii Europejskiej w Mi\u281?dzynarodowej Organizacji ds. Winoro\u347?li i Wina (OIV)_x000d__x000d_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57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ZA\u321?\u260?CZNIK"/>
    <w:docVar w:name="LW_TYPE.DOC.CP" w:val="ZA\u321?\u260?CZNIK"/>
    <w:docVar w:name="LW_TYPEACTEPRINCIPAL" w:val="wniosku dotycz\u261?cego_x000b_DECYZJI RADY"/>
    <w:docVar w:name="LW_TYPEACTEPRINCIPAL.CP" w:val="wniosku dotycz\u261?cego_x000b_DECYZJ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F59E3-4274-41EC-9FEF-081415F3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2</Pages>
  <Words>164</Words>
  <Characters>1413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RANALLI Romina (AGRI)</dc:creator>
  <cp:keywords/>
  <dc:description/>
  <cp:lastModifiedBy>WES PDFC Administrator</cp:lastModifiedBy>
  <cp:revision>11</cp:revision>
  <dcterms:created xsi:type="dcterms:W3CDTF">2020-09-16T09:47:00Z</dcterms:created>
  <dcterms:modified xsi:type="dcterms:W3CDTF">2020-09-18T10:21:00Z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