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23DEE313-BAD1-45F6-BC91-B3BEA8FABF9E" style="width:450.35pt;height:393.3pt">
            <v:imagedata r:id="rId8" o:title=""/>
          </v:shape>
        </w:pict>
      </w:r>
    </w:p>
    <w:p>
      <w:pPr>
        <w:rPr>
          <w:noProof/>
        </w:rPr>
        <w:sectPr>
          <w:footerReference w:type="default" r:id="rId9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MEMORANDUM TA’ SPJEGAZZJONI 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KUNTEST TAL-PROPOSTA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Raġunijiet u objettivi tal-proposta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Fis-7 ta’ Lulju 2020, il-Kunsill adotta mandat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li jawtorizza lill-Kummissjoni Ewropea tiftaħ negozjati għal protokoll ġdid għall-Ftehim ta’ Sħubija dwar is-Sajd Sostenibbli bejn l-Unjoni Ewropea u l-Gvern tal-Gżejjer Cook u għall-estensjoni possibbli tal-protokoll attwali għal dak il-Ftehim, li se jiskadi fit-13 ta’ Ottubru 2020.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Il-mandat jistipula li f’każ li n-negozjati dwar Protokoll ġdid tal-Ftehim ta’ Sħubija dwar is-Sajd Sostenibbli bejn l-Unjoni Ewropea u l-Gvern tal-Gżejjer Cook jieħdu aktar żmien milli mistenni</w:t>
      </w:r>
      <w:r>
        <w:rPr>
          <w:rStyle w:val="FootnoteReference"/>
          <w:noProof/>
        </w:rPr>
        <w:footnoteReference w:id="2"/>
      </w:r>
      <w:r>
        <w:rPr>
          <w:noProof/>
        </w:rPr>
        <w:t>, u sabiex jiġi evitat li l-attivitajiet tas-sajd jiġu interrotti għal perjodu sinifikanti taż-żmien, jenħtieġ li l-Kummissjoni tipprova taqbel mal-Gvern tal-Gżejjer Cook li ttawwal il-Protokoll attwali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, għal perjodu limitat, li jekk jista’ jkun ma jkunx ta’ aktar minn sena, sakemm tkompli tipprova tilħaq ftehim dwar Protokoll ġdid ma’ dan il-pajjiż f’konformità mal-objettivi stabbiliti fil-mandat.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Matul l-ewwel ċiklu ta’ negozjati (fis-16 ta’ Lulju 2020), in-negozjaturi tal-UE u tal-Gżejjer Cook qablu li minħabba li dawn in-negozjati huma kumplessi, se jkun hemm bżonn diversi ċikli ta’ negozjati sabiex dawn jiġu ffinalizzati. Għalhekk, iż-żewġ Partijiet qablu li jestendu l-Protokoll attwali għal perjodu massimu ta’ sena, skont il-mandat tal-Kunsill. Din l-estensjoni ġiet stabbilita permezz ta’ Ftehim fil-forma ta’ skambju ta’ ittri li ġie inizjalat fi Brussell u f’Rarotonga (il-Gżejjer Cook) fid-29 ta’ Lulju 2020.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Sabiex jiġi evitat li jiġu interrotti l-attivitajiet tas-sajd tal-flotta Ewropea li taħdem fl-ilmijiet tal-Gżejjer Cook, jeħtieġ li d-Deċiżjoni tal-Kunsill li tapprova l-Ftehim fil-forma ta’ skambju ta’ ittri tiġi adottata fil-ħin biex iż-żewġ Partijiet ikunu jistgħu jiffirmawh qabel jiskadi l-Protokoll attwali fit-13 ta’ Ottubru 2020.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Għalhekk, il-Kummissjoni qed tipproponi li l-Kunsill jawtorizza l-iffirmar u l-applikazzjoni provviżorja ta’ dan l-iskambju ta’ ittri li jippermetti li l-Protokoll eżistenti jiġi estiż għal perjodu massimu ta’ sena.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Il-Protokoll għandu l-għan li jagħti opportunitajiet tas-sajd lill-bastimenti tal-Unjoni Ewropea fl-ilmijiet tal-Gżejjer Cook f’konformità mal-parir xjentifiku u mar-rakkomandazzjonijiet tal-Kummissjoni għas-Sajd fil-Punent tal-Paċifiku u l-Paċifiku Ċentrali (WCPFC), fil-limiti tal-kwantità żejda disponibbli. L-għan huwa wkoll li tissaħħaħ il-kooperazzjoni bejn l-Unjoni Ewropea u l-Gvern tal-Gżejjer Cook, sabiex jinħoloq qafas ta’ sħubija għall-iżvilupp ta’ politika tas-sajd sostenibbli u użu responsabbli tar-riżorsi tas-sajd fiż-żona tas-sajd tal-Gżejjer Cook, fl-interess taż-żewġ partijiet.</w:t>
      </w:r>
    </w:p>
    <w:p>
      <w:pPr>
        <w:spacing w:before="100" w:beforeAutospacing="1" w:after="100" w:afterAutospacing="1"/>
        <w:rPr>
          <w:rFonts w:eastAsia="Times New Roman"/>
          <w:noProof/>
          <w:color w:val="000000"/>
          <w:szCs w:val="24"/>
        </w:rPr>
      </w:pPr>
      <w:r>
        <w:rPr>
          <w:noProof/>
        </w:rPr>
        <w:lastRenderedPageBreak/>
        <w:t xml:space="preserve">Il-protokoll attwali bejn l-UE u l-Gżejjer Cook jippermetti lill-flotta tal-UE tistad fl-ilmijiet tal-Gżejjer Cook għal speċijiet ta’ tonn, għal opportunitajiet tas-sajd annwali indikattivi ta’ 7 000 tunnellata. 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Konsistenza mad-dispożizzjonijiet eżistenti fil-qasam ta’ politika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F’konformità mal-prijoritajiet tar-riforma tal-politika tas-sajd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, il-Protokoll jipprovdi opportunitajiet tas-sajd għall-bastimenti tal-Unjoni fl-ilmijiet tal-Gżejjer Cook skont l-aqwa parir xjentifiku disponibbli u filwaqt li jħares ir-rakkomandazzjonijiet tal-WCPFC. Il-Protokoll jippermetti wkoll lill-Unjoni Ewropea u lill-Gżejjer Cook jaħdmu aktar mill-qrib bejniethom biex jippromwovu l-użu responsabbli tar-riżorsi tas-sajd fl-ilmijiet tal-Gżejjer Cook u jippermettilhom jappoġġaw l-isforzi tal-Gvern tal-Gżejjer Cook biex jiżviluppa s-settur tas-sajd tiegħu, fl-interess taż-żewġ partijiet. 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Konsistenza ma’ politiki oħra tal-Unjoni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In-negozjar ta’ Protokoll ġdid li jimplimenta l-Ftehim ta’ Sħubija dwar is-Sajd Sostenibbli – li din il-proposta għal estensjoni tifforma stadju minnu, jidħol fil-qafas tal-azzjoni esterna tal-UE mal-pajjiżi AKP, u jqis b’mod partikolari l-objettivi tal-UE fil-qasam tal-ħarsien tal-prinċipji demokratiċi u tad-drittijiet tal-bniedem.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BAŻI ĠURIDIKA, SUSSIDJARJETÀ U PROPORZJONALITÀ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Bażi ġuridika</w:t>
      </w:r>
    </w:p>
    <w:p>
      <w:pPr>
        <w:keepNext/>
        <w:rPr>
          <w:noProof/>
          <w:sz w:val="22"/>
        </w:rPr>
      </w:pPr>
      <w:r>
        <w:rPr>
          <w:noProof/>
        </w:rPr>
        <w:t xml:space="preserve">Il-bażi ġuridika magħżula hija t-Trattat dwar il-Funzjonament tal-Unjoni Ewropea, l-Artikolu 43(2) li jistabbilixxi l-Politika Komuni dwar is-Sajd u l-Artikolu 218(5) li jikkonċerna l-proċedura għall-iffirmar tal-ftehimiet bejn l-UE u pajjiżi terzi.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Sussidjarjetà (għall-kompetenza mhux esklużiva)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Il-proposta tidħol fl-ambitu tal-kompetenza esklużiva tal-Unjoni Ewropea.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Proporzjonalità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Il-proposta hija proporzjonata mal-objettiv li jiġi stabbilit qafas ta’ governanza ġuridika, ambjentali, ekonomika u soċjali għall-attivitajiet tas-sajd li l-bastimenti tal-Unjoni jwettqu fl-ilmijiet ta’ pajjiżi terzi, kif stabbilit fl-Artikolu 31 tar-Regolament li jistabbilixxi l-politika komuni tas-sajd. Hija tikkonforma ma’ dawk id-dispożizzjonijiet, kif ukoll mad-dispożizzjonijiet dwar l-għajnuna finanzjarja lil pajjiżi terzi stabbiliti fl-Artikolu 32 ta’ dak ir-Regolament.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L-estensjoni b’sena tal-qafas stabbilit bil-Protokoll li se jiskadi fit-13 ta’ Ottubru 2020 għandha rwol fil-proċess tan-negozjar biex tiġi żgurata l-kontinwità tal-attivitajiet tas-sajd tal-flotta Ewropea li taħdem fl-ilmijiet tal-Gżejjer Cook.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RIŻULTATI TAL-EVALWAZZJONIJIET </w:t>
      </w:r>
      <w:r>
        <w:rPr>
          <w:i/>
          <w:noProof/>
        </w:rPr>
        <w:t>EX POST</w:t>
      </w:r>
      <w:r>
        <w:rPr>
          <w:noProof/>
        </w:rPr>
        <w:t>, TAL-KONSULTAZZJONIJIET MAL-PARTIJIET IKKONĊERNATI U TAL-VALUTAZZJONIJIET TAL-IMPATT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 xml:space="preserve">Evalwazzjonijiet </w:t>
      </w:r>
      <w:r>
        <w:rPr>
          <w:i/>
          <w:noProof/>
          <w:u w:color="000000"/>
          <w:bdr w:val="nil"/>
        </w:rPr>
        <w:t>ex post</w:t>
      </w:r>
      <w:r>
        <w:rPr>
          <w:noProof/>
          <w:u w:color="000000"/>
          <w:bdr w:val="nil"/>
        </w:rPr>
        <w:t>/kontrolli tal-idoneità tal-leġiżlazzjoni eżistenti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Saru konsultazzjonijiet mal-partijiet ikkonċernati fil-kuntest tal-evalwazzjoni tal-Protokoll għall-perjodu mill-2016 sal-2020. Ġew ikkonsultati wkoll l-esperti mill-Istati Membri waqt </w:t>
      </w:r>
      <w:r>
        <w:rPr>
          <w:noProof/>
        </w:rPr>
        <w:lastRenderedPageBreak/>
        <w:t>laqgħat tekniċi. Minn dawn il-konsultazzjonijiet ħareġ li jkun ta’ benefiċċju li jiġġedded il-Protokoll tas-Sajd mal-Gżejjer Cook. Din il-proposta għal estensjoni tal-Protokoll tifforma stadju mill-proċess tan-negozjar għal dan it-tiġdid.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Konsultazzjoni mal-partijiet ikkonċernati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L-Istati Membri, ir-rappreżentanti tas-settur, l-organizzazzjonijiet internazzjonali tas-soċjetà ċivili kif ukoll l-amministrazzjoni tas-sajd u r-rappreżentanti tas-soċjetà ċivili tal-Gżejjer Cook ġew ikkonsultati fil-kuntest tal-evalwazzjoni. Saru wkoll konsultazzjonijiet fil-qafas tal-Kunsill Konsultattiv għall-Flotta ta’ Distanzi Twal.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Ġbir u użu tal-għarfien espert</w:t>
      </w:r>
    </w:p>
    <w:p>
      <w:pPr>
        <w:spacing w:before="0" w:after="240"/>
        <w:rPr>
          <w:noProof/>
        </w:rPr>
      </w:pPr>
      <w:r>
        <w:rPr>
          <w:noProof/>
        </w:rPr>
        <w:t xml:space="preserve">Il-Kummissjoni użat konsulent indipendenti għall-evalwazzjonijiet </w:t>
      </w:r>
      <w:r>
        <w:rPr>
          <w:i/>
          <w:noProof/>
        </w:rPr>
        <w:t>ex post</w:t>
      </w:r>
      <w:r>
        <w:rPr>
          <w:noProof/>
        </w:rPr>
        <w:t xml:space="preserve"> u </w:t>
      </w:r>
      <w:r>
        <w:rPr>
          <w:i/>
          <w:noProof/>
        </w:rPr>
        <w:t>ex ante</w:t>
      </w:r>
      <w:r>
        <w:rPr>
          <w:noProof/>
        </w:rPr>
        <w:t xml:space="preserve">, f’konformità mad-dispożizzjonijiet tal-Artikolu 31(10) tar-Regolament li jistabbilixxi l-politika komuni tas-sajd. 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IMPLIKAZZJONIJIET BAĠITARJI</w:t>
      </w:r>
    </w:p>
    <w:p>
      <w:pPr>
        <w:rPr>
          <w:noProof/>
        </w:rPr>
      </w:pPr>
      <w:r>
        <w:rPr>
          <w:noProof/>
        </w:rPr>
        <w:t>Il-kontribuzzjoni finanzjarja annwali tal-Unjoni Ewropea hija ta’ EUR 700 000, abbażi ta’:</w:t>
      </w:r>
    </w:p>
    <w:p>
      <w:pPr>
        <w:pStyle w:val="Point0"/>
        <w:rPr>
          <w:noProof/>
        </w:rPr>
      </w:pPr>
      <w:r>
        <w:t>(a)</w:t>
      </w:r>
      <w:r>
        <w:tab/>
      </w:r>
      <w:r>
        <w:rPr>
          <w:noProof/>
        </w:rPr>
        <w:t>ammont annwali għall-aċċess tal-kategoriji previsti fil-Protokoll għar-riżorsi tas-sajd ta’ EUR 350 000 għall-perjodu tal-estensjoni tal-Protokoll;</w:t>
      </w:r>
    </w:p>
    <w:p>
      <w:pPr>
        <w:pStyle w:val="Point0"/>
        <w:rPr>
          <w:noProof/>
        </w:rPr>
      </w:pPr>
      <w:r>
        <w:t>(b)</w:t>
      </w:r>
      <w:r>
        <w:tab/>
      </w:r>
      <w:r>
        <w:rPr>
          <w:noProof/>
        </w:rPr>
        <w:t>appoġġ għall-iżvilupp tal-politika settorjali tas-sajd tal-Gżejjer Cook ta’ EUR 350 000 għall-perjodu tal-estensjoni tal-Protokoll. Dan l-appoġġ jilħaq l-objettivi tal-politika nazzjonali tal-Gżejjer Cook b’rabta mal-ġestjoni sostenibbli tar-riżorsi tas-sajd tal-baħar għall-perjodu kollu tal-Protokoll.</w:t>
      </w:r>
    </w:p>
    <w:p>
      <w:pPr>
        <w:rPr>
          <w:noProof/>
        </w:rPr>
      </w:pPr>
      <w:r>
        <w:rPr>
          <w:noProof/>
        </w:rPr>
        <w:t>L-ammont annwali għall-approprjazzjonijiet ta’ impenn u ta’ pagament huwa stabbilit fil-proċedura baġitarja annwali, fosthom għal-linja ta’ riżerva għall-protokolli li jkunu għadhom ma daħlux fis-seħħ fil-bidu tas-sena</w:t>
      </w:r>
      <w:r>
        <w:rPr>
          <w:rStyle w:val="FootnoteReference"/>
          <w:noProof/>
        </w:rPr>
        <w:footnoteReference w:id="5"/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 xml:space="preserve">L-iskambju ta’ ittri marbuta mal-estensjoni jistabbilixxu wkoll klawżola ta’ tnaqqis </w:t>
      </w:r>
      <w:r>
        <w:rPr>
          <w:i/>
          <w:noProof/>
        </w:rPr>
        <w:t>pro rata</w:t>
      </w:r>
      <w:r>
        <w:rPr>
          <w:noProof/>
        </w:rPr>
        <w:t xml:space="preserve"> f’każ li n-negozjati biex jiġġedded il-Protokoll iwasslu biex dawn jiġu ffirmati u, b’hekk, biex dawn jidħlu fis-seħħ qabel ma tiskadi l-estensjoni annwali li għaliha japplika l-iskambju ta’ ittri.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ELEMENTI OĦRAJN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Pjanijiet ta’ implimentazzjoni u arranġamenti dwar il-monitoraġġ, l-evalwazzjoni u r-rapportar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L-arranġamenti dwar il-monitoraġġ huma previsti fil-Protokoll li qed jiġi estiż permezz tal-iskambju ta’ ittri.  </w:t>
      </w:r>
    </w:p>
    <w:p>
      <w:pPr>
        <w:rPr>
          <w:noProof/>
        </w:rPr>
        <w:sectPr>
          <w:footerReference w:type="default" r:id="rId10"/>
          <w:footerReference w:type="first" r:id="rId11"/>
          <w:footnotePr>
            <w:numRestart w:val="eachSect"/>
          </w:footnotePr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2020/0276 (NLE)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DEĊIŻJONI TAL-KUNSILL</w:t>
      </w:r>
    </w:p>
    <w:p>
      <w:pPr>
        <w:pStyle w:val="Titreobjet"/>
        <w:rPr>
          <w:noProof/>
        </w:rPr>
      </w:pPr>
      <w:r>
        <w:rPr>
          <w:noProof/>
        </w:rPr>
        <w:t>dwar l-iffirmar, f’isem l-Unjoni Ewropea, u l-applikazzjoni proviżorja tal-Ftehim fil-forma ta’ skambju ta’ ittri bejn l-Unjoni Ewropea u l-Gvern tal-Gżejjer Cook dwar l-estensjoni tal-Protokoll dwar l-implimentazzjoni tal-Ftehim ta’ Sħubija dwar is-Sajd Sostenibbli bejn l-Unjoni Ewropea u l-Gvern tal-Gżejjer Cook</w:t>
      </w:r>
      <w:r>
        <w:rPr>
          <w:noProof/>
        </w:rPr>
        <w:br/>
      </w:r>
    </w:p>
    <w:p>
      <w:pPr>
        <w:pStyle w:val="Institutionquiagit"/>
        <w:rPr>
          <w:noProof/>
        </w:rPr>
      </w:pPr>
      <w:r>
        <w:rPr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>Wara li kkunsidra t-Trattat dwar il-Funzjonament tal-Unjoni Ewropea, u b’mod partikolari l-Artikolu 43(2) flimkien mal-Artikolu 218(5) tiegħu,</w:t>
      </w:r>
    </w:p>
    <w:p>
      <w:pPr>
        <w:rPr>
          <w:noProof/>
        </w:rPr>
      </w:pPr>
      <w:r>
        <w:rPr>
          <w:noProof/>
        </w:rPr>
        <w:t>Wara li kkunsidra l-proposta tal-Kummissjoni Ewropea,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Il-Ftehim ta’ Sħubija dwar is-Sajd Sostenibbli bejn l-Unjoni Ewropea u l-Gvern tal-Gżejjer Cook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(minn hawn ’il quddiem “il-Ftehim”), li ġie approvat bid-Deċiżjoni tal-Kunsill (UE) Nru 2017/418</w:t>
      </w:r>
      <w:r>
        <w:rPr>
          <w:rStyle w:val="FootnoteReference"/>
          <w:noProof/>
        </w:rPr>
        <w:footnoteReference w:id="7"/>
      </w:r>
      <w:r>
        <w:rPr>
          <w:noProof/>
        </w:rPr>
        <w:t>, daħal fis-seħħ fl-10 ta’ Mejju 2017. Il-Protokoll dwar l-implimentazzjoni tal-Ftehim (minn hawn ’il quddiem “il-Protokoll”) kien applikat b’mod proviżorju mill-14 ta’ Ottubru 2016</w:t>
      </w:r>
      <w:r>
        <w:rPr>
          <w:rStyle w:val="FootnoteReference"/>
          <w:noProof/>
        </w:rPr>
        <w:footnoteReference w:id="8"/>
      </w:r>
      <w:r>
        <w:rPr>
          <w:noProof/>
        </w:rPr>
        <w:t>, għal perjodu ta’ erba’ snin.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Il-Protokoll se jiskadi fit-13 ta’ Ottubru 2020.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Fis-7 ta’ Lulju 2020, il-Kunsill awtorizza lill-Kummissjoni tiftaħ negozjati mal-Gżejjer Cook għall-konklużjoni ta’ Protokoll ġdid li jimplimenta l-Ftehim ta’ Sħubija dwar is-Sajd Sostenibbli.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Sa ma jitlestew in-negozjati biex jiġġedded il-Protokoll, il-Kummissjoni nnegozjat, f’isem l-Unjoni Ewropea, Ftehim fil-forma ta’ skambju ta’ ittri dwar l-estensjoni għal perjodu massimu ta’ sena tal-Protokoll dwar l-implimentazzjoni tal-Ftehim ta’ Sħubija dwar is-Sajd Sostenibbli bejn l-Unjoni Ewropea u l-Gvern tal-Gżejjer Cook. Dawn in-negozjati ntemmu b’suċċess u l-iskambju ta’ ittri ġie inizjalat fid-29 ta’ Lulju 2020.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L-għan tal-Ftehim fil-forma ta’ skambju ta’ ittri huwa li jippermetti lill-Unjoni u lill-Gvern tal-Gżejjer Cook ikomplu jaħdmu bejniethom biex jippromwovu politika tas-sajd sostenibbli u l-użu responsabbli tar-riżorsi tas-sajd fl-ilmijiet tal-Gżejjer Cook u li jippermetti lill-bastimenti tal-Unjoni jistadu f’dawn l-ilmijiet.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(5)</w:t>
      </w:r>
      <w:r>
        <w:rPr>
          <w:noProof/>
        </w:rPr>
        <w:tab/>
        <w:t xml:space="preserve">Għalhekk, jenħtieġ li l-Ftehim fil-forma ta’ skambju ta’ ittri jiġi ffirmat f’isem l-Unjoni, suġġett għall-konklużjoni tiegħu f’data aktar tard.  </w:t>
      </w:r>
    </w:p>
    <w:p>
      <w:pPr>
        <w:pStyle w:val="ManualConsidrant"/>
        <w:rPr>
          <w:noProof/>
        </w:rPr>
      </w:pPr>
      <w:r>
        <w:lastRenderedPageBreak/>
        <w:t>(7)</w:t>
      </w:r>
      <w:r>
        <w:tab/>
      </w:r>
      <w:r>
        <w:rPr>
          <w:noProof/>
        </w:rPr>
        <w:t>Biex tiġi żgurata l-kontinwità tal-attivitajiet tas-sajd tal-bastimenti tal-Unjoni fl-ilmijiet tal-Gżejjer Cook, jenħtieġ li l-Ftehim fil-forma ta’ skambju ta’ ittri jiġi applikat b’mod proviżorju,</w:t>
      </w:r>
    </w:p>
    <w:p>
      <w:pPr>
        <w:pStyle w:val="Formuledadoption"/>
        <w:rPr>
          <w:noProof/>
        </w:rPr>
      </w:pPr>
      <w:r>
        <w:rPr>
          <w:noProof/>
        </w:rPr>
        <w:t xml:space="preserve">ADOTTA DIN ID-DEĊIŻJONI: </w:t>
      </w:r>
    </w:p>
    <w:p>
      <w:pPr>
        <w:pStyle w:val="Titrearticle"/>
        <w:rPr>
          <w:noProof/>
        </w:rPr>
      </w:pPr>
      <w:r>
        <w:rPr>
          <w:noProof/>
        </w:rPr>
        <w:t>Artikolu 1</w:t>
      </w:r>
    </w:p>
    <w:p>
      <w:pPr>
        <w:rPr>
          <w:noProof/>
        </w:rPr>
      </w:pPr>
      <w:r>
        <w:rPr>
          <w:noProof/>
        </w:rPr>
        <w:t xml:space="preserve">L-iffirmar tal-Ftehim fil-forma ta’ skambju ta’ ittri bejn l-Unjoni Ewropea u l-Gvern tal-Gżejjer Cook dwar l-estensjoni tal-Protokoll dwar l-implimentazzjoni tal-Ftehim ta’ Sħubija dwar is-Sajd Sostenibbli bejn l-Unjoni Ewropea u l-Gvern tal-Gżejjer Cook, li se jiskadi fit-13 ta’ Ottubru 2020 (minn hawn ’il quddiem “il-Ftehim fil-forma ta’ skambju ta’ ittri”), huwa awtorizzat f’isem l-Unjoni, suġġett għall-konklużjoni tat-tali Ftehim. </w:t>
      </w:r>
    </w:p>
    <w:p>
      <w:pPr>
        <w:rPr>
          <w:noProof/>
        </w:rPr>
      </w:pPr>
      <w:r>
        <w:rPr>
          <w:noProof/>
        </w:rPr>
        <w:t>It-test tal-Ftehim fil-forma ta’ skambju ta’ ittri huwa mehmuż ma’ din id-Deċiżjoni.</w:t>
      </w:r>
    </w:p>
    <w:p>
      <w:pPr>
        <w:pStyle w:val="Titrearticle"/>
        <w:rPr>
          <w:noProof/>
        </w:rPr>
      </w:pPr>
      <w:r>
        <w:rPr>
          <w:noProof/>
        </w:rPr>
        <w:t>Artikolu 2</w:t>
      </w:r>
    </w:p>
    <w:p>
      <w:pPr>
        <w:rPr>
          <w:noProof/>
        </w:rPr>
      </w:pPr>
      <w:r>
        <w:rPr>
          <w:noProof/>
        </w:rPr>
        <w:t xml:space="preserve">Is-Segretarjat Ġenerali tal-Kunsill għandu jistabbilixxi l-istrument ta’ setgħat sħaħ li jawtorizza lill-persuna/i li n-negozjatur tal-Ftehim fil-forma ta’ skambju ta’ ittri jkun indika biex jiffirma/jiffirmaw il-Ftehim fil-forma ta’ skambju ta’ ittri, suġġett għall-konklużjoni tiegħu. </w:t>
      </w:r>
    </w:p>
    <w:p>
      <w:pPr>
        <w:pStyle w:val="Titrearticle"/>
        <w:rPr>
          <w:noProof/>
        </w:rPr>
      </w:pPr>
      <w:r>
        <w:rPr>
          <w:noProof/>
        </w:rPr>
        <w:t>Artikolu 3</w:t>
      </w:r>
    </w:p>
    <w:p>
      <w:pPr>
        <w:keepNext/>
        <w:rPr>
          <w:noProof/>
        </w:rPr>
      </w:pPr>
      <w:r>
        <w:rPr>
          <w:noProof/>
        </w:rPr>
        <w:t>F’konformità mal-punt 6 tiegħu, il-Ftehim fil-forma ta’ skambju ta’ ittri għandu japplika b’mod proviżorju mill-14 ta’ Ottubru 2020 jew minn kull data oħra wara d-data tal-iffirmar tiegħu, sa ma jidħol fis-seħħ.</w:t>
      </w:r>
    </w:p>
    <w:p>
      <w:pPr>
        <w:pStyle w:val="Titrearticle"/>
        <w:rPr>
          <w:noProof/>
        </w:rPr>
      </w:pPr>
      <w:r>
        <w:rPr>
          <w:noProof/>
        </w:rPr>
        <w:t>Artikolu 4</w:t>
      </w:r>
    </w:p>
    <w:p>
      <w:pPr>
        <w:keepNext/>
        <w:rPr>
          <w:noProof/>
        </w:rPr>
      </w:pPr>
      <w:r>
        <w:rPr>
          <w:noProof/>
        </w:rPr>
        <w:t>Din id-Deċiżjoni għandha tidħol fis-seħħ l-għada tal-jum tal-pubblikazzjoni tagħha f’</w:t>
      </w:r>
      <w:r>
        <w:rPr>
          <w:i/>
          <w:noProof/>
        </w:rPr>
        <w:t>Il-Ġurnal Uffiċjali tal-Unjoni Ewropea</w:t>
      </w:r>
      <w:r>
        <w:rPr>
          <w:noProof/>
        </w:rPr>
        <w:t>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p>
      <w:pPr>
        <w:jc w:val="center"/>
        <w:rPr>
          <w:b/>
          <w:noProof/>
          <w:u w:val="single"/>
        </w:rPr>
        <w:sectPr>
          <w:footnotePr>
            <w:numRestart w:val="eachPage"/>
          </w:footnote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Fichefinanciretitre"/>
        <w:rPr>
          <w:noProof/>
        </w:rPr>
      </w:pPr>
      <w:r>
        <w:rPr>
          <w:noProof/>
        </w:rPr>
        <w:lastRenderedPageBreak/>
        <w:t>DIKJARAZZJONI FINANZJARJA LEĠIŻLATTIVA</w:t>
      </w:r>
    </w:p>
    <w:p>
      <w:pPr>
        <w:keepNext/>
        <w:tabs>
          <w:tab w:val="left" w:pos="850"/>
        </w:tabs>
        <w:spacing w:before="360"/>
        <w:ind w:left="850" w:hanging="850"/>
        <w:outlineLvl w:val="0"/>
        <w:rPr>
          <w:b/>
          <w:smallCaps/>
          <w:noProof/>
        </w:rPr>
      </w:pPr>
      <w:r>
        <w:rPr>
          <w:b/>
          <w:smallCaps/>
          <w:noProof/>
        </w:rPr>
        <w:t>1.</w:t>
      </w:r>
      <w:r>
        <w:rPr>
          <w:b/>
          <w:smallCaps/>
          <w:noProof/>
        </w:rPr>
        <w:tab/>
        <w:t xml:space="preserve">QAFAS TAL-PROPOSTA/TAL-INIZJATTIVA </w:t>
      </w:r>
    </w:p>
    <w:p>
      <w:pPr>
        <w:keepNext/>
        <w:tabs>
          <w:tab w:val="left" w:pos="850"/>
        </w:tabs>
        <w:outlineLvl w:val="1"/>
        <w:rPr>
          <w:b/>
          <w:noProof/>
        </w:rPr>
      </w:pPr>
      <w:r>
        <w:rPr>
          <w:b/>
          <w:noProof/>
        </w:rPr>
        <w:t>1.1.</w:t>
      </w:r>
      <w:r>
        <w:rPr>
          <w:b/>
          <w:noProof/>
        </w:rPr>
        <w:tab/>
        <w:t>Titolu tal-proposta/tal-inizjattiva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>Proposta għal Deċiżjoni tal-Kunsill dwar l-iffirmar, f’isem l-Unjoni, u l-applikazzjoni proviżorja tal-Ftehim fil-forma ta’ skambju ta’ ittri dwar l-estensjoni tal-Protokoll dwar l-implimentazzjoni tal-Ftehim ta’ Sħubija dwar is-Sajd Sostenibbli bejn l-Unjoni Ewropea u l-Gvern tar-Gżejjer Cook, li se jiskadi fit-13 ta’ Ottubru 2020.</w:t>
      </w:r>
    </w:p>
    <w:p>
      <w:pPr>
        <w:keepNext/>
        <w:tabs>
          <w:tab w:val="left" w:pos="850"/>
        </w:tabs>
        <w:outlineLvl w:val="1"/>
        <w:rPr>
          <w:noProof/>
        </w:rPr>
      </w:pPr>
      <w:r>
        <w:rPr>
          <w:b/>
          <w:noProof/>
        </w:rPr>
        <w:t>1.2.</w:t>
      </w:r>
      <w:r>
        <w:rPr>
          <w:b/>
          <w:noProof/>
        </w:rPr>
        <w:tab/>
        <w:t xml:space="preserve">Qasam/oqsma ta’ politika kkonċernat(i)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>11 – Affarijiet marittimi u sajd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>11.03 – Kontribuzzjonijiet obbligatorji għall-organizzazzjonijiet reġjonali għall-ġestjoni tas-sajd (RFMOs) u għal organizzazzjonijiet internazzjonali oħrajn u għall-ftehimiet dwar is-sajd sostenibbli (SFPAs)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>11.03.01 – L-istabbiliment ta’ qafas ta’ governanza għall-attivitajiet tas-sajd imwettqa minn bastimenti tas-sajd tal-Unjoni fl-ilmijiet ta’ pajjiżi terzi</w:t>
      </w:r>
    </w:p>
    <w:p>
      <w:pPr>
        <w:keepNext/>
        <w:tabs>
          <w:tab w:val="left" w:pos="850"/>
        </w:tabs>
        <w:outlineLvl w:val="1"/>
        <w:rPr>
          <w:b/>
          <w:bCs/>
          <w:noProof/>
          <w:szCs w:val="24"/>
        </w:rPr>
      </w:pPr>
      <w:r>
        <w:rPr>
          <w:b/>
          <w:noProof/>
        </w:rPr>
        <w:t>1.3.</w:t>
      </w:r>
      <w:r>
        <w:rPr>
          <w:b/>
          <w:noProof/>
        </w:rPr>
        <w:tab/>
        <w:t xml:space="preserve">Il-proposta/l-inizjattiva hija dwar: </w:t>
      </w:r>
    </w:p>
    <w:p>
      <w:pPr>
        <w:ind w:left="850"/>
        <w:rPr>
          <w:b/>
          <w:noProof/>
          <w:sz w:val="22"/>
        </w:rPr>
      </w:pPr>
      <w:r>
        <w:rPr>
          <w:noProof/>
          <w:sz w:val="22"/>
        </w:rPr>
        <w:sym w:font="Wingdings" w:char="F0A8"/>
      </w:r>
      <w:r>
        <w:rPr>
          <w:b/>
          <w:i/>
          <w:noProof/>
          <w:sz w:val="22"/>
        </w:rPr>
        <w:t xml:space="preserve"> </w:t>
      </w:r>
      <w:r>
        <w:rPr>
          <w:b/>
          <w:noProof/>
        </w:rPr>
        <w:t>azzjoni ġdida</w:t>
      </w:r>
      <w:r>
        <w:rPr>
          <w:b/>
          <w:noProof/>
          <w:sz w:val="22"/>
        </w:rPr>
        <w:t xml:space="preserve"> </w:t>
      </w:r>
    </w:p>
    <w:p>
      <w:pPr>
        <w:ind w:left="850"/>
        <w:rPr>
          <w:noProof/>
          <w:sz w:val="22"/>
        </w:rPr>
      </w:pPr>
      <w:r>
        <w:rPr>
          <w:noProof/>
          <w:sz w:val="22"/>
        </w:rPr>
        <w:sym w:font="Wingdings" w:char="F0A8"/>
      </w:r>
      <w:r>
        <w:rPr>
          <w:i/>
          <w:noProof/>
          <w:sz w:val="22"/>
        </w:rPr>
        <w:t xml:space="preserve"> </w:t>
      </w:r>
      <w:r>
        <w:rPr>
          <w:b/>
          <w:noProof/>
        </w:rPr>
        <w:t>azzjoni ġdida segwita minn proġett pilota/azzjoni preparatorja</w:t>
      </w:r>
      <w:r>
        <w:rPr>
          <w:rStyle w:val="FootnoteReference"/>
          <w:noProof/>
        </w:rPr>
        <w:footnoteReference w:id="9"/>
      </w:r>
      <w:r>
        <w:rPr>
          <w:noProof/>
          <w:sz w:val="22"/>
        </w:rPr>
        <w:t xml:space="preserve"> </w:t>
      </w:r>
    </w:p>
    <w:p>
      <w:pPr>
        <w:ind w:left="850"/>
        <w:rPr>
          <w:noProof/>
          <w:sz w:val="22"/>
        </w:rPr>
      </w:pPr>
      <w:r>
        <w:rPr>
          <w:b/>
          <w:noProof/>
        </w:rPr>
        <w:t>X l-estensjoni ta’ azzjoni eżistenti</w:t>
      </w:r>
      <w:r>
        <w:rPr>
          <w:noProof/>
          <w:sz w:val="22"/>
        </w:rPr>
        <w:t xml:space="preserve"> </w:t>
      </w:r>
    </w:p>
    <w:p>
      <w:pPr>
        <w:ind w:left="850"/>
        <w:rPr>
          <w:noProof/>
        </w:rPr>
      </w:pPr>
      <w:r>
        <w:rPr>
          <w:noProof/>
          <w:sz w:val="22"/>
        </w:rPr>
        <w:sym w:font="Wingdings" w:char="F0A8"/>
      </w:r>
      <w:r>
        <w:rPr>
          <w:i/>
          <w:noProof/>
          <w:sz w:val="22"/>
        </w:rPr>
        <w:t xml:space="preserve"> </w:t>
      </w:r>
      <w:r>
        <w:rPr>
          <w:b/>
          <w:noProof/>
        </w:rPr>
        <w:t>fużjoni jew direzzjoni mill-ġdid ta’ azzjoni waħda jew aktar lejn azzjoni oħra/ġdida</w:t>
      </w:r>
      <w:r>
        <w:rPr>
          <w:noProof/>
        </w:rPr>
        <w:t xml:space="preserve"> </w:t>
      </w:r>
    </w:p>
    <w:p>
      <w:pPr>
        <w:keepNext/>
        <w:tabs>
          <w:tab w:val="left" w:pos="850"/>
        </w:tabs>
        <w:outlineLvl w:val="1"/>
        <w:rPr>
          <w:b/>
          <w:bCs/>
          <w:noProof/>
          <w:szCs w:val="24"/>
        </w:rPr>
      </w:pPr>
      <w:r>
        <w:rPr>
          <w:b/>
          <w:noProof/>
        </w:rPr>
        <w:t>1.4.</w:t>
      </w:r>
      <w:r>
        <w:rPr>
          <w:b/>
          <w:noProof/>
        </w:rPr>
        <w:tab/>
        <w:t>Objettiv(i)</w:t>
      </w:r>
    </w:p>
    <w:p>
      <w:pPr>
        <w:keepNext/>
        <w:tabs>
          <w:tab w:val="left" w:pos="850"/>
        </w:tabs>
        <w:outlineLvl w:val="2"/>
        <w:rPr>
          <w:i/>
          <w:noProof/>
        </w:rPr>
      </w:pPr>
      <w:r>
        <w:rPr>
          <w:i/>
          <w:noProof/>
        </w:rPr>
        <w:t>1.4.1.</w:t>
      </w:r>
      <w:r>
        <w:rPr>
          <w:i/>
          <w:noProof/>
        </w:rPr>
        <w:tab/>
        <w:t>Objettiv(i) ġenerali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>In-negozjar u l-konklużjoni ta’ Ftehimiet ta’ Sħubija dwar is-Sajd Sostenibbli (SFPAs) ma’ pajjiżi terzi jissodisfaw l-objettiv ġenerali li l-bastimenti tas-sajd tal-Unjoni Ewropea jingħataw aċċess għaż-żoni tas-sajd ta’ pajjiżi terzi u li tinbena sħubija ma’ dawn il-pajjiżi bil-ħsieb li jissaħħaħ l-użu sostenibbli tar-riżorsi tas-sajd barra mill-ilmijiet tal-UE.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>L-SFPAs jiżguraw ukoll il-koerenza bejn il-prinċipji li jirregolaw il-politika komuni tas-sajd u l-impenji meħudin fil-kuntest ta’ politiki Ewropej oħrajn (l-użu sostenibbli tar-riżorsi tal-pajjiżi terzi, il-ġlieda kontra s-sajd illegali, mhux irrappurtat u mhux irregolat (is-sajd IUU), l-integrazzjoni tal-pajjiżi sħab fl-ekonomija globali u governanza politika u finanzjarja aħjar tas-sajd).</w:t>
      </w:r>
    </w:p>
    <w:p>
      <w:pPr>
        <w:keepNext/>
        <w:tabs>
          <w:tab w:val="left" w:pos="850"/>
        </w:tabs>
        <w:outlineLvl w:val="2"/>
        <w:rPr>
          <w:bCs/>
          <w:i/>
          <w:noProof/>
          <w:szCs w:val="24"/>
        </w:rPr>
      </w:pPr>
      <w:r>
        <w:rPr>
          <w:i/>
          <w:noProof/>
        </w:rPr>
        <w:t>1.4.2.</w:t>
      </w:r>
      <w:r>
        <w:rPr>
          <w:i/>
          <w:noProof/>
        </w:rPr>
        <w:tab/>
        <w:t>Objettiv(i) speċifiku/speċifiċi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  <w:u w:val="single"/>
        </w:rPr>
      </w:pPr>
      <w:r>
        <w:rPr>
          <w:noProof/>
          <w:u w:val="single"/>
        </w:rPr>
        <w:t>Objettiv speċifiku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>Sabiex jingħata kontribut għas-sajd sostenibbli fl-ilmijiet li mhumiex tal-UE, tinżamm preżenza Ewropea fis-sajd fl-ilmijiet imbiegħda u jitħarsu l-interessi tas-settur tas-sajd Ewropew u tal-konsumaturi billi jiġu nnegozjati u konklużi SFPAs ma’ stati kostali, b’mod li jkun konsistenti ma’ politiki Ewropej oħrajn.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  <w:u w:val="single"/>
        </w:rPr>
      </w:pPr>
      <w:r>
        <w:rPr>
          <w:noProof/>
          <w:u w:val="single"/>
        </w:rPr>
        <w:t>Attività/attivitajiet ABM/ABB ikkonċernata/i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>Affarijiet marittimi u sajd, biex jiġi stabbilit qafas ta’ governanza għall-attivitajiet tas-sajd imwettqa minn bastimenti tas-sajd tal-Unjoni Ewropea fl-ilmijiet ta’ pajjiżi terzi (SFPAs) (il-linja baġitarja 11.03.01).</w:t>
      </w:r>
    </w:p>
    <w:p>
      <w:pPr>
        <w:keepNext/>
        <w:tabs>
          <w:tab w:val="left" w:pos="850"/>
        </w:tabs>
        <w:outlineLvl w:val="2"/>
        <w:rPr>
          <w:i/>
          <w:noProof/>
        </w:rPr>
      </w:pPr>
      <w:r>
        <w:rPr>
          <w:i/>
          <w:noProof/>
        </w:rPr>
        <w:t>1.4.3.</w:t>
      </w:r>
      <w:r>
        <w:rPr>
          <w:i/>
          <w:noProof/>
        </w:rPr>
        <w:tab/>
        <w:t>Riżultat(i) u impatt mistennija</w:t>
      </w:r>
    </w:p>
    <w:p>
      <w:pPr>
        <w:ind w:left="850"/>
        <w:rPr>
          <w:i/>
          <w:noProof/>
          <w:sz w:val="20"/>
        </w:rPr>
      </w:pPr>
      <w:r>
        <w:rPr>
          <w:i/>
          <w:noProof/>
          <w:sz w:val="20"/>
        </w:rPr>
        <w:t>Speċifika l-effetti li l-proposta/l-inizjattiva jenħtieġ li jkollha fuq il-benefiċjarji/il-gruppi fil-mira.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>L-estensjoni tal-Protokoll tal-SFPA eżistenti se tippermetti li jiġi evitat li l-attivitajiet tas-sajd tal-bastimenti Ewropej jiġu interrotti meta l-Protokoll jiskadi fit-13 ta’ Ottubru 2020. L-estensjoni se tkun tapplika għal perjodu massimu ta’ sena, sa ma jitlestew in-negozjati biex jiġġedded il-Protokoll.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>Il-Protokoll jippermetti li tiġi stabbilita sħubija strateġika dwar is-sajd bejn l-Unjoni Ewropea u l-Gvern tal-Gżejjer Cook. Il-Protokoll se jikkontribwixxi wkoll għal ġestjoni u konservazzjoni aħjar tar-riżorsi tas-sajd, permezz ta’ appoġġ finanzjarju (appoġġ settorjali) għall-implimentazzjoni tal-programmi adottati fil-livell nazzjonali mill-pajjiż sieħeb, b’mod partikolari f’dak li għandu x’jaqsam mal-monitoraġġ u mal-ġlieda kontra s-sajd illegali u mal-appoġġ għas-settur tas-sajd fuq skala żgħira.</w:t>
      </w:r>
    </w:p>
    <w:p>
      <w:pPr>
        <w:keepNext/>
        <w:tabs>
          <w:tab w:val="left" w:pos="850"/>
        </w:tabs>
        <w:outlineLvl w:val="2"/>
        <w:rPr>
          <w:i/>
          <w:noProof/>
          <w:szCs w:val="24"/>
        </w:rPr>
      </w:pPr>
      <w:r>
        <w:rPr>
          <w:i/>
          <w:noProof/>
        </w:rPr>
        <w:t>1.4.4.</w:t>
      </w:r>
      <w:r>
        <w:rPr>
          <w:i/>
          <w:noProof/>
        </w:rPr>
        <w:tab/>
        <w:t>Indikaturi tal-prestazzjoni</w:t>
      </w:r>
    </w:p>
    <w:p>
      <w:pPr>
        <w:ind w:left="850"/>
        <w:rPr>
          <w:i/>
          <w:noProof/>
          <w:sz w:val="20"/>
        </w:rPr>
      </w:pPr>
      <w:r>
        <w:rPr>
          <w:i/>
          <w:noProof/>
          <w:sz w:val="20"/>
        </w:rPr>
        <w:t>Speċifika l-indikaturi għall-monitoraġġ tal-progress u tal-kisbiet.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>Ir-rati tal-użu tal-opportunitajiet tas-sajd (l-użu annwali tal-awtorizzazzjonijiet tas-sajd bħala perċentwali tad-disponibbiltà offruta mill-Protokoll).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>Id-</w:t>
      </w:r>
      <w:r>
        <w:rPr>
          <w:i/>
          <w:noProof/>
        </w:rPr>
        <w:t>data</w:t>
      </w:r>
      <w:r>
        <w:rPr>
          <w:noProof/>
        </w:rPr>
        <w:t xml:space="preserve"> dwar il-qabdiet (il-ġbir u l-analiżi) u l-valur kummerċjali tal-Ftehim.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>Il-kontribut għall-impjiegi u għall-valur miżjud fl-UE, kif ukoll għall-istabbilizzazzjoni tas-suq tal-UE (flimkien ma’ ftehimiet ta’ sħubija dwar is-sajd sostenibbli oħrajn).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>Il-kontribut għat-titjib tar-riċerka, tal-monitoraġġ u tal-kontroll tal-attivitajiet tas-sajd min-naħa tal-pajjiż sieħeb u tal-iżvilupp tas-settur tas-sajd tiegħu, l-aktar dak fuq skala żgħira.</w:t>
      </w:r>
    </w:p>
    <w:p>
      <w:pPr>
        <w:keepNext/>
        <w:outlineLvl w:val="1"/>
        <w:rPr>
          <w:b/>
          <w:bCs/>
          <w:noProof/>
          <w:szCs w:val="24"/>
        </w:rPr>
      </w:pPr>
      <w:r>
        <w:rPr>
          <w:b/>
          <w:noProof/>
        </w:rPr>
        <w:t>1.5.</w:t>
      </w:r>
      <w:r>
        <w:rPr>
          <w:b/>
          <w:noProof/>
        </w:rPr>
        <w:tab/>
        <w:t xml:space="preserve">Raġunijiet għall-proposta/għall-inizjattiva </w:t>
      </w:r>
    </w:p>
    <w:p>
      <w:pPr>
        <w:keepNext/>
        <w:tabs>
          <w:tab w:val="left" w:pos="850"/>
        </w:tabs>
        <w:outlineLvl w:val="2"/>
        <w:rPr>
          <w:i/>
          <w:noProof/>
        </w:rPr>
      </w:pPr>
      <w:r>
        <w:rPr>
          <w:i/>
          <w:noProof/>
        </w:rPr>
        <w:t>1.5.1.</w:t>
      </w:r>
      <w:r>
        <w:rPr>
          <w:i/>
          <w:noProof/>
        </w:rPr>
        <w:tab/>
        <w:t>Rekwiżit(i) li jridu jiġu ssodisfati fuq terminu qasir jew twil inkluża kronoloġija dettaljata għall-implimentazzjoni tal-inizjattiva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>Hu maħsub li l-iskambju ta’ ittri li jestendi l-Protokoll se jkun japplika b’mod proviżorju mid-data tal-iffirmar tiegħu, jiġifieri mill-14 ta’ Ottubru 2020 jew minn kull data oħra wara li jiġi ffirmat, sabiex jiġi evitat li jiġu interrotti l-attivitajiet tas-sajd li jkunu għaddejjin skont il-Protokoll attwali.</w:t>
      </w:r>
    </w:p>
    <w:p>
      <w:pPr>
        <w:keepNext/>
        <w:tabs>
          <w:tab w:val="left" w:pos="850"/>
        </w:tabs>
        <w:outlineLvl w:val="2"/>
        <w:rPr>
          <w:bCs/>
          <w:i/>
          <w:noProof/>
          <w:szCs w:val="24"/>
        </w:rPr>
      </w:pPr>
      <w:r>
        <w:rPr>
          <w:i/>
          <w:noProof/>
        </w:rPr>
        <w:t>1.5.2.</w:t>
      </w:r>
      <w:r>
        <w:rPr>
          <w:i/>
          <w:noProof/>
        </w:rPr>
        <w:tab/>
        <w:t>Il-valur miżjud tal-involviment tal-Unjoni (dan jista’ jirriżulta minn fatturi differenti, eż. il-gwadann mill-koordinazzjoni, iċ-ċertezza tad-dritt, effettività akbar jew il-komplementarjetajiet). Għall-finijiet ta’ dan il-punt, “il-valur miżjud tal-involviment tal-Unjoni” huwa l-valur li jirriżulta mill-intervent tal-Unjoni li jkun addizzjonali għall-valur li kieku kien jinħoloq mill-Istati Membri waħedhom.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>Jekk l-Unjoni ma tikkonkludix Protokoll ġdid, il-bastimenti tal-Unjoni ma jkunux jistgħu jibqgħu jwettqu l-attivitajiet tas-sajd tagħhom, billi l-Ftehim fih klawżola li teskludi l-attivitajiet tas-sajd li ma jsirux fi ħdan il-qafas iddefinit minn protokoll tal-Ftehim. Għalhekk, hemm valur miżjud ċar ħafna għall-flotta tal-UE ta’ distanzi twal. Il-Protokoll jipprovdi wkoll qafas għal kooperazzjoni msaħħa bejn l-Unjoni u l-Gżejjer Cook.</w:t>
      </w:r>
    </w:p>
    <w:p>
      <w:pPr>
        <w:keepNext/>
        <w:tabs>
          <w:tab w:val="left" w:pos="850"/>
        </w:tabs>
        <w:outlineLvl w:val="2"/>
        <w:rPr>
          <w:i/>
          <w:noProof/>
        </w:rPr>
      </w:pPr>
      <w:r>
        <w:rPr>
          <w:i/>
          <w:noProof/>
        </w:rPr>
        <w:t>1.5.3.</w:t>
      </w:r>
      <w:r>
        <w:rPr>
          <w:i/>
          <w:noProof/>
        </w:rPr>
        <w:tab/>
        <w:t>Tagħlimiet meħudin minn esperjenzi simili fl-imgħoddi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>B’analiżi tal-qabdiet li saru fiż-żona tas-sajd tal-Gżejjer Cook fl-imgħoddi, kif ukoll bil-valutazzjonijiet u bil-pariri xjentifiċi disponibbli, il-Partijiet irnexxielhom jistabbilixxu tunnellaġġ ta’ referenza ta’ 7 000 tunnellata fis-sena għat-tonn u għall-ispeċijiet li jixbhuh u opportunitajiet tas-sajd għal 4 bastimenti tas-sajd għat-tonn bit-tartaruni. L-appoġġ settorjali jqis il-ħtiġijiet f’termini tat-tisħiħ tal-kapaċitajiet tal-awtoritajiet tas-sajd tal-Gżejjer Cook u l-prijoritajiet tal-istrateġija nazzjonali tas-sajd, fosthom, b’mod partikolari, ir-riċerka xjentifika u l-inizjattivi ta’ kontroll u ta’ monitoraġġ tas-sajd.</w:t>
      </w:r>
    </w:p>
    <w:p>
      <w:pPr>
        <w:keepNext/>
        <w:tabs>
          <w:tab w:val="left" w:pos="850"/>
        </w:tabs>
        <w:outlineLvl w:val="2"/>
        <w:rPr>
          <w:i/>
          <w:noProof/>
        </w:rPr>
      </w:pPr>
      <w:r>
        <w:rPr>
          <w:i/>
          <w:noProof/>
        </w:rPr>
        <w:t>1.5.4.</w:t>
      </w:r>
      <w:r>
        <w:rPr>
          <w:i/>
          <w:noProof/>
        </w:rPr>
        <w:tab/>
        <w:t>Kompatibbiltà mal-qafas finanzjarju pluriennali u sinerġiji possibbli ma’ strumenti xierqa oħra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>Il-fondi allokati għall-kontribuzzjoni finanzjarja għall-aċċess fil-kuntest tal-SFPA jikkostitwixxu dħul funġibbli fil-baġit nazzjonali tal-Gżejjer Cook. Madankollu, il-fondi maħsuba għall-appoġġ settorjali jiġu allokati lill-Ministeru responsabbli għas-sajd (ġeneralment billi jiddaħħlu fil-liġi annwali dwar il-baġit), bħala kundizzjoni għall-konklużjoni u għall-monitoraġġ tal-SFPAs. Dawn ir-riżorsi finanzjarji huma kompatibbli ma’ sorsi oħrajn ta’ finanzjament mingħand donaturi oħrajn ta’ fondi internazzjonali biex jitwettqu proġetti u/jew programmi fil-livell nazzjonali fis-settur tas-sajd.</w:t>
      </w:r>
    </w:p>
    <w:p>
      <w:pPr>
        <w:keepNext/>
        <w:tabs>
          <w:tab w:val="left" w:pos="850"/>
        </w:tabs>
        <w:outlineLvl w:val="2"/>
        <w:rPr>
          <w:i/>
          <w:noProof/>
        </w:rPr>
      </w:pPr>
      <w:r>
        <w:rPr>
          <w:i/>
          <w:noProof/>
        </w:rPr>
        <w:t>1.5.5.</w:t>
      </w:r>
      <w:r>
        <w:rPr>
          <w:i/>
          <w:noProof/>
        </w:rPr>
        <w:tab/>
        <w:t>Valutazzjoni tal-għażliet differenti ta’ finanzjament disponibbli, inkluż l-ambitu għar-riallokazzjoni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>Mhux applikabbli</w:t>
      </w:r>
    </w:p>
    <w:p>
      <w:pPr>
        <w:ind w:left="850"/>
        <w:rPr>
          <w:noProof/>
        </w:rPr>
      </w:pPr>
    </w:p>
    <w:p>
      <w:pPr>
        <w:keepNext/>
        <w:outlineLvl w:val="1"/>
        <w:rPr>
          <w:b/>
          <w:bCs/>
          <w:noProof/>
          <w:szCs w:val="24"/>
        </w:rPr>
      </w:pPr>
      <w:r>
        <w:rPr>
          <w:b/>
          <w:noProof/>
        </w:rPr>
        <w:t>Durata u impatt finanzjarju tal-proposta/tal-inizjattiva</w:t>
      </w:r>
    </w:p>
    <w:p>
      <w:pPr>
        <w:ind w:left="850"/>
        <w:rPr>
          <w:noProof/>
        </w:rPr>
      </w:pPr>
      <w:r>
        <w:rPr>
          <w:b/>
          <w:noProof/>
        </w:rPr>
        <w:t>X</w:t>
      </w:r>
      <w:r>
        <w:rPr>
          <w:b/>
          <w:i/>
          <w:noProof/>
        </w:rPr>
        <w:t xml:space="preserve"> </w:t>
      </w:r>
      <w:r>
        <w:rPr>
          <w:b/>
          <w:noProof/>
        </w:rPr>
        <w:t xml:space="preserve">durata limitata </w:t>
      </w:r>
    </w:p>
    <w:p>
      <w:pPr>
        <w:tabs>
          <w:tab w:val="num" w:pos="1134"/>
        </w:tabs>
        <w:ind w:left="1134" w:hanging="283"/>
        <w:rPr>
          <w:rFonts w:eastAsia="Times New Roman"/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Fis-seħħ mill-2020 sal-2022 </w:t>
      </w:r>
    </w:p>
    <w:p>
      <w:pPr>
        <w:tabs>
          <w:tab w:val="num" w:pos="1134"/>
        </w:tabs>
        <w:ind w:left="1134" w:hanging="283"/>
        <w:rPr>
          <w:rFonts w:eastAsia="Times New Roman"/>
          <w:noProof/>
        </w:rPr>
      </w:pPr>
      <w:r>
        <w:rPr>
          <w:noProof/>
        </w:rPr>
        <w:t>X</w:t>
      </w:r>
      <w:r>
        <w:rPr>
          <w:noProof/>
        </w:rPr>
        <w:tab/>
        <w:t xml:space="preserve">Impatt finanzjarju fl-2020 għall-approprjazzjonijiet ta’ impenn u mill-2020 sal-2022 għall-approprjazzjonijiet ta’ pagament. </w:t>
      </w:r>
    </w:p>
    <w:p>
      <w:pPr>
        <w:ind w:left="850"/>
        <w:rPr>
          <w:noProof/>
        </w:rPr>
      </w:pPr>
      <w:r>
        <w:rPr>
          <w:noProof/>
        </w:rPr>
        <w:sym w:font="Wingdings" w:char="F0A8"/>
      </w:r>
      <w:r>
        <w:rPr>
          <w:b/>
          <w:i/>
          <w:noProof/>
        </w:rPr>
        <w:t xml:space="preserve"> </w:t>
      </w:r>
      <w:r>
        <w:rPr>
          <w:b/>
          <w:noProof/>
        </w:rPr>
        <w:t>durata mhux limitata</w:t>
      </w:r>
    </w:p>
    <w:p>
      <w:pPr>
        <w:tabs>
          <w:tab w:val="num" w:pos="1134"/>
        </w:tabs>
        <w:ind w:left="1134" w:hanging="283"/>
        <w:rPr>
          <w:rFonts w:eastAsia="Times New Roman"/>
          <w:noProof/>
        </w:rPr>
      </w:pPr>
      <w:r>
        <w:rPr>
          <w:noProof/>
        </w:rPr>
        <w:t>Implimentazzjoni b’perjodu ta’ tnedija minn SSSS sa SSSS,</w:t>
      </w:r>
    </w:p>
    <w:p>
      <w:pPr>
        <w:tabs>
          <w:tab w:val="num" w:pos="1134"/>
        </w:tabs>
        <w:ind w:left="1134" w:hanging="283"/>
        <w:rPr>
          <w:rFonts w:eastAsia="Times New Roman"/>
          <w:noProof/>
        </w:rPr>
      </w:pPr>
      <w:r>
        <w:rPr>
          <w:noProof/>
        </w:rPr>
        <w:t>segwita b’operazzjoni fuq skala sħiħa.</w:t>
      </w:r>
    </w:p>
    <w:p>
      <w:pPr>
        <w:keepNext/>
        <w:outlineLvl w:val="1"/>
        <w:rPr>
          <w:b/>
          <w:bCs/>
          <w:noProof/>
          <w:szCs w:val="24"/>
        </w:rPr>
      </w:pPr>
      <w:r>
        <w:rPr>
          <w:b/>
          <w:noProof/>
        </w:rPr>
        <w:t>Modalità/modalitajiet ta’ ġestjoni ppjanata/i</w:t>
      </w:r>
      <w:r>
        <w:rPr>
          <w:rStyle w:val="FootnoteReference"/>
          <w:noProof/>
        </w:rPr>
        <w:footnoteReference w:id="10"/>
      </w:r>
      <w:r>
        <w:rPr>
          <w:b/>
          <w:noProof/>
          <w:vertAlign w:val="superscript"/>
        </w:rPr>
        <w:t xml:space="preserve"> </w:t>
      </w:r>
    </w:p>
    <w:p>
      <w:pPr>
        <w:ind w:left="850"/>
        <w:rPr>
          <w:noProof/>
        </w:rPr>
      </w:pPr>
      <w:r>
        <w:rPr>
          <w:b/>
          <w:noProof/>
        </w:rPr>
        <w:t>X</w:t>
      </w:r>
      <w:r>
        <w:rPr>
          <w:i/>
          <w:noProof/>
        </w:rPr>
        <w:t xml:space="preserve"> </w:t>
      </w:r>
      <w:r>
        <w:rPr>
          <w:b/>
          <w:noProof/>
        </w:rPr>
        <w:t>Ġestjoni diretta</w:t>
      </w:r>
      <w:r>
        <w:rPr>
          <w:noProof/>
        </w:rPr>
        <w:t xml:space="preserve"> mill-Kummissjoni</w:t>
      </w:r>
    </w:p>
    <w:p>
      <w:pPr>
        <w:tabs>
          <w:tab w:val="num" w:pos="1134"/>
        </w:tabs>
        <w:ind w:left="1134" w:hanging="283"/>
        <w:rPr>
          <w:rFonts w:eastAsia="Times New Roman" w:cs="EUAlbertina"/>
          <w:noProof/>
        </w:rPr>
      </w:pPr>
      <w:r>
        <w:rPr>
          <w:b/>
          <w:noProof/>
        </w:rPr>
        <w:t>X</w:t>
      </w:r>
      <w:r>
        <w:rPr>
          <w:noProof/>
        </w:rPr>
        <w:t xml:space="preserve"> mid-dipartimenti tagħha, inkluż mill-persunal tagħha fid-delegazzjonijiet tal-Unjoni; </w:t>
      </w:r>
    </w:p>
    <w:p>
      <w:pPr>
        <w:tabs>
          <w:tab w:val="num" w:pos="1134"/>
        </w:tabs>
        <w:ind w:left="1134" w:hanging="283"/>
        <w:rPr>
          <w:rFonts w:eastAsia="Times New Roman"/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mill-aġenziji eżekuttivi </w:t>
      </w:r>
    </w:p>
    <w:p>
      <w:pPr>
        <w:ind w:left="850"/>
        <w:rPr>
          <w:noProof/>
        </w:rPr>
      </w:pPr>
      <w:r>
        <w:rPr>
          <w:noProof/>
        </w:rPr>
        <w:sym w:font="Wingdings" w:char="F0A8"/>
      </w:r>
      <w:r>
        <w:rPr>
          <w:b/>
          <w:i/>
          <w:noProof/>
        </w:rPr>
        <w:t xml:space="preserve"> </w:t>
      </w:r>
      <w:r>
        <w:rPr>
          <w:b/>
          <w:noProof/>
        </w:rPr>
        <w:t>Ġestjoni kondiviża</w:t>
      </w:r>
      <w:r>
        <w:rPr>
          <w:noProof/>
        </w:rPr>
        <w:t xml:space="preserve"> mal-Istati Membri </w:t>
      </w:r>
    </w:p>
    <w:p>
      <w:pPr>
        <w:ind w:left="850"/>
        <w:rPr>
          <w:noProof/>
        </w:rPr>
      </w:pPr>
      <w:r>
        <w:rPr>
          <w:noProof/>
        </w:rPr>
        <w:sym w:font="Wingdings" w:char="F0A8"/>
      </w:r>
      <w:r>
        <w:rPr>
          <w:i/>
          <w:noProof/>
        </w:rPr>
        <w:t xml:space="preserve"> </w:t>
      </w:r>
      <w:r>
        <w:rPr>
          <w:b/>
          <w:noProof/>
        </w:rPr>
        <w:t>Ġestjoni indiretta</w:t>
      </w:r>
      <w:r>
        <w:rPr>
          <w:noProof/>
        </w:rPr>
        <w:t xml:space="preserve"> billi jiġu fdati kompiti ta’ implimentazzjoni baġitarja:</w:t>
      </w:r>
    </w:p>
    <w:p>
      <w:pPr>
        <w:tabs>
          <w:tab w:val="num" w:pos="1134"/>
        </w:tabs>
        <w:ind w:left="1134" w:hanging="283"/>
        <w:rPr>
          <w:rFonts w:eastAsia="Times New Roman"/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lil pajjiżi terzi jew lill-korpi nnominati minnhom;</w:t>
      </w:r>
    </w:p>
    <w:p>
      <w:pPr>
        <w:tabs>
          <w:tab w:val="num" w:pos="1134"/>
        </w:tabs>
        <w:ind w:left="1134" w:hanging="283"/>
        <w:rPr>
          <w:rFonts w:eastAsia="Times New Roman"/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lil organizzazzjonijiet internazzjonali u lill-aġenziji tagħhom (iridu jiġu speċifikati);</w:t>
      </w:r>
    </w:p>
    <w:p>
      <w:pPr>
        <w:tabs>
          <w:tab w:val="num" w:pos="1134"/>
        </w:tabs>
        <w:ind w:left="1134" w:hanging="283"/>
        <w:rPr>
          <w:rFonts w:eastAsia="Times New Roman"/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lill-BEI u lill-Fond Ewropew tal-Investiment;</w:t>
      </w:r>
    </w:p>
    <w:p>
      <w:pPr>
        <w:tabs>
          <w:tab w:val="num" w:pos="1134"/>
        </w:tabs>
        <w:ind w:left="1134" w:hanging="283"/>
        <w:rPr>
          <w:rFonts w:eastAsia="Times New Roman"/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lill-korpi li jissemmew fl-Artikoli 70 u 71 tar-Regolament Finanzjarju;</w:t>
      </w:r>
    </w:p>
    <w:p>
      <w:pPr>
        <w:tabs>
          <w:tab w:val="num" w:pos="1134"/>
        </w:tabs>
        <w:ind w:left="1134" w:hanging="283"/>
        <w:rPr>
          <w:rFonts w:eastAsia="Times New Roman"/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lill-korpi tal-liġi pubblika;</w:t>
      </w:r>
    </w:p>
    <w:p>
      <w:pPr>
        <w:tabs>
          <w:tab w:val="num" w:pos="1134"/>
        </w:tabs>
        <w:ind w:left="1134" w:hanging="283"/>
        <w:rPr>
          <w:rFonts w:eastAsia="Times New Roman"/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lil korpi rregolati mil-liġi privata b’missjoni ta’ servizz pubbliku sakemm dawn jipprovdu garanziji finanzjarji adegwati;</w:t>
      </w:r>
    </w:p>
    <w:p>
      <w:pPr>
        <w:tabs>
          <w:tab w:val="num" w:pos="1134"/>
        </w:tabs>
        <w:ind w:left="1134" w:hanging="283"/>
        <w:rPr>
          <w:rFonts w:eastAsia="Times New Roman"/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lil korpi rregolati mil-liġi privata ta’ Stat Membru li jkunu fdati bl-implimentazzjoni ta’ sħubija pubblika-privata u li jipprovdu garanziji finanzjarji adegwati;</w:t>
      </w:r>
    </w:p>
    <w:p>
      <w:pPr>
        <w:tabs>
          <w:tab w:val="num" w:pos="1134"/>
        </w:tabs>
        <w:ind w:left="1134" w:hanging="283"/>
        <w:rPr>
          <w:rFonts w:eastAsia="Times New Roman"/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lil persuni fdati bl-implimentazzjoni ta’ azzjonijiet speċifiċi fil-PESK skont it-Titolu V tat-TUE, u identifikati fl-att bażiku rilevanti.</w:t>
      </w:r>
    </w:p>
    <w:p>
      <w:pPr>
        <w:tabs>
          <w:tab w:val="num" w:pos="1134"/>
        </w:tabs>
        <w:ind w:left="1134" w:hanging="283"/>
        <w:rPr>
          <w:rFonts w:eastAsia="Times New Roman"/>
          <w:i/>
          <w:noProof/>
          <w:sz w:val="18"/>
          <w:u w:val="single"/>
        </w:rPr>
      </w:pPr>
      <w:r>
        <w:rPr>
          <w:i/>
          <w:noProof/>
          <w:sz w:val="18"/>
        </w:rPr>
        <w:t>Jekk jiġi indikat iżjed minn mod ta’ ġestjoni wieħed, jekk jogħġbok ipprovdi d-dettalji fit-taqsima “Kummenti”.</w:t>
      </w:r>
    </w:p>
    <w:p>
      <w:pPr>
        <w:rPr>
          <w:noProof/>
        </w:rPr>
      </w:pPr>
      <w:r>
        <w:rPr>
          <w:noProof/>
        </w:rPr>
        <w:t xml:space="preserve">Kummenti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>
      <w:pPr>
        <w:rPr>
          <w:noProof/>
        </w:rPr>
        <w:sectPr>
          <w:footnotePr>
            <w:numRestart w:val="eachSect"/>
          </w:footnote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keepNext/>
        <w:tabs>
          <w:tab w:val="left" w:pos="850"/>
        </w:tabs>
        <w:spacing w:before="360"/>
        <w:ind w:left="850" w:hanging="850"/>
        <w:outlineLvl w:val="0"/>
        <w:rPr>
          <w:b/>
          <w:bCs/>
          <w:smallCaps/>
          <w:noProof/>
          <w:szCs w:val="24"/>
        </w:rPr>
      </w:pPr>
      <w:r>
        <w:rPr>
          <w:b/>
          <w:smallCaps/>
          <w:noProof/>
        </w:rPr>
        <w:t>2.</w:t>
      </w:r>
      <w:r>
        <w:rPr>
          <w:b/>
          <w:smallCaps/>
          <w:noProof/>
        </w:rPr>
        <w:tab/>
        <w:t xml:space="preserve">MIŻURI TA’ ĠESTJONI </w:t>
      </w:r>
    </w:p>
    <w:p>
      <w:pPr>
        <w:keepNext/>
        <w:outlineLvl w:val="1"/>
        <w:rPr>
          <w:b/>
          <w:noProof/>
        </w:rPr>
      </w:pPr>
      <w:r>
        <w:rPr>
          <w:b/>
          <w:noProof/>
        </w:rPr>
        <w:t>2.1.</w:t>
      </w:r>
      <w:r>
        <w:rPr>
          <w:b/>
          <w:noProof/>
        </w:rPr>
        <w:tab/>
        <w:t xml:space="preserve">Regoli ta’ monitoraġġ u ta’ rapportar </w:t>
      </w:r>
    </w:p>
    <w:p>
      <w:pPr>
        <w:ind w:left="850"/>
        <w:rPr>
          <w:i/>
          <w:noProof/>
          <w:sz w:val="20"/>
        </w:rPr>
      </w:pPr>
      <w:r>
        <w:rPr>
          <w:i/>
          <w:noProof/>
          <w:sz w:val="20"/>
        </w:rPr>
        <w:t>Speċifika l-frekwenza u l-kundizzjonijiet.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>Il-Kummissjoni (id-Direttorat Ġenerali għall-Affarijiet Marittimi u s-Sajd, flimkien mal-uffiċjal tas-sajd tiegħu bbażat fir-reġjun (Fiji)) se tiżgura monitoraġġ regolari tal-implimentazzjoni tal-Protokoll f’dak li għandu x’jaqsam mal-użu tal-opportunitajiet tas-sajd min-naħa tal-operaturi, mad-</w:t>
      </w:r>
      <w:r>
        <w:rPr>
          <w:i/>
          <w:noProof/>
        </w:rPr>
        <w:t>data</w:t>
      </w:r>
      <w:r>
        <w:rPr>
          <w:noProof/>
        </w:rPr>
        <w:t xml:space="preserve"> dwar il-qabdiet u mal-ħarsien tal-kundizzjonijiet tal-appoġġ settorjali.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>L-SFPA jipprevedi mill-inqas laqgħa annwali waħda tal-Kumitat Konġunt, li matulha l-Kummissjoni u l-Gvern tal-Gżejjer Cook jirrieżaminaw l-implimentazzjoni tal-Ftehim u tal-Protokoll u, jekk ikun meħtieġ, jaġġustaw il-programmazzjoni u, jekk ikun japplika, il-kontribuzzjoni finanzjarja.</w:t>
      </w:r>
    </w:p>
    <w:p>
      <w:pPr>
        <w:keepNext/>
        <w:outlineLvl w:val="1"/>
        <w:rPr>
          <w:b/>
          <w:bCs/>
          <w:noProof/>
          <w:szCs w:val="24"/>
        </w:rPr>
      </w:pPr>
      <w:r>
        <w:rPr>
          <w:b/>
          <w:noProof/>
        </w:rPr>
        <w:t>2.2.</w:t>
      </w:r>
      <w:r>
        <w:rPr>
          <w:b/>
          <w:noProof/>
        </w:rPr>
        <w:tab/>
        <w:t xml:space="preserve">Sistema/i ta’ ġestjoni u ta’ kontroll </w:t>
      </w:r>
    </w:p>
    <w:p>
      <w:pPr>
        <w:keepNext/>
        <w:tabs>
          <w:tab w:val="left" w:pos="850"/>
        </w:tabs>
        <w:outlineLvl w:val="2"/>
        <w:rPr>
          <w:i/>
          <w:noProof/>
        </w:rPr>
      </w:pPr>
      <w:r>
        <w:rPr>
          <w:i/>
          <w:noProof/>
        </w:rPr>
        <w:t>2.2.1.</w:t>
      </w:r>
      <w:r>
        <w:rPr>
          <w:i/>
          <w:noProof/>
        </w:rPr>
        <w:tab/>
        <w:t>Ġustifikazzjoni tal-mod(i) ta’ ġestjoni, tal-mekkaniżmu/i għall-implimentazzjoni tal-finanzjament, tal-modalitajiet ta’ pagament u tal-istrateġija ta’ kontroll proposta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>Ir-riskju identifikat huwa n-nuqqas ta’ użu tal-opportunitajiet tas-sajd min-naħa tas-sidien tal-bastimenti tal-UE u n-nuqqas ta’ użu jew id-dewmien fl-użu tal-fondi maħsubin għall-finanzjament tal-politika settorjali tas-sajd min-naħa tal-Gżejjer Cook.</w:t>
      </w:r>
    </w:p>
    <w:p>
      <w:pPr>
        <w:keepNext/>
        <w:tabs>
          <w:tab w:val="left" w:pos="850"/>
        </w:tabs>
        <w:outlineLvl w:val="2"/>
        <w:rPr>
          <w:bCs/>
          <w:i/>
          <w:noProof/>
          <w:szCs w:val="24"/>
        </w:rPr>
      </w:pPr>
      <w:r>
        <w:rPr>
          <w:i/>
          <w:noProof/>
        </w:rPr>
        <w:t>2.2.2.</w:t>
      </w:r>
      <w:r>
        <w:rPr>
          <w:i/>
          <w:noProof/>
        </w:rPr>
        <w:tab/>
        <w:t>Informazzjoni dwar ir-riskji identifikati u s-sistema/i ta’ kontroll intern stabbilita/i għall-mitigazzjoni tagħhom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>Qed jiġi ppjanat djalogu estensiv dwar il-programmazzjoni u l-implimentazzjoni tal-politika settorjali prevista fil-Ftehim u fil-Protokoll. L-analiżi konġunta tar-riżultati wkoll tifforma parti minn dawn il-metodi ta’ kontroll.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>Barra minn hekk, il-Ftehim u l-Protokoll fihom klawżoli speċifiċi biex jiġu sospiżi f’ċerti kundizzjonijiet u f’ċerti ċirkustanzi.</w:t>
      </w:r>
    </w:p>
    <w:p>
      <w:pPr>
        <w:keepNext/>
        <w:tabs>
          <w:tab w:val="left" w:pos="850"/>
        </w:tabs>
        <w:outlineLvl w:val="2"/>
        <w:rPr>
          <w:i/>
          <w:noProof/>
        </w:rPr>
      </w:pPr>
      <w:r>
        <w:rPr>
          <w:noProof/>
        </w:rPr>
        <w:br w:type="page"/>
      </w:r>
      <w:r>
        <w:rPr>
          <w:i/>
          <w:noProof/>
        </w:rPr>
        <w:t>2.2.3.</w:t>
      </w:r>
      <w:r>
        <w:rPr>
          <w:i/>
          <w:noProof/>
        </w:rPr>
        <w:tab/>
        <w:t xml:space="preserve">Stima u ġustifikazzjoni tal-kosteffettività tal-kontrolli (proporzjon tal-“kostijiet tal-kontrolli ÷ il-valur tal-fondi relatati ġestiti”), u valutazzjoni tal-livelli mistennija tar-riskju ta’ errur (mal-ħlas u fl-għeluq)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</w:p>
    <w:p>
      <w:pPr>
        <w:keepNext/>
        <w:outlineLvl w:val="1"/>
        <w:rPr>
          <w:b/>
          <w:bCs/>
          <w:noProof/>
          <w:szCs w:val="24"/>
        </w:rPr>
      </w:pPr>
      <w:r>
        <w:rPr>
          <w:b/>
          <w:noProof/>
        </w:rPr>
        <w:t>2.3.</w:t>
      </w:r>
      <w:r>
        <w:rPr>
          <w:b/>
          <w:noProof/>
        </w:rPr>
        <w:tab/>
        <w:t xml:space="preserve">Miżuri għall-prevenzjoni tal-frodi u tal-irregolaritajiet </w:t>
      </w:r>
    </w:p>
    <w:p>
      <w:pPr>
        <w:ind w:left="850"/>
        <w:rPr>
          <w:i/>
          <w:noProof/>
          <w:sz w:val="20"/>
        </w:rPr>
      </w:pPr>
      <w:r>
        <w:rPr>
          <w:i/>
          <w:noProof/>
          <w:sz w:val="20"/>
        </w:rPr>
        <w:t>Speċifika l-miżuri ta’ prevenzjoni u ta’ protezzjoni eżistenti jew previsti, eż. mill-Istrateġija Kontra l-Frodi.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 xml:space="preserve">Il-Kummissjoni tintrabat li tistabbilixxi djalogu politiku mal-Gvern Gżejjer Cook u li tikkoordina b’mod regolari ma’ dan il-pajjiż bil-ħsieb li ttejjeb il-ġestjoni tal-Ftehim u tal-Protokoll u li ssaħħaħ il-kontribut tal-UE għall-ġestjoni sostenibbli tar-riżorsi. Kull pagament li l-Kummissjoni tagħmel fil-kuntest tal-SFPA hu suġġett għar-regoli u għall-proċeduri baġitarji u finanzjarji standard tal-Kummissjoni. B’mod partikolari, il-kontijiet bankarji tal-pajjiżi terzi fejn titħallas il-kontribuzzjoni finanzjarja huma identifikati bis-sħiħ. Il-Protokoll jipprevedi li l-kontribuzzjoni finanzjarja trid titħallas f’kont bankarju nnominat tal-Gvern fil-Gżejjer Cook.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  <w:sectPr>
          <w:footnotePr>
            <w:numRestart w:val="eachSect"/>
          </w:footnote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keepNext/>
        <w:tabs>
          <w:tab w:val="left" w:pos="850"/>
        </w:tabs>
        <w:spacing w:before="360"/>
        <w:ind w:left="850" w:hanging="850"/>
        <w:outlineLvl w:val="0"/>
        <w:rPr>
          <w:b/>
          <w:bCs/>
          <w:smallCaps/>
          <w:noProof/>
          <w:szCs w:val="24"/>
        </w:rPr>
      </w:pPr>
      <w:r>
        <w:rPr>
          <w:b/>
          <w:smallCaps/>
          <w:noProof/>
        </w:rPr>
        <w:t>3.</w:t>
      </w:r>
      <w:r>
        <w:rPr>
          <w:b/>
          <w:smallCaps/>
          <w:noProof/>
        </w:rPr>
        <w:tab/>
        <w:t xml:space="preserve">IMPATT FINANZJARJU STMAT TAL-PROPOSTA/TAL-INIZJATTIVA </w:t>
      </w:r>
    </w:p>
    <w:p>
      <w:pPr>
        <w:keepNext/>
        <w:outlineLvl w:val="1"/>
        <w:rPr>
          <w:b/>
          <w:noProof/>
        </w:rPr>
      </w:pPr>
      <w:r>
        <w:rPr>
          <w:b/>
          <w:noProof/>
        </w:rPr>
        <w:t>3.1.</w:t>
      </w:r>
      <w:r>
        <w:rPr>
          <w:b/>
          <w:noProof/>
        </w:rPr>
        <w:tab/>
        <w:t xml:space="preserve">Intestatura/i tal-qafas finanzjarju pluriennali u l-linja/i baġitarja/i tan-nefqa affettwata/i </w:t>
      </w:r>
    </w:p>
    <w:p>
      <w:pPr>
        <w:tabs>
          <w:tab w:val="num" w:pos="1134"/>
        </w:tabs>
        <w:ind w:left="1134" w:hanging="283"/>
        <w:rPr>
          <w:rFonts w:eastAsia="Times New Roman"/>
          <w:noProof/>
        </w:rPr>
      </w:pPr>
      <w:r>
        <w:rPr>
          <w:noProof/>
        </w:rPr>
        <w:t xml:space="preserve">Linji baġitarji eżistenti </w:t>
      </w:r>
    </w:p>
    <w:p>
      <w:pPr>
        <w:ind w:left="850"/>
        <w:rPr>
          <w:i/>
          <w:noProof/>
        </w:rPr>
      </w:pPr>
      <w:r>
        <w:rPr>
          <w:i/>
          <w:noProof/>
          <w:u w:val="single"/>
        </w:rPr>
        <w:t>Skont l-ordni</w:t>
      </w:r>
      <w:r>
        <w:rPr>
          <w:i/>
          <w:noProof/>
        </w:rPr>
        <w:t xml:space="preserve"> tal-intestaturi tal-qafas finanzjarju pluriennali u tal-linji baġitarji.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840"/>
        <w:gridCol w:w="1080"/>
        <w:gridCol w:w="1076"/>
        <w:gridCol w:w="1080"/>
        <w:gridCol w:w="1084"/>
        <w:gridCol w:w="1320"/>
      </w:tblGrid>
      <w:tr>
        <w:tc>
          <w:tcPr>
            <w:tcW w:w="1080" w:type="dxa"/>
            <w:vMerge w:val="restart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Intestatura tal-qafas finanzjarju pluriennali</w:t>
            </w:r>
          </w:p>
        </w:tc>
        <w:tc>
          <w:tcPr>
            <w:tcW w:w="384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>Linja baġitarja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Tip ta’ nefqa </w:t>
            </w:r>
          </w:p>
        </w:tc>
        <w:tc>
          <w:tcPr>
            <w:tcW w:w="4560" w:type="dxa"/>
            <w:gridSpan w:val="4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 xml:space="preserve">Kontribuzzjoni </w:t>
            </w:r>
          </w:p>
        </w:tc>
      </w:tr>
      <w:tr>
        <w:tc>
          <w:tcPr>
            <w:tcW w:w="1080" w:type="dxa"/>
            <w:vMerge/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3840" w:type="dxa"/>
            <w:vAlign w:val="center"/>
          </w:tcPr>
          <w:p>
            <w:pPr>
              <w:rPr>
                <w:noProof/>
              </w:rPr>
            </w:pPr>
            <w:r>
              <w:rPr>
                <w:noProof/>
                <w:sz w:val="20"/>
              </w:rPr>
              <w:t xml:space="preserve">Numru </w:t>
            </w:r>
            <w:r>
              <w:rPr>
                <w:noProof/>
                <w:sz w:val="22"/>
              </w:rPr>
              <w:br/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Diff./Mhux diff</w:t>
            </w:r>
            <w:r>
              <w:rPr>
                <w:rStyle w:val="FootnoteReference"/>
                <w:noProof/>
              </w:rPr>
              <w:footnoteReference w:id="11"/>
            </w:r>
            <w:r>
              <w:rPr>
                <w:noProof/>
              </w:rPr>
              <w:t>.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mill-pajjiżi tal-EFTA</w:t>
            </w:r>
            <w:r>
              <w:rPr>
                <w:rStyle w:val="FootnoteReference"/>
                <w:noProof/>
              </w:rPr>
              <w:footnoteReference w:id="12"/>
            </w:r>
          </w:p>
          <w:p>
            <w:pPr>
              <w:spacing w:before="0" w:after="0"/>
              <w:jc w:val="center"/>
              <w:rPr>
                <w:b/>
                <w:noProof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mill-pajjiżi kandidati</w:t>
            </w:r>
            <w:r>
              <w:rPr>
                <w:rStyle w:val="FootnoteReference"/>
                <w:noProof/>
              </w:rPr>
              <w:footnoteReference w:id="13"/>
            </w:r>
          </w:p>
          <w:p>
            <w:pPr>
              <w:spacing w:before="0" w:after="0"/>
              <w:jc w:val="center"/>
              <w:rPr>
                <w:noProof/>
                <w:sz w:val="18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minn pajjiżi terzi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skont it-tifsira tal-Artikolu 21(2)(b) tar-Regolament Finanzjarju </w:t>
            </w:r>
          </w:p>
        </w:tc>
      </w:tr>
      <w:tr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</w:rPr>
            </w:pPr>
          </w:p>
        </w:tc>
        <w:tc>
          <w:tcPr>
            <w:tcW w:w="3840" w:type="dxa"/>
            <w:vAlign w:val="center"/>
          </w:tcPr>
          <w:p>
            <w:pPr>
              <w:spacing w:before="60"/>
              <w:rPr>
                <w:noProof/>
              </w:rPr>
            </w:pPr>
            <w:r>
              <w:rPr>
                <w:noProof/>
              </w:rPr>
              <w:t>11.03.01</w:t>
            </w:r>
          </w:p>
          <w:p>
            <w:pPr>
              <w:spacing w:before="60"/>
              <w:rPr>
                <w:noProof/>
              </w:rPr>
            </w:pPr>
            <w:r>
              <w:rPr>
                <w:noProof/>
              </w:rPr>
              <w:t>Stabbiliment ta’ qafas ta’ governanza għall-attivitajiet tas-sajd imwettqa minn bastimenti tas-sajd tal-Unjoni Ewropea fl-ilmijiet ta’ pajjiżi terzi (SFAs)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</w:rPr>
            </w:pPr>
            <w:r>
              <w:rPr>
                <w:noProof/>
                <w:sz w:val="22"/>
              </w:rPr>
              <w:t>Diff.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Le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Le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Le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Le</w:t>
            </w:r>
          </w:p>
        </w:tc>
      </w:tr>
    </w:tbl>
    <w:p>
      <w:pPr>
        <w:tabs>
          <w:tab w:val="num" w:pos="1134"/>
        </w:tabs>
        <w:ind w:left="1134" w:hanging="283"/>
        <w:rPr>
          <w:rFonts w:eastAsia="Times New Roman"/>
          <w:noProof/>
        </w:rPr>
      </w:pPr>
      <w:r>
        <w:rPr>
          <w:noProof/>
        </w:rPr>
        <w:t xml:space="preserve">Linji baġitarji ġodda mitluba </w:t>
      </w:r>
    </w:p>
    <w:p>
      <w:pPr>
        <w:ind w:left="850"/>
        <w:rPr>
          <w:i/>
          <w:noProof/>
          <w:sz w:val="20"/>
        </w:rPr>
      </w:pPr>
      <w:r>
        <w:rPr>
          <w:i/>
          <w:noProof/>
          <w:u w:val="single"/>
        </w:rPr>
        <w:t>Skont l-ordni</w:t>
      </w:r>
      <w:r>
        <w:rPr>
          <w:i/>
          <w:noProof/>
        </w:rPr>
        <w:t xml:space="preserve"> tal-intestaturi tal-qafas finanzjarju pluriennali u tal-linji baġitarji.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840"/>
        <w:gridCol w:w="1080"/>
        <w:gridCol w:w="1076"/>
        <w:gridCol w:w="1080"/>
        <w:gridCol w:w="1084"/>
        <w:gridCol w:w="1320"/>
      </w:tblGrid>
      <w:tr>
        <w:tc>
          <w:tcPr>
            <w:tcW w:w="1080" w:type="dxa"/>
            <w:vMerge w:val="restart"/>
            <w:vAlign w:val="center"/>
          </w:tcPr>
          <w:p>
            <w:pPr>
              <w:spacing w:before="60" w:after="6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Intestatura tal-qafas finanzjarju pluriennali</w:t>
            </w:r>
          </w:p>
        </w:tc>
        <w:tc>
          <w:tcPr>
            <w:tcW w:w="384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>Linja baġitarja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Tip ta’ nefqa</w:t>
            </w:r>
          </w:p>
        </w:tc>
        <w:tc>
          <w:tcPr>
            <w:tcW w:w="4560" w:type="dxa"/>
            <w:gridSpan w:val="4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 xml:space="preserve">Kontribuzzjoni </w:t>
            </w:r>
          </w:p>
        </w:tc>
      </w:tr>
      <w:tr>
        <w:tc>
          <w:tcPr>
            <w:tcW w:w="1080" w:type="dxa"/>
            <w:vMerge/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3840" w:type="dxa"/>
            <w:vAlign w:val="center"/>
          </w:tcPr>
          <w:p>
            <w:pPr>
              <w:rPr>
                <w:noProof/>
              </w:rPr>
            </w:pPr>
            <w:r>
              <w:rPr>
                <w:noProof/>
                <w:sz w:val="20"/>
              </w:rPr>
              <w:t xml:space="preserve">Numru </w:t>
            </w:r>
            <w:r>
              <w:rPr>
                <w:noProof/>
                <w:sz w:val="22"/>
              </w:rPr>
              <w:br/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Diff./Mhux diff.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mill-pajjiżi tal-EFTA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mill-pajjiżi kandidati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minn pajjiżi terzi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skont it-tifsira tal-Artikolu 21(2)(b) tar-Regolament Finanzjarju </w:t>
            </w:r>
          </w:p>
        </w:tc>
      </w:tr>
      <w:tr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</w:rPr>
            </w:pPr>
          </w:p>
        </w:tc>
        <w:tc>
          <w:tcPr>
            <w:tcW w:w="3840" w:type="dxa"/>
            <w:vAlign w:val="center"/>
          </w:tcPr>
          <w:p>
            <w:pPr>
              <w:spacing w:before="60"/>
              <w:rPr>
                <w:noProof/>
              </w:rPr>
            </w:pPr>
            <w:r>
              <w:rPr>
                <w:noProof/>
                <w:sz w:val="22"/>
              </w:rPr>
              <w:t>[XX.YY.YY.YY]</w:t>
            </w:r>
          </w:p>
          <w:p>
            <w:pPr>
              <w:spacing w:after="60"/>
              <w:rPr>
                <w:noProof/>
                <w:color w:val="0000FF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IVA/LE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  <w:sz w:val="20"/>
                <w:szCs w:val="20"/>
              </w:rPr>
            </w:pPr>
            <w:r>
              <w:rPr>
                <w:noProof/>
                <w:sz w:val="20"/>
              </w:rPr>
              <w:t>IVA/LE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noProof/>
                <w:color w:val="0000FF"/>
                <w:sz w:val="20"/>
                <w:szCs w:val="20"/>
              </w:rPr>
            </w:pPr>
            <w:r>
              <w:rPr>
                <w:noProof/>
                <w:sz w:val="20"/>
              </w:rPr>
              <w:t>IVA/LE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IVA/LE</w:t>
            </w:r>
          </w:p>
        </w:tc>
      </w:tr>
    </w:tbl>
    <w:p>
      <w:pPr>
        <w:rPr>
          <w:noProof/>
        </w:rPr>
        <w:sectPr>
          <w:footnotePr>
            <w:numRestart w:val="eachSect"/>
          </w:footnotePr>
          <w:pgSz w:w="11907" w:h="16840" w:code="1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keepNext/>
        <w:outlineLvl w:val="1"/>
        <w:rPr>
          <w:b/>
          <w:bCs/>
          <w:noProof/>
          <w:szCs w:val="24"/>
        </w:rPr>
      </w:pPr>
      <w:r>
        <w:rPr>
          <w:b/>
          <w:noProof/>
        </w:rPr>
        <w:t>3.2.</w:t>
      </w:r>
      <w:r>
        <w:rPr>
          <w:b/>
          <w:noProof/>
        </w:rPr>
        <w:tab/>
        <w:t xml:space="preserve">Impatt finanzjarju stmat tal-proposta fuq l-approprjazzjonijiet </w:t>
      </w:r>
    </w:p>
    <w:p>
      <w:pPr>
        <w:keepNext/>
        <w:tabs>
          <w:tab w:val="left" w:pos="850"/>
        </w:tabs>
        <w:outlineLvl w:val="2"/>
        <w:rPr>
          <w:i/>
          <w:noProof/>
        </w:rPr>
      </w:pPr>
      <w:r>
        <w:rPr>
          <w:i/>
          <w:noProof/>
        </w:rPr>
        <w:t>3.2.1.</w:t>
      </w:r>
      <w:r>
        <w:rPr>
          <w:i/>
          <w:noProof/>
        </w:rPr>
        <w:tab/>
        <w:t xml:space="preserve">Sommarju tal-impatt stmat fuq l-approprjazzjonijiet operazzjonali </w:t>
      </w:r>
    </w:p>
    <w:p>
      <w:pPr>
        <w:tabs>
          <w:tab w:val="num" w:pos="1134"/>
        </w:tabs>
        <w:ind w:left="1134" w:hanging="283"/>
        <w:rPr>
          <w:rFonts w:eastAsia="Times New Roman"/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Il-proposta/l-inizjattiva ma teħtieġx l-użu ta’ approprjazzjonijiet operazzjonali </w:t>
      </w:r>
    </w:p>
    <w:p>
      <w:pPr>
        <w:tabs>
          <w:tab w:val="num" w:pos="1134"/>
        </w:tabs>
        <w:ind w:left="1134" w:hanging="283"/>
        <w:rPr>
          <w:rFonts w:eastAsia="Times New Roman"/>
          <w:noProof/>
        </w:rPr>
      </w:pPr>
      <w:r>
        <w:rPr>
          <w:noProof/>
        </w:rPr>
        <w:t>X</w:t>
      </w:r>
      <w:r>
        <w:rPr>
          <w:noProof/>
        </w:rPr>
        <w:tab/>
        <w:t>Il-proposta/l-inizjattiva teħtieġ l-użu ta’ approprjazzjonijiet operazzjonali, kif spjegat hawn taħt:</w:t>
      </w:r>
    </w:p>
    <w:p>
      <w:pPr>
        <w:jc w:val="right"/>
        <w:rPr>
          <w:noProof/>
          <w:sz w:val="18"/>
          <w:szCs w:val="18"/>
        </w:rPr>
      </w:pPr>
      <w:r>
        <w:rPr>
          <w:noProof/>
          <w:sz w:val="18"/>
        </w:rPr>
        <w:t>f’miljuni ta’ Euro (aġġustati ’l fuq għal tliet pożizzjonijiet deċimali)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4"/>
        <w:gridCol w:w="1080"/>
        <w:gridCol w:w="7817"/>
      </w:tblGrid>
      <w:tr>
        <w:trPr>
          <w:jc w:val="center"/>
        </w:trPr>
        <w:tc>
          <w:tcPr>
            <w:tcW w:w="4744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 xml:space="preserve">Intestatura tal-qafas finanzjarju 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 xml:space="preserve">pluriennali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Numru</w:t>
            </w:r>
          </w:p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2"/>
              </w:rPr>
              <w:t>2</w:t>
            </w:r>
          </w:p>
        </w:tc>
        <w:tc>
          <w:tcPr>
            <w:tcW w:w="7817" w:type="dxa"/>
            <w:vAlign w:val="center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It-tkabbir sostenibbli: riżorsi naturali</w:t>
            </w:r>
          </w:p>
        </w:tc>
      </w:tr>
    </w:tbl>
    <w:p>
      <w:pPr>
        <w:rPr>
          <w:noProof/>
          <w:sz w:val="16"/>
        </w:rPr>
      </w:pPr>
    </w:p>
    <w:tbl>
      <w:tblPr>
        <w:tblW w:w="95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40"/>
        <w:gridCol w:w="120"/>
        <w:gridCol w:w="534"/>
        <w:gridCol w:w="868"/>
        <w:gridCol w:w="868"/>
        <w:gridCol w:w="1746"/>
      </w:tblGrid>
      <w:tr>
        <w:tc>
          <w:tcPr>
            <w:tcW w:w="396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22"/>
              </w:rPr>
              <w:t>DĠ: Affarijiet Marittimi u Sajd</w:t>
            </w:r>
          </w:p>
        </w:tc>
        <w:tc>
          <w:tcPr>
            <w:tcW w:w="1560" w:type="dxa"/>
            <w:gridSpan w:val="2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534" w:type="dxa"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2020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2021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TOTAL</w:t>
            </w:r>
          </w:p>
        </w:tc>
      </w:tr>
      <w:tr>
        <w:trPr>
          <w:trHeight w:val="213"/>
        </w:trPr>
        <w:tc>
          <w:tcPr>
            <w:tcW w:w="6054" w:type="dxa"/>
            <w:gridSpan w:val="4"/>
            <w:vAlign w:val="center"/>
          </w:tcPr>
          <w:p>
            <w:pPr>
              <w:spacing w:before="20" w:after="20"/>
              <w:rPr>
                <w:noProof/>
                <w:sz w:val="21"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Approprjazzjonijiet operazzjonali </w:t>
            </w:r>
          </w:p>
        </w:tc>
        <w:tc>
          <w:tcPr>
            <w:tcW w:w="868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746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</w:tr>
      <w:tr>
        <w:trPr>
          <w:trHeight w:val="277"/>
        </w:trPr>
        <w:tc>
          <w:tcPr>
            <w:tcW w:w="3960" w:type="dxa"/>
            <w:vMerge w:val="restart"/>
            <w:vAlign w:val="center"/>
          </w:tcPr>
          <w:p>
            <w:pPr>
              <w:rPr>
                <w:noProof/>
              </w:rPr>
            </w:pPr>
            <w:r>
              <w:rPr>
                <w:noProof/>
                <w:sz w:val="20"/>
              </w:rPr>
              <w:t>Linja tal-baġit</w:t>
            </w:r>
            <w:r>
              <w:rPr>
                <w:rStyle w:val="FootnoteReference"/>
                <w:noProof/>
              </w:rPr>
              <w:footnoteReference w:id="14"/>
            </w:r>
            <w:r>
              <w:rPr>
                <w:noProof/>
                <w:sz w:val="20"/>
              </w:rPr>
              <w:t>11.0301</w:t>
            </w:r>
          </w:p>
        </w:tc>
        <w:tc>
          <w:tcPr>
            <w:tcW w:w="1440" w:type="dxa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(1a)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0.700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746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0.700</w:t>
            </w:r>
          </w:p>
        </w:tc>
      </w:tr>
      <w:tr>
        <w:tc>
          <w:tcPr>
            <w:tcW w:w="3960" w:type="dxa"/>
            <w:vMerge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(2 a)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0.350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0.350</w:t>
            </w:r>
          </w:p>
        </w:tc>
        <w:tc>
          <w:tcPr>
            <w:tcW w:w="1746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0.700</w:t>
            </w:r>
          </w:p>
        </w:tc>
      </w:tr>
      <w:tr>
        <w:tc>
          <w:tcPr>
            <w:tcW w:w="3960" w:type="dxa"/>
            <w:vMerge w:val="restart"/>
            <w:vAlign w:val="center"/>
          </w:tcPr>
          <w:p>
            <w:pPr>
              <w:rPr>
                <w:noProof/>
              </w:rPr>
            </w:pPr>
            <w:r>
              <w:rPr>
                <w:noProof/>
                <w:sz w:val="20"/>
              </w:rPr>
              <w:t>Linja baġitarja</w:t>
            </w:r>
          </w:p>
        </w:tc>
        <w:tc>
          <w:tcPr>
            <w:tcW w:w="1440" w:type="dxa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(1b)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746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(2b)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746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rPr>
          <w:trHeight w:val="231"/>
        </w:trPr>
        <w:tc>
          <w:tcPr>
            <w:tcW w:w="6054" w:type="dxa"/>
            <w:gridSpan w:val="4"/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  <w:sz w:val="21"/>
              </w:rPr>
              <w:t>Approprjazzjonijiet ta’ natura amministrattiva ffinanzjati mill-pakkett ta’ programmi speċifiċi</w:t>
            </w:r>
            <w:r>
              <w:rPr>
                <w:rStyle w:val="FootnoteReference"/>
                <w:noProof/>
              </w:rPr>
              <w:footnoteReference w:id="15"/>
            </w:r>
            <w:r>
              <w:rPr>
                <w:noProof/>
                <w:sz w:val="21"/>
              </w:rPr>
              <w:t xml:space="preserve"> </w:t>
            </w:r>
          </w:p>
          <w:p>
            <w:pPr>
              <w:spacing w:before="0" w:after="0"/>
              <w:rPr>
                <w:noProof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1746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</w:tr>
      <w:tr>
        <w:trPr>
          <w:trHeight w:val="319"/>
        </w:trPr>
        <w:tc>
          <w:tcPr>
            <w:tcW w:w="3960" w:type="dxa"/>
            <w:vAlign w:val="center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  <w:sz w:val="20"/>
              </w:rPr>
              <w:t>Linja baġitarja</w:t>
            </w:r>
          </w:p>
        </w:tc>
        <w:tc>
          <w:tcPr>
            <w:tcW w:w="1440" w:type="dxa"/>
            <w:vAlign w:val="center"/>
          </w:tcPr>
          <w:p>
            <w:pPr>
              <w:spacing w:before="40" w:after="40"/>
              <w:jc w:val="right"/>
              <w:rPr>
                <w:noProof/>
                <w:sz w:val="18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spacing w:before="40" w:after="4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(3)</w:t>
            </w: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46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 w:val="restart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TOTAL tal-approprjazzjonijiet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għad-DĠ Affarijiet Marittimi u Sajd</w:t>
            </w: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=1a+1b +3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746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=2a+2b</w:t>
            </w:r>
          </w:p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+3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746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</w:tbl>
    <w:p>
      <w:pPr>
        <w:rPr>
          <w:noProof/>
        </w:rPr>
      </w:pPr>
      <w:r>
        <w:rPr>
          <w:noProof/>
        </w:rPr>
        <w:br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40"/>
        <w:gridCol w:w="654"/>
        <w:gridCol w:w="868"/>
        <w:gridCol w:w="868"/>
        <w:gridCol w:w="1732"/>
      </w:tblGrid>
      <w:tr>
        <w:trPr>
          <w:trHeight w:val="277"/>
        </w:trPr>
        <w:tc>
          <w:tcPr>
            <w:tcW w:w="3960" w:type="dxa"/>
            <w:vMerge w:val="restart"/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</w:rPr>
              <w:br w:type="page"/>
            </w: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TOTAL tal-approprjazzjonijiet operazzjonali </w:t>
            </w:r>
          </w:p>
        </w:tc>
        <w:tc>
          <w:tcPr>
            <w:tcW w:w="1440" w:type="dxa"/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(4)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0.700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0.700</w:t>
            </w:r>
          </w:p>
        </w:tc>
      </w:tr>
      <w:tr>
        <w:tc>
          <w:tcPr>
            <w:tcW w:w="3960" w:type="dxa"/>
            <w:vMerge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(5)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0.350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0.350</w:t>
            </w:r>
          </w:p>
        </w:tc>
        <w:tc>
          <w:tcPr>
            <w:tcW w:w="1732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0.700</w:t>
            </w:r>
          </w:p>
        </w:tc>
      </w:tr>
      <w:tr>
        <w:trPr>
          <w:trHeight w:val="533"/>
        </w:trPr>
        <w:tc>
          <w:tcPr>
            <w:tcW w:w="5400" w:type="dxa"/>
            <w:gridSpan w:val="2"/>
            <w:vAlign w:val="center"/>
          </w:tcPr>
          <w:p>
            <w:pPr>
              <w:spacing w:beforeLines="20" w:before="48" w:afterLines="20" w:after="48"/>
              <w:rPr>
                <w:noProof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>TOTAL tal-approprjazzjonijiet ta’ natura amministrattiva ffinanzjati mill-pakkett għal programmi speċifiċi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(6)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 w:val="restart"/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 xml:space="preserve">TOTAL tal-approprjazzjonijiet 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 xml:space="preserve">għall-INTESTATURA 2 </w:t>
            </w:r>
            <w:r>
              <w:rPr>
                <w:noProof/>
                <w:sz w:val="22"/>
              </w:rPr>
              <w:br/>
              <w:t>tal-qafas finanzjarju pluriennali</w:t>
            </w: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=4+ 6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0.700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0.700</w:t>
            </w:r>
          </w:p>
        </w:tc>
      </w:tr>
      <w:tr>
        <w:tc>
          <w:tcPr>
            <w:tcW w:w="3960" w:type="dxa"/>
            <w:vMerge/>
            <w:shd w:val="thinDiagStripe" w:color="C0C0C0" w:fill="auto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=5+ 6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0.350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0.350</w:t>
            </w:r>
          </w:p>
        </w:tc>
        <w:tc>
          <w:tcPr>
            <w:tcW w:w="1732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0.700</w:t>
            </w:r>
          </w:p>
        </w:tc>
      </w:tr>
    </w:tbl>
    <w:p>
      <w:pPr>
        <w:spacing w:after="40"/>
        <w:rPr>
          <w:b/>
          <w:noProof/>
          <w:sz w:val="22"/>
          <w:u w:val="single"/>
        </w:rPr>
      </w:pPr>
      <w:r>
        <w:rPr>
          <w:b/>
          <w:noProof/>
          <w:sz w:val="22"/>
          <w:u w:val="single"/>
        </w:rPr>
        <w:t>Jekk il-proposta/l-inizjattiva tolqot aktar minn intestatura operazzjonali waħda, irrepeti t-taqsima ta’ hawn fuq:</w:t>
      </w:r>
    </w:p>
    <w:tbl>
      <w:tblPr>
        <w:tblW w:w="0" w:type="auto"/>
        <w:tblInd w:w="-25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40"/>
        <w:gridCol w:w="654"/>
        <w:gridCol w:w="868"/>
        <w:gridCol w:w="868"/>
        <w:gridCol w:w="1777"/>
      </w:tblGrid>
      <w:tr>
        <w:trPr>
          <w:trHeight w:val="277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0000"/>
            </w:tcBorders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>TOTAL tal-approprjazzjonijiet operazzjonali (l-intestaturi operazzjonali kollha)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654" w:type="dxa"/>
            <w:tcBorders>
              <w:top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(4)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(5)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3"/>
        </w:trPr>
        <w:tc>
          <w:tcPr>
            <w:tcW w:w="5400" w:type="dxa"/>
            <w:gridSpan w:val="2"/>
            <w:vAlign w:val="center"/>
          </w:tcPr>
          <w:p>
            <w:pPr>
              <w:spacing w:beforeLines="20" w:before="48" w:afterLines="20" w:after="48"/>
              <w:rPr>
                <w:noProof/>
              </w:rPr>
            </w:pPr>
            <w:r>
              <w:rPr>
                <w:noProof/>
                <w:sz w:val="21"/>
              </w:rPr>
              <w:t xml:space="preserve"> TOTAL tal-approprjazzjonijiet ta’ natura amministrattiva ffinanzjati mill-pakkett għal programmi speċifiċi (l-intestaturi operazzjonali kollha)</w:t>
            </w:r>
          </w:p>
        </w:tc>
        <w:tc>
          <w:tcPr>
            <w:tcW w:w="654" w:type="dxa"/>
            <w:vAlign w:val="center"/>
          </w:tcPr>
          <w:p>
            <w:pPr>
              <w:rPr>
                <w:noProof/>
              </w:rPr>
            </w:pPr>
          </w:p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(6)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 w:val="restart"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 xml:space="preserve">TOTAL tal-approprjazzjonijiet 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taħt l-INTESTATURI 1 sa 4</w:t>
            </w:r>
            <w:r>
              <w:rPr>
                <w:noProof/>
                <w:sz w:val="22"/>
              </w:rPr>
              <w:br/>
              <w:t>tal-qafas finanzjarju pluriennali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20"/>
              </w:rPr>
              <w:t>(Ammont ta’ referenza)</w:t>
            </w: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=4+ 6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0.700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0.700</w:t>
            </w:r>
          </w:p>
        </w:tc>
      </w:tr>
      <w:tr>
        <w:tc>
          <w:tcPr>
            <w:tcW w:w="3960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auto"/>
            </w:tcBorders>
            <w:shd w:val="thinDiagStripe" w:color="C0C0C0" w:fill="auto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=5+ 6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0.350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0.350</w:t>
            </w: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0.700</w:t>
            </w:r>
          </w:p>
        </w:tc>
      </w:tr>
    </w:tbl>
    <w:p>
      <w:pPr>
        <w:rPr>
          <w:noProof/>
        </w:rPr>
      </w:pPr>
    </w:p>
    <w:p>
      <w:pPr>
        <w:spacing w:before="0" w:after="0"/>
        <w:jc w:val="left"/>
        <w:rPr>
          <w:noProof/>
        </w:rPr>
      </w:pPr>
      <w:r>
        <w:rPr>
          <w:noProof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4"/>
        <w:gridCol w:w="1080"/>
        <w:gridCol w:w="7817"/>
      </w:tblGrid>
      <w:tr>
        <w:trPr>
          <w:jc w:val="center"/>
        </w:trPr>
        <w:tc>
          <w:tcPr>
            <w:tcW w:w="4744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b/>
                <w:noProof/>
              </w:rPr>
            </w:pPr>
            <w:r>
              <w:rPr>
                <w:noProof/>
              </w:rPr>
              <w:br w:type="page"/>
            </w:r>
            <w:r>
              <w:rPr>
                <w:b/>
                <w:noProof/>
                <w:sz w:val="22"/>
              </w:rPr>
              <w:t xml:space="preserve">Intestatura tal-qafas finanzjarju 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 xml:space="preserve">pluriennali </w:t>
            </w:r>
          </w:p>
        </w:tc>
        <w:tc>
          <w:tcPr>
            <w:tcW w:w="1080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b/>
                <w:noProof/>
                <w:sz w:val="22"/>
              </w:rPr>
              <w:t>5</w:t>
            </w:r>
          </w:p>
        </w:tc>
        <w:tc>
          <w:tcPr>
            <w:tcW w:w="7817" w:type="dxa"/>
            <w:vAlign w:val="center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  <w:sz w:val="22"/>
              </w:rPr>
              <w:t>“Nefqa amministrattiva”</w:t>
            </w:r>
          </w:p>
        </w:tc>
      </w:tr>
    </w:tbl>
    <w:p>
      <w:pPr>
        <w:jc w:val="left"/>
        <w:rPr>
          <w:noProof/>
          <w:sz w:val="20"/>
        </w:rPr>
      </w:pPr>
      <w:r>
        <w:rPr>
          <w:noProof/>
        </w:rPr>
        <w:t>Jenħtieġ li din it-taqsima timtela billi tintuża d-“</w:t>
      </w:r>
      <w:r>
        <w:rPr>
          <w:i/>
          <w:noProof/>
        </w:rPr>
        <w:t>data</w:t>
      </w:r>
      <w:r>
        <w:rPr>
          <w:noProof/>
        </w:rPr>
        <w:t xml:space="preserve"> baġitarja ta’ natura amministrattiva” li qabel kollox trid tiddaħħal fl-</w:t>
      </w:r>
      <w:hyperlink r:id="rId12">
        <w:r>
          <w:rPr>
            <w:noProof/>
            <w:color w:val="0000FF"/>
            <w:u w:val="single"/>
          </w:rPr>
          <w:t>Anness tad-Dikjarazzjoni Finanzjarja Leġiżlattiva</w:t>
        </w:r>
      </w:hyperlink>
      <w:r>
        <w:rPr>
          <w:noProof/>
        </w:rPr>
        <w:t xml:space="preserve"> (l-Anness V tar-regoli interni), li għandha tittella’ fil-pjattaforma elettronika “DECIDE” għall-finijiet tal-konsultazzjoni bejn is-servizzi.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f’miljuni ta’ Euro (aġġustati ’l fuq għal tliet pożizzjonijiet deċimali)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560"/>
        <w:gridCol w:w="534"/>
        <w:gridCol w:w="868"/>
        <w:gridCol w:w="868"/>
        <w:gridCol w:w="1777"/>
      </w:tblGrid>
      <w:tr>
        <w:tc>
          <w:tcPr>
            <w:tcW w:w="396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>
            <w:pPr>
              <w:rPr>
                <w:noProof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2020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2021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TOTAL</w:t>
            </w:r>
          </w:p>
        </w:tc>
      </w:tr>
      <w:tr>
        <w:trPr>
          <w:gridAfter w:val="5"/>
          <w:wAfter w:w="5607" w:type="dxa"/>
        </w:trPr>
        <w:tc>
          <w:tcPr>
            <w:tcW w:w="396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2"/>
              </w:rPr>
              <w:t>DĠ: Affarijiet Marittimi u Sajd</w:t>
            </w:r>
          </w:p>
        </w:tc>
      </w:tr>
      <w:tr>
        <w:trPr>
          <w:trHeight w:val="313"/>
        </w:trPr>
        <w:tc>
          <w:tcPr>
            <w:tcW w:w="6054" w:type="dxa"/>
            <w:gridSpan w:val="3"/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  <w:sz w:val="22"/>
              </w:rPr>
              <w:sym w:font="Wingdings" w:char="F09F"/>
            </w:r>
            <w:r>
              <w:rPr>
                <w:noProof/>
                <w:sz w:val="22"/>
              </w:rPr>
              <w:t>Riżorsi umani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rPr>
          <w:trHeight w:val="351"/>
        </w:trPr>
        <w:tc>
          <w:tcPr>
            <w:tcW w:w="6054" w:type="dxa"/>
            <w:gridSpan w:val="3"/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  <w:sz w:val="22"/>
              </w:rPr>
              <w:sym w:font="Wingdings" w:char="F09F"/>
            </w:r>
            <w:r>
              <w:rPr>
                <w:noProof/>
                <w:sz w:val="22"/>
              </w:rPr>
              <w:t>Nefqa amministrattiva oħra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TOTAL tad-DĠ</w:t>
            </w:r>
            <w:r>
              <w:rPr>
                <w:noProof/>
                <w:sz w:val="22"/>
              </w:rPr>
              <w:t xml:space="preserve"> Affarijiet Marittimi u Sajd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 xml:space="preserve">Approprjazzjonijiet 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</w:tbl>
    <w:p>
      <w:pPr>
        <w:rPr>
          <w:noProof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2094"/>
        <w:gridCol w:w="868"/>
        <w:gridCol w:w="868"/>
        <w:gridCol w:w="1777"/>
      </w:tblGrid>
      <w:tr>
        <w:tc>
          <w:tcPr>
            <w:tcW w:w="3960" w:type="dxa"/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TOTAL tal-approprjazzjonijiet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taħt l-INTESTATURA 5</w:t>
            </w:r>
            <w:r>
              <w:rPr>
                <w:noProof/>
                <w:sz w:val="22"/>
              </w:rPr>
              <w:br/>
              <w:t>tal-qafas finanzjarju pluriennali</w:t>
            </w:r>
            <w:r>
              <w:rPr>
                <w:b/>
                <w:noProof/>
                <w:sz w:val="22"/>
              </w:rPr>
              <w:t xml:space="preserve"> </w:t>
            </w:r>
          </w:p>
        </w:tc>
        <w:tc>
          <w:tcPr>
            <w:tcW w:w="2094" w:type="dxa"/>
            <w:vAlign w:val="center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  <w:sz w:val="18"/>
              </w:rPr>
              <w:t>(Total ta’ impenji = Total ta’ pagamenti)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</w:tbl>
    <w:p>
      <w:pPr>
        <w:jc w:val="right"/>
        <w:rPr>
          <w:noProof/>
          <w:sz w:val="20"/>
        </w:rPr>
      </w:pPr>
      <w:r>
        <w:rPr>
          <w:noProof/>
          <w:sz w:val="20"/>
        </w:rPr>
        <w:t>f’miljuni ta’ Euro (aġġustati ’l fuq għal tliet pożizzjonijiet deċimali)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560"/>
        <w:gridCol w:w="534"/>
        <w:gridCol w:w="868"/>
        <w:gridCol w:w="868"/>
        <w:gridCol w:w="1777"/>
      </w:tblGrid>
      <w:tr>
        <w:tc>
          <w:tcPr>
            <w:tcW w:w="396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>
            <w:pPr>
              <w:rPr>
                <w:noProof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2020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2021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TOTAL</w:t>
            </w:r>
          </w:p>
        </w:tc>
      </w:tr>
      <w:tr>
        <w:tc>
          <w:tcPr>
            <w:tcW w:w="3960" w:type="dxa"/>
            <w:vMerge w:val="restart"/>
            <w:shd w:val="clear" w:color="auto" w:fill="C0C0C0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 xml:space="preserve">TOTAL tal-approprjazzjonijiet 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taħt l-INTESTATURI 1 sa 5</w:t>
            </w:r>
            <w:r>
              <w:rPr>
                <w:noProof/>
                <w:sz w:val="22"/>
              </w:rPr>
              <w:br/>
              <w:t>tal-qafas finanzjarju pluriennali</w:t>
            </w:r>
            <w:r>
              <w:rPr>
                <w:b/>
                <w:noProof/>
                <w:sz w:val="22"/>
              </w:rPr>
              <w:t xml:space="preserve"> 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0.700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0.700</w:t>
            </w:r>
          </w:p>
        </w:tc>
      </w:tr>
      <w:tr>
        <w:tc>
          <w:tcPr>
            <w:tcW w:w="3960" w:type="dxa"/>
            <w:vMerge/>
            <w:shd w:val="clear" w:color="auto" w:fill="C0C0C0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0.350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0.350</w:t>
            </w: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0.700</w:t>
            </w:r>
          </w:p>
        </w:tc>
      </w:tr>
    </w:tbl>
    <w:p>
      <w:pPr>
        <w:rPr>
          <w:noProof/>
        </w:rPr>
      </w:pPr>
    </w:p>
    <w:p>
      <w:pPr>
        <w:keepNext/>
        <w:tabs>
          <w:tab w:val="left" w:pos="850"/>
        </w:tabs>
        <w:outlineLvl w:val="2"/>
        <w:rPr>
          <w:bCs/>
          <w:i/>
          <w:noProof/>
          <w:szCs w:val="24"/>
        </w:rPr>
      </w:pPr>
      <w:r>
        <w:rPr>
          <w:i/>
          <w:noProof/>
        </w:rPr>
        <w:t>3.2.2.</w:t>
      </w:r>
      <w:r>
        <w:rPr>
          <w:i/>
          <w:noProof/>
        </w:rPr>
        <w:tab/>
        <w:t xml:space="preserve">Output stmat iffinanzjat b’approprjazzjonijiet operazzjonali 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Approprjazzjonijiet ta’ impenn f’miljuni ta’ EUR (aġġustati ’l fuq għal tliet pożizzjonijiet deċimali)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720"/>
        <w:gridCol w:w="701"/>
        <w:gridCol w:w="504"/>
        <w:gridCol w:w="720"/>
        <w:gridCol w:w="540"/>
        <w:gridCol w:w="720"/>
        <w:gridCol w:w="720"/>
        <w:gridCol w:w="720"/>
        <w:gridCol w:w="720"/>
        <w:gridCol w:w="180"/>
        <w:gridCol w:w="720"/>
        <w:gridCol w:w="900"/>
      </w:tblGrid>
      <w:tr>
        <w:trPr>
          <w:gridAfter w:val="1"/>
          <w:wAfter w:w="900" w:type="dxa"/>
          <w:jc w:val="center"/>
        </w:trPr>
        <w:tc>
          <w:tcPr>
            <w:tcW w:w="1423" w:type="dxa"/>
            <w:vMerge w:val="restart"/>
            <w:vAlign w:val="center"/>
          </w:tcPr>
          <w:p>
            <w:pPr>
              <w:ind w:right="-29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 xml:space="preserve">Indika l-objettivi u l-outputs </w:t>
            </w:r>
          </w:p>
          <w:p>
            <w:pPr>
              <w:ind w:right="-29"/>
              <w:jc w:val="center"/>
              <w:rPr>
                <w:b/>
                <w:noProof/>
                <w:sz w:val="18"/>
                <w:szCs w:val="18"/>
              </w:rPr>
            </w:pPr>
          </w:p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sym w:font="Wingdings" w:char="F0F2"/>
            </w:r>
          </w:p>
        </w:tc>
        <w:tc>
          <w:tcPr>
            <w:tcW w:w="720" w:type="dxa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left w:val="nil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2019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2020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2021</w:t>
            </w:r>
          </w:p>
        </w:tc>
        <w:tc>
          <w:tcPr>
            <w:tcW w:w="1620" w:type="dxa"/>
            <w:gridSpan w:val="3"/>
            <w:tcBorders>
              <w:left w:val="nil"/>
              <w:bottom w:val="nil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TOTAL</w:t>
            </w:r>
          </w:p>
        </w:tc>
      </w:tr>
      <w:tr>
        <w:trPr>
          <w:gridAfter w:val="12"/>
          <w:wAfter w:w="7865" w:type="dxa"/>
          <w:trHeight w:val="465"/>
          <w:jc w:val="center"/>
        </w:trPr>
        <w:tc>
          <w:tcPr>
            <w:tcW w:w="1423" w:type="dxa"/>
            <w:vMerge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cantSplit/>
          <w:trHeight w:val="1134"/>
          <w:jc w:val="center"/>
        </w:trPr>
        <w:tc>
          <w:tcPr>
            <w:tcW w:w="1423" w:type="dxa"/>
            <w:vMerge/>
            <w:vAlign w:val="center"/>
          </w:tcPr>
          <w:p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Tip</w:t>
            </w:r>
            <w:r>
              <w:rPr>
                <w:rStyle w:val="FootnoteReference"/>
                <w:noProof/>
              </w:rPr>
              <w:footnoteReference w:id="16"/>
            </w:r>
          </w:p>
          <w:p>
            <w:pPr>
              <w:spacing w:before="0" w:after="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Kost medju</w:t>
            </w:r>
          </w:p>
        </w:tc>
        <w:tc>
          <w:tcPr>
            <w:tcW w:w="504" w:type="dxa"/>
            <w:tcBorders>
              <w:left w:val="nil"/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Numru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Kost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Numru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Kost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Numru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Kost</w:t>
            </w:r>
          </w:p>
        </w:tc>
        <w:tc>
          <w:tcPr>
            <w:tcW w:w="900" w:type="dxa"/>
            <w:gridSpan w:val="2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Numru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Numru totali</w:t>
            </w:r>
          </w:p>
        </w:tc>
        <w:tc>
          <w:tcPr>
            <w:tcW w:w="90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Kost totali</w:t>
            </w:r>
          </w:p>
        </w:tc>
      </w:tr>
      <w:tr>
        <w:trPr>
          <w:jc w:val="center"/>
        </w:trPr>
        <w:tc>
          <w:tcPr>
            <w:tcW w:w="2844" w:type="dxa"/>
            <w:gridSpan w:val="3"/>
            <w:vAlign w:val="center"/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OBJETTIV SPEĊIFIKU Nru 1</w:t>
            </w:r>
            <w:r>
              <w:rPr>
                <w:rStyle w:val="FootnoteReference"/>
                <w:noProof/>
              </w:rPr>
              <w:footnoteReference w:id="17"/>
            </w:r>
            <w:r>
              <w:rPr>
                <w:noProof/>
                <w:sz w:val="18"/>
              </w:rPr>
              <w:t>...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 xml:space="preserve">- Aċċess 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Annwali</w:t>
            </w: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0.350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0.350</w:t>
            </w:r>
          </w:p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4.125</w:t>
            </w:r>
          </w:p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61.625</w:t>
            </w:r>
          </w:p>
        </w:tc>
      </w:tr>
      <w:tr>
        <w:trPr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- Settorjali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Annwali</w:t>
            </w: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0.350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0.350</w:t>
            </w:r>
          </w:p>
        </w:tc>
      </w:tr>
      <w:tr>
        <w:trPr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- Output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trHeight w:val="77"/>
          <w:jc w:val="center"/>
        </w:trPr>
        <w:tc>
          <w:tcPr>
            <w:tcW w:w="2844" w:type="dxa"/>
            <w:gridSpan w:val="3"/>
            <w:tcBorders>
              <w:bottom w:val="single" w:sz="12" w:space="0" w:color="auto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Subtotal tal-objettiv speċifiku Nru 1</w:t>
            </w:r>
          </w:p>
        </w:tc>
        <w:tc>
          <w:tcPr>
            <w:tcW w:w="504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0.700</w:t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0.700</w:t>
            </w:r>
          </w:p>
        </w:tc>
      </w:tr>
      <w:tr>
        <w:trPr>
          <w:jc w:val="center"/>
        </w:trPr>
        <w:tc>
          <w:tcPr>
            <w:tcW w:w="2844" w:type="dxa"/>
            <w:gridSpan w:val="3"/>
            <w:vAlign w:val="center"/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OBJETTIV SPEĊIFIKU Nru 2 ...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- Output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gridAfter w:val="1"/>
          <w:wAfter w:w="900" w:type="dxa"/>
          <w:jc w:val="center"/>
        </w:trPr>
        <w:tc>
          <w:tcPr>
            <w:tcW w:w="2844" w:type="dxa"/>
            <w:gridSpan w:val="3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Subtotal tal-objettiv speċifiku Nru 2</w:t>
            </w:r>
          </w:p>
        </w:tc>
        <w:tc>
          <w:tcPr>
            <w:tcW w:w="504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2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TOTALI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0.700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0.700</w:t>
            </w:r>
          </w:p>
        </w:tc>
      </w:tr>
    </w:tbl>
    <w:p>
      <w:pPr>
        <w:rPr>
          <w:noProof/>
        </w:rPr>
        <w:sectPr>
          <w:headerReference w:type="default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6840" w:h="11907" w:orient="landscape" w:code="9"/>
          <w:pgMar w:top="1134" w:right="1418" w:bottom="567" w:left="1418" w:header="709" w:footer="709" w:gutter="0"/>
          <w:cols w:space="708"/>
          <w:docGrid w:linePitch="360"/>
        </w:sectPr>
      </w:pPr>
    </w:p>
    <w:p>
      <w:pPr>
        <w:keepNext/>
        <w:tabs>
          <w:tab w:val="left" w:pos="850"/>
        </w:tabs>
        <w:outlineLvl w:val="2"/>
        <w:rPr>
          <w:bCs/>
          <w:i/>
          <w:noProof/>
          <w:szCs w:val="24"/>
        </w:rPr>
      </w:pPr>
      <w:r>
        <w:rPr>
          <w:i/>
          <w:noProof/>
        </w:rPr>
        <w:t>3.2.3.</w:t>
      </w:r>
      <w:r>
        <w:rPr>
          <w:i/>
          <w:noProof/>
        </w:rPr>
        <w:tab/>
        <w:t xml:space="preserve">Sommarju tal-impatt stmat fuq l-approprjazzjonijiet amministrattivi </w:t>
      </w:r>
    </w:p>
    <w:p>
      <w:pPr>
        <w:tabs>
          <w:tab w:val="num" w:pos="1134"/>
        </w:tabs>
        <w:ind w:left="1134" w:hanging="283"/>
        <w:rPr>
          <w:rFonts w:eastAsia="Times New Roman"/>
          <w:noProof/>
        </w:rPr>
      </w:pPr>
      <w:r>
        <w:rPr>
          <w:noProof/>
        </w:rPr>
        <w:t>X</w:t>
      </w:r>
      <w:r>
        <w:rPr>
          <w:noProof/>
        </w:rPr>
        <w:tab/>
        <w:t xml:space="preserve">Il-proposta/l-inizjattiva ma teħtieġx l-użu ta’ approprjazzjonijiet ta’ natura amministrattiva. </w:t>
      </w:r>
    </w:p>
    <w:p>
      <w:pPr>
        <w:tabs>
          <w:tab w:val="num" w:pos="1134"/>
        </w:tabs>
        <w:ind w:left="1134" w:hanging="283"/>
        <w:rPr>
          <w:rFonts w:eastAsia="Times New Roman"/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Il-proposta/l-inizjattiva teħtieġ l-użu ta’ approprjazzjonijiet ta’ natura amministrattiva, kif spjegat hawn taħt: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f’miljuni ta’ Euro (aġġustati ’l fuq għal tliet pożizzjonijiet deċimali)</w:t>
      </w: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3240"/>
        <w:gridCol w:w="1080"/>
      </w:tblGrid>
      <w:tr>
        <w:trPr>
          <w:trHeight w:val="585"/>
        </w:trPr>
        <w:tc>
          <w:tcPr>
            <w:tcW w:w="1980" w:type="dxa"/>
          </w:tcPr>
          <w:p>
            <w:pPr>
              <w:spacing w:before="60" w:after="60" w:line="200" w:lineRule="exac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 xml:space="preserve">N </w:t>
            </w:r>
            <w:r>
              <w:rPr>
                <w:rStyle w:val="FootnoteReference"/>
                <w:noProof/>
              </w:rPr>
              <w:footnoteReference w:id="18"/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N+1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N+2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N+3</w:t>
            </w:r>
          </w:p>
        </w:tc>
        <w:tc>
          <w:tcPr>
            <w:tcW w:w="3240" w:type="dxa"/>
            <w:vAlign w:val="center"/>
          </w:tcPr>
          <w:p>
            <w:pPr>
              <w:spacing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Daħħal is-snin kollha li hemm bżonn biex turi d-durata tal-impatt (ara l-punt 1.6)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TOTAL</w:t>
            </w:r>
          </w:p>
        </w:tc>
      </w:tr>
    </w:tbl>
    <w:p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Intestatura 5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tal-qafas finanzjarju pluriennali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Riżorsi umani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Nefqa amministrattiva oħra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Subtotal tal-INTESTATURA 5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tal-qafas finanzjarju pluriennali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Barra mill-INTESTATURA 5</w:t>
            </w:r>
            <w:r>
              <w:rPr>
                <w:rStyle w:val="FootnoteReference"/>
                <w:noProof/>
              </w:rPr>
              <w:footnoteReference w:id="19"/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tal-qafas finanzjarju pluriennali</w:t>
            </w:r>
          </w:p>
          <w:p>
            <w:pPr>
              <w:spacing w:before="0" w:after="0" w:line="200" w:lineRule="exact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Riżorsi umani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Nefqa oħra 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16"/>
              </w:rPr>
              <w:t>ta’ natura amministrattiva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 xml:space="preserve">Subtotal 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barra mill-INTESTATURA 5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 xml:space="preserve">tal-qafas finanzjarju pluriennali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TOTAL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rPr>
          <w:noProof/>
          <w:sz w:val="18"/>
        </w:rPr>
      </w:pPr>
      <w:r>
        <w:rPr>
          <w:noProof/>
          <w:sz w:val="18"/>
        </w:rPr>
        <w:t>L-approprjazzjonijiet meħtieġa għar-riżorsi umani u għal nefqa oħra ta’ natura amministrattiva se jiġu koperti mill-approprjazzjonijiet tad-DĠ li diġà jkunu assenjati għall-ġestjoni tal-azzjoni u/jew li diġà jkunu ġew riassenjati fid-DĠ, flimkien, jekk ikun meħtieġ, ma’ kwalunkwe allokazzjoni addizzjonali li tista’ tingħata lid-DĠ tal-ġestjoni skont il-proċedura annwali ta’ allokazzjoni u fid-dawl tal-limitazzjonijiet baġitarji.</w:t>
      </w:r>
    </w:p>
    <w:p>
      <w:pPr>
        <w:rPr>
          <w:noProof/>
          <w:sz w:val="18"/>
        </w:rPr>
        <w:sectPr>
          <w:headerReference w:type="default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keepNext/>
        <w:outlineLvl w:val="3"/>
        <w:rPr>
          <w:bCs/>
          <w:noProof/>
          <w:szCs w:val="24"/>
        </w:rPr>
      </w:pPr>
      <w:r>
        <w:rPr>
          <w:noProof/>
        </w:rPr>
        <w:t>3.2.3.1.</w:t>
      </w:r>
      <w:r>
        <w:rPr>
          <w:noProof/>
        </w:rPr>
        <w:tab/>
        <w:t xml:space="preserve">Rekwiżiti stmati ta’ riżorsi umani </w:t>
      </w:r>
    </w:p>
    <w:p>
      <w:pPr>
        <w:tabs>
          <w:tab w:val="num" w:pos="1134"/>
        </w:tabs>
        <w:ind w:left="1134" w:hanging="283"/>
        <w:rPr>
          <w:rFonts w:eastAsia="Times New Roman"/>
          <w:noProof/>
        </w:rPr>
      </w:pPr>
      <w:r>
        <w:rPr>
          <w:noProof/>
        </w:rPr>
        <w:t>X</w:t>
      </w:r>
      <w:r>
        <w:rPr>
          <w:noProof/>
        </w:rPr>
        <w:tab/>
        <w:t xml:space="preserve">Il-proposta/l-inizjattiva ma teħtieġx l-użu ta’ riżorsi umani. </w:t>
      </w:r>
    </w:p>
    <w:p>
      <w:pPr>
        <w:tabs>
          <w:tab w:val="num" w:pos="1134"/>
        </w:tabs>
        <w:ind w:left="1134" w:hanging="283"/>
        <w:rPr>
          <w:rFonts w:eastAsia="Times New Roman"/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Il-proposta/l-inizjattiva teħtieġ l-użu ta’ riżorsi umani, kif spjegat hawn taħt:</w:t>
      </w:r>
    </w:p>
    <w:p>
      <w:pPr>
        <w:spacing w:after="60"/>
        <w:jc w:val="right"/>
        <w:rPr>
          <w:i/>
          <w:noProof/>
          <w:sz w:val="20"/>
        </w:rPr>
      </w:pPr>
      <w:r>
        <w:rPr>
          <w:i/>
          <w:noProof/>
          <w:sz w:val="20"/>
        </w:rPr>
        <w:t>L-istima trid tiġi espressa f’unitajiet ekwivalenti għall-full-time</w:t>
      </w:r>
    </w:p>
    <w:tbl>
      <w:tblPr>
        <w:tblW w:w="988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2376"/>
        <w:gridCol w:w="2378"/>
        <w:gridCol w:w="731"/>
        <w:gridCol w:w="731"/>
        <w:gridCol w:w="731"/>
        <w:gridCol w:w="731"/>
        <w:gridCol w:w="731"/>
        <w:gridCol w:w="731"/>
        <w:gridCol w:w="731"/>
      </w:tblGrid>
      <w:tr>
        <w:trPr>
          <w:gridBefore w:val="1"/>
          <w:wBefore w:w="13" w:type="dxa"/>
          <w:trHeight w:val="289"/>
          <w:jc w:val="center"/>
        </w:trPr>
        <w:tc>
          <w:tcPr>
            <w:tcW w:w="3906" w:type="dxa"/>
            <w:gridSpan w:val="2"/>
            <w:shd w:val="clear" w:color="auto" w:fill="auto"/>
          </w:tcPr>
          <w:p>
            <w:pPr>
              <w:spacing w:before="40" w:after="40"/>
              <w:jc w:val="center"/>
              <w:rPr>
                <w:i/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 xml:space="preserve">N 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N+1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Sena </w:t>
            </w:r>
            <w:r>
              <w:rPr>
                <w:b/>
                <w:noProof/>
                <w:sz w:val="16"/>
              </w:rPr>
              <w:t>N+2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Sena </w:t>
            </w:r>
            <w:r>
              <w:rPr>
                <w:b/>
                <w:noProof/>
                <w:sz w:val="16"/>
              </w:rPr>
              <w:t>N+3</w:t>
            </w:r>
          </w:p>
        </w:tc>
        <w:tc>
          <w:tcPr>
            <w:tcW w:w="6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Daħħal is-snin kollha li hemm bżonn biex turi d-durata tal-impatt (ara l-punt 1.6)</w:t>
            </w:r>
          </w:p>
        </w:tc>
      </w:tr>
      <w:tr>
        <w:trPr>
          <w:gridBefore w:val="1"/>
          <w:wBefore w:w="13" w:type="dxa"/>
          <w:trHeight w:val="289"/>
          <w:jc w:val="center"/>
        </w:trPr>
        <w:tc>
          <w:tcPr>
            <w:tcW w:w="600" w:type="dxa"/>
            <w:gridSpan w:val="9"/>
            <w:shd w:val="clear" w:color="auto" w:fill="auto"/>
          </w:tcPr>
          <w:p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sym w:font="Wingdings" w:char="F09F"/>
            </w:r>
            <w:r>
              <w:rPr>
                <w:b/>
                <w:noProof/>
                <w:sz w:val="16"/>
              </w:rPr>
              <w:t xml:space="preserve"> Pożizzjonijiet fil-pjan ta’ stabbiliment (uffiċjali u persunal temporanju)</w:t>
            </w:r>
          </w:p>
        </w:tc>
      </w:tr>
      <w:tr>
        <w:trPr>
          <w:gridBefore w:val="1"/>
          <w:wBefore w:w="13" w:type="dxa"/>
          <w:trHeight w:val="289"/>
          <w:jc w:val="center"/>
        </w:trPr>
        <w:tc>
          <w:tcPr>
            <w:tcW w:w="3906" w:type="dxa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ind w:left="134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01 01 (Kwartieri Ġenerali u Uffiċċji tar-Rappreżentanza tal-Kummissjoni)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13" w:type="dxa"/>
          <w:trHeight w:val="289"/>
          <w:jc w:val="center"/>
        </w:trPr>
        <w:tc>
          <w:tcPr>
            <w:tcW w:w="3906" w:type="dxa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01 02 (Delegazzjonijiet)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13" w:type="dxa"/>
          <w:trHeight w:val="289"/>
          <w:jc w:val="center"/>
        </w:trPr>
        <w:tc>
          <w:tcPr>
            <w:tcW w:w="3906" w:type="dxa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05 01/11/21 (Riċerka indiretta)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13" w:type="dxa"/>
          <w:trHeight w:val="289"/>
          <w:jc w:val="center"/>
        </w:trPr>
        <w:tc>
          <w:tcPr>
            <w:tcW w:w="3906" w:type="dxa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10 01 05 01/11 (Riċerka diretta)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trHeight w:val="248"/>
          <w:jc w:val="center"/>
        </w:trPr>
        <w:tc>
          <w:tcPr>
            <w:tcW w:w="600" w:type="dxa"/>
            <w:gridSpan w:val="10"/>
            <w:shd w:val="clear" w:color="auto" w:fill="auto"/>
            <w:vAlign w:val="center"/>
          </w:tcPr>
          <w:p>
            <w:pPr>
              <w:spacing w:before="60" w:after="60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sym w:font="Wingdings" w:char="F09F"/>
            </w:r>
            <w:r>
              <w:rPr>
                <w:b/>
                <w:noProof/>
                <w:sz w:val="16"/>
              </w:rPr>
              <w:t xml:space="preserve"> Persunal estern (f’unità Ekwivalenti għall-Full-Time: FTE)</w:t>
            </w:r>
            <w:r>
              <w:rPr>
                <w:rStyle w:val="FootnoteReference"/>
                <w:noProof/>
              </w:rPr>
              <w:footnoteReference w:id="20"/>
            </w:r>
          </w:p>
          <w:p>
            <w:pPr>
              <w:spacing w:before="0" w:after="0"/>
              <w:jc w:val="left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13" w:type="dxa"/>
          <w:trHeight w:val="289"/>
          <w:jc w:val="center"/>
        </w:trPr>
        <w:tc>
          <w:tcPr>
            <w:tcW w:w="3906" w:type="dxa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02 01 (AC, END, INT mill-“pakkett globali”)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13" w:type="dxa"/>
          <w:trHeight w:val="289"/>
          <w:jc w:val="center"/>
        </w:trPr>
        <w:tc>
          <w:tcPr>
            <w:tcW w:w="3906" w:type="dxa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02 02 (AC, AL, END, INT u JPD fid-Delegazzjonijiet)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13" w:type="dxa"/>
          <w:trHeight w:val="289"/>
          <w:jc w:val="center"/>
        </w:trPr>
        <w:tc>
          <w:tcPr>
            <w:tcW w:w="1952" w:type="dxa"/>
            <w:vMerge w:val="restart"/>
            <w:shd w:val="clear" w:color="auto" w:fill="auto"/>
            <w:vAlign w:val="center"/>
          </w:tcPr>
          <w:p>
            <w:pPr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XX</w:t>
            </w:r>
            <w:r>
              <w:rPr>
                <w:noProof/>
                <w:sz w:val="16"/>
              </w:rPr>
              <w:t xml:space="preserve"> 01 04 </w:t>
            </w:r>
            <w:r>
              <w:rPr>
                <w:b/>
                <w:noProof/>
                <w:sz w:val="16"/>
              </w:rPr>
              <w:t>yy</w:t>
            </w:r>
            <w:r>
              <w:rPr>
                <w:b/>
                <w:i/>
                <w:noProof/>
                <w:sz w:val="16"/>
              </w:rPr>
              <w:t xml:space="preserve"> </w:t>
            </w:r>
            <w:r>
              <w:rPr>
                <w:rStyle w:val="FootnoteReference"/>
                <w:noProof/>
              </w:rPr>
              <w:footnoteReference w:id="21"/>
            </w:r>
          </w:p>
          <w:p>
            <w:pPr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- fil-Kwartieri Ġenerali</w:t>
            </w:r>
          </w:p>
          <w:p>
            <w:pPr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13" w:type="dxa"/>
          <w:trHeight w:val="289"/>
          <w:jc w:val="center"/>
        </w:trPr>
        <w:tc>
          <w:tcPr>
            <w:tcW w:w="1952" w:type="dxa"/>
            <w:vMerge/>
            <w:shd w:val="clear" w:color="auto" w:fill="auto"/>
            <w:vAlign w:val="center"/>
          </w:tcPr>
          <w:p>
            <w:pPr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- fid-Delegazzjonijiet 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13" w:type="dxa"/>
          <w:trHeight w:val="289"/>
          <w:jc w:val="center"/>
        </w:trPr>
        <w:tc>
          <w:tcPr>
            <w:tcW w:w="3906" w:type="dxa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XX</w:t>
            </w:r>
            <w:r>
              <w:rPr>
                <w:noProof/>
                <w:sz w:val="16"/>
              </w:rPr>
              <w:t xml:space="preserve"> 01 05 02/12/22 (AC, END, INT — Riċerka indiretta)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13" w:type="dxa"/>
          <w:trHeight w:val="289"/>
          <w:jc w:val="center"/>
        </w:trPr>
        <w:tc>
          <w:tcPr>
            <w:tcW w:w="3906" w:type="dxa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10 01 05 02/12 (AC, END, INT — Riċerka diretta)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13" w:type="dxa"/>
          <w:trHeight w:val="289"/>
          <w:jc w:val="center"/>
        </w:trPr>
        <w:tc>
          <w:tcPr>
            <w:tcW w:w="390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Linji baġitarji oħra (speċifika)</w:t>
            </w: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13" w:type="dxa"/>
          <w:trHeight w:val="289"/>
          <w:jc w:val="center"/>
        </w:trPr>
        <w:tc>
          <w:tcPr>
            <w:tcW w:w="390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TOTAL</w:t>
            </w:r>
          </w:p>
        </w:tc>
        <w:tc>
          <w:tcPr>
            <w:tcW w:w="6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spacing w:before="60" w:after="60"/>
        <w:ind w:left="851"/>
        <w:rPr>
          <w:noProof/>
          <w:sz w:val="18"/>
          <w:szCs w:val="18"/>
        </w:rPr>
      </w:pPr>
      <w:r>
        <w:rPr>
          <w:b/>
          <w:noProof/>
          <w:sz w:val="18"/>
        </w:rPr>
        <w:t>XX</w:t>
      </w:r>
      <w:r>
        <w:rPr>
          <w:noProof/>
          <w:sz w:val="18"/>
        </w:rPr>
        <w:t xml:space="preserve"> huwa l-qasam ta’ politika jew it-titolu baġitarju kkonċernat.</w:t>
      </w:r>
    </w:p>
    <w:p>
      <w:pPr>
        <w:ind w:left="850"/>
        <w:rPr>
          <w:noProof/>
          <w:sz w:val="18"/>
          <w:szCs w:val="18"/>
        </w:rPr>
      </w:pPr>
      <w:r>
        <w:rPr>
          <w:noProof/>
          <w:sz w:val="18"/>
        </w:rPr>
        <w:t>Ir-riżorsi umani meħtieġa se jiġu koperti mill-persunal tad-DĠ li diġà jkun assenjat għall-ġestjoni tal-azzjoni u/jew li diġà jkun ġie riassenjat fid-DĠ, flimkien, jekk ikun meħtieġ, ma’ kwalunkwe allokazzjoni addizzjonali li tista’ tingħata lid-DĠ tal-ġestjoni skont il-proċedura annwali ta’ allokazzjoni u fid-dawl tal-limitazzjonijiet baġitarji.</w:t>
      </w:r>
    </w:p>
    <w:p>
      <w:pPr>
        <w:rPr>
          <w:noProof/>
          <w:sz w:val="20"/>
        </w:rPr>
      </w:pPr>
      <w:r>
        <w:rPr>
          <w:noProof/>
          <w:sz w:val="20"/>
        </w:rPr>
        <w:t>Deskrizzjoni tal-kompiti li jridu jitwettqu:</w:t>
      </w:r>
    </w:p>
    <w:tbl>
      <w:tblPr>
        <w:tblW w:w="10440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7200"/>
      </w:tblGrid>
      <w:tr>
        <w:tc>
          <w:tcPr>
            <w:tcW w:w="3240" w:type="dxa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Uffiċjali u persunal temporanju</w:t>
            </w:r>
          </w:p>
        </w:tc>
        <w:tc>
          <w:tcPr>
            <w:tcW w:w="7200" w:type="dxa"/>
          </w:tcPr>
          <w:p>
            <w:pPr>
              <w:rPr>
                <w:noProof/>
                <w:sz w:val="20"/>
              </w:rPr>
            </w:pPr>
            <w:r>
              <w:rPr>
                <w:noProof/>
              </w:rPr>
              <w:t>L-implimentazzjoni tal-Protokoll (il-pagamenti, l-aċċess tal-bastimenti tal-UE għall-ilmijiet tal-Gżejjer Cook, l-ipproċessar tal-awtorizzazzjonijiet tas-sajd), it-tħejjija u s-segwitu tal-laqgħat tal-Kumitati Konġunti, it-tħejjija tat-tiġdid tal-Protokoll, l-evalwazzjoni esterna, il-proċeduri leġiżlattivi u n-negozjati.</w:t>
            </w:r>
          </w:p>
        </w:tc>
      </w:tr>
      <w:tr>
        <w:tc>
          <w:tcPr>
            <w:tcW w:w="3240" w:type="dxa"/>
          </w:tcPr>
          <w:p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Persunal estern</w:t>
            </w:r>
          </w:p>
        </w:tc>
        <w:tc>
          <w:tcPr>
            <w:tcW w:w="7200" w:type="dxa"/>
          </w:tcPr>
          <w:p>
            <w:pPr>
              <w:rPr>
                <w:noProof/>
                <w:sz w:val="20"/>
              </w:rPr>
            </w:pPr>
            <w:r>
              <w:rPr>
                <w:noProof/>
              </w:rPr>
              <w:t>L-implimentazzjoni tal-Protokoll: il-kuntatt mal-awtoritajiet tal-Gżejjer Cook b’rabta mal-aċċess tal-bastimenti tal-UE għall-ilmijiet tal-Gżejjer Cook, l-ipproċessar tal-awtorizzazzjonijiet tas-sajd, it-tħejjija u s-segwitu tal-laqgħat tal-Kumitati Konġunti, b’mod partikolari l-implimentazzjoni tal-appoġġ settorjali.</w:t>
            </w:r>
          </w:p>
        </w:tc>
      </w:tr>
    </w:tbl>
    <w:p>
      <w:pPr>
        <w:rPr>
          <w:noProof/>
        </w:rPr>
        <w:sectPr>
          <w:footnotePr>
            <w:numRestart w:val="eachSect"/>
          </w:footnotePr>
          <w:pgSz w:w="11907" w:h="16840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keepNext/>
        <w:tabs>
          <w:tab w:val="left" w:pos="850"/>
        </w:tabs>
        <w:outlineLvl w:val="2"/>
        <w:rPr>
          <w:i/>
          <w:noProof/>
        </w:rPr>
      </w:pPr>
      <w:r>
        <w:rPr>
          <w:i/>
          <w:noProof/>
        </w:rPr>
        <w:t>3.2.4.</w:t>
      </w:r>
      <w:r>
        <w:rPr>
          <w:i/>
          <w:noProof/>
        </w:rPr>
        <w:tab/>
        <w:t xml:space="preserve">Kompatibbiltà mal-qafas finanzjarju pluriennali attwali </w:t>
      </w:r>
    </w:p>
    <w:p>
      <w:pPr>
        <w:ind w:left="850"/>
        <w:rPr>
          <w:noProof/>
        </w:rPr>
      </w:pPr>
      <w:r>
        <w:rPr>
          <w:noProof/>
        </w:rPr>
        <w:t>Il-proposta/l-inizjattiva:</w:t>
      </w:r>
    </w:p>
    <w:p>
      <w:pPr>
        <w:tabs>
          <w:tab w:val="num" w:pos="1134"/>
        </w:tabs>
        <w:ind w:left="1134" w:hanging="283"/>
        <w:rPr>
          <w:rFonts w:eastAsia="Times New Roman"/>
          <w:noProof/>
        </w:rPr>
      </w:pPr>
      <w:r>
        <w:rPr>
          <w:noProof/>
        </w:rPr>
        <w:t>X</w:t>
      </w:r>
      <w:r>
        <w:rPr>
          <w:noProof/>
        </w:rPr>
        <w:tab/>
        <w:t>tista’ tiġi ffinanzjata kompletament permezz ta’ riallokazzjoni fl-intestatura rilevanti tal-Qafas Finanzjarju Pluriennali (il-QFP).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  <w:sz w:val="20"/>
        </w:rPr>
      </w:pPr>
      <w:r>
        <w:rPr>
          <w:noProof/>
          <w:sz w:val="20"/>
        </w:rPr>
        <w:t>Dan għandu x’jaqsam mal-użu tal-linja ta’ riżerva (il-Kapitolu 40).</w:t>
      </w:r>
    </w:p>
    <w:p>
      <w:pPr>
        <w:tabs>
          <w:tab w:val="num" w:pos="1134"/>
        </w:tabs>
        <w:ind w:left="1134" w:hanging="283"/>
        <w:rPr>
          <w:rFonts w:eastAsia="Times New Roman"/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teħtieġ l-użu tal-marġni mhux allokat taħt l-intestatura rilevanti tal-QFP u/jew l-użu tal-istrumenti speċjali ddefiniti fir-Regolament dwar il-QFP.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  <w:sz w:val="20"/>
        </w:rPr>
      </w:pPr>
      <w:r>
        <w:rPr>
          <w:noProof/>
          <w:sz w:val="20"/>
        </w:rPr>
        <w:t>Spjega x’inhu meħtieġ, filwaqt li tispeċifika l-intestaturi u l-linji baġitarji kkonċernati, l-ammonti korrispondenti u l-istrumenti li qed jiġi propost li jintużaw.</w:t>
      </w:r>
    </w:p>
    <w:p>
      <w:pPr>
        <w:tabs>
          <w:tab w:val="num" w:pos="1134"/>
        </w:tabs>
        <w:ind w:left="1134" w:hanging="283"/>
        <w:rPr>
          <w:rFonts w:eastAsia="Times New Roman"/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teħtieġ reviżjoni tal-QFP.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  <w:sz w:val="20"/>
        </w:rPr>
      </w:pPr>
      <w:r>
        <w:rPr>
          <w:noProof/>
          <w:sz w:val="20"/>
        </w:rPr>
        <w:t>Spjega x’inhu meħtieġ, filwaqt li tispeċifika l-intestaturi u l-linji baġitarji kkonċernati u l-ammonti korrispondenti.</w:t>
      </w:r>
    </w:p>
    <w:p>
      <w:pPr>
        <w:keepNext/>
        <w:tabs>
          <w:tab w:val="left" w:pos="850"/>
        </w:tabs>
        <w:outlineLvl w:val="2"/>
        <w:rPr>
          <w:bCs/>
          <w:i/>
          <w:noProof/>
          <w:szCs w:val="24"/>
        </w:rPr>
      </w:pPr>
      <w:r>
        <w:rPr>
          <w:i/>
          <w:noProof/>
        </w:rPr>
        <w:t>3.2.5.</w:t>
      </w:r>
      <w:r>
        <w:rPr>
          <w:i/>
          <w:noProof/>
        </w:rPr>
        <w:tab/>
        <w:t xml:space="preserve">Kontribuzzjonijiet ta’ partijiet terzi </w:t>
      </w:r>
    </w:p>
    <w:p>
      <w:pPr>
        <w:ind w:left="850"/>
        <w:rPr>
          <w:noProof/>
        </w:rPr>
      </w:pPr>
      <w:r>
        <w:rPr>
          <w:noProof/>
        </w:rPr>
        <w:t>Il-proposta/l-inizjattiva:</w:t>
      </w:r>
    </w:p>
    <w:p>
      <w:pPr>
        <w:tabs>
          <w:tab w:val="num" w:pos="1134"/>
        </w:tabs>
        <w:ind w:left="1134" w:hanging="283"/>
        <w:rPr>
          <w:rFonts w:eastAsia="Times New Roman"/>
          <w:noProof/>
        </w:rPr>
      </w:pPr>
      <w:r>
        <w:rPr>
          <w:noProof/>
        </w:rPr>
        <w:t>X</w:t>
      </w:r>
      <w:r>
        <w:rPr>
          <w:noProof/>
        </w:rPr>
        <w:tab/>
        <w:t>ma tipprevedix kofinanzjament minn partijiet terzi</w:t>
      </w:r>
    </w:p>
    <w:p>
      <w:pPr>
        <w:tabs>
          <w:tab w:val="num" w:pos="1134"/>
        </w:tabs>
        <w:ind w:left="1134" w:hanging="283"/>
        <w:rPr>
          <w:rFonts w:eastAsia="Times New Roman"/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tipprevedi l-kofinanzjament minn partijiet terzi li qed jiġi stmat hawn taħt: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Approprjazzjonijiet f’miljuni ta’ Euro (aġġustati ’l fuq għal tliet pożizzjonijiet deċimali)</w:t>
      </w:r>
    </w:p>
    <w:tbl>
      <w:tblPr>
        <w:tblW w:w="10246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964"/>
        <w:gridCol w:w="964"/>
        <w:gridCol w:w="964"/>
        <w:gridCol w:w="964"/>
        <w:gridCol w:w="964"/>
        <w:gridCol w:w="964"/>
        <w:gridCol w:w="964"/>
        <w:gridCol w:w="1158"/>
      </w:tblGrid>
      <w:tr>
        <w:trPr>
          <w:cantSplit/>
        </w:trPr>
        <w:tc>
          <w:tcPr>
            <w:tcW w:w="2340" w:type="dxa"/>
          </w:tcPr>
          <w:p>
            <w:pPr>
              <w:spacing w:before="60" w:after="60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</w:t>
            </w:r>
            <w:r>
              <w:rPr>
                <w:rStyle w:val="FootnoteReference"/>
                <w:noProof/>
              </w:rPr>
              <w:footnoteReference w:id="22"/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N+1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N+2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N+3</w:t>
            </w:r>
          </w:p>
        </w:tc>
        <w:tc>
          <w:tcPr>
            <w:tcW w:w="2892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Daħħal is-snin kollha li hemm bżonn biex turi d-durata tal-impatt (ara l-punt 1.6)</w:t>
            </w: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Total</w:t>
            </w:r>
          </w:p>
        </w:tc>
      </w:tr>
      <w:tr>
        <w:trPr>
          <w:cantSplit/>
        </w:trPr>
        <w:tc>
          <w:tcPr>
            <w:tcW w:w="2340" w:type="dxa"/>
          </w:tcPr>
          <w:p>
            <w:pPr>
              <w:rPr>
                <w:noProof/>
              </w:rPr>
            </w:pPr>
            <w:r>
              <w:rPr>
                <w:noProof/>
                <w:sz w:val="20"/>
              </w:rPr>
              <w:t>Speċifika l-korp ta’ kofinanzjament</w:t>
            </w:r>
            <w:r>
              <w:rPr>
                <w:i/>
                <w:noProof/>
                <w:sz w:val="20"/>
              </w:rPr>
              <w:t xml:space="preserve"> </w:t>
            </w: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</w:tr>
      <w:tr>
        <w:trPr>
          <w:cantSplit/>
        </w:trPr>
        <w:tc>
          <w:tcPr>
            <w:tcW w:w="2340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TOTAL tal-approprjazzjonijiet kofinanzjati </w:t>
            </w: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</w:tr>
    </w:tbl>
    <w:p>
      <w:pPr>
        <w:rPr>
          <w:noProof/>
        </w:rPr>
      </w:pPr>
      <w:r>
        <w:rPr>
          <w:noProof/>
        </w:rPr>
        <w:br/>
      </w:r>
    </w:p>
    <w:p>
      <w:pPr>
        <w:keepNext/>
        <w:outlineLvl w:val="1"/>
        <w:rPr>
          <w:b/>
          <w:bCs/>
          <w:noProof/>
          <w:szCs w:val="24"/>
        </w:rPr>
      </w:pPr>
      <w:r>
        <w:rPr>
          <w:noProof/>
        </w:rPr>
        <w:br w:type="page"/>
      </w:r>
      <w:r>
        <w:rPr>
          <w:b/>
          <w:noProof/>
        </w:rPr>
        <w:t>3.3.</w:t>
      </w:r>
      <w:r>
        <w:rPr>
          <w:b/>
          <w:noProof/>
        </w:rPr>
        <w:tab/>
        <w:t xml:space="preserve">Impatt stmat fuq id-dħul </w:t>
      </w:r>
    </w:p>
    <w:p>
      <w:pPr>
        <w:tabs>
          <w:tab w:val="num" w:pos="1134"/>
        </w:tabs>
        <w:ind w:left="1134" w:hanging="283"/>
        <w:rPr>
          <w:rFonts w:eastAsia="Times New Roman"/>
          <w:noProof/>
        </w:rPr>
      </w:pPr>
      <w:r>
        <w:rPr>
          <w:noProof/>
        </w:rPr>
        <w:t>X</w:t>
      </w:r>
      <w:r>
        <w:rPr>
          <w:noProof/>
        </w:rPr>
        <w:tab/>
        <w:t>Il-proposta/l-inizjattiva ma għandha l-ebda impatt finanzjarju fuq id-dħul.</w:t>
      </w:r>
    </w:p>
    <w:p>
      <w:pPr>
        <w:tabs>
          <w:tab w:val="num" w:pos="1134"/>
        </w:tabs>
        <w:ind w:left="1134" w:hanging="283"/>
        <w:rPr>
          <w:rFonts w:eastAsia="Times New Roman"/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Il-proposta/l-inizjattiva għandha l-impatt finanzjarju li ġej:</w:t>
      </w:r>
    </w:p>
    <w:p>
      <w:pPr>
        <w:numPr>
          <w:ilvl w:val="2"/>
          <w:numId w:val="0"/>
        </w:numPr>
        <w:tabs>
          <w:tab w:val="num" w:pos="2126"/>
        </w:tabs>
        <w:ind w:left="2126" w:hanging="709"/>
        <w:rPr>
          <w:rFonts w:eastAsia="Times New Roman"/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fuq ir-riżorsi proprji </w:t>
      </w:r>
    </w:p>
    <w:p>
      <w:pPr>
        <w:numPr>
          <w:ilvl w:val="2"/>
          <w:numId w:val="0"/>
        </w:numPr>
        <w:tabs>
          <w:tab w:val="num" w:pos="2126"/>
        </w:tabs>
        <w:ind w:left="2126" w:hanging="709"/>
        <w:rPr>
          <w:rFonts w:eastAsia="Times New Roman"/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fuq id-dħul ieħor</w:t>
      </w:r>
    </w:p>
    <w:p>
      <w:pPr>
        <w:numPr>
          <w:ilvl w:val="2"/>
          <w:numId w:val="0"/>
        </w:numPr>
        <w:tabs>
          <w:tab w:val="num" w:pos="2126"/>
        </w:tabs>
        <w:ind w:left="2126" w:hanging="709"/>
        <w:rPr>
          <w:rFonts w:eastAsia="Times New Roman"/>
          <w:noProof/>
        </w:rPr>
      </w:pPr>
      <w:r>
        <w:rPr>
          <w:noProof/>
        </w:rPr>
        <w:t xml:space="preserve">jekk jogħġbok indika jekk id-dħul huwa assenjat għal-linji tan-nefqa </w:t>
      </w:r>
      <w:r>
        <w:rPr>
          <w:noProof/>
        </w:rPr>
        <w:sym w:font="Wingdings" w:char="F0A8"/>
      </w:r>
      <w:r>
        <w:rPr>
          <w:noProof/>
        </w:rPr>
        <w:tab/>
      </w:r>
    </w:p>
    <w:p>
      <w:pPr>
        <w:ind w:left="4320"/>
        <w:rPr>
          <w:i/>
          <w:noProof/>
          <w:sz w:val="20"/>
        </w:rPr>
      </w:pPr>
      <w:r>
        <w:rPr>
          <w:noProof/>
        </w:rPr>
        <w:t xml:space="preserve">     f’miljuni ta’ Euro (aġġustati ’l fuq għal tliet pożizzjonijiet deċimali)</w:t>
      </w:r>
    </w:p>
    <w:tbl>
      <w:tblPr>
        <w:tblW w:w="106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1325"/>
        <w:gridCol w:w="1031"/>
        <w:gridCol w:w="900"/>
        <w:gridCol w:w="900"/>
        <w:gridCol w:w="1080"/>
        <w:gridCol w:w="1080"/>
        <w:gridCol w:w="1080"/>
        <w:gridCol w:w="1080"/>
      </w:tblGrid>
      <w:tr>
        <w:trPr>
          <w:trHeight w:val="388"/>
        </w:trPr>
        <w:tc>
          <w:tcPr>
            <w:tcW w:w="2144" w:type="dxa"/>
            <w:vMerge w:val="restart"/>
            <w:vAlign w:val="center"/>
          </w:tcPr>
          <w:p>
            <w:pPr>
              <w:spacing w:before="40" w:after="4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Linja baġitarja tad-dħul: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Approprjazzjonijiet disponibbli għas-sena finanzjarja attwali</w:t>
            </w:r>
          </w:p>
        </w:tc>
        <w:tc>
          <w:tcPr>
            <w:tcW w:w="7151" w:type="dxa"/>
            <w:gridSpan w:val="7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Impatt tal-proposta/tal-inizjattiva</w:t>
            </w:r>
            <w:r>
              <w:rPr>
                <w:rStyle w:val="FootnoteReference"/>
                <w:noProof/>
              </w:rPr>
              <w:footnoteReference w:id="23"/>
            </w:r>
          </w:p>
        </w:tc>
      </w:tr>
      <w:tr>
        <w:trPr>
          <w:trHeight w:val="388"/>
        </w:trPr>
        <w:tc>
          <w:tcPr>
            <w:tcW w:w="2144" w:type="dxa"/>
            <w:vMerge/>
          </w:tcPr>
          <w:p>
            <w:pPr>
              <w:spacing w:before="40" w:after="40"/>
              <w:rPr>
                <w:noProof/>
                <w:sz w:val="18"/>
              </w:rPr>
            </w:pPr>
          </w:p>
        </w:tc>
        <w:tc>
          <w:tcPr>
            <w:tcW w:w="1325" w:type="dxa"/>
            <w:vMerge/>
          </w:tcPr>
          <w:p>
            <w:pPr>
              <w:spacing w:beforeLines="40" w:before="96" w:afterLines="40" w:after="96"/>
              <w:rPr>
                <w:i/>
                <w:noProof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 xml:space="preserve">N 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N+1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N+2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N+3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>Daħħal is-snin kollha li hemm bżonn biex turi d-durata tal-impatt (ara l-punt 1.6)</w:t>
            </w:r>
          </w:p>
        </w:tc>
      </w:tr>
      <w:tr>
        <w:trPr>
          <w:trHeight w:val="388"/>
        </w:trPr>
        <w:tc>
          <w:tcPr>
            <w:tcW w:w="2144" w:type="dxa"/>
            <w:vAlign w:val="center"/>
          </w:tcPr>
          <w:p>
            <w:pPr>
              <w:spacing w:before="40" w:after="4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L-Artikolu ………….</w:t>
            </w:r>
          </w:p>
        </w:tc>
        <w:tc>
          <w:tcPr>
            <w:tcW w:w="1325" w:type="dxa"/>
          </w:tcPr>
          <w:p>
            <w:pPr>
              <w:spacing w:beforeLines="40" w:before="96" w:afterLines="40" w:after="96"/>
              <w:jc w:val="center"/>
              <w:rPr>
                <w:i/>
                <w:noProof/>
                <w:sz w:val="18"/>
              </w:rPr>
            </w:pPr>
          </w:p>
        </w:tc>
        <w:tc>
          <w:tcPr>
            <w:tcW w:w="1031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</w:tr>
    </w:tbl>
    <w:p>
      <w:pPr>
        <w:ind w:left="850"/>
        <w:rPr>
          <w:noProof/>
          <w:sz w:val="20"/>
        </w:rPr>
      </w:pPr>
      <w:r>
        <w:rPr>
          <w:noProof/>
          <w:sz w:val="20"/>
        </w:rPr>
        <w:t>Għad-dħul assenjat, speċifika l-linja/i baġitarja/i tan-nefqa affettwata/i.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</w:p>
    <w:p>
      <w:pPr>
        <w:ind w:left="850"/>
        <w:rPr>
          <w:noProof/>
          <w:sz w:val="20"/>
        </w:rPr>
      </w:pPr>
      <w:r>
        <w:rPr>
          <w:noProof/>
          <w:sz w:val="20"/>
        </w:rPr>
        <w:t>Rimarki oħra (eż. il-metodu/il-formula użati għall-kalkolu tal-impatt fuq id-dħul jew kwalunkwe informazzjoni oħra).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</w:p>
    <w:sectPr>
      <w:footnotePr>
        <w:numRestart w:val="eachSect"/>
      </w:footnote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Id-DEĊIŻJONI TAL-KUNSILL li tawtorizza l-ftuħ tan-negozjati għal protokoll ġdid għall-Ftehim ta’ Sħubija dwar is-Sajd Sostenibbli bejn l-Unjoni Ewropea u l-Gvern tal-Gżejjer Cook u għall-estensjoni possibbli tal-protokoll attwali għal dak il-Ftehim (ST 8848/20).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B’mod partikolari minħabba l-konsegwenzi tas-sitwazzjoni attwali tas-saħħa fid-dinja minħabba l-pandemija tal-COVID-19.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Il-Protokoll dwar l-Implimentazzjoni tal-Ftehim ta’ Sħubija dwar is-Sajd Sostenibbli bejn l-Unjoni Ewropea u l-Gvern tal-Gżejjer Cook (ĠU L 131, 20.5.2016, p. 10).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ĠU L 354, 28.12.2013, p. 22.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F’konformità mal-Ftehim interistituzzjonali dwar il-kooperazzjoni f’materji ta’ baġit (bin-numru ta’ referenza 2013/C 373/01).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ĠU L 131, 20.05.2016, p. 3.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Id-DEĊIŻJONI TAL-KUNSILL (UE) 2017/418 tat-28 ta’ Frar 2017 dwar il-konklużjoni f’isem l-Unjoni Ewropea tal-Ftehim ta’ Sħubija dwar is-Sajd Sostenibbli bejn l-Unjoni Ewropea u l-Gvern tal-Gżejjer Cook u tal-Protokoll ta’ Implimentazzjoni tiegħu (ĠU L 64, 10.03.2017, p. 1).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ĠU L 289 tal-25.10.2016, p.1.</w:t>
      </w:r>
    </w:p>
  </w:footnote>
  <w:footnote w:id="9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Kif imsemmi fl-Artikolu 58(2)(a) jew (b) tar-Regolament Finanzjarju.</w:t>
      </w:r>
    </w:p>
  </w:footnote>
  <w:footnote w:id="10">
    <w:p>
      <w:pPr>
        <w:pStyle w:val="FootnoteText"/>
        <w:jc w:val="left"/>
        <w:rPr>
          <w:szCs w:val="24"/>
        </w:rPr>
      </w:pPr>
      <w:r>
        <w:rPr>
          <w:rStyle w:val="FootnoteReference"/>
        </w:rPr>
        <w:footnoteRef/>
      </w:r>
      <w:r>
        <w:tab/>
        <w:t xml:space="preserve">Id-dettalji dwar il-modalitajiet ta’ ġestjoni u r-referenzi għar-Regolament Finanzjarju jinstabu fuq is-sit BudgWeb: </w:t>
      </w:r>
      <w:hyperlink r:id="rId1">
        <w:r>
          <w:rPr>
            <w:rStyle w:val="Hyperlink"/>
          </w:rPr>
          <w:t>https://myintracomm.ec.europa.eu/budgweb/EN/man/budgmanag/Pages/budgmanag.aspx</w:t>
        </w:r>
      </w:hyperlink>
      <w:r>
        <w:t xml:space="preserve"> </w:t>
      </w:r>
    </w:p>
  </w:footnote>
  <w:footnote w:id="11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Diff. = Approprjazzjonijiet differenzjati / Mhux diff. = Approprjazzjonijiet mhux differenzjati.</w:t>
      </w:r>
    </w:p>
  </w:footnote>
  <w:footnote w:id="12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EFTA: Assoċjazzjoni Ewropea tal-Kummerċ Ħieles. </w:t>
      </w:r>
    </w:p>
  </w:footnote>
  <w:footnote w:id="13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Pajjiżi kandidati u, meta jkun applikabbli, pajjiżi kandidati potenzjali mill-Balkani tal-Punent.</w:t>
      </w:r>
    </w:p>
  </w:footnote>
  <w:footnote w:id="14">
    <w:p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Skont in-nomenklatura uffiċjali tal-baġit.</w:t>
      </w:r>
    </w:p>
  </w:footnote>
  <w:footnote w:id="15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Assistenza teknika u/jew amministrattiva u nefqa li jappoġġaw l-implimentazzjoni ta’ programmi u/jew ta’ azzjonijiet tal-UE (li qabel kienu l-linji “BA”), riċerka indiretta u riċerka diretta.</w:t>
      </w:r>
    </w:p>
  </w:footnote>
  <w:footnote w:id="16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L-outputs huma l-prodotti u s-servizzi li jridu jiġu pprovduti (pereż. l-għadd ta’ skambji ta’ studenti ffinanzjati, l-għadd ta’ km ta’ toroq mibnija, eċċ.).</w:t>
      </w:r>
    </w:p>
  </w:footnote>
  <w:footnote w:id="17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Kif deskritt fil-punt 1.4.2. “Objettiv(i) speċifiku/speċifiċi…” </w:t>
      </w:r>
    </w:p>
  </w:footnote>
  <w:footnote w:id="18">
    <w:p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Is-Sena N hija s-sena li fiha tibda l-implimentazzjoni tal-proposta/tal-inizjattiva. Jekk jogħġbok issostitwixxi n-“N” bl-ewwel sena ta’ implimentazzjoni prevista (pereżempju: 2021). Agħmel l-istess għas-snin ta’ wara.</w:t>
      </w:r>
    </w:p>
  </w:footnote>
  <w:footnote w:id="19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Assistenza teknika u/jew amministrattiva u nefqa li jappoġġaw l-implimentazzjoni ta’ programmi u/jew ta’ azzjonijiet tal-UE (li qabel kienu l-linji “BA”), riċerka indiretta u riċerka diretta.</w:t>
      </w:r>
    </w:p>
  </w:footnote>
  <w:footnote w:id="20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AC = Persunal bil-kuntratt; AL = Persunal Lokali; END = Espert Nazzjonali Sekondat; INT = persunal tal-aġenzija; JPD = Esperti Żgħażagħ fid-Delegazzjonijiet. </w:t>
      </w:r>
    </w:p>
  </w:footnote>
  <w:footnote w:id="21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Sottolimitu għall-persunal estern kopert minn approprjazzjonijiet operazzjonali (li qabel kienu l-linji “BA”).</w:t>
      </w:r>
    </w:p>
  </w:footnote>
  <w:footnote w:id="22">
    <w:p>
      <w:pPr>
        <w:pStyle w:val="FootnoteText"/>
      </w:pPr>
      <w:r>
        <w:rPr>
          <w:rStyle w:val="FootnoteReference"/>
        </w:rPr>
        <w:footnoteRef/>
      </w:r>
      <w:r>
        <w:tab/>
        <w:t>Is-Sena N hija s-sena li fiha tibda l-implimentazzjoni tal-proposta/tal-inizjattiva. Jekk jogħġbok issostitwixxi n-“N” bl-ewwel sena ta’ implimentazzjoni prevista (pereżempju: 2021). Agħmel l-istess għas-snin ta’ wara.</w:t>
      </w:r>
    </w:p>
  </w:footnote>
  <w:footnote w:id="23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Fir-rigward tar-riżorsi proprji tradizzjonali (id-dazji doganali, l-imposti fuq iz-zokkor), l-ammonti indikati jridu jkunu ammonti netti, jiġifieri ammonti grossi wara t-tnaqqis ta’ 20 % tal-kostijiet tal-ġbir.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59F482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646EFC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9C02A3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43301A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2C6A95"/>
    <w:multiLevelType w:val="singleLevel"/>
    <w:tmpl w:val="02BAFA8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5">
    <w:nsid w:val="128364B0"/>
    <w:multiLevelType w:val="singleLevel"/>
    <w:tmpl w:val="D084FB54"/>
    <w:lvl w:ilvl="0">
      <w:start w:val="1"/>
      <w:numFmt w:val="bullet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6">
    <w:nsid w:val="13E4330B"/>
    <w:multiLevelType w:val="multilevel"/>
    <w:tmpl w:val="875C4416"/>
    <w:name w:val="List Dash 3"/>
    <w:lvl w:ilvl="0">
      <w:start w:val="1"/>
      <w:numFmt w:val="decimal"/>
      <w:pStyle w:val="ListNumber1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1">
    <w:nsid w:val="2D820C1F"/>
    <w:multiLevelType w:val="singleLevel"/>
    <w:tmpl w:val="7896AADE"/>
    <w:name w:val="List Dash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12">
    <w:nsid w:val="2F191641"/>
    <w:multiLevelType w:val="multilevel"/>
    <w:tmpl w:val="B67C4E92"/>
    <w:lvl w:ilvl="0">
      <w:start w:val="1"/>
      <w:numFmt w:val="decimal"/>
      <w:pStyle w:val="ListNumber3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31CD398A"/>
    <w:multiLevelType w:val="singleLevel"/>
    <w:tmpl w:val="0276BF00"/>
    <w:lvl w:ilvl="0">
      <w:start w:val="1"/>
      <w:numFmt w:val="bullet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4">
    <w:nsid w:val="398C015E"/>
    <w:multiLevelType w:val="multilevel"/>
    <w:tmpl w:val="027A66BA"/>
    <w:name w:val="List Dash 4"/>
    <w:lvl w:ilvl="0">
      <w:start w:val="1"/>
      <w:numFmt w:val="decimal"/>
      <w:pStyle w:val="ListNumber2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7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8">
    <w:nsid w:val="489D74ED"/>
    <w:multiLevelType w:val="singleLevel"/>
    <w:tmpl w:val="C2E2F936"/>
    <w:name w:val="List Dash 2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9">
    <w:nsid w:val="4D0C058A"/>
    <w:multiLevelType w:val="singleLevel"/>
    <w:tmpl w:val="BAE8D90E"/>
    <w:name w:val="List Dash 1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0">
    <w:nsid w:val="542A1204"/>
    <w:multiLevelType w:val="multilevel"/>
    <w:tmpl w:val="BC1E8404"/>
    <w:lvl w:ilvl="0">
      <w:start w:val="1"/>
      <w:numFmt w:val="decimal"/>
      <w:pStyle w:val="ListNumber4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2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3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7">
    <w:nsid w:val="71F06166"/>
    <w:multiLevelType w:val="multilevel"/>
    <w:tmpl w:val="C08066D2"/>
    <w:name w:val="0.6719891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11"/>
  </w:num>
  <w:num w:numId="7">
    <w:abstractNumId w:val="19"/>
  </w:num>
  <w:num w:numId="8">
    <w:abstractNumId w:val="18"/>
  </w:num>
  <w:num w:numId="9">
    <w:abstractNumId w:val="27"/>
  </w:num>
  <w:num w:numId="10">
    <w:abstractNumId w:val="5"/>
  </w:num>
  <w:num w:numId="11">
    <w:abstractNumId w:val="13"/>
  </w:num>
  <w:num w:numId="12">
    <w:abstractNumId w:val="6"/>
  </w:num>
  <w:num w:numId="13">
    <w:abstractNumId w:val="14"/>
  </w:num>
  <w:num w:numId="14">
    <w:abstractNumId w:val="12"/>
  </w:num>
  <w:num w:numId="15">
    <w:abstractNumId w:val="2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</w:num>
  <w:num w:numId="18">
    <w:abstractNumId w:val="24"/>
  </w:num>
  <w:num w:numId="19">
    <w:abstractNumId w:val="15"/>
  </w:num>
  <w:num w:numId="20">
    <w:abstractNumId w:val="26"/>
  </w:num>
  <w:num w:numId="21">
    <w:abstractNumId w:val="10"/>
  </w:num>
  <w:num w:numId="22">
    <w:abstractNumId w:val="16"/>
  </w:num>
  <w:num w:numId="23">
    <w:abstractNumId w:val="8"/>
  </w:num>
  <w:num w:numId="24">
    <w:abstractNumId w:val="25"/>
  </w:num>
  <w:num w:numId="25">
    <w:abstractNumId w:val="7"/>
  </w:num>
  <w:num w:numId="26">
    <w:abstractNumId w:val="17"/>
  </w:num>
  <w:num w:numId="27">
    <w:abstractNumId w:val="22"/>
  </w:num>
  <w:num w:numId="28">
    <w:abstractNumId w:val="23"/>
  </w:num>
  <w:num w:numId="29">
    <w:abstractNumId w:val="9"/>
  </w:num>
  <w:num w:numId="30">
    <w:abstractNumId w:val="21"/>
  </w:num>
  <w:num w:numId="31">
    <w:abstractNumId w:val="28"/>
  </w:num>
  <w:num w:numId="32">
    <w:abstractNumId w:val="24"/>
  </w:num>
  <w:num w:numId="33">
    <w:abstractNumId w:val="15"/>
  </w:num>
  <w:num w:numId="34">
    <w:abstractNumId w:val="26"/>
  </w:num>
  <w:num w:numId="35">
    <w:abstractNumId w:val="10"/>
  </w:num>
  <w:num w:numId="36">
    <w:abstractNumId w:val="16"/>
  </w:num>
  <w:num w:numId="37">
    <w:abstractNumId w:val="8"/>
  </w:num>
  <w:num w:numId="38">
    <w:abstractNumId w:val="25"/>
  </w:num>
  <w:num w:numId="39">
    <w:abstractNumId w:val="7"/>
  </w:num>
  <w:num w:numId="40">
    <w:abstractNumId w:val="17"/>
  </w:num>
  <w:num w:numId="41">
    <w:abstractNumId w:val="22"/>
  </w:num>
  <w:num w:numId="42">
    <w:abstractNumId w:val="23"/>
  </w:num>
  <w:num w:numId="43">
    <w:abstractNumId w:val="9"/>
  </w:num>
  <w:num w:numId="44">
    <w:abstractNumId w:val="21"/>
  </w:num>
  <w:num w:numId="45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9-25 09:16:2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93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9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23DEE313-BAD1-45F6-BC91-B3BEA8FABF9E"/>
    <w:docVar w:name="LW_COVERPAGE_TYPE" w:val="1"/>
    <w:docVar w:name="LW_CROSSREFERENCE" w:val="&lt;UNUSED&gt;"/>
    <w:docVar w:name="LW_DocType" w:val="COM"/>
    <w:docVar w:name="LW_EMISSION" w:val="24.9.2020"/>
    <w:docVar w:name="LW_EMISSION_ISODATE" w:val="2020-09-24"/>
    <w:docVar w:name="LW_EMISSION_LOCATION" w:val="BRX"/>
    <w:docVar w:name="LW_EMISSION_PREFIX" w:val="Brussell, "/>
    <w:docVar w:name="LW_EMISSION_SUFFIX" w:val=" 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276"/>
    <w:docVar w:name="LW_REF.II.NEW.CP_YEAR" w:val="2020"/>
    <w:docVar w:name="LW_REF.INST.NEW" w:val="COM"/>
    <w:docVar w:name="LW_REF.INST.NEW_ADOPTED" w:val="final"/>
    <w:docVar w:name="LW_REF.INST.NEW_TEXT" w:val="(2020) 59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dwar l-iffirmar, f\u8217?isem l-Unjoni Ewropea, u l-applikazzjoni provi\u380?orja tal-Ftehim fil-forma ta\u8217? skambju ta\u8217? ittri bejn l-Unjoni Ewropea u l-Gvern tal-G\u380?ejjer Cook dwar l-estensjoni tal-Protokoll dwar l-implimentazzjoni tal-Ftehim ta\u8217? S\u295?ubija dwar is-Sajd Sostenibbli bejn l-Unjoni Ewropea u l-Gvern tal-G\u380?ejjer Cook_x000b_"/>
    <w:docVar w:name="LW_TYPE.DOC.CP" w:val="DE\u266?I\u379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nhideWhenUsed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Number">
    <w:name w:val="List Number"/>
    <w:basedOn w:val="Normal"/>
    <w:pPr>
      <w:numPr>
        <w:numId w:val="9"/>
      </w:numPr>
    </w:pPr>
    <w:rPr>
      <w:rFonts w:eastAsia="Times New Roman"/>
      <w:lang w:eastAsia="fr-FR" w:bidi="fr-FR"/>
    </w:rPr>
  </w:style>
  <w:style w:type="paragraph" w:customStyle="1" w:styleId="ListBullet1">
    <w:name w:val="List Bullet 1"/>
    <w:basedOn w:val="Normal"/>
    <w:pPr>
      <w:numPr>
        <w:numId w:val="5"/>
      </w:numPr>
    </w:pPr>
    <w:rPr>
      <w:rFonts w:eastAsia="Times New Roman"/>
      <w:lang w:eastAsia="fr-FR" w:bidi="fr-FR"/>
    </w:rPr>
  </w:style>
  <w:style w:type="paragraph" w:customStyle="1" w:styleId="ListDash">
    <w:name w:val="List Dash"/>
    <w:basedOn w:val="Normal"/>
    <w:pPr>
      <w:numPr>
        <w:numId w:val="6"/>
      </w:numPr>
    </w:pPr>
    <w:rPr>
      <w:rFonts w:eastAsia="Times New Roman"/>
      <w:lang w:eastAsia="fr-FR" w:bidi="fr-FR"/>
    </w:rPr>
  </w:style>
  <w:style w:type="paragraph" w:customStyle="1" w:styleId="ListDash1">
    <w:name w:val="List Dash 1"/>
    <w:basedOn w:val="Normal"/>
    <w:pPr>
      <w:numPr>
        <w:numId w:val="7"/>
      </w:numPr>
    </w:pPr>
    <w:rPr>
      <w:rFonts w:eastAsia="Times New Roman"/>
      <w:lang w:eastAsia="fr-FR" w:bidi="fr-FR"/>
    </w:rPr>
  </w:style>
  <w:style w:type="paragraph" w:customStyle="1" w:styleId="ListDash2">
    <w:name w:val="List Dash 2"/>
    <w:basedOn w:val="Normal"/>
    <w:pPr>
      <w:numPr>
        <w:numId w:val="8"/>
      </w:numPr>
    </w:pPr>
    <w:rPr>
      <w:rFonts w:eastAsia="Times New Roman"/>
      <w:lang w:eastAsia="fr-FR" w:bidi="fr-FR"/>
    </w:rPr>
  </w:style>
  <w:style w:type="paragraph" w:customStyle="1" w:styleId="ListNumberLevel2">
    <w:name w:val="List Number (Level 2)"/>
    <w:basedOn w:val="Normal"/>
    <w:pPr>
      <w:numPr>
        <w:ilvl w:val="1"/>
        <w:numId w:val="9"/>
      </w:numPr>
    </w:pPr>
    <w:rPr>
      <w:rFonts w:eastAsia="Times New Roman"/>
      <w:lang w:eastAsia="fr-FR" w:bidi="fr-FR"/>
    </w:rPr>
  </w:style>
  <w:style w:type="paragraph" w:customStyle="1" w:styleId="ListNumberLevel3">
    <w:name w:val="List Number (Level 3)"/>
    <w:basedOn w:val="Normal"/>
    <w:pPr>
      <w:numPr>
        <w:ilvl w:val="2"/>
        <w:numId w:val="9"/>
      </w:numPr>
    </w:pPr>
    <w:rPr>
      <w:rFonts w:eastAsia="Times New Roman"/>
      <w:lang w:eastAsia="fr-FR" w:bidi="fr-FR"/>
    </w:rPr>
  </w:style>
  <w:style w:type="paragraph" w:customStyle="1" w:styleId="ListNumberLevel4">
    <w:name w:val="List Number (Level 4)"/>
    <w:basedOn w:val="Normal"/>
    <w:pPr>
      <w:numPr>
        <w:ilvl w:val="3"/>
        <w:numId w:val="9"/>
      </w:numPr>
    </w:pPr>
    <w:rPr>
      <w:rFonts w:eastAsia="Times New Roman"/>
      <w:lang w:eastAsia="fr-FR" w:bidi="fr-FR"/>
    </w:rPr>
  </w:style>
  <w:style w:type="table" w:styleId="TableGrid">
    <w:name w:val="Table Grid"/>
    <w:basedOn w:val="TableNormal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Pr>
      <w:color w:val="0000FF"/>
      <w:u w:val="single"/>
    </w:rPr>
  </w:style>
  <w:style w:type="paragraph" w:styleId="ListNumber2">
    <w:name w:val="List Number 2"/>
    <w:basedOn w:val="Normal"/>
    <w:pPr>
      <w:numPr>
        <w:numId w:val="13"/>
      </w:numPr>
    </w:pPr>
    <w:rPr>
      <w:rFonts w:eastAsia="Times New Roman"/>
      <w:lang w:eastAsia="fr-FR" w:bidi="fr-FR"/>
    </w:rPr>
  </w:style>
  <w:style w:type="paragraph" w:styleId="ListNumber3">
    <w:name w:val="List Number 3"/>
    <w:basedOn w:val="Normal"/>
    <w:pPr>
      <w:numPr>
        <w:numId w:val="14"/>
      </w:numPr>
    </w:pPr>
    <w:rPr>
      <w:rFonts w:eastAsia="Times New Roman"/>
      <w:lang w:eastAsia="fr-FR" w:bidi="fr-FR"/>
    </w:rPr>
  </w:style>
  <w:style w:type="paragraph" w:styleId="ListNumber4">
    <w:name w:val="List Number 4"/>
    <w:basedOn w:val="Normal"/>
    <w:pPr>
      <w:numPr>
        <w:numId w:val="15"/>
      </w:numPr>
    </w:pPr>
    <w:rPr>
      <w:rFonts w:eastAsia="Times New Roman"/>
      <w:lang w:eastAsia="fr-FR" w:bidi="fr-FR"/>
    </w:rPr>
  </w:style>
  <w:style w:type="paragraph" w:customStyle="1" w:styleId="ListDash3">
    <w:name w:val="List Dash 3"/>
    <w:basedOn w:val="Normal"/>
    <w:pPr>
      <w:numPr>
        <w:numId w:val="10"/>
      </w:numPr>
    </w:pPr>
    <w:rPr>
      <w:rFonts w:eastAsia="Times New Roman"/>
      <w:lang w:eastAsia="fr-FR" w:bidi="fr-FR"/>
    </w:rPr>
  </w:style>
  <w:style w:type="paragraph" w:customStyle="1" w:styleId="ListDash4">
    <w:name w:val="List Dash 4"/>
    <w:basedOn w:val="Normal"/>
    <w:pPr>
      <w:numPr>
        <w:numId w:val="11"/>
      </w:numPr>
    </w:pPr>
    <w:rPr>
      <w:rFonts w:eastAsia="Times New Roman"/>
      <w:lang w:eastAsia="fr-FR" w:bidi="fr-FR"/>
    </w:rPr>
  </w:style>
  <w:style w:type="paragraph" w:customStyle="1" w:styleId="ListNumber1">
    <w:name w:val="List Number 1"/>
    <w:basedOn w:val="Text1"/>
    <w:pPr>
      <w:numPr>
        <w:numId w:val="12"/>
      </w:numPr>
    </w:pPr>
    <w:rPr>
      <w:rFonts w:eastAsia="Times New Roman"/>
      <w:lang w:eastAsia="fr-FR" w:bidi="fr-FR"/>
    </w:rPr>
  </w:style>
  <w:style w:type="paragraph" w:customStyle="1" w:styleId="ListNumber1Level2">
    <w:name w:val="List Number 1 (Level 2)"/>
    <w:basedOn w:val="Text1"/>
    <w:pPr>
      <w:numPr>
        <w:ilvl w:val="1"/>
        <w:numId w:val="12"/>
      </w:numPr>
    </w:pPr>
    <w:rPr>
      <w:rFonts w:eastAsia="Times New Roman"/>
      <w:lang w:eastAsia="fr-FR" w:bidi="fr-FR"/>
    </w:rPr>
  </w:style>
  <w:style w:type="paragraph" w:customStyle="1" w:styleId="ListNumber2Level2">
    <w:name w:val="List Number 2 (Level 2)"/>
    <w:basedOn w:val="Text2"/>
    <w:pPr>
      <w:numPr>
        <w:ilvl w:val="1"/>
        <w:numId w:val="13"/>
      </w:numPr>
    </w:pPr>
    <w:rPr>
      <w:rFonts w:eastAsia="Times New Roman"/>
      <w:lang w:eastAsia="fr-FR" w:bidi="fr-FR"/>
    </w:rPr>
  </w:style>
  <w:style w:type="paragraph" w:customStyle="1" w:styleId="ListNumber3Level2">
    <w:name w:val="List Number 3 (Level 2)"/>
    <w:basedOn w:val="Text3"/>
    <w:pPr>
      <w:numPr>
        <w:ilvl w:val="1"/>
        <w:numId w:val="14"/>
      </w:numPr>
    </w:pPr>
    <w:rPr>
      <w:rFonts w:eastAsia="Times New Roman"/>
      <w:lang w:eastAsia="fr-FR" w:bidi="fr-FR"/>
    </w:rPr>
  </w:style>
  <w:style w:type="paragraph" w:customStyle="1" w:styleId="ListNumber4Level2">
    <w:name w:val="List Number 4 (Level 2)"/>
    <w:basedOn w:val="Text4"/>
    <w:pPr>
      <w:numPr>
        <w:ilvl w:val="1"/>
        <w:numId w:val="15"/>
      </w:numPr>
    </w:pPr>
    <w:rPr>
      <w:rFonts w:eastAsia="Times New Roman"/>
      <w:lang w:eastAsia="fr-FR" w:bidi="fr-FR"/>
    </w:rPr>
  </w:style>
  <w:style w:type="paragraph" w:customStyle="1" w:styleId="ListNumber1Level3">
    <w:name w:val="List Number 1 (Level 3)"/>
    <w:basedOn w:val="Text1"/>
    <w:pPr>
      <w:numPr>
        <w:ilvl w:val="2"/>
        <w:numId w:val="12"/>
      </w:numPr>
    </w:pPr>
    <w:rPr>
      <w:rFonts w:eastAsia="Times New Roman"/>
      <w:lang w:eastAsia="fr-FR" w:bidi="fr-FR"/>
    </w:rPr>
  </w:style>
  <w:style w:type="paragraph" w:customStyle="1" w:styleId="ListNumber2Level3">
    <w:name w:val="List Number 2 (Level 3)"/>
    <w:basedOn w:val="Text2"/>
    <w:pPr>
      <w:numPr>
        <w:ilvl w:val="2"/>
        <w:numId w:val="13"/>
      </w:numPr>
    </w:pPr>
    <w:rPr>
      <w:rFonts w:eastAsia="Times New Roman"/>
      <w:lang w:eastAsia="fr-FR" w:bidi="fr-FR"/>
    </w:rPr>
  </w:style>
  <w:style w:type="paragraph" w:customStyle="1" w:styleId="ListNumber3Level3">
    <w:name w:val="List Number 3 (Level 3)"/>
    <w:basedOn w:val="Text3"/>
    <w:pPr>
      <w:numPr>
        <w:ilvl w:val="2"/>
        <w:numId w:val="14"/>
      </w:numPr>
    </w:pPr>
    <w:rPr>
      <w:rFonts w:eastAsia="Times New Roman"/>
      <w:lang w:eastAsia="fr-FR" w:bidi="fr-FR"/>
    </w:rPr>
  </w:style>
  <w:style w:type="paragraph" w:customStyle="1" w:styleId="ListNumber4Level3">
    <w:name w:val="List Number 4 (Level 3)"/>
    <w:basedOn w:val="Text4"/>
    <w:pPr>
      <w:numPr>
        <w:ilvl w:val="2"/>
        <w:numId w:val="15"/>
      </w:numPr>
    </w:pPr>
    <w:rPr>
      <w:rFonts w:eastAsia="Times New Roman"/>
      <w:lang w:eastAsia="fr-FR" w:bidi="fr-FR"/>
    </w:rPr>
  </w:style>
  <w:style w:type="paragraph" w:customStyle="1" w:styleId="ListNumber1Level4">
    <w:name w:val="List Number 1 (Level 4)"/>
    <w:basedOn w:val="Text1"/>
    <w:pPr>
      <w:numPr>
        <w:ilvl w:val="3"/>
        <w:numId w:val="12"/>
      </w:numPr>
    </w:pPr>
    <w:rPr>
      <w:rFonts w:eastAsia="Times New Roman"/>
      <w:lang w:eastAsia="fr-FR" w:bidi="fr-FR"/>
    </w:rPr>
  </w:style>
  <w:style w:type="paragraph" w:customStyle="1" w:styleId="ListNumber2Level4">
    <w:name w:val="List Number 2 (Level 4)"/>
    <w:basedOn w:val="Text2"/>
    <w:pPr>
      <w:numPr>
        <w:ilvl w:val="3"/>
        <w:numId w:val="13"/>
      </w:numPr>
    </w:pPr>
    <w:rPr>
      <w:rFonts w:eastAsia="Times New Roman"/>
      <w:lang w:eastAsia="fr-FR" w:bidi="fr-FR"/>
    </w:rPr>
  </w:style>
  <w:style w:type="paragraph" w:customStyle="1" w:styleId="ListNumber3Level4">
    <w:name w:val="List Number 3 (Level 4)"/>
    <w:basedOn w:val="Text3"/>
    <w:pPr>
      <w:numPr>
        <w:ilvl w:val="3"/>
        <w:numId w:val="14"/>
      </w:numPr>
    </w:pPr>
    <w:rPr>
      <w:rFonts w:eastAsia="Times New Roman"/>
      <w:lang w:eastAsia="fr-FR" w:bidi="fr-FR"/>
    </w:rPr>
  </w:style>
  <w:style w:type="paragraph" w:customStyle="1" w:styleId="ListNumber4Level4">
    <w:name w:val="List Number 4 (Level 4)"/>
    <w:basedOn w:val="Text4"/>
    <w:pPr>
      <w:numPr>
        <w:ilvl w:val="3"/>
        <w:numId w:val="15"/>
      </w:numPr>
    </w:pPr>
    <w:rPr>
      <w:rFonts w:eastAsia="Times New Roman"/>
      <w:lang w:eastAsia="fr-FR" w:bidi="fr-FR"/>
    </w:rPr>
  </w:style>
  <w:style w:type="paragraph" w:customStyle="1" w:styleId="Annexetitreacte">
    <w:name w:val="Annexe titre (acte)"/>
    <w:basedOn w:val="Normal"/>
    <w:next w:val="Normal"/>
    <w:pPr>
      <w:jc w:val="center"/>
    </w:pPr>
    <w:rPr>
      <w:rFonts w:eastAsia="Times New Roman"/>
      <w:b/>
      <w:u w:val="single"/>
      <w:lang w:eastAsia="fr-FR" w:bidi="fr-FR"/>
    </w:rPr>
  </w:style>
  <w:style w:type="paragraph" w:customStyle="1" w:styleId="Annexetitreexposglobal">
    <w:name w:val="Annexe titre (exposé global)"/>
    <w:basedOn w:val="Normal"/>
    <w:next w:val="Normal"/>
    <w:pPr>
      <w:jc w:val="center"/>
    </w:pPr>
    <w:rPr>
      <w:rFonts w:eastAsia="Times New Roman"/>
      <w:b/>
      <w:u w:val="single"/>
      <w:lang w:eastAsia="fr-FR" w:bidi="fr-FR"/>
    </w:rPr>
  </w:style>
  <w:style w:type="paragraph" w:customStyle="1" w:styleId="Annexetitrefichefinacte">
    <w:name w:val="Annexe titre (fiche fin. acte)"/>
    <w:basedOn w:val="Normal"/>
    <w:next w:val="Normal"/>
    <w:pPr>
      <w:jc w:val="center"/>
    </w:pPr>
    <w:rPr>
      <w:rFonts w:eastAsia="Times New Roman"/>
      <w:b/>
      <w:u w:val="single"/>
      <w:lang w:eastAsia="fr-FR" w:bidi="fr-FR"/>
    </w:rPr>
  </w:style>
  <w:style w:type="paragraph" w:customStyle="1" w:styleId="Annexetitrefichefinglobale">
    <w:name w:val="Annexe titre (fiche fin. globale)"/>
    <w:basedOn w:val="Normal"/>
    <w:next w:val="Normal"/>
    <w:pPr>
      <w:jc w:val="center"/>
    </w:pPr>
    <w:rPr>
      <w:rFonts w:eastAsia="Times New Roman"/>
      <w:b/>
      <w:u w:val="single"/>
      <w:lang w:eastAsia="fr-FR" w:bidi="fr-FR"/>
    </w:rPr>
  </w:style>
  <w:style w:type="paragraph" w:customStyle="1" w:styleId="Annexetitreglobale">
    <w:name w:val="Annexe titre (globale)"/>
    <w:basedOn w:val="Normal"/>
    <w:next w:val="Normal"/>
    <w:pPr>
      <w:jc w:val="center"/>
    </w:pPr>
    <w:rPr>
      <w:rFonts w:eastAsia="Times New Roman"/>
      <w:b/>
      <w:u w:val="single"/>
      <w:lang w:eastAsia="fr-FR" w:bidi="fr-FR"/>
    </w:rPr>
  </w:style>
  <w:style w:type="paragraph" w:customStyle="1" w:styleId="Exposdesmotifstitreglobal">
    <w:name w:val="Exposé des motifs titre (global)"/>
    <w:basedOn w:val="Normal"/>
    <w:next w:val="Normal"/>
    <w:pPr>
      <w:jc w:val="center"/>
    </w:pPr>
    <w:rPr>
      <w:rFonts w:eastAsia="Times New Roman"/>
      <w:b/>
      <w:u w:val="single"/>
      <w:lang w:eastAsia="fr-FR" w:bidi="fr-FR"/>
    </w:rPr>
  </w:style>
  <w:style w:type="paragraph" w:customStyle="1" w:styleId="Langueoriginale">
    <w:name w:val="Langue originale"/>
    <w:basedOn w:val="Normal"/>
    <w:pPr>
      <w:spacing w:before="360"/>
      <w:jc w:val="center"/>
    </w:pPr>
    <w:rPr>
      <w:rFonts w:eastAsia="Times New Roman"/>
      <w:caps/>
      <w:lang w:eastAsia="fr-FR" w:bidi="fr-FR"/>
    </w:rPr>
  </w:style>
  <w:style w:type="paragraph" w:customStyle="1" w:styleId="Phrasefinale">
    <w:name w:val="Phrase finale"/>
    <w:basedOn w:val="Normal"/>
    <w:next w:val="Normal"/>
    <w:pPr>
      <w:spacing w:before="360" w:after="0"/>
      <w:jc w:val="center"/>
    </w:pPr>
    <w:rPr>
      <w:rFonts w:eastAsia="Times New Roman"/>
      <w:lang w:eastAsia="fr-FR" w:bidi="fr-FR"/>
    </w:rPr>
  </w:style>
  <w:style w:type="paragraph" w:customStyle="1" w:styleId="Prliminairetitre">
    <w:name w:val="Préliminaire titre"/>
    <w:basedOn w:val="Normal"/>
    <w:next w:val="Normal"/>
    <w:pPr>
      <w:spacing w:before="360" w:after="360"/>
      <w:jc w:val="center"/>
    </w:pPr>
    <w:rPr>
      <w:rFonts w:eastAsia="Times New Roman"/>
      <w:b/>
      <w:lang w:eastAsia="fr-FR" w:bidi="fr-FR"/>
    </w:rPr>
  </w:style>
  <w:style w:type="paragraph" w:customStyle="1" w:styleId="Prliminairetype">
    <w:name w:val="Préliminaire type"/>
    <w:basedOn w:val="Normal"/>
    <w:next w:val="Normal"/>
    <w:pPr>
      <w:spacing w:before="360" w:after="0"/>
      <w:jc w:val="center"/>
    </w:pPr>
    <w:rPr>
      <w:rFonts w:eastAsia="Times New Roman"/>
      <w:b/>
      <w:lang w:eastAsia="fr-FR" w:bidi="fr-FR"/>
    </w:rPr>
  </w:style>
  <w:style w:type="paragraph" w:customStyle="1" w:styleId="Rfrenceinstitutionelle">
    <w:name w:val="Référence institutionelle"/>
    <w:basedOn w:val="Normal"/>
    <w:next w:val="Statut"/>
    <w:pPr>
      <w:spacing w:before="0" w:after="240"/>
      <w:ind w:left="5103"/>
      <w:jc w:val="left"/>
    </w:pPr>
    <w:rPr>
      <w:rFonts w:eastAsia="Times New Roman"/>
      <w:lang w:eastAsia="fr-FR" w:bidi="fr-FR"/>
    </w:rPr>
  </w:style>
  <w:style w:type="paragraph" w:customStyle="1" w:styleId="Rfrenceinterinstitutionelle">
    <w:name w:val="Référence interinstitutionelle"/>
    <w:basedOn w:val="Normal"/>
    <w:next w:val="Statut"/>
    <w:pPr>
      <w:spacing w:before="0" w:after="0"/>
      <w:ind w:left="5103"/>
      <w:jc w:val="left"/>
    </w:pPr>
    <w:rPr>
      <w:rFonts w:eastAsia="Times New Roman"/>
      <w:lang w:eastAsia="fr-FR" w:bidi="fr-FR"/>
    </w:rPr>
  </w:style>
  <w:style w:type="paragraph" w:customStyle="1" w:styleId="Rfrenceinterinstitutionelleprliminaire">
    <w:name w:val="Référence interinstitutionelle (préliminaire)"/>
    <w:basedOn w:val="Normal"/>
    <w:next w:val="Normal"/>
    <w:pPr>
      <w:spacing w:before="0" w:after="0"/>
      <w:ind w:left="5103"/>
      <w:jc w:val="left"/>
    </w:pPr>
    <w:rPr>
      <w:rFonts w:eastAsia="Times New Roman"/>
      <w:lang w:eastAsia="fr-FR" w:bidi="fr-FR"/>
    </w:rPr>
  </w:style>
  <w:style w:type="paragraph" w:customStyle="1" w:styleId="Sous-titreobjetprliminaire">
    <w:name w:val="Sous-titre objet (préliminaire)"/>
    <w:basedOn w:val="Normal"/>
    <w:pPr>
      <w:spacing w:before="0" w:after="0"/>
      <w:jc w:val="center"/>
    </w:pPr>
    <w:rPr>
      <w:rFonts w:eastAsia="Times New Roman"/>
      <w:b/>
      <w:lang w:eastAsia="fr-FR" w:bidi="fr-FR"/>
    </w:rPr>
  </w:style>
  <w:style w:type="paragraph" w:customStyle="1" w:styleId="Statutprliminaire">
    <w:name w:val="Statut (préliminaire)"/>
    <w:basedOn w:val="Normal"/>
    <w:next w:val="Normal"/>
    <w:pPr>
      <w:spacing w:before="360" w:after="0"/>
      <w:jc w:val="center"/>
    </w:pPr>
    <w:rPr>
      <w:rFonts w:eastAsia="Times New Roman"/>
      <w:lang w:eastAsia="fr-FR" w:bidi="fr-FR"/>
    </w:rPr>
  </w:style>
  <w:style w:type="paragraph" w:customStyle="1" w:styleId="Titreobjetprliminaire">
    <w:name w:val="Titre objet (préliminaire)"/>
    <w:basedOn w:val="Normal"/>
    <w:next w:val="Normal"/>
    <w:pPr>
      <w:spacing w:before="360" w:after="360"/>
      <w:jc w:val="center"/>
    </w:pPr>
    <w:rPr>
      <w:rFonts w:eastAsia="Times New Roman"/>
      <w:b/>
      <w:lang w:eastAsia="fr-FR" w:bidi="fr-FR"/>
    </w:rPr>
  </w:style>
  <w:style w:type="paragraph" w:customStyle="1" w:styleId="Typedudocumentprliminaire">
    <w:name w:val="Type du document (préliminaire)"/>
    <w:basedOn w:val="Normal"/>
    <w:next w:val="Normal"/>
    <w:pPr>
      <w:spacing w:before="360" w:after="0"/>
      <w:jc w:val="center"/>
    </w:pPr>
    <w:rPr>
      <w:rFonts w:eastAsia="Times New Roman"/>
      <w:b/>
      <w:lang w:eastAsia="fr-FR" w:bidi="fr-FR"/>
    </w:rPr>
  </w:style>
  <w:style w:type="paragraph" w:customStyle="1" w:styleId="Fichefinancirestandardtitre">
    <w:name w:val="Fiche financière (standard) titre"/>
    <w:basedOn w:val="Normal"/>
    <w:next w:val="Normal"/>
    <w:pPr>
      <w:jc w:val="center"/>
    </w:pPr>
    <w:rPr>
      <w:rFonts w:eastAsia="Times New Roman"/>
      <w:b/>
      <w:u w:val="single"/>
      <w:lang w:eastAsia="fr-FR" w:bidi="fr-FR"/>
    </w:rPr>
  </w:style>
  <w:style w:type="paragraph" w:customStyle="1" w:styleId="Fichefinancirestandardtitreacte">
    <w:name w:val="Fiche financière (standard) titre (acte)"/>
    <w:basedOn w:val="Normal"/>
    <w:next w:val="Normal"/>
    <w:pPr>
      <w:jc w:val="center"/>
    </w:pPr>
    <w:rPr>
      <w:rFonts w:eastAsia="Times New Roman"/>
      <w:b/>
      <w:u w:val="single"/>
      <w:lang w:eastAsia="fr-FR" w:bidi="fr-FR"/>
    </w:rPr>
  </w:style>
  <w:style w:type="paragraph" w:customStyle="1" w:styleId="Fichefinanciretravailtitre">
    <w:name w:val="Fiche financière (travail) titre"/>
    <w:basedOn w:val="Normal"/>
    <w:next w:val="Normal"/>
    <w:pPr>
      <w:jc w:val="center"/>
    </w:pPr>
    <w:rPr>
      <w:rFonts w:eastAsia="Times New Roman"/>
      <w:b/>
      <w:u w:val="single"/>
      <w:lang w:eastAsia="fr-FR" w:bidi="fr-FR"/>
    </w:rPr>
  </w:style>
  <w:style w:type="paragraph" w:customStyle="1" w:styleId="Fichefinanciretravailtitreacte">
    <w:name w:val="Fiche financière (travail) titre (acte)"/>
    <w:basedOn w:val="Normal"/>
    <w:next w:val="Normal"/>
    <w:pPr>
      <w:jc w:val="center"/>
    </w:pPr>
    <w:rPr>
      <w:rFonts w:eastAsia="Times New Roman"/>
      <w:b/>
      <w:u w:val="single"/>
      <w:lang w:eastAsia="fr-FR" w:bidi="fr-FR"/>
    </w:rPr>
  </w:style>
  <w:style w:type="paragraph" w:customStyle="1" w:styleId="Fichefinancireattributiontitre">
    <w:name w:val="Fiche financière (attribution) titre"/>
    <w:basedOn w:val="Normal"/>
    <w:next w:val="Normal"/>
    <w:pPr>
      <w:jc w:val="center"/>
    </w:pPr>
    <w:rPr>
      <w:rFonts w:eastAsia="Times New Roman"/>
      <w:b/>
      <w:u w:val="single"/>
      <w:lang w:eastAsia="fr-FR" w:bidi="fr-FR"/>
    </w:rPr>
  </w:style>
  <w:style w:type="paragraph" w:customStyle="1" w:styleId="Fichefinancireattributiontitreacte">
    <w:name w:val="Fiche financière (attribution) titre (acte)"/>
    <w:basedOn w:val="Normal"/>
    <w:next w:val="Normal"/>
    <w:pPr>
      <w:jc w:val="center"/>
    </w:pPr>
    <w:rPr>
      <w:rFonts w:eastAsia="Times New Roman"/>
      <w:b/>
      <w:u w:val="single"/>
      <w:lang w:eastAsia="fr-FR" w:bidi="fr-FR"/>
    </w:rPr>
  </w:style>
  <w:style w:type="character" w:styleId="CommentReference">
    <w:name w:val="annotation referenc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Pr>
      <w:rFonts w:eastAsia="Times New Roman"/>
      <w:sz w:val="20"/>
      <w:szCs w:val="20"/>
      <w:lang w:eastAsia="fr-FR" w:bidi="fr-FR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szCs w:val="20"/>
      <w:lang w:val="mt-MT" w:eastAsia="fr-FR" w:bidi="fr-FR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eastAsia="Times New Roman" w:hAnsi="Times New Roman" w:cs="Times New Roman"/>
      <w:b/>
      <w:bCs/>
      <w:sz w:val="20"/>
      <w:szCs w:val="20"/>
      <w:lang w:val="mt-MT" w:eastAsia="fr-FR" w:bidi="fr-FR"/>
    </w:rPr>
  </w:style>
  <w:style w:type="paragraph" w:styleId="BalloonText">
    <w:name w:val="Balloon Text"/>
    <w:basedOn w:val="Normal"/>
    <w:link w:val="BalloonTextChar"/>
    <w:rPr>
      <w:rFonts w:ascii="Tahoma" w:eastAsia="Times New Roman" w:hAnsi="Tahoma" w:cs="Tahoma"/>
      <w:sz w:val="16"/>
      <w:szCs w:val="16"/>
      <w:lang w:eastAsia="fr-FR" w:bidi="fr-FR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imes New Roman" w:hAnsi="Tahoma" w:cs="Tahoma"/>
      <w:sz w:val="16"/>
      <w:szCs w:val="16"/>
      <w:lang w:val="mt-MT" w:eastAsia="fr-FR" w:bidi="fr-FR"/>
    </w:rPr>
  </w:style>
  <w:style w:type="paragraph" w:styleId="Caption">
    <w:name w:val="caption"/>
    <w:basedOn w:val="Normal"/>
    <w:next w:val="Normal"/>
    <w:qFormat/>
    <w:rPr>
      <w:rFonts w:eastAsia="Times New Roman"/>
      <w:b/>
      <w:bCs/>
      <w:sz w:val="20"/>
      <w:szCs w:val="20"/>
      <w:lang w:eastAsia="fr-FR" w:bidi="fr-FR"/>
    </w:rPr>
  </w:style>
  <w:style w:type="paragraph" w:styleId="TableofFigures">
    <w:name w:val="table of figures"/>
    <w:basedOn w:val="Normal"/>
    <w:next w:val="Normal"/>
    <w:rPr>
      <w:rFonts w:eastAsia="Times New Roman"/>
      <w:lang w:eastAsia="fr-FR" w:bidi="fr-FR"/>
    </w:rPr>
  </w:style>
  <w:style w:type="character" w:styleId="PageNumber">
    <w:name w:val="page number"/>
  </w:style>
  <w:style w:type="character" w:customStyle="1" w:styleId="tw4winMark">
    <w:name w:val="tw4winMark"/>
    <w:rPr>
      <w:vanish/>
      <w:color w:val="800080"/>
      <w:vertAlign w:val="sub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rFonts w:eastAsia="Times New Roman"/>
      <w:b/>
      <w:lang w:eastAsia="fr-FR" w:bidi="fr-FR"/>
    </w:rPr>
  </w:style>
  <w:style w:type="paragraph" w:customStyle="1" w:styleId="Sous-titreobjetPagedecouverture">
    <w:name w:val="Sous-titre objet (Page de couverture)"/>
    <w:basedOn w:val="Sous-titreobjet"/>
  </w:style>
  <w:style w:type="character" w:customStyle="1" w:styleId="TOCHeadingChar">
    <w:name w:val="TOC Heading Char"/>
    <w:uiPriority w:val="39"/>
    <w:rPr>
      <w:rFonts w:ascii="Times New Roman" w:hAnsi="Times New Roman" w:cs="Times New Roman"/>
      <w:b/>
      <w:sz w:val="28"/>
      <w:lang w:val="mt-MT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rFonts w:eastAsia="Calibri"/>
      <w:lang w:eastAsia="fr-FR" w:bidi="fr-FR"/>
    </w:rPr>
  </w:style>
  <w:style w:type="character" w:customStyle="1" w:styleId="FooterCoverPageChar">
    <w:name w:val="Footer Cover Page Char"/>
    <w:link w:val="FooterCoverPage"/>
    <w:rPr>
      <w:rFonts w:ascii="Times New Roman" w:eastAsia="Calibri" w:hAnsi="Times New Roman" w:cs="Times New Roman"/>
      <w:sz w:val="24"/>
      <w:lang w:val="mt-MT" w:eastAsia="fr-FR" w:bidi="fr-FR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  <w:rPr>
      <w:rFonts w:eastAsia="Calibri"/>
      <w:lang w:eastAsia="fr-FR" w:bidi="fr-FR"/>
    </w:rPr>
  </w:style>
  <w:style w:type="character" w:customStyle="1" w:styleId="HeaderCoverPageChar">
    <w:name w:val="Header Cover Page Char"/>
    <w:link w:val="HeaderCoverPage"/>
    <w:rPr>
      <w:rFonts w:ascii="Times New Roman" w:eastAsia="Calibri" w:hAnsi="Times New Roman" w:cs="Times New Roman"/>
      <w:sz w:val="24"/>
      <w:lang w:val="mt-MT" w:eastAsia="fr-FR" w:bidi="fr-FR"/>
    </w:rPr>
  </w:style>
  <w:style w:type="paragraph" w:customStyle="1" w:styleId="Normal1">
    <w:name w:val="Normal1"/>
    <w:basedOn w:val="Normal"/>
    <w:pPr>
      <w:spacing w:after="0"/>
    </w:pPr>
    <w:rPr>
      <w:szCs w:val="24"/>
      <w:lang w:eastAsia="en-GB"/>
    </w:rPr>
  </w:style>
  <w:style w:type="paragraph" w:customStyle="1" w:styleId="doc-ti">
    <w:name w:val="doc-ti"/>
    <w:basedOn w:val="Normal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2"/>
      </w:numPr>
    </w:pPr>
  </w:style>
  <w:style w:type="paragraph" w:customStyle="1" w:styleId="Tiret1">
    <w:name w:val="Tiret 1"/>
    <w:basedOn w:val="Point1"/>
    <w:pPr>
      <w:numPr>
        <w:numId w:val="33"/>
      </w:numPr>
    </w:pPr>
  </w:style>
  <w:style w:type="paragraph" w:customStyle="1" w:styleId="Tiret2">
    <w:name w:val="Tiret 2"/>
    <w:basedOn w:val="Point2"/>
    <w:pPr>
      <w:numPr>
        <w:numId w:val="34"/>
      </w:numPr>
    </w:pPr>
  </w:style>
  <w:style w:type="paragraph" w:customStyle="1" w:styleId="Tiret3">
    <w:name w:val="Tiret 3"/>
    <w:basedOn w:val="Point3"/>
    <w:pPr>
      <w:numPr>
        <w:numId w:val="35"/>
      </w:numPr>
    </w:pPr>
  </w:style>
  <w:style w:type="paragraph" w:customStyle="1" w:styleId="Tiret4">
    <w:name w:val="Tiret 4"/>
    <w:basedOn w:val="Point4"/>
    <w:pPr>
      <w:numPr>
        <w:numId w:val="3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9"/>
      </w:numPr>
    </w:pPr>
  </w:style>
  <w:style w:type="paragraph" w:customStyle="1" w:styleId="Point1number">
    <w:name w:val="Point 1 (number)"/>
    <w:basedOn w:val="Normal"/>
    <w:pPr>
      <w:numPr>
        <w:ilvl w:val="2"/>
        <w:numId w:val="39"/>
      </w:numPr>
    </w:pPr>
  </w:style>
  <w:style w:type="paragraph" w:customStyle="1" w:styleId="Point2number">
    <w:name w:val="Point 2 (number)"/>
    <w:basedOn w:val="Normal"/>
    <w:pPr>
      <w:numPr>
        <w:ilvl w:val="4"/>
        <w:numId w:val="39"/>
      </w:numPr>
    </w:pPr>
  </w:style>
  <w:style w:type="paragraph" w:customStyle="1" w:styleId="Point3number">
    <w:name w:val="Point 3 (number)"/>
    <w:basedOn w:val="Normal"/>
    <w:pPr>
      <w:numPr>
        <w:ilvl w:val="6"/>
        <w:numId w:val="39"/>
      </w:numPr>
    </w:pPr>
  </w:style>
  <w:style w:type="paragraph" w:customStyle="1" w:styleId="Point0letter">
    <w:name w:val="Point 0 (letter)"/>
    <w:basedOn w:val="Normal"/>
    <w:pPr>
      <w:numPr>
        <w:ilvl w:val="1"/>
        <w:numId w:val="39"/>
      </w:numPr>
    </w:pPr>
  </w:style>
  <w:style w:type="paragraph" w:customStyle="1" w:styleId="Point1letter">
    <w:name w:val="Point 1 (letter)"/>
    <w:basedOn w:val="Normal"/>
    <w:pPr>
      <w:numPr>
        <w:ilvl w:val="3"/>
        <w:numId w:val="39"/>
      </w:numPr>
    </w:pPr>
  </w:style>
  <w:style w:type="paragraph" w:customStyle="1" w:styleId="Point2letter">
    <w:name w:val="Point 2 (letter)"/>
    <w:basedOn w:val="Normal"/>
    <w:pPr>
      <w:numPr>
        <w:ilvl w:val="5"/>
        <w:numId w:val="39"/>
      </w:numPr>
    </w:pPr>
  </w:style>
  <w:style w:type="paragraph" w:customStyle="1" w:styleId="Point3letter">
    <w:name w:val="Point 3 (letter)"/>
    <w:basedOn w:val="Normal"/>
    <w:pPr>
      <w:numPr>
        <w:ilvl w:val="7"/>
        <w:numId w:val="39"/>
      </w:numPr>
    </w:pPr>
  </w:style>
  <w:style w:type="paragraph" w:customStyle="1" w:styleId="Point4letter">
    <w:name w:val="Point 4 (letter)"/>
    <w:basedOn w:val="Normal"/>
    <w:pPr>
      <w:numPr>
        <w:ilvl w:val="8"/>
        <w:numId w:val="39"/>
      </w:numPr>
    </w:pPr>
  </w:style>
  <w:style w:type="paragraph" w:customStyle="1" w:styleId="Bullet0">
    <w:name w:val="Bullet 0"/>
    <w:basedOn w:val="Normal"/>
    <w:pPr>
      <w:numPr>
        <w:numId w:val="40"/>
      </w:numPr>
    </w:pPr>
  </w:style>
  <w:style w:type="paragraph" w:customStyle="1" w:styleId="Bullet1">
    <w:name w:val="Bullet 1"/>
    <w:basedOn w:val="Normal"/>
    <w:pPr>
      <w:numPr>
        <w:numId w:val="41"/>
      </w:numPr>
    </w:pPr>
  </w:style>
  <w:style w:type="paragraph" w:customStyle="1" w:styleId="Bullet2">
    <w:name w:val="Bullet 2"/>
    <w:basedOn w:val="Normal"/>
    <w:pPr>
      <w:numPr>
        <w:numId w:val="42"/>
      </w:numPr>
    </w:pPr>
  </w:style>
  <w:style w:type="paragraph" w:customStyle="1" w:styleId="Bullet3">
    <w:name w:val="Bullet 3"/>
    <w:basedOn w:val="Normal"/>
    <w:pPr>
      <w:numPr>
        <w:numId w:val="43"/>
      </w:numPr>
    </w:pPr>
  </w:style>
  <w:style w:type="paragraph" w:customStyle="1" w:styleId="Bullet4">
    <w:name w:val="Bullet 4"/>
    <w:basedOn w:val="Normal"/>
    <w:pPr>
      <w:numPr>
        <w:numId w:val="44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nhideWhenUsed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Number">
    <w:name w:val="List Number"/>
    <w:basedOn w:val="Normal"/>
    <w:pPr>
      <w:numPr>
        <w:numId w:val="9"/>
      </w:numPr>
    </w:pPr>
    <w:rPr>
      <w:rFonts w:eastAsia="Times New Roman"/>
      <w:lang w:eastAsia="fr-FR" w:bidi="fr-FR"/>
    </w:rPr>
  </w:style>
  <w:style w:type="paragraph" w:customStyle="1" w:styleId="ListBullet1">
    <w:name w:val="List Bullet 1"/>
    <w:basedOn w:val="Normal"/>
    <w:pPr>
      <w:numPr>
        <w:numId w:val="5"/>
      </w:numPr>
    </w:pPr>
    <w:rPr>
      <w:rFonts w:eastAsia="Times New Roman"/>
      <w:lang w:eastAsia="fr-FR" w:bidi="fr-FR"/>
    </w:rPr>
  </w:style>
  <w:style w:type="paragraph" w:customStyle="1" w:styleId="ListDash">
    <w:name w:val="List Dash"/>
    <w:basedOn w:val="Normal"/>
    <w:pPr>
      <w:numPr>
        <w:numId w:val="6"/>
      </w:numPr>
    </w:pPr>
    <w:rPr>
      <w:rFonts w:eastAsia="Times New Roman"/>
      <w:lang w:eastAsia="fr-FR" w:bidi="fr-FR"/>
    </w:rPr>
  </w:style>
  <w:style w:type="paragraph" w:customStyle="1" w:styleId="ListDash1">
    <w:name w:val="List Dash 1"/>
    <w:basedOn w:val="Normal"/>
    <w:pPr>
      <w:numPr>
        <w:numId w:val="7"/>
      </w:numPr>
    </w:pPr>
    <w:rPr>
      <w:rFonts w:eastAsia="Times New Roman"/>
      <w:lang w:eastAsia="fr-FR" w:bidi="fr-FR"/>
    </w:rPr>
  </w:style>
  <w:style w:type="paragraph" w:customStyle="1" w:styleId="ListDash2">
    <w:name w:val="List Dash 2"/>
    <w:basedOn w:val="Normal"/>
    <w:pPr>
      <w:numPr>
        <w:numId w:val="8"/>
      </w:numPr>
    </w:pPr>
    <w:rPr>
      <w:rFonts w:eastAsia="Times New Roman"/>
      <w:lang w:eastAsia="fr-FR" w:bidi="fr-FR"/>
    </w:rPr>
  </w:style>
  <w:style w:type="paragraph" w:customStyle="1" w:styleId="ListNumberLevel2">
    <w:name w:val="List Number (Level 2)"/>
    <w:basedOn w:val="Normal"/>
    <w:pPr>
      <w:numPr>
        <w:ilvl w:val="1"/>
        <w:numId w:val="9"/>
      </w:numPr>
    </w:pPr>
    <w:rPr>
      <w:rFonts w:eastAsia="Times New Roman"/>
      <w:lang w:eastAsia="fr-FR" w:bidi="fr-FR"/>
    </w:rPr>
  </w:style>
  <w:style w:type="paragraph" w:customStyle="1" w:styleId="ListNumberLevel3">
    <w:name w:val="List Number (Level 3)"/>
    <w:basedOn w:val="Normal"/>
    <w:pPr>
      <w:numPr>
        <w:ilvl w:val="2"/>
        <w:numId w:val="9"/>
      </w:numPr>
    </w:pPr>
    <w:rPr>
      <w:rFonts w:eastAsia="Times New Roman"/>
      <w:lang w:eastAsia="fr-FR" w:bidi="fr-FR"/>
    </w:rPr>
  </w:style>
  <w:style w:type="paragraph" w:customStyle="1" w:styleId="ListNumberLevel4">
    <w:name w:val="List Number (Level 4)"/>
    <w:basedOn w:val="Normal"/>
    <w:pPr>
      <w:numPr>
        <w:ilvl w:val="3"/>
        <w:numId w:val="9"/>
      </w:numPr>
    </w:pPr>
    <w:rPr>
      <w:rFonts w:eastAsia="Times New Roman"/>
      <w:lang w:eastAsia="fr-FR" w:bidi="fr-FR"/>
    </w:rPr>
  </w:style>
  <w:style w:type="table" w:styleId="TableGrid">
    <w:name w:val="Table Grid"/>
    <w:basedOn w:val="TableNormal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Pr>
      <w:color w:val="0000FF"/>
      <w:u w:val="single"/>
    </w:rPr>
  </w:style>
  <w:style w:type="paragraph" w:styleId="ListNumber2">
    <w:name w:val="List Number 2"/>
    <w:basedOn w:val="Normal"/>
    <w:pPr>
      <w:numPr>
        <w:numId w:val="13"/>
      </w:numPr>
    </w:pPr>
    <w:rPr>
      <w:rFonts w:eastAsia="Times New Roman"/>
      <w:lang w:eastAsia="fr-FR" w:bidi="fr-FR"/>
    </w:rPr>
  </w:style>
  <w:style w:type="paragraph" w:styleId="ListNumber3">
    <w:name w:val="List Number 3"/>
    <w:basedOn w:val="Normal"/>
    <w:pPr>
      <w:numPr>
        <w:numId w:val="14"/>
      </w:numPr>
    </w:pPr>
    <w:rPr>
      <w:rFonts w:eastAsia="Times New Roman"/>
      <w:lang w:eastAsia="fr-FR" w:bidi="fr-FR"/>
    </w:rPr>
  </w:style>
  <w:style w:type="paragraph" w:styleId="ListNumber4">
    <w:name w:val="List Number 4"/>
    <w:basedOn w:val="Normal"/>
    <w:pPr>
      <w:numPr>
        <w:numId w:val="15"/>
      </w:numPr>
    </w:pPr>
    <w:rPr>
      <w:rFonts w:eastAsia="Times New Roman"/>
      <w:lang w:eastAsia="fr-FR" w:bidi="fr-FR"/>
    </w:rPr>
  </w:style>
  <w:style w:type="paragraph" w:customStyle="1" w:styleId="ListDash3">
    <w:name w:val="List Dash 3"/>
    <w:basedOn w:val="Normal"/>
    <w:pPr>
      <w:numPr>
        <w:numId w:val="10"/>
      </w:numPr>
    </w:pPr>
    <w:rPr>
      <w:rFonts w:eastAsia="Times New Roman"/>
      <w:lang w:eastAsia="fr-FR" w:bidi="fr-FR"/>
    </w:rPr>
  </w:style>
  <w:style w:type="paragraph" w:customStyle="1" w:styleId="ListDash4">
    <w:name w:val="List Dash 4"/>
    <w:basedOn w:val="Normal"/>
    <w:pPr>
      <w:numPr>
        <w:numId w:val="11"/>
      </w:numPr>
    </w:pPr>
    <w:rPr>
      <w:rFonts w:eastAsia="Times New Roman"/>
      <w:lang w:eastAsia="fr-FR" w:bidi="fr-FR"/>
    </w:rPr>
  </w:style>
  <w:style w:type="paragraph" w:customStyle="1" w:styleId="ListNumber1">
    <w:name w:val="List Number 1"/>
    <w:basedOn w:val="Text1"/>
    <w:pPr>
      <w:numPr>
        <w:numId w:val="12"/>
      </w:numPr>
    </w:pPr>
    <w:rPr>
      <w:rFonts w:eastAsia="Times New Roman"/>
      <w:lang w:eastAsia="fr-FR" w:bidi="fr-FR"/>
    </w:rPr>
  </w:style>
  <w:style w:type="paragraph" w:customStyle="1" w:styleId="ListNumber1Level2">
    <w:name w:val="List Number 1 (Level 2)"/>
    <w:basedOn w:val="Text1"/>
    <w:pPr>
      <w:numPr>
        <w:ilvl w:val="1"/>
        <w:numId w:val="12"/>
      </w:numPr>
    </w:pPr>
    <w:rPr>
      <w:rFonts w:eastAsia="Times New Roman"/>
      <w:lang w:eastAsia="fr-FR" w:bidi="fr-FR"/>
    </w:rPr>
  </w:style>
  <w:style w:type="paragraph" w:customStyle="1" w:styleId="ListNumber2Level2">
    <w:name w:val="List Number 2 (Level 2)"/>
    <w:basedOn w:val="Text2"/>
    <w:pPr>
      <w:numPr>
        <w:ilvl w:val="1"/>
        <w:numId w:val="13"/>
      </w:numPr>
    </w:pPr>
    <w:rPr>
      <w:rFonts w:eastAsia="Times New Roman"/>
      <w:lang w:eastAsia="fr-FR" w:bidi="fr-FR"/>
    </w:rPr>
  </w:style>
  <w:style w:type="paragraph" w:customStyle="1" w:styleId="ListNumber3Level2">
    <w:name w:val="List Number 3 (Level 2)"/>
    <w:basedOn w:val="Text3"/>
    <w:pPr>
      <w:numPr>
        <w:ilvl w:val="1"/>
        <w:numId w:val="14"/>
      </w:numPr>
    </w:pPr>
    <w:rPr>
      <w:rFonts w:eastAsia="Times New Roman"/>
      <w:lang w:eastAsia="fr-FR" w:bidi="fr-FR"/>
    </w:rPr>
  </w:style>
  <w:style w:type="paragraph" w:customStyle="1" w:styleId="ListNumber4Level2">
    <w:name w:val="List Number 4 (Level 2)"/>
    <w:basedOn w:val="Text4"/>
    <w:pPr>
      <w:numPr>
        <w:ilvl w:val="1"/>
        <w:numId w:val="15"/>
      </w:numPr>
    </w:pPr>
    <w:rPr>
      <w:rFonts w:eastAsia="Times New Roman"/>
      <w:lang w:eastAsia="fr-FR" w:bidi="fr-FR"/>
    </w:rPr>
  </w:style>
  <w:style w:type="paragraph" w:customStyle="1" w:styleId="ListNumber1Level3">
    <w:name w:val="List Number 1 (Level 3)"/>
    <w:basedOn w:val="Text1"/>
    <w:pPr>
      <w:numPr>
        <w:ilvl w:val="2"/>
        <w:numId w:val="12"/>
      </w:numPr>
    </w:pPr>
    <w:rPr>
      <w:rFonts w:eastAsia="Times New Roman"/>
      <w:lang w:eastAsia="fr-FR" w:bidi="fr-FR"/>
    </w:rPr>
  </w:style>
  <w:style w:type="paragraph" w:customStyle="1" w:styleId="ListNumber2Level3">
    <w:name w:val="List Number 2 (Level 3)"/>
    <w:basedOn w:val="Text2"/>
    <w:pPr>
      <w:numPr>
        <w:ilvl w:val="2"/>
        <w:numId w:val="13"/>
      </w:numPr>
    </w:pPr>
    <w:rPr>
      <w:rFonts w:eastAsia="Times New Roman"/>
      <w:lang w:eastAsia="fr-FR" w:bidi="fr-FR"/>
    </w:rPr>
  </w:style>
  <w:style w:type="paragraph" w:customStyle="1" w:styleId="ListNumber3Level3">
    <w:name w:val="List Number 3 (Level 3)"/>
    <w:basedOn w:val="Text3"/>
    <w:pPr>
      <w:numPr>
        <w:ilvl w:val="2"/>
        <w:numId w:val="14"/>
      </w:numPr>
    </w:pPr>
    <w:rPr>
      <w:rFonts w:eastAsia="Times New Roman"/>
      <w:lang w:eastAsia="fr-FR" w:bidi="fr-FR"/>
    </w:rPr>
  </w:style>
  <w:style w:type="paragraph" w:customStyle="1" w:styleId="ListNumber4Level3">
    <w:name w:val="List Number 4 (Level 3)"/>
    <w:basedOn w:val="Text4"/>
    <w:pPr>
      <w:numPr>
        <w:ilvl w:val="2"/>
        <w:numId w:val="15"/>
      </w:numPr>
    </w:pPr>
    <w:rPr>
      <w:rFonts w:eastAsia="Times New Roman"/>
      <w:lang w:eastAsia="fr-FR" w:bidi="fr-FR"/>
    </w:rPr>
  </w:style>
  <w:style w:type="paragraph" w:customStyle="1" w:styleId="ListNumber1Level4">
    <w:name w:val="List Number 1 (Level 4)"/>
    <w:basedOn w:val="Text1"/>
    <w:pPr>
      <w:numPr>
        <w:ilvl w:val="3"/>
        <w:numId w:val="12"/>
      </w:numPr>
    </w:pPr>
    <w:rPr>
      <w:rFonts w:eastAsia="Times New Roman"/>
      <w:lang w:eastAsia="fr-FR" w:bidi="fr-FR"/>
    </w:rPr>
  </w:style>
  <w:style w:type="paragraph" w:customStyle="1" w:styleId="ListNumber2Level4">
    <w:name w:val="List Number 2 (Level 4)"/>
    <w:basedOn w:val="Text2"/>
    <w:pPr>
      <w:numPr>
        <w:ilvl w:val="3"/>
        <w:numId w:val="13"/>
      </w:numPr>
    </w:pPr>
    <w:rPr>
      <w:rFonts w:eastAsia="Times New Roman"/>
      <w:lang w:eastAsia="fr-FR" w:bidi="fr-FR"/>
    </w:rPr>
  </w:style>
  <w:style w:type="paragraph" w:customStyle="1" w:styleId="ListNumber3Level4">
    <w:name w:val="List Number 3 (Level 4)"/>
    <w:basedOn w:val="Text3"/>
    <w:pPr>
      <w:numPr>
        <w:ilvl w:val="3"/>
        <w:numId w:val="14"/>
      </w:numPr>
    </w:pPr>
    <w:rPr>
      <w:rFonts w:eastAsia="Times New Roman"/>
      <w:lang w:eastAsia="fr-FR" w:bidi="fr-FR"/>
    </w:rPr>
  </w:style>
  <w:style w:type="paragraph" w:customStyle="1" w:styleId="ListNumber4Level4">
    <w:name w:val="List Number 4 (Level 4)"/>
    <w:basedOn w:val="Text4"/>
    <w:pPr>
      <w:numPr>
        <w:ilvl w:val="3"/>
        <w:numId w:val="15"/>
      </w:numPr>
    </w:pPr>
    <w:rPr>
      <w:rFonts w:eastAsia="Times New Roman"/>
      <w:lang w:eastAsia="fr-FR" w:bidi="fr-FR"/>
    </w:rPr>
  </w:style>
  <w:style w:type="paragraph" w:customStyle="1" w:styleId="Annexetitreacte">
    <w:name w:val="Annexe titre (acte)"/>
    <w:basedOn w:val="Normal"/>
    <w:next w:val="Normal"/>
    <w:pPr>
      <w:jc w:val="center"/>
    </w:pPr>
    <w:rPr>
      <w:rFonts w:eastAsia="Times New Roman"/>
      <w:b/>
      <w:u w:val="single"/>
      <w:lang w:eastAsia="fr-FR" w:bidi="fr-FR"/>
    </w:rPr>
  </w:style>
  <w:style w:type="paragraph" w:customStyle="1" w:styleId="Annexetitreexposglobal">
    <w:name w:val="Annexe titre (exposé global)"/>
    <w:basedOn w:val="Normal"/>
    <w:next w:val="Normal"/>
    <w:pPr>
      <w:jc w:val="center"/>
    </w:pPr>
    <w:rPr>
      <w:rFonts w:eastAsia="Times New Roman"/>
      <w:b/>
      <w:u w:val="single"/>
      <w:lang w:eastAsia="fr-FR" w:bidi="fr-FR"/>
    </w:rPr>
  </w:style>
  <w:style w:type="paragraph" w:customStyle="1" w:styleId="Annexetitrefichefinacte">
    <w:name w:val="Annexe titre (fiche fin. acte)"/>
    <w:basedOn w:val="Normal"/>
    <w:next w:val="Normal"/>
    <w:pPr>
      <w:jc w:val="center"/>
    </w:pPr>
    <w:rPr>
      <w:rFonts w:eastAsia="Times New Roman"/>
      <w:b/>
      <w:u w:val="single"/>
      <w:lang w:eastAsia="fr-FR" w:bidi="fr-FR"/>
    </w:rPr>
  </w:style>
  <w:style w:type="paragraph" w:customStyle="1" w:styleId="Annexetitrefichefinglobale">
    <w:name w:val="Annexe titre (fiche fin. globale)"/>
    <w:basedOn w:val="Normal"/>
    <w:next w:val="Normal"/>
    <w:pPr>
      <w:jc w:val="center"/>
    </w:pPr>
    <w:rPr>
      <w:rFonts w:eastAsia="Times New Roman"/>
      <w:b/>
      <w:u w:val="single"/>
      <w:lang w:eastAsia="fr-FR" w:bidi="fr-FR"/>
    </w:rPr>
  </w:style>
  <w:style w:type="paragraph" w:customStyle="1" w:styleId="Annexetitreglobale">
    <w:name w:val="Annexe titre (globale)"/>
    <w:basedOn w:val="Normal"/>
    <w:next w:val="Normal"/>
    <w:pPr>
      <w:jc w:val="center"/>
    </w:pPr>
    <w:rPr>
      <w:rFonts w:eastAsia="Times New Roman"/>
      <w:b/>
      <w:u w:val="single"/>
      <w:lang w:eastAsia="fr-FR" w:bidi="fr-FR"/>
    </w:rPr>
  </w:style>
  <w:style w:type="paragraph" w:customStyle="1" w:styleId="Exposdesmotifstitreglobal">
    <w:name w:val="Exposé des motifs titre (global)"/>
    <w:basedOn w:val="Normal"/>
    <w:next w:val="Normal"/>
    <w:pPr>
      <w:jc w:val="center"/>
    </w:pPr>
    <w:rPr>
      <w:rFonts w:eastAsia="Times New Roman"/>
      <w:b/>
      <w:u w:val="single"/>
      <w:lang w:eastAsia="fr-FR" w:bidi="fr-FR"/>
    </w:rPr>
  </w:style>
  <w:style w:type="paragraph" w:customStyle="1" w:styleId="Langueoriginale">
    <w:name w:val="Langue originale"/>
    <w:basedOn w:val="Normal"/>
    <w:pPr>
      <w:spacing w:before="360"/>
      <w:jc w:val="center"/>
    </w:pPr>
    <w:rPr>
      <w:rFonts w:eastAsia="Times New Roman"/>
      <w:caps/>
      <w:lang w:eastAsia="fr-FR" w:bidi="fr-FR"/>
    </w:rPr>
  </w:style>
  <w:style w:type="paragraph" w:customStyle="1" w:styleId="Phrasefinale">
    <w:name w:val="Phrase finale"/>
    <w:basedOn w:val="Normal"/>
    <w:next w:val="Normal"/>
    <w:pPr>
      <w:spacing w:before="360" w:after="0"/>
      <w:jc w:val="center"/>
    </w:pPr>
    <w:rPr>
      <w:rFonts w:eastAsia="Times New Roman"/>
      <w:lang w:eastAsia="fr-FR" w:bidi="fr-FR"/>
    </w:rPr>
  </w:style>
  <w:style w:type="paragraph" w:customStyle="1" w:styleId="Prliminairetitre">
    <w:name w:val="Préliminaire titre"/>
    <w:basedOn w:val="Normal"/>
    <w:next w:val="Normal"/>
    <w:pPr>
      <w:spacing w:before="360" w:after="360"/>
      <w:jc w:val="center"/>
    </w:pPr>
    <w:rPr>
      <w:rFonts w:eastAsia="Times New Roman"/>
      <w:b/>
      <w:lang w:eastAsia="fr-FR" w:bidi="fr-FR"/>
    </w:rPr>
  </w:style>
  <w:style w:type="paragraph" w:customStyle="1" w:styleId="Prliminairetype">
    <w:name w:val="Préliminaire type"/>
    <w:basedOn w:val="Normal"/>
    <w:next w:val="Normal"/>
    <w:pPr>
      <w:spacing w:before="360" w:after="0"/>
      <w:jc w:val="center"/>
    </w:pPr>
    <w:rPr>
      <w:rFonts w:eastAsia="Times New Roman"/>
      <w:b/>
      <w:lang w:eastAsia="fr-FR" w:bidi="fr-FR"/>
    </w:rPr>
  </w:style>
  <w:style w:type="paragraph" w:customStyle="1" w:styleId="Rfrenceinstitutionelle">
    <w:name w:val="Référence institutionelle"/>
    <w:basedOn w:val="Normal"/>
    <w:next w:val="Statut"/>
    <w:pPr>
      <w:spacing w:before="0" w:after="240"/>
      <w:ind w:left="5103"/>
      <w:jc w:val="left"/>
    </w:pPr>
    <w:rPr>
      <w:rFonts w:eastAsia="Times New Roman"/>
      <w:lang w:eastAsia="fr-FR" w:bidi="fr-FR"/>
    </w:rPr>
  </w:style>
  <w:style w:type="paragraph" w:customStyle="1" w:styleId="Rfrenceinterinstitutionelle">
    <w:name w:val="Référence interinstitutionelle"/>
    <w:basedOn w:val="Normal"/>
    <w:next w:val="Statut"/>
    <w:pPr>
      <w:spacing w:before="0" w:after="0"/>
      <w:ind w:left="5103"/>
      <w:jc w:val="left"/>
    </w:pPr>
    <w:rPr>
      <w:rFonts w:eastAsia="Times New Roman"/>
      <w:lang w:eastAsia="fr-FR" w:bidi="fr-FR"/>
    </w:rPr>
  </w:style>
  <w:style w:type="paragraph" w:customStyle="1" w:styleId="Rfrenceinterinstitutionelleprliminaire">
    <w:name w:val="Référence interinstitutionelle (préliminaire)"/>
    <w:basedOn w:val="Normal"/>
    <w:next w:val="Normal"/>
    <w:pPr>
      <w:spacing w:before="0" w:after="0"/>
      <w:ind w:left="5103"/>
      <w:jc w:val="left"/>
    </w:pPr>
    <w:rPr>
      <w:rFonts w:eastAsia="Times New Roman"/>
      <w:lang w:eastAsia="fr-FR" w:bidi="fr-FR"/>
    </w:rPr>
  </w:style>
  <w:style w:type="paragraph" w:customStyle="1" w:styleId="Sous-titreobjetprliminaire">
    <w:name w:val="Sous-titre objet (préliminaire)"/>
    <w:basedOn w:val="Normal"/>
    <w:pPr>
      <w:spacing w:before="0" w:after="0"/>
      <w:jc w:val="center"/>
    </w:pPr>
    <w:rPr>
      <w:rFonts w:eastAsia="Times New Roman"/>
      <w:b/>
      <w:lang w:eastAsia="fr-FR" w:bidi="fr-FR"/>
    </w:rPr>
  </w:style>
  <w:style w:type="paragraph" w:customStyle="1" w:styleId="Statutprliminaire">
    <w:name w:val="Statut (préliminaire)"/>
    <w:basedOn w:val="Normal"/>
    <w:next w:val="Normal"/>
    <w:pPr>
      <w:spacing w:before="360" w:after="0"/>
      <w:jc w:val="center"/>
    </w:pPr>
    <w:rPr>
      <w:rFonts w:eastAsia="Times New Roman"/>
      <w:lang w:eastAsia="fr-FR" w:bidi="fr-FR"/>
    </w:rPr>
  </w:style>
  <w:style w:type="paragraph" w:customStyle="1" w:styleId="Titreobjetprliminaire">
    <w:name w:val="Titre objet (préliminaire)"/>
    <w:basedOn w:val="Normal"/>
    <w:next w:val="Normal"/>
    <w:pPr>
      <w:spacing w:before="360" w:after="360"/>
      <w:jc w:val="center"/>
    </w:pPr>
    <w:rPr>
      <w:rFonts w:eastAsia="Times New Roman"/>
      <w:b/>
      <w:lang w:eastAsia="fr-FR" w:bidi="fr-FR"/>
    </w:rPr>
  </w:style>
  <w:style w:type="paragraph" w:customStyle="1" w:styleId="Typedudocumentprliminaire">
    <w:name w:val="Type du document (préliminaire)"/>
    <w:basedOn w:val="Normal"/>
    <w:next w:val="Normal"/>
    <w:pPr>
      <w:spacing w:before="360" w:after="0"/>
      <w:jc w:val="center"/>
    </w:pPr>
    <w:rPr>
      <w:rFonts w:eastAsia="Times New Roman"/>
      <w:b/>
      <w:lang w:eastAsia="fr-FR" w:bidi="fr-FR"/>
    </w:rPr>
  </w:style>
  <w:style w:type="paragraph" w:customStyle="1" w:styleId="Fichefinancirestandardtitre">
    <w:name w:val="Fiche financière (standard) titre"/>
    <w:basedOn w:val="Normal"/>
    <w:next w:val="Normal"/>
    <w:pPr>
      <w:jc w:val="center"/>
    </w:pPr>
    <w:rPr>
      <w:rFonts w:eastAsia="Times New Roman"/>
      <w:b/>
      <w:u w:val="single"/>
      <w:lang w:eastAsia="fr-FR" w:bidi="fr-FR"/>
    </w:rPr>
  </w:style>
  <w:style w:type="paragraph" w:customStyle="1" w:styleId="Fichefinancirestandardtitreacte">
    <w:name w:val="Fiche financière (standard) titre (acte)"/>
    <w:basedOn w:val="Normal"/>
    <w:next w:val="Normal"/>
    <w:pPr>
      <w:jc w:val="center"/>
    </w:pPr>
    <w:rPr>
      <w:rFonts w:eastAsia="Times New Roman"/>
      <w:b/>
      <w:u w:val="single"/>
      <w:lang w:eastAsia="fr-FR" w:bidi="fr-FR"/>
    </w:rPr>
  </w:style>
  <w:style w:type="paragraph" w:customStyle="1" w:styleId="Fichefinanciretravailtitre">
    <w:name w:val="Fiche financière (travail) titre"/>
    <w:basedOn w:val="Normal"/>
    <w:next w:val="Normal"/>
    <w:pPr>
      <w:jc w:val="center"/>
    </w:pPr>
    <w:rPr>
      <w:rFonts w:eastAsia="Times New Roman"/>
      <w:b/>
      <w:u w:val="single"/>
      <w:lang w:eastAsia="fr-FR" w:bidi="fr-FR"/>
    </w:rPr>
  </w:style>
  <w:style w:type="paragraph" w:customStyle="1" w:styleId="Fichefinanciretravailtitreacte">
    <w:name w:val="Fiche financière (travail) titre (acte)"/>
    <w:basedOn w:val="Normal"/>
    <w:next w:val="Normal"/>
    <w:pPr>
      <w:jc w:val="center"/>
    </w:pPr>
    <w:rPr>
      <w:rFonts w:eastAsia="Times New Roman"/>
      <w:b/>
      <w:u w:val="single"/>
      <w:lang w:eastAsia="fr-FR" w:bidi="fr-FR"/>
    </w:rPr>
  </w:style>
  <w:style w:type="paragraph" w:customStyle="1" w:styleId="Fichefinancireattributiontitre">
    <w:name w:val="Fiche financière (attribution) titre"/>
    <w:basedOn w:val="Normal"/>
    <w:next w:val="Normal"/>
    <w:pPr>
      <w:jc w:val="center"/>
    </w:pPr>
    <w:rPr>
      <w:rFonts w:eastAsia="Times New Roman"/>
      <w:b/>
      <w:u w:val="single"/>
      <w:lang w:eastAsia="fr-FR" w:bidi="fr-FR"/>
    </w:rPr>
  </w:style>
  <w:style w:type="paragraph" w:customStyle="1" w:styleId="Fichefinancireattributiontitreacte">
    <w:name w:val="Fiche financière (attribution) titre (acte)"/>
    <w:basedOn w:val="Normal"/>
    <w:next w:val="Normal"/>
    <w:pPr>
      <w:jc w:val="center"/>
    </w:pPr>
    <w:rPr>
      <w:rFonts w:eastAsia="Times New Roman"/>
      <w:b/>
      <w:u w:val="single"/>
      <w:lang w:eastAsia="fr-FR" w:bidi="fr-FR"/>
    </w:rPr>
  </w:style>
  <w:style w:type="character" w:styleId="CommentReference">
    <w:name w:val="annotation referenc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Pr>
      <w:rFonts w:eastAsia="Times New Roman"/>
      <w:sz w:val="20"/>
      <w:szCs w:val="20"/>
      <w:lang w:eastAsia="fr-FR" w:bidi="fr-FR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szCs w:val="20"/>
      <w:lang w:val="mt-MT" w:eastAsia="fr-FR" w:bidi="fr-FR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eastAsia="Times New Roman" w:hAnsi="Times New Roman" w:cs="Times New Roman"/>
      <w:b/>
      <w:bCs/>
      <w:sz w:val="20"/>
      <w:szCs w:val="20"/>
      <w:lang w:val="mt-MT" w:eastAsia="fr-FR" w:bidi="fr-FR"/>
    </w:rPr>
  </w:style>
  <w:style w:type="paragraph" w:styleId="BalloonText">
    <w:name w:val="Balloon Text"/>
    <w:basedOn w:val="Normal"/>
    <w:link w:val="BalloonTextChar"/>
    <w:rPr>
      <w:rFonts w:ascii="Tahoma" w:eastAsia="Times New Roman" w:hAnsi="Tahoma" w:cs="Tahoma"/>
      <w:sz w:val="16"/>
      <w:szCs w:val="16"/>
      <w:lang w:eastAsia="fr-FR" w:bidi="fr-FR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imes New Roman" w:hAnsi="Tahoma" w:cs="Tahoma"/>
      <w:sz w:val="16"/>
      <w:szCs w:val="16"/>
      <w:lang w:val="mt-MT" w:eastAsia="fr-FR" w:bidi="fr-FR"/>
    </w:rPr>
  </w:style>
  <w:style w:type="paragraph" w:styleId="Caption">
    <w:name w:val="caption"/>
    <w:basedOn w:val="Normal"/>
    <w:next w:val="Normal"/>
    <w:qFormat/>
    <w:rPr>
      <w:rFonts w:eastAsia="Times New Roman"/>
      <w:b/>
      <w:bCs/>
      <w:sz w:val="20"/>
      <w:szCs w:val="20"/>
      <w:lang w:eastAsia="fr-FR" w:bidi="fr-FR"/>
    </w:rPr>
  </w:style>
  <w:style w:type="paragraph" w:styleId="TableofFigures">
    <w:name w:val="table of figures"/>
    <w:basedOn w:val="Normal"/>
    <w:next w:val="Normal"/>
    <w:rPr>
      <w:rFonts w:eastAsia="Times New Roman"/>
      <w:lang w:eastAsia="fr-FR" w:bidi="fr-FR"/>
    </w:rPr>
  </w:style>
  <w:style w:type="character" w:styleId="PageNumber">
    <w:name w:val="page number"/>
  </w:style>
  <w:style w:type="character" w:customStyle="1" w:styleId="tw4winMark">
    <w:name w:val="tw4winMark"/>
    <w:rPr>
      <w:vanish/>
      <w:color w:val="800080"/>
      <w:vertAlign w:val="sub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rFonts w:eastAsia="Times New Roman"/>
      <w:b/>
      <w:lang w:eastAsia="fr-FR" w:bidi="fr-FR"/>
    </w:rPr>
  </w:style>
  <w:style w:type="paragraph" w:customStyle="1" w:styleId="Sous-titreobjetPagedecouverture">
    <w:name w:val="Sous-titre objet (Page de couverture)"/>
    <w:basedOn w:val="Sous-titreobjet"/>
  </w:style>
  <w:style w:type="character" w:customStyle="1" w:styleId="TOCHeadingChar">
    <w:name w:val="TOC Heading Char"/>
    <w:uiPriority w:val="39"/>
    <w:rPr>
      <w:rFonts w:ascii="Times New Roman" w:hAnsi="Times New Roman" w:cs="Times New Roman"/>
      <w:b/>
      <w:sz w:val="28"/>
      <w:lang w:val="mt-MT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rFonts w:eastAsia="Calibri"/>
      <w:lang w:eastAsia="fr-FR" w:bidi="fr-FR"/>
    </w:rPr>
  </w:style>
  <w:style w:type="character" w:customStyle="1" w:styleId="FooterCoverPageChar">
    <w:name w:val="Footer Cover Page Char"/>
    <w:link w:val="FooterCoverPage"/>
    <w:rPr>
      <w:rFonts w:ascii="Times New Roman" w:eastAsia="Calibri" w:hAnsi="Times New Roman" w:cs="Times New Roman"/>
      <w:sz w:val="24"/>
      <w:lang w:val="mt-MT" w:eastAsia="fr-FR" w:bidi="fr-FR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  <w:rPr>
      <w:rFonts w:eastAsia="Calibri"/>
      <w:lang w:eastAsia="fr-FR" w:bidi="fr-FR"/>
    </w:rPr>
  </w:style>
  <w:style w:type="character" w:customStyle="1" w:styleId="HeaderCoverPageChar">
    <w:name w:val="Header Cover Page Char"/>
    <w:link w:val="HeaderCoverPage"/>
    <w:rPr>
      <w:rFonts w:ascii="Times New Roman" w:eastAsia="Calibri" w:hAnsi="Times New Roman" w:cs="Times New Roman"/>
      <w:sz w:val="24"/>
      <w:lang w:val="mt-MT" w:eastAsia="fr-FR" w:bidi="fr-FR"/>
    </w:rPr>
  </w:style>
  <w:style w:type="paragraph" w:customStyle="1" w:styleId="Normal1">
    <w:name w:val="Normal1"/>
    <w:basedOn w:val="Normal"/>
    <w:pPr>
      <w:spacing w:after="0"/>
    </w:pPr>
    <w:rPr>
      <w:szCs w:val="24"/>
      <w:lang w:eastAsia="en-GB"/>
    </w:rPr>
  </w:style>
  <w:style w:type="paragraph" w:customStyle="1" w:styleId="doc-ti">
    <w:name w:val="doc-ti"/>
    <w:basedOn w:val="Normal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2"/>
      </w:numPr>
    </w:pPr>
  </w:style>
  <w:style w:type="paragraph" w:customStyle="1" w:styleId="Tiret1">
    <w:name w:val="Tiret 1"/>
    <w:basedOn w:val="Point1"/>
    <w:pPr>
      <w:numPr>
        <w:numId w:val="33"/>
      </w:numPr>
    </w:pPr>
  </w:style>
  <w:style w:type="paragraph" w:customStyle="1" w:styleId="Tiret2">
    <w:name w:val="Tiret 2"/>
    <w:basedOn w:val="Point2"/>
    <w:pPr>
      <w:numPr>
        <w:numId w:val="34"/>
      </w:numPr>
    </w:pPr>
  </w:style>
  <w:style w:type="paragraph" w:customStyle="1" w:styleId="Tiret3">
    <w:name w:val="Tiret 3"/>
    <w:basedOn w:val="Point3"/>
    <w:pPr>
      <w:numPr>
        <w:numId w:val="35"/>
      </w:numPr>
    </w:pPr>
  </w:style>
  <w:style w:type="paragraph" w:customStyle="1" w:styleId="Tiret4">
    <w:name w:val="Tiret 4"/>
    <w:basedOn w:val="Point4"/>
    <w:pPr>
      <w:numPr>
        <w:numId w:val="3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9"/>
      </w:numPr>
    </w:pPr>
  </w:style>
  <w:style w:type="paragraph" w:customStyle="1" w:styleId="Point1number">
    <w:name w:val="Point 1 (number)"/>
    <w:basedOn w:val="Normal"/>
    <w:pPr>
      <w:numPr>
        <w:ilvl w:val="2"/>
        <w:numId w:val="39"/>
      </w:numPr>
    </w:pPr>
  </w:style>
  <w:style w:type="paragraph" w:customStyle="1" w:styleId="Point2number">
    <w:name w:val="Point 2 (number)"/>
    <w:basedOn w:val="Normal"/>
    <w:pPr>
      <w:numPr>
        <w:ilvl w:val="4"/>
        <w:numId w:val="39"/>
      </w:numPr>
    </w:pPr>
  </w:style>
  <w:style w:type="paragraph" w:customStyle="1" w:styleId="Point3number">
    <w:name w:val="Point 3 (number)"/>
    <w:basedOn w:val="Normal"/>
    <w:pPr>
      <w:numPr>
        <w:ilvl w:val="6"/>
        <w:numId w:val="39"/>
      </w:numPr>
    </w:pPr>
  </w:style>
  <w:style w:type="paragraph" w:customStyle="1" w:styleId="Point0letter">
    <w:name w:val="Point 0 (letter)"/>
    <w:basedOn w:val="Normal"/>
    <w:pPr>
      <w:numPr>
        <w:ilvl w:val="1"/>
        <w:numId w:val="39"/>
      </w:numPr>
    </w:pPr>
  </w:style>
  <w:style w:type="paragraph" w:customStyle="1" w:styleId="Point1letter">
    <w:name w:val="Point 1 (letter)"/>
    <w:basedOn w:val="Normal"/>
    <w:pPr>
      <w:numPr>
        <w:ilvl w:val="3"/>
        <w:numId w:val="39"/>
      </w:numPr>
    </w:pPr>
  </w:style>
  <w:style w:type="paragraph" w:customStyle="1" w:styleId="Point2letter">
    <w:name w:val="Point 2 (letter)"/>
    <w:basedOn w:val="Normal"/>
    <w:pPr>
      <w:numPr>
        <w:ilvl w:val="5"/>
        <w:numId w:val="39"/>
      </w:numPr>
    </w:pPr>
  </w:style>
  <w:style w:type="paragraph" w:customStyle="1" w:styleId="Point3letter">
    <w:name w:val="Point 3 (letter)"/>
    <w:basedOn w:val="Normal"/>
    <w:pPr>
      <w:numPr>
        <w:ilvl w:val="7"/>
        <w:numId w:val="39"/>
      </w:numPr>
    </w:pPr>
  </w:style>
  <w:style w:type="paragraph" w:customStyle="1" w:styleId="Point4letter">
    <w:name w:val="Point 4 (letter)"/>
    <w:basedOn w:val="Normal"/>
    <w:pPr>
      <w:numPr>
        <w:ilvl w:val="8"/>
        <w:numId w:val="39"/>
      </w:numPr>
    </w:pPr>
  </w:style>
  <w:style w:type="paragraph" w:customStyle="1" w:styleId="Bullet0">
    <w:name w:val="Bullet 0"/>
    <w:basedOn w:val="Normal"/>
    <w:pPr>
      <w:numPr>
        <w:numId w:val="40"/>
      </w:numPr>
    </w:pPr>
  </w:style>
  <w:style w:type="paragraph" w:customStyle="1" w:styleId="Bullet1">
    <w:name w:val="Bullet 1"/>
    <w:basedOn w:val="Normal"/>
    <w:pPr>
      <w:numPr>
        <w:numId w:val="41"/>
      </w:numPr>
    </w:pPr>
  </w:style>
  <w:style w:type="paragraph" w:customStyle="1" w:styleId="Bullet2">
    <w:name w:val="Bullet 2"/>
    <w:basedOn w:val="Normal"/>
    <w:pPr>
      <w:numPr>
        <w:numId w:val="42"/>
      </w:numPr>
    </w:pPr>
  </w:style>
  <w:style w:type="paragraph" w:customStyle="1" w:styleId="Bullet3">
    <w:name w:val="Bullet 3"/>
    <w:basedOn w:val="Normal"/>
    <w:pPr>
      <w:numPr>
        <w:numId w:val="43"/>
      </w:numPr>
    </w:pPr>
  </w:style>
  <w:style w:type="paragraph" w:customStyle="1" w:styleId="Bullet4">
    <w:name w:val="Bullet 4"/>
    <w:basedOn w:val="Normal"/>
    <w:pPr>
      <w:numPr>
        <w:numId w:val="44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yintracomm.ec.europa.eu/budgweb/EN/leg/internal/Documents/2016-5-legislative-financial-statement-ann-en.docx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yintracomm.ec.europa.eu/budgweb/EN/man/budgmanag/Pages/budgmanag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5</TotalTime>
  <Pages>21</Pages>
  <Words>3942</Words>
  <Characters>29567</Characters>
  <Application>Microsoft Office Word</Application>
  <DocSecurity>0</DocSecurity>
  <Lines>1182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19</cp:revision>
  <dcterms:created xsi:type="dcterms:W3CDTF">2020-09-23T15:28:00Z</dcterms:created>
  <dcterms:modified xsi:type="dcterms:W3CDTF">2020-09-25T07:16:00Z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7.0.8.0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7.0, Build 20190717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