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3B22C03-CCEB-4052-8EF0-0AF0F0F121A7" style="width:450.75pt;height:420.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rFonts w:eastAsia="Arial Unicode MS"/>
          <w:noProof/>
        </w:rPr>
      </w:pPr>
      <w:r>
        <w:t>1.</w:t>
      </w:r>
      <w:r>
        <w:tab/>
      </w:r>
      <w:r>
        <w:rPr>
          <w:noProof/>
        </w:rPr>
        <w:t>Αντικείμενο της πρότασης</w:t>
      </w:r>
    </w:p>
    <w:p>
      <w:pPr>
        <w:rPr>
          <w:rFonts w:eastAsia="Arial Unicode MS"/>
          <w:noProof/>
        </w:rPr>
      </w:pPr>
      <w:r>
        <w:rPr>
          <w:noProof/>
        </w:rPr>
        <w:t>Η παρούσα πρόταση αφορά τροποποίηση της απόφασης (ΕΕ) 2020/721 του Συμβουλίου, της 19ης Μαΐου 2020</w:t>
      </w:r>
      <w:r>
        <w:rPr>
          <w:rStyle w:val="FootnoteReference"/>
          <w:noProof/>
        </w:rPr>
        <w:footnoteReference w:id="2"/>
      </w:r>
      <w:r>
        <w:rPr>
          <w:noProof/>
        </w:rPr>
        <w:t xml:space="preserve"> για τον καθορισμό της θέσης που πρέπει να ληφθεί εξ ονόματος της Ένωσης στην 102η σύνοδο της Επιτροπής Ναυτικής Ασφάλειας (MSC 102) του Διεθνούς Ναυτιλιακού Οργανισμού, η οποία θα πραγματοποιηθεί στο Λονδίνο από τις 4 έως τις 11 Νοεμβρίου 2020, και στην 75η σύνοδο της Επιτροπής Προστασίας Θαλάσσιου Περιβάλλοντος (MSC 75) του Διεθνούς Ναυτιλιακού Οργανισμού, η οποία θα πραγματοποιηθεί τώρα στο Λονδίνο από τις 16 έως τις 20 Νοεμβρίου 2020, σε συνδυασμό με την προβλεπόμενη έκδοση εγκυκλίου MSC-MEPC.5 σχετικά με πρότυπη συμφωνίας για την εξουσιοδότηση αναγνωρισμένων οργανισμών πρότυπη συμφωνία για την εξουσιοδότηση αναγνωρισμένων οργανισμών που ενεργούν για λογαριασμό των αρχών</w:t>
      </w:r>
    </w:p>
    <w:p>
      <w:pPr>
        <w:rPr>
          <w:noProof/>
        </w:rPr>
      </w:pPr>
      <w:r>
        <w:rPr>
          <w:noProof/>
        </w:rPr>
        <w:t>Πλαίσιο της πρότασης</w:t>
      </w:r>
    </w:p>
    <w:p>
      <w:pPr>
        <w:pStyle w:val="ManualHeading2"/>
        <w:rPr>
          <w:noProof/>
        </w:rPr>
      </w:pPr>
      <w:r>
        <w:t>1.1.</w:t>
      </w:r>
      <w:r>
        <w:tab/>
      </w:r>
      <w:r>
        <w:rPr>
          <w:noProof/>
        </w:rPr>
        <w:t xml:space="preserve">Η Σύμβαση περί Διεθνούς Ναυτιλιακού Οργανισμού </w:t>
      </w:r>
    </w:p>
    <w:p>
      <w:pPr>
        <w:rPr>
          <w:rFonts w:eastAsia="Arial Unicode MS"/>
          <w:noProof/>
        </w:rPr>
      </w:pPr>
      <w:r>
        <w:rPr>
          <w:noProof/>
        </w:rPr>
        <w:t xml:space="preserve">Με τη Σύμβαση περί Διεθνούς Ναυτιλιακού Οργανισμού (ΔΝΟ) ιδρύεται ο ΔΝΟ. Σκοπός του ΔΝΟ είναι να αποτελέσει ένα φόρουμ συνεργασίας στο πεδίο των ρυθμίσεων και των πρακτικών σε πάσης φύσεως τεχνικά θέματα που άπτονται της διεθνούς εμπορικής ναυτιλίας, Στόχος του είναι επίσης να ενθαρρύνει εν γένει την υιοθέτηση των υψηλότερων κατά το δυνατόν προτύπων όσον αφορά την ασφάλεια της ναυτιλίας, την αποτελεσματικότητα της ναυσιπλοΐας, την πρόληψη και τον έλεγχο της θαλάσσιας ρύπανσης από πλοία, με την προώθηση παράλληλα ισότιμων όρων ανταγωνισμού. Ασχολείται επίσης και με τον χειρισμό συναφών διοικητικών και νομικών θεμάτων. </w:t>
      </w:r>
    </w:p>
    <w:p>
      <w:pPr>
        <w:rPr>
          <w:rFonts w:eastAsia="Arial Unicode MS"/>
          <w:noProof/>
        </w:rPr>
      </w:pPr>
      <w:r>
        <w:rPr>
          <w:noProof/>
        </w:rPr>
        <w:t>Η Σύμβαση τέθηκε σε ισχύ στις 17 Μαρτίου 1958.</w:t>
      </w:r>
    </w:p>
    <w:p>
      <w:pPr>
        <w:rPr>
          <w:rFonts w:eastAsia="Arial Unicode MS"/>
          <w:noProof/>
        </w:rPr>
      </w:pPr>
      <w:r>
        <w:rPr>
          <w:noProof/>
        </w:rPr>
        <w:t xml:space="preserve">Όλα τα κράτη μέλη είναι συμβαλλόμενα μέρη της Σύμβασης. </w:t>
      </w:r>
    </w:p>
    <w:p>
      <w:pPr>
        <w:rPr>
          <w:rFonts w:eastAsia="Arial Unicode MS"/>
          <w:noProof/>
        </w:rPr>
      </w:pPr>
      <w:r>
        <w:rPr>
          <w:noProof/>
        </w:rPr>
        <w:t xml:space="preserve">Όλα τα κράτη μέλη είναι συμβαλλόμενα μέρη της Διεθνούς Σύμβασης του 1974 για την ασφάλεια της ανθρώπινης ζωής στη θάλασσα («SOLAS»), η οποία τέθηκε σε ισχύ στις 25 Μαΐου 1980. Η Ένωση δεν είναι συμβαλλόμενο μέρος της SOLAS. </w:t>
      </w:r>
    </w:p>
    <w:p>
      <w:pPr>
        <w:rPr>
          <w:rFonts w:eastAsia="Arial Unicode MS"/>
          <w:noProof/>
        </w:rPr>
      </w:pPr>
      <w:r>
        <w:rPr>
          <w:noProof/>
        </w:rPr>
        <w:t xml:space="preserve">Όλα τα κράτη μέλη είναι συμβαλλόμενα μέρη της Διεθνούς Σύμβασης του 1973 για την πρόληψη της ρύπανσης από πλοία («MARPOL»), η οποία τέθηκε σε ισχύ στις 2 Οκτωβρίου 1983, και του παραρτήματος VI, το οποίο τέθηκε σε ισχύ στις 18 Μαΐου 2005. Η Ένωση δεν είναι συμβαλλόμενο μέρος της MARPOL. </w:t>
      </w:r>
    </w:p>
    <w:p>
      <w:pPr>
        <w:pStyle w:val="ManualHeading2"/>
        <w:rPr>
          <w:noProof/>
        </w:rPr>
      </w:pPr>
      <w:r>
        <w:t>1.2.</w:t>
      </w:r>
      <w:r>
        <w:tab/>
      </w:r>
      <w:r>
        <w:rPr>
          <w:noProof/>
        </w:rPr>
        <w:t xml:space="preserve">Ο Διεθνής Ναυτιλιακός Οργανισμός </w:t>
      </w:r>
    </w:p>
    <w:p>
      <w:pPr>
        <w:rPr>
          <w:rFonts w:eastAsia="Arial Unicode MS"/>
          <w:noProof/>
        </w:rPr>
      </w:pPr>
      <w:r>
        <w:rPr>
          <w:noProof/>
        </w:rPr>
        <w:t xml:space="preserve">Ο Διεθνής Ναυτιλιακός Οργανισμός (ΔΝΟ) είναι ο ειδικευμένος οργανισμός των Ηνωμένων Εθνών που είναι αρμόδιος για την ασφάλεια και την προστασία της ναυτιλίας και την </w:t>
      </w:r>
      <w:r>
        <w:rPr>
          <w:noProof/>
        </w:rPr>
        <w:lastRenderedPageBreak/>
        <w:t xml:space="preserve">πρόληψη της θαλάσσιας ρύπανσης από τα πλοία. Είναι η αρχή που καθορίζει διεθνή πρότυπα για την ασφάλεια, την προστασία και τις περιβαλλοντικές επιδόσεις της διεθνούς ναυτιλίας. Ο κύριος ρόλος του είναι η διαμόρφωση δίκαιου και αποτελεσματικού ρυθμιστικού πλαισίου του ναυτιλιακού κλάδου, το οποίο να υιοθετείται και να εφαρμόζεται παγκοσμίως. </w:t>
      </w:r>
    </w:p>
    <w:p>
      <w:pPr>
        <w:rPr>
          <w:rFonts w:eastAsia="Arial Unicode MS"/>
          <w:noProof/>
        </w:rPr>
      </w:pPr>
      <w:r>
        <w:rPr>
          <w:noProof/>
        </w:rPr>
        <w:t>Η συμμετοχή στον Οργανισμό είναι ανοικτή σε όλα τα κράτη, όλα δε τα κράτη μέλη της ΕΕ είναι μέλη του ΔΝΟ. Από το 1974, η Ευρωπαϊκή Επιτροπή έχει την ιδιότητα του παρατηρητή στον Διεθνή Ναυτιλιακό Οργανισμό. Βασίζεται σε συμφωνία συνεργασίας και συντονισμού μεταξύ του Διακυβερνητικού Ναυτιλιακού Συμβουλευτικού Οργανισμού (IMCO) και της Επιτροπής των Ευρωπαϊκών Κοινοτήτων σε θέματα αμοιβαίου ενδιαφέροντος για τα συμβαλλόμενα μέρη.</w:t>
      </w:r>
    </w:p>
    <w:p>
      <w:pPr>
        <w:rPr>
          <w:rFonts w:eastAsia="Arial Unicode MS"/>
          <w:noProof/>
        </w:rPr>
      </w:pPr>
      <w:r>
        <w:rPr>
          <w:noProof/>
        </w:rPr>
        <w:t xml:space="preserve">Η Επιτροπή Ναυτικής Ασφάλειας του ΔΝΟ απαρτίζεται επίσης από όλα τα μέλη του ΔΝΟ και συνέρχεται τουλάχιστον μία φορά ετησίως. Εξετάζει κάθε θέμα που εμπίπτει στο αντικείμενο του Οργανισμού και αφορά τα βοηθήματα ναυσιπλοΐας, τη ναυπήγηση και τον εξοπλισμό πλοίων, την επάνδρωση από άποψη ασφάλειας, τους κανόνες πρόληψης συγκρούσεων, τον χειρισμό επικίνδυνων φορτίων, τις διαδικασίες και τις απαιτήσεις ασφάλειας της ναυτιλίας, τα υδρογραφικά στοιχεία, τα ημερολόγια πλοίων και τη ναυτοπλοϊκή καταγραφή, τη διερεύνηση θαλάσσιων ατυχημάτων, την περισυλλογή και διάσωση, καθώς και κάθε άλλο θέμα που αφορά απευθείας την ασφάλεια της ναυτιλίας. </w:t>
      </w:r>
    </w:p>
    <w:p>
      <w:pPr>
        <w:rPr>
          <w:rFonts w:eastAsia="Arial Unicode MS"/>
          <w:noProof/>
        </w:rPr>
      </w:pPr>
      <w:r>
        <w:rPr>
          <w:noProof/>
        </w:rPr>
        <w:t xml:space="preserve">Η Επιτροπή Ναυτικής Ασφάλειας του ΔΝΟ αποτελεί μηχανισμό εκτέλεσης των καθηκόντων που της ανατίθενται από τη Σύμβαση του ΔΝΟ, τη Συνέλευση του ΔΝΟ ή το Συμβούλιο του ΔΝΟ, ή κάθε άλλου καθήκοντος, αποδεκτού από τον ΔΝΟ, που εμπίπτει στο ανωτέρω πεδίο εφαρμογής το οποίο μπορεί να της ανατεθεί στο πλαίσιο ή βάσει άλλης διεθνούς πράξης. Οι αποφάσεις της Επιτροπής Ναυτικής Ασφάλειας και των επικουρικών οργάνων της εκδίδονται με πλειοψηφία από τα μέλη. </w:t>
      </w:r>
    </w:p>
    <w:p>
      <w:pPr>
        <w:rPr>
          <w:rFonts w:eastAsia="Arial Unicode MS"/>
          <w:noProof/>
        </w:rPr>
      </w:pPr>
      <w:r>
        <w:rPr>
          <w:noProof/>
        </w:rPr>
        <w:t>Η Επιτροπή Προστασίας Θαλάσσιου Περιβάλλοντος του ΔΝΟ απαρτίζεται από όλα τα μέλη του ΔΝΟ και συνέρχεται τουλάχιστον μία φορά ετησίως. Εξετάζει περιβαλλοντικά θέματα που εμπίπτουν στο αντικείμενο του οργανισμού όσον αφορά τον έλεγχο και την πρόληψη της ρύπανσης από πλοία που καλύπτονται από τη σύμβαση MARPOL, καθώς και της ρύπανσης από πετρέλαιο, χημικά προϊόντα που μεταφέρονται χύδην, λύματα, απορρίμματα και εκπομπές από τα πλοία στην ατμόσφαιρα, στις οποίες περιλαμβάνονται οι ατμοσφαιρικοί ρύποι και οι εκπομπές αερίων του θερμοκηπίου. Άλλα θέματα που καλύπτονται είναι η διαχείριση του θαλασσέρματος, συστήματα υφαλοχρωματισμού, η ανακύκλωση των πλοίων, η ετοιμότητα και η αντιμετώπιση της ρύπανσης και ο προσδιορισμός ειδικών περιοχών και ιδιαίτερα ευαίσθητων θαλάσσιων περιοχών.</w:t>
      </w:r>
    </w:p>
    <w:p>
      <w:pPr>
        <w:rPr>
          <w:rFonts w:eastAsia="Arial Unicode MS"/>
          <w:noProof/>
        </w:rPr>
      </w:pPr>
      <w:r>
        <w:rPr>
          <w:noProof/>
        </w:rPr>
        <w:t xml:space="preserve">Η Επιτροπή Προστασίας Θαλάσσιου Περιβάλλοντος του ΔΝΟ αποτελεί μηχανισμό εκτέλεσης των καθηκόντων που της ανατίθενται από τη Σύμβαση του ΔΝΟ, τη Συνέλευση του ΔΝΟ ή το Συμβούλιο του ΔΝΟ, ή κάθε άλλου καθήκοντος, αποδεκτού από τον ΔΝΟ, που εμπίπτει στο ανωτέρω πεδίο εφαρμογής το οποίο μπορεί να της ανατεθεί στο πλαίσιο ή βάσει άλλης διεθνούς πράξης. Οι αποφάσεις της Επιτροπής Προστασίας Θαλάσσιου Περιβάλλοντος και των επικουρικών οργάνων της εκδίδονται με πλειοψηφία από τα μέλη. </w:t>
      </w:r>
    </w:p>
    <w:p>
      <w:pPr>
        <w:pStyle w:val="ManualHeading2"/>
        <w:rPr>
          <w:noProof/>
        </w:rPr>
      </w:pPr>
      <w:r>
        <w:t>1.3.</w:t>
      </w:r>
      <w:r>
        <w:tab/>
      </w:r>
      <w:r>
        <w:rPr>
          <w:noProof/>
        </w:rPr>
        <w:t>Η προς έκδοση πράξη της Επιτροπής Ναυτικής Ασφάλειας του ΔΝΟ</w:t>
      </w:r>
    </w:p>
    <w:p>
      <w:pPr>
        <w:rPr>
          <w:noProof/>
        </w:rPr>
      </w:pPr>
      <w:r>
        <w:rPr>
          <w:noProof/>
        </w:rPr>
        <w:t xml:space="preserve">Στις 4-11 Νοεμβρίου 2020, κατά την 102η σύνοδό της (MSC 102), η Επιτροπή Ναυτικής Ασφάλειας πρόκειται να εγκρίνει την εγκύκλιο MSC-MEPC.5, η οποία θα διαμορφώσει την πρότυπη συμφωνία την οποία θα μπορούν να χρησιμοποιούν οι κυβερνήσεις για να εξουσιοδοτούν αναγνωρισμένους οργανισμούς που ενεργούν για λογαριασμό τους. Η εγκύκλιος πρόκειται να εγκριθεί από κοινού από την Επιτροπή Ναυτικής Ασφάλειας και την Επιτροπή Προστασίας του Θαλάσσιου Περιβάλλοντος. </w:t>
      </w:r>
    </w:p>
    <w:p>
      <w:pPr>
        <w:rPr>
          <w:noProof/>
        </w:rPr>
      </w:pPr>
      <w:r>
        <w:rPr>
          <w:noProof/>
        </w:rPr>
        <w:lastRenderedPageBreak/>
        <w:t xml:space="preserve">Το 2016, η Επιτροπή Ναυτικής Ασφάλειας ενέκρινε ένα νέο πρόγραμμα εργασιών για την επανεξέταση και την τροποποίηση του υποδείγματος συμφωνίας για την εξουσιοδότηση των αναγνωρισμένων οργανισμών που ενεργούν για λογαριασμό των αρχών, προκειμένου να ευθυγραμμιστεί με τις απαιτήσεις του Κώδικα Αναγνωρισμένων Οργανισμών (Κώδικας ΑΟ). Το σχέδιο υποδείγματος συμφωνίας συζητήθηκε σε διάφορες συνόδους της υποεπιτροπής του ΔΝΟ για την εφαρμογή των πράξεων του ΔΝΟ και τώρα υποβάλλεται προς έγκριση στην επιτροπή. </w:t>
      </w:r>
    </w:p>
    <w:p>
      <w:pPr>
        <w:pStyle w:val="ManualHeading2"/>
        <w:rPr>
          <w:noProof/>
        </w:rPr>
      </w:pPr>
      <w:r>
        <w:t>1.4.</w:t>
      </w:r>
      <w:r>
        <w:tab/>
      </w:r>
      <w:r>
        <w:rPr>
          <w:noProof/>
        </w:rPr>
        <w:t>Η προς έκδοση πράξη της Επιτροπής Προστασίας Θαλάσσιου Περιβάλλοντος του ΔΝΟ</w:t>
      </w:r>
    </w:p>
    <w:p>
      <w:pPr>
        <w:rPr>
          <w:rFonts w:eastAsia="Arial Unicode MS"/>
          <w:noProof/>
        </w:rPr>
      </w:pPr>
      <w:r>
        <w:rPr>
          <w:noProof/>
        </w:rPr>
        <w:t xml:space="preserve">Στις 16-20 Νοεμβρίου 2020, κατά την 75η σύνοδό της (MEPC 75), η Επιτροπή Προστασίας Θαλάσσιου Περιβάλλοντος πρόκειται να εγκρίνει την εγκύκλιο MSC-MEPC.5, η οποία θα καθορίσει την πρότυπη συμφωνία την οποία θα μπορούν να χρησιμοποιούν οι κυβερνήσεις για να εξουσιοδοτούν αναγνωρισμένους οργανισμούς που ενεργούν για λογαριασμό τους. </w:t>
      </w:r>
    </w:p>
    <w:p>
      <w:pPr>
        <w:pStyle w:val="ManualHeading1"/>
        <w:rPr>
          <w:noProof/>
        </w:rPr>
      </w:pPr>
      <w:r>
        <w:t>2.</w:t>
      </w:r>
      <w:r>
        <w:tab/>
      </w:r>
      <w:r>
        <w:rPr>
          <w:noProof/>
        </w:rPr>
        <w:t>Θέση που πρέπει να ληφθεί εξ ονόματος της Ένωσης</w:t>
      </w:r>
    </w:p>
    <w:p>
      <w:pPr>
        <w:pStyle w:val="ManualHeading2"/>
        <w:rPr>
          <w:noProof/>
        </w:rPr>
      </w:pPr>
      <w:r>
        <w:t>2.1.</w:t>
      </w:r>
      <w:r>
        <w:tab/>
      </w:r>
      <w:r>
        <w:rPr>
          <w:noProof/>
        </w:rPr>
        <w:t>Έγκριση της εγκυκλίου MSC-MEPC.5</w:t>
      </w:r>
    </w:p>
    <w:p>
      <w:pPr>
        <w:pStyle w:val="Text1"/>
        <w:rPr>
          <w:noProof/>
        </w:rPr>
      </w:pPr>
      <w:r>
        <w:rPr>
          <w:noProof/>
        </w:rPr>
        <w:t>Κατά την 97η σύνοδο της Επιτροπής Ναυτικής Ασφάλειας (MSC 97), η οποία πραγματοποιήθηκε στο Λονδίνο στις 21-25 Νοεμβρίου 2016, εγκρίθηκε μια νέα εισήγηση για την επανεξέταση και την τροποποίηση του υποδείγματος συμφωνίας για την εξουσιοδότηση των αναγνωρισμένων οργανισμών που ενεργούν για λογαριασμό των κρατικών αρχών (MSC.1/Circ.710 — MEPC.1/Circ.307), ώστε να ευθυγραμμιστεί με τις απαιτήσεις του Κώδικα ΑΟ. Η νέα εισήγηση συμπεριλήφθηκε στη διετή ημερήσια διάταξη για την περίοδο 2016-2017 της υποεπιτροπής για την εφαρμογή των πράξεων του ΔΝΟ και στην προσωρινή ημερήσια διάταξη της 4ης συνόδου της υποεπιτροπής για την εφαρμογή των πράξεων του ΔΝΟ (III 4), με στόχο να ολοκληρωθεί το 2018.</w:t>
      </w:r>
    </w:p>
    <w:p>
      <w:pPr>
        <w:pStyle w:val="Text1"/>
        <w:rPr>
          <w:noProof/>
        </w:rPr>
      </w:pPr>
      <w:r>
        <w:rPr>
          <w:noProof/>
        </w:rPr>
        <w:t xml:space="preserve">Η III 4, η οποία πραγματοποιήθηκε στο Λονδίνο στις 25-29 Σεπτεμβρίου 2017, αποφάσισε να τροποποιήσει την πρότυπη συμφωνία χρησιμοποιώντας ως βάση ένα έγγραφο IACS (Διεθνής Ένωση Νηογνωμόνων) και συνέστησε μια ομάδα ανταποκριτών για την σύνταξη του κειμένου. Η III 5, που πραγματοποιήθηκε στο Λονδίνο στις 24-28 Σεπτεμβρίου 2018, οριστικοποίησε το σχέδιο πρότυπης συμφωνίας και το διαβίβασε στην 74η σύνοδο της Επιτροπής Προστασίας του Θαλάσσιου Περιβάλλοντος (MEPC 74) και στην 101η σύνοδο της Επιτροπής Ναυτικής Ασφάλειας (MSC 101) προς έγκριση. </w:t>
      </w:r>
    </w:p>
    <w:p>
      <w:pPr>
        <w:pStyle w:val="Text1"/>
        <w:rPr>
          <w:bCs/>
          <w:noProof/>
          <w:color w:val="000000"/>
        </w:rPr>
      </w:pPr>
      <w:r>
        <w:rPr>
          <w:noProof/>
        </w:rPr>
        <w:t xml:space="preserve">Η MEPC 74 ανέβαλε την εξέταση του σχεδίου εγκυκλίου για την 75η σύνοδο της MEPC λόγω χρονικών περιορισμών. Η MSC 101 συζήτησε το σχέδιο κειμένου, αλλά λόγω έντονων αντιρρήσεων από την IACS ότι οι προτεινόμενες ουσιαστικές τροποποιήσεις τους δεν έγιναν δεκτές, η MSC 101 παρέπεμψε το σχέδιο με τις προτεινόμενες τροποποιήσεις της IACS στην 6η σύνοδο της υποεπιτροπής για την εφαρμογή των πράξεων του ΔΝΟ (III 6) προς εξέταση. Η III 6, η οποία πραγματοποιήθηκε στο Λονδίνο στις 1-5 Ιουλίου 2019, επανεξέτασε το σχέδιο υποδείγματος συμφωνίας και τις προτάσεις για της IACS. Ενώ δέχεται τις συντακτικές προτάσεις τους, απέρριψε τις ουσιαστικές προτάσεις. Στη συνέχεια, η III 6 διαβίβασε το σχέδιο εγκυκλίου στις MEPC 75 και MSC 102 προς έγκριση. </w:t>
      </w:r>
    </w:p>
    <w:p>
      <w:pPr>
        <w:rPr>
          <w:bCs/>
          <w:noProof/>
          <w:color w:val="000000"/>
        </w:rPr>
      </w:pPr>
      <w:r>
        <w:rPr>
          <w:noProof/>
          <w:color w:val="000000"/>
        </w:rPr>
        <w:t>Η Ένωση θα πρέπει να υποστηρίξει τις τροποποιήσεις στην πρότυπη συμφωνία του ΔΝΟ που συμφωνήθηκε από την III 6. Η νέα εγκύκλιος θα αντικαταστήσει τις MSC/Circ.710 και MEPC/Circ.307, θα επικαιροποιήσει την πρότυπη συμφωνία και θα το ευθυγραμμίσει με τον</w:t>
      </w:r>
      <w:r>
        <w:rPr>
          <w:noProof/>
        </w:rPr>
        <w:t xml:space="preserve"> </w:t>
      </w:r>
      <w:r>
        <w:rPr>
          <w:noProof/>
        </w:rPr>
        <w:lastRenderedPageBreak/>
        <w:t>Κώδικα ΑΟ (ψηφίσματα MSC.349 (92) και MEPC.237 (65))</w:t>
      </w:r>
      <w:r>
        <w:rPr>
          <w:noProof/>
          <w:color w:val="000000"/>
        </w:rPr>
        <w:t xml:space="preserve">. Θα αυξήσει την ακρίβεια, τη διαφάνεια και τη λογοδοσία τόσο της διοίκησης της σημαίας όσο και των ΑΟ σε παγκόσμιο επίπεδο. </w:t>
      </w:r>
    </w:p>
    <w:p>
      <w:pPr>
        <w:pStyle w:val="ManualHeading2"/>
        <w:rPr>
          <w:noProof/>
        </w:rPr>
      </w:pPr>
      <w:r>
        <w:t>2.2.</w:t>
      </w:r>
      <w:r>
        <w:tab/>
      </w:r>
      <w:r>
        <w:rPr>
          <w:noProof/>
        </w:rPr>
        <w:t>Σχετική νομοθεσία της ΕΕ και αρμοδιότητα της ΕΕ</w:t>
      </w:r>
    </w:p>
    <w:p>
      <w:pPr>
        <w:rPr>
          <w:noProof/>
        </w:rPr>
      </w:pPr>
      <w:r>
        <w:rPr>
          <w:noProof/>
        </w:rPr>
        <w:t>Η πρότυπη συμφωνία, που περιλαμβάνεται επί του παρόντος στην εγκύκλιο MSC/Circ.710 και στην εγκύκλιο MEPC/Circ.307, εφαρμόζεται στο δίκαιο της ΕΕ στην οδηγία 2009/15/ΕΚ του Ευρωπαϊκού Κοινοβουλίου και του Συμβουλίου, της 23ης Απριλίου 2009, σχετικά με κοινούς κανόνες και πρότυπα για τους οργανισμούς επιθεώρησης και ελέγχου πλοίων και για τις συναφείς δραστηριότητες των ναυτικών αρχών. Εν προκειμένω, το άρθρο 5 της οδηγίας 2009/15/ΕΚ προβλέπει τα εξής:</w:t>
      </w:r>
    </w:p>
    <w:p>
      <w:pPr>
        <w:rPr>
          <w:noProof/>
        </w:rPr>
      </w:pPr>
      <w:r>
        <w:rPr>
          <w:noProof/>
        </w:rPr>
        <w:t>«1.</w:t>
      </w:r>
      <w:r>
        <w:rPr>
          <w:noProof/>
        </w:rPr>
        <w:tab/>
        <w:t>Κάθε κράτος μέλος το οποίο αποφασίζει να ενεργεί όπως περιγράφεται στο άρθρο 3, παράγραφος 2, καθορίζει τις σχέσεις συνεργασίας μεταξύ της αρμόδιας αρχής του και των οργανισμών που ενεργούν για λογαριασμό του.</w:t>
      </w:r>
    </w:p>
    <w:p>
      <w:pPr>
        <w:rPr>
          <w:noProof/>
        </w:rPr>
      </w:pPr>
      <w:r>
        <w:rPr>
          <w:noProof/>
        </w:rPr>
        <w:t>2</w:t>
      </w:r>
      <w:r>
        <w:rPr>
          <w:noProof/>
        </w:rPr>
        <w:tab/>
        <w:t xml:space="preserve">Η σχέση εργασίας διέπεται από τυποποιημένη γραπτή συμφωνία που δεν εισάγει διακρίσεις (...) η οποία περιλαμβάνει τουλάχιστον: α) τις διατάξεις οι οποίες εκτίθενται στο προσάρτημα ΙΙ του ψηφίσματος Α.739(18) του ΙΜΟ σχετικά με τις κατευθυντήριες γραμμές για την εξουσιοδότηση οργανισμών που ενεργούν για λογαριασμό των αρχών, αντλώντας έμπνευση από το παράρτημα, τα προσαρτήματα και το συνημμένο της MSC/Circ.710 του ΙΜΟ και της </w:t>
      </w:r>
      <w:r>
        <w:rPr>
          <w:noProof/>
          <w:color w:val="000000"/>
        </w:rPr>
        <w:t>MEPC/Circ.307</w:t>
      </w:r>
      <w:r>
        <w:rPr>
          <w:noProof/>
        </w:rPr>
        <w:t xml:space="preserve"> σχετικά με πρότυπη συμφωνία για την εξουσιοδότηση αναγνωρισμένων οργανισμών που ενεργούν για λογαριασμό των αρχών· [...]»</w:t>
      </w:r>
    </w:p>
    <w:p>
      <w:pPr>
        <w:rPr>
          <w:b/>
          <w:noProof/>
        </w:rPr>
      </w:pPr>
      <w:r>
        <w:rPr>
          <w:b/>
          <w:noProof/>
        </w:rPr>
        <w:t>Αρμοδιότητα της ΕΕ</w:t>
      </w:r>
    </w:p>
    <w:p>
      <w:pPr>
        <w:rPr>
          <w:bCs/>
          <w:iCs/>
          <w:noProof/>
        </w:rPr>
      </w:pPr>
      <w:r>
        <w:rPr>
          <w:noProof/>
        </w:rPr>
        <w:t xml:space="preserve">Η αντικατάσταση των MSC/Circ.710 και </w:t>
      </w:r>
      <w:r>
        <w:rPr>
          <w:noProof/>
          <w:color w:val="000000"/>
        </w:rPr>
        <w:t>MEPC/Circ.307</w:t>
      </w:r>
      <w:r>
        <w:rPr>
          <w:noProof/>
        </w:rPr>
        <w:t xml:space="preserve"> από το σχέδιο εγκυκλίου MSC-MEPC.5 θα επηρεάσει το δίκαιο της ΕΕ μέσω της εφαρμογής της οδηγίας 2009/15/ΕΚ του Ευρωπαϊκού Κοινοβουλίου και του Συμβουλίου, της 23ης Απριλίου 2009, σχετικά με κοινούς κανόνες και πρότυπα για τους οργανισμούς επιθεώρησης και ελέγχου πλοίων και για τις συναφείς δραστηριότητες των ναυτικών αρχών.</w:t>
      </w:r>
    </w:p>
    <w:p>
      <w:pPr>
        <w:rPr>
          <w:bCs/>
          <w:iCs/>
          <w:noProof/>
        </w:rPr>
      </w:pPr>
      <w:r>
        <w:rPr>
          <w:noProof/>
        </w:rPr>
        <w:t xml:space="preserve">Ως εκ τούτου, η Ένωση έχει αποκλειστική αρμοδιότητα δυνάμει του άρθρου 3 παράγραφος 2 τελευταία φράση της ΣΛΕΕ και, επομένως, είναι αναγκαίο να καθοριστεί η θέση της Ένωσης όσον αφορά τις πράξεις για την έγκριση των προαναφερόμενων τροποποιήσεων. </w:t>
      </w:r>
    </w:p>
    <w:p>
      <w:pPr>
        <w:pStyle w:val="ManualHeading1"/>
        <w:rPr>
          <w:noProof/>
        </w:rPr>
      </w:pPr>
      <w:r>
        <w:t>3.</w:t>
      </w:r>
      <w:r>
        <w:tab/>
      </w:r>
      <w:r>
        <w:rPr>
          <w:noProof/>
        </w:rPr>
        <w:t>Νομική βάση</w:t>
      </w:r>
    </w:p>
    <w:p>
      <w:pPr>
        <w:pStyle w:val="ManualHeading2"/>
        <w:rPr>
          <w:noProof/>
        </w:rPr>
      </w:pPr>
      <w:r>
        <w:t>3.1.</w:t>
      </w:r>
      <w:r>
        <w:tab/>
      </w:r>
      <w:r>
        <w:rPr>
          <w:noProof/>
        </w:rPr>
        <w:t>Διαδικαστική νομική βάση</w:t>
      </w:r>
    </w:p>
    <w:p>
      <w:pPr>
        <w:pStyle w:val="ManualHeading3"/>
        <w:rPr>
          <w:noProof/>
        </w:rPr>
      </w:pPr>
      <w:r>
        <w:t>3.1.1.</w:t>
      </w:r>
      <w:r>
        <w:tab/>
      </w:r>
      <w:r>
        <w:rPr>
          <w:noProof/>
        </w:rPr>
        <w:t>Αρχές</w:t>
      </w:r>
    </w:p>
    <w:p>
      <w:pPr>
        <w:rPr>
          <w:noProof/>
        </w:rPr>
      </w:pPr>
      <w:r>
        <w:rPr>
          <w:noProof/>
        </w:rPr>
        <w:t>Το άρθρο 218 παράγραφος 9 της Συνθήκης για τη λειτουργία της Ευρωπαϊκής Ένωσης (ΣΛΕΕ) προβλέπει την έκδοση αποφάσεων για τον καθορισμό «</w:t>
      </w:r>
      <w:r>
        <w:rPr>
          <w:i/>
          <w:noProof/>
        </w:rPr>
        <w:t>των θέσεων που θα πρέπει να ληφθούν, εξ ονόματος της Ένωσης, σε όργανο που συνιστάται από δεδομένη συμφωνία, όταν το εν λόγω όργανο καλείται να θεσπίσει πράξεις που παράγουν έννομα αποτελέσματα, με εξαίρεση τις πράξεις που συμπληρώνουν ή τροποποιούν το θεσμικό πλαίσιο της συμφωνίας</w:t>
      </w:r>
      <w:r>
        <w:rPr>
          <w:noProof/>
        </w:rPr>
        <w:t>».</w:t>
      </w:r>
    </w:p>
    <w:p>
      <w:pPr>
        <w:rPr>
          <w:noProof/>
        </w:rPr>
      </w:pPr>
      <w:r>
        <w:rPr>
          <w:noProof/>
        </w:rPr>
        <w:t>Το άρθρο 218 παράγραφος 9 της ΣΛΕΕ εφαρμόζεται ανεξάρτητα από το αν η Ένωση είναι μέλος του σχετικού οργάνου ή μέρος της συμφωνίας</w:t>
      </w:r>
      <w:r>
        <w:rPr>
          <w:rStyle w:val="FootnoteReference"/>
          <w:noProof/>
        </w:rPr>
        <w:footnoteReference w:id="3"/>
      </w:r>
      <w:r>
        <w:rPr>
          <w:noProof/>
        </w:rPr>
        <w:t>.</w:t>
      </w:r>
    </w:p>
    <w:p>
      <w:pPr>
        <w:rPr>
          <w:noProof/>
        </w:rPr>
      </w:pPr>
      <w:r>
        <w:rPr>
          <w:noProof/>
        </w:rPr>
        <w:t>Η έννοια των «</w:t>
      </w:r>
      <w:r>
        <w:rPr>
          <w:i/>
          <w:noProof/>
        </w:rPr>
        <w:t>πράξεων που παράγουν έννομα αποτελέσματα</w:t>
      </w:r>
      <w:r>
        <w:rPr>
          <w:noProof/>
        </w:rPr>
        <w:t xml:space="preserve">» περιλαμβάνει πράξεις που παράγουν έννομα αποτελέσματα δυνάμει των κανόνων του διεθνούς δικαίου που διέπουν το </w:t>
      </w:r>
      <w:r>
        <w:rPr>
          <w:noProof/>
        </w:rPr>
        <w:lastRenderedPageBreak/>
        <w:t>εκάστοτε όργανο. Περιλαμβάνει επίσης κείμενα που δεν έχουν μεν δεσμευτική ισχύ βάσει του διεθνούς δικαίου, αλλά «</w:t>
      </w:r>
      <w:r>
        <w:rPr>
          <w:i/>
          <w:noProof/>
        </w:rPr>
        <w:t>δύνανται να επηρεάσουν με καθοριστικό τρόπο το περιεχόμενο των ρυθμίσεων που θεσπίζει ο νομοθέτης της Ένωσης</w:t>
      </w:r>
      <w:r>
        <w:rPr>
          <w:noProof/>
        </w:rPr>
        <w:t>»</w:t>
      </w:r>
      <w:r>
        <w:rPr>
          <w:rStyle w:val="FootnoteReference"/>
          <w:noProof/>
        </w:rPr>
        <w:footnoteReference w:id="4"/>
      </w:r>
      <w:r>
        <w:rPr>
          <w:noProof/>
        </w:rPr>
        <w:t>.</w:t>
      </w:r>
    </w:p>
    <w:p>
      <w:pPr>
        <w:pStyle w:val="ManualHeading3"/>
        <w:rPr>
          <w:noProof/>
        </w:rPr>
      </w:pPr>
      <w:r>
        <w:t>3.1.2.</w:t>
      </w:r>
      <w:r>
        <w:tab/>
      </w:r>
      <w:r>
        <w:rPr>
          <w:noProof/>
        </w:rPr>
        <w:t>Εφαρμογή στην προκειμένη περίπτωση</w:t>
      </w:r>
    </w:p>
    <w:p>
      <w:pPr>
        <w:rPr>
          <w:noProof/>
        </w:rPr>
      </w:pPr>
      <w:r>
        <w:rPr>
          <w:noProof/>
        </w:rPr>
        <w:t xml:space="preserve">Η Επιτροπή Προστασίας Θαλάσσιου Περιβάλλοντος και η Επιτροπή Ναυτικής Ασφάλειας του ΔΝΟ είναι όργανα που έχουν συσταθεί με συμφωνία, και συγκεκριμένα με τη Σύμβαση περί του Διεθνούς Ναυτιλιακού Οργανισμού. </w:t>
      </w:r>
    </w:p>
    <w:p>
      <w:pPr>
        <w:rPr>
          <w:noProof/>
          <w:color w:val="000000"/>
        </w:rPr>
      </w:pPr>
      <w:r>
        <w:rPr>
          <w:noProof/>
        </w:rPr>
        <w:t xml:space="preserve">Η πράξη την οποία καλούνται να εκδώσουν η Επιτροπή Προστασίας Θαλάσσιου Περιβάλλοντος και η Επιτροπή Ναυτικής Ασφάλειας του ΔΝΟ συνιστά πράξη που παράγει έννομα αποτελέσματα. </w:t>
      </w:r>
      <w:r>
        <w:rPr>
          <w:noProof/>
          <w:color w:val="000000"/>
        </w:rPr>
        <w:t>Η προς έκδοση πράξη δύναται να επηρεάσει με καθοριστικό τρόπο το περιεχόμενο των κάτωθι νομοθετημάτων της ΕΕ</w:t>
      </w:r>
    </w:p>
    <w:p>
      <w:pPr>
        <w:pStyle w:val="Tiret0"/>
        <w:numPr>
          <w:ilvl w:val="0"/>
          <w:numId w:val="11"/>
        </w:numPr>
        <w:rPr>
          <w:noProof/>
        </w:rPr>
      </w:pPr>
      <w:r>
        <w:rPr>
          <w:noProof/>
        </w:rPr>
        <w:t xml:space="preserve">Οδηγία 2009/15/ΕΚ του Ευρωπαϊκού Κοινοβουλίου και του Συμβουλίου, της 23ης Απριλίου 2009, σχετικά με κοινούς κανόνες και πρότυπα για τους οργανισμούς επιθεώρησης και ελέγχου πλοίων και για τις συναφείς δραστηριότητες των ναυτικών αρχών </w:t>
      </w:r>
    </w:p>
    <w:p>
      <w:pPr>
        <w:rPr>
          <w:noProof/>
        </w:rPr>
      </w:pPr>
      <w:r>
        <w:rPr>
          <w:noProof/>
        </w:rPr>
        <w:t xml:space="preserve">Αυτό οφείλεται στο γεγονός ότι η οδηγία 2009/15/ΕΚ του Ευρωπαϊκού Κοινοβουλίου και του Συμβουλίου, της 23ης Απριλίου 2009, σχετικά με κοινούς κανόνες και πρότυπα για τους οργανισμούς επιθεώρησης και εξέτασης πλοίων και για τις συναφείς δραστηριότητες των ναυτικών αρχών απαιτεί από τις αρχές των κρατών μελών να ρυθμίζουν τις σχέσεις συνεργασίας τους με αναγνωρισμένους οργανισμούς μέσω επίσημης γραπτής συμφωνίας που δεν εισάγει διακρίσεις, η οποία πρέπει να εμπνέεται από την πρότυπη συμφωνία που περιέχεται στις MSC/Circ. 710 και MEPC/Circ. 307. </w:t>
      </w:r>
    </w:p>
    <w:p>
      <w:pPr>
        <w:rPr>
          <w:noProof/>
        </w:rPr>
      </w:pPr>
      <w:r>
        <w:rPr>
          <w:noProof/>
        </w:rPr>
        <w:t>Ως εκ τούτου, η νέα εγκύκλιος που αντικαθιστά τις MSC/Circ.710 και MEPC/Circ.307 θα επηρεάσει το δίκαιο της ΕΕ μέσω της εφαρμογής της οδηγίας 2009/15/ΕΚ του Ευρωπαϊκού Κοινοβουλίου και του Συμβουλίου, της 23ης Απριλίου 2009, σχετικά με κοινούς κανόνες και πρότυπα για τους οργανισμούς επιθεώρησης και ελέγχου πλοίων και για τις συναφείς δραστηριότητες των ναυτικών αρχών.</w:t>
      </w:r>
    </w:p>
    <w:p>
      <w:pPr>
        <w:rPr>
          <w:noProof/>
        </w:rPr>
      </w:pPr>
      <w:r>
        <w:rPr>
          <w:noProof/>
        </w:rPr>
        <w:t>Η προς έκδοση πράξη δεν συμπληρώνει ούτε τροποποιεί το θεσμικό πλαίσιο της συμφωνίας.</w:t>
      </w:r>
    </w:p>
    <w:p>
      <w:pPr>
        <w:rPr>
          <w:noProof/>
        </w:rPr>
      </w:pPr>
      <w:r>
        <w:rPr>
          <w:noProof/>
        </w:rPr>
        <w:t>Συνεπώς, η διαδικαστική νομική βάση για την προτεινόμενη απόφαση είναι το άρθρο 218 παράγραφος 9 της ΣΛΕΕ.</w:t>
      </w:r>
    </w:p>
    <w:p>
      <w:pPr>
        <w:pStyle w:val="ManualHeading2"/>
        <w:rPr>
          <w:noProof/>
        </w:rPr>
      </w:pPr>
      <w:r>
        <w:t>3.2.</w:t>
      </w:r>
      <w:r>
        <w:tab/>
      </w:r>
      <w:r>
        <w:rPr>
          <w:noProof/>
        </w:rPr>
        <w:t>Ουσιαστική νομική βάση</w:t>
      </w:r>
    </w:p>
    <w:p>
      <w:pPr>
        <w:pStyle w:val="ManualHeading3"/>
        <w:rPr>
          <w:noProof/>
        </w:rPr>
      </w:pPr>
      <w:r>
        <w:t>3.2.1.</w:t>
      </w:r>
      <w:r>
        <w:tab/>
      </w:r>
      <w:r>
        <w:rPr>
          <w:noProof/>
        </w:rPr>
        <w:t>Αρχές</w:t>
      </w:r>
    </w:p>
    <w:p>
      <w:pPr>
        <w:rPr>
          <w:noProof/>
        </w:rPr>
      </w:pPr>
      <w:r>
        <w:rPr>
          <w:noProof/>
        </w:rPr>
        <w:t>Η ουσιαστική νομική βάση για την έκδοση απόφασης βάσει του άρθρου 218 παράγραφος 9 της ΣΛΕΕ εξαρτάται πρωτίστως από τον στόχο και το περιεχόμενο της προς έκδοση πράξης σε σχέση με την οποία λαμβάνεται θέση εξ ονόματος της Ένωσης. Εάν η προς έκδοση πράξη επιδιώκει διττό σκοπό ή έχει δύο συνιστώσες και εάν ένας από τους σκοπούς ή μία από τις συνιστώσες μπορεί να χαρακτηριστεί κύριος/-α, ενώ ο/η άλλος/-η έχει απλώς παρεπόμενο χαρακτήρα, η απόφαση δυνάμει του άρθρου 218 παράγραφος 9 της ΣΛΕΕ πρέπει να στηρίζεται σε μία και μόνον ουσιαστική νομική βάση, ήτοι εκείνη που επιβάλλει ο κύριος ή πρωτεύων σκοπός ή συνιστώσα.</w:t>
      </w:r>
    </w:p>
    <w:p>
      <w:pPr>
        <w:pStyle w:val="ManualHeading3"/>
        <w:rPr>
          <w:noProof/>
        </w:rPr>
      </w:pPr>
      <w:r>
        <w:lastRenderedPageBreak/>
        <w:t>3.2.2.</w:t>
      </w:r>
      <w:r>
        <w:tab/>
      </w:r>
      <w:r>
        <w:rPr>
          <w:noProof/>
        </w:rPr>
        <w:t>Εφαρμογή στην προκειμένη περίπτωση</w:t>
      </w:r>
    </w:p>
    <w:p>
      <w:pPr>
        <w:rPr>
          <w:i/>
          <w:noProof/>
          <w:color w:val="000000"/>
        </w:rPr>
      </w:pPr>
      <w:r>
        <w:rPr>
          <w:noProof/>
        </w:rPr>
        <w:t xml:space="preserve">Ο κύριος στόχος και το περιεχόμενο </w:t>
      </w:r>
      <w:r>
        <w:rPr>
          <w:noProof/>
          <w:color w:val="000000"/>
        </w:rPr>
        <w:t>της προς έκδοση πράξης αφορούν τις θαλάσσιες μεταφορές. Συνεπώς, η ουσιαστική νομική βάση της προτεινόμενης απόφασης είναι το</w:t>
      </w:r>
      <w:r>
        <w:rPr>
          <w:noProof/>
        </w:rPr>
        <w:t xml:space="preserve"> άρθρο 100 παράγραφος 2 της ΣΛΕΕ.</w:t>
      </w:r>
    </w:p>
    <w:p>
      <w:pPr>
        <w:pStyle w:val="ManualHeading2"/>
        <w:rPr>
          <w:noProof/>
        </w:rPr>
      </w:pPr>
      <w:r>
        <w:t>3.3.</w:t>
      </w:r>
      <w:r>
        <w:tab/>
      </w:r>
      <w:r>
        <w:rPr>
          <w:noProof/>
        </w:rPr>
        <w:t>Συμπέρασμα</w:t>
      </w:r>
    </w:p>
    <w:p>
      <w:pPr>
        <w:rPr>
          <w:noProof/>
        </w:rPr>
      </w:pPr>
      <w:r>
        <w:rPr>
          <w:noProof/>
        </w:rPr>
        <w:t>Η νομική βάση της προτεινόμενης απόφασης θα πρέπει να είναι το άρθρο 100 παράγραφος 2 της ΣΛΕΕ, σε συνδυασμό με το άρθρο 218 παράγραφος 9 της ΣΛΕΕ.</w:t>
      </w:r>
    </w:p>
    <w:p>
      <w:pPr>
        <w:spacing w:before="0" w:after="200" w:line="276" w:lineRule="auto"/>
        <w:jc w:val="left"/>
        <w:rPr>
          <w:noProof/>
        </w:rPr>
      </w:pPr>
      <w:r>
        <w:rPr>
          <w:noProof/>
        </w:rPr>
        <w:br w:type="page"/>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2020/0271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για την τροποποίηση της απόφασης (ΕΕ) 2020/721 του Συμβουλίου, της 19ης Μαΐου 2020, ώστε να συμπεριληφθεί η θέση που πρέπει να ληφθεί εξ ονόματος της Ευρωπαϊκής Ένωσης στο πλαίσιο του Διεθνούς Ναυτιλιακού Οργανισμού κατά την 75η σύνοδο της Επιτροπής Προστασίας του Θαλάσσιου Περιβάλλοντος και την 102η σύνοδο της Επιτροπής Ναυτικής Ασφάλειας για την έγκριση εγκυκλίου MSC-MEPC.5 σχετικά με πρότυπη συμφωνία για την εξουσιοδότηση αναγνωρισμένων οργανισμών που ενεργούν εξ ονόματος των αρχών</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100 παράγραφος 2, σε συνδυασμό με το άρθρο 218 παράγραφος 9,</w:t>
      </w:r>
    </w:p>
    <w:p>
      <w:pPr>
        <w:rPr>
          <w:noProof/>
        </w:rPr>
      </w:pPr>
      <w:r>
        <w:rPr>
          <w:noProof/>
        </w:rPr>
        <w:t xml:space="preserve">Έχοντας υπόψη την πρόταση της Ευρωπαϊκής Επιτροπής, </w:t>
      </w:r>
    </w:p>
    <w:p>
      <w:pPr>
        <w:rPr>
          <w:noProof/>
        </w:rPr>
      </w:pPr>
      <w:r>
        <w:rPr>
          <w:noProof/>
        </w:rPr>
        <w:t>Εκτιμώντας τα ακόλουθα:</w:t>
      </w:r>
    </w:p>
    <w:p>
      <w:pPr>
        <w:pStyle w:val="ManualConsidrant"/>
        <w:rPr>
          <w:noProof/>
        </w:rPr>
      </w:pPr>
      <w:r>
        <w:t>(1)</w:t>
      </w:r>
      <w:r>
        <w:tab/>
      </w:r>
      <w:r>
        <w:rPr>
          <w:noProof/>
        </w:rPr>
        <w:t xml:space="preserve">Η δράση της Ευρωπαϊκής Ένωσης στον τομέα των θαλάσσιων μεταφορών θα πρέπει να αποσκοπεί στην προστασία του θαλάσσιου περιβάλλοντος, της ανθρώπινης υγείας και στη βελτίωση της ασφάλειας στη ναυτιλία. </w:t>
      </w:r>
    </w:p>
    <w:p>
      <w:pPr>
        <w:pStyle w:val="ManualConsidrant"/>
        <w:rPr>
          <w:noProof/>
        </w:rPr>
      </w:pPr>
      <w:r>
        <w:t>(2)</w:t>
      </w:r>
      <w:r>
        <w:tab/>
      </w:r>
      <w:r>
        <w:rPr>
          <w:noProof/>
        </w:rPr>
        <w:t xml:space="preserve">Η Σύμβαση περί Διεθνούς Ναυτιλιακού Οργανισμού (ΔΝΟ) τέθηκε σε ισχύ στις 17 Μαρτίου 1958. </w:t>
      </w:r>
    </w:p>
    <w:p>
      <w:pPr>
        <w:pStyle w:val="ManualConsidrant"/>
        <w:rPr>
          <w:noProof/>
        </w:rPr>
      </w:pPr>
      <w:r>
        <w:t>(3)</w:t>
      </w:r>
      <w:r>
        <w:tab/>
      </w:r>
      <w:r>
        <w:rPr>
          <w:noProof/>
        </w:rPr>
        <w:t>Ο Διεθνής Ναυτιλιακός Οργανισμός (ΔΝΟ) είναι ειδικευμένος οργανισμός των Ηνωμένων Εθνών που είναι αρμόδιος για την ασφάλεια και την προστασία της ναυτιλίας και την πρόληψη της θαλάσσιας και της ατμοσφαιρικής ρύπανσης από τα πλοία. Όλα τα κράτη μέλη της Ένωσης είναι μέλη του ΔΝΟ.</w:t>
      </w:r>
    </w:p>
    <w:p>
      <w:pPr>
        <w:pStyle w:val="ManualConsidrant"/>
        <w:rPr>
          <w:noProof/>
        </w:rPr>
      </w:pPr>
      <w:r>
        <w:t>(4)</w:t>
      </w:r>
      <w:r>
        <w:tab/>
      </w:r>
      <w:r>
        <w:rPr>
          <w:noProof/>
        </w:rPr>
        <w:t>Σύμφωνα με το άρθρο 28 στοιχείο β) της Σύμβασης του ΔΝΟ, η Επιτροπή Ναυτικής Ασφάλειας αποτελεί μηχανισμό εκτέλεσης των καθηκόντων που της ανατίθενται σύμφωνα με την εν λόγω Σύμβαση, από τη Συνέλευση του ΔΝΟ ή από το Συμβούλιο του ΔΝΟ, ή κάθε άλλου καθήκοντος, αποδεκτού από τον ΔΝΟ, που εμπίπτει στο πεδίο εφαρμογής του ανωτέρω άρθρου, το οποίο μπορεί να ανατεθεί στην Επιτροπή Ναυτικής Ασφάλειας βάσει οποιασδήποτε άλλης διεθνούς πράξης.</w:t>
      </w:r>
    </w:p>
    <w:p>
      <w:pPr>
        <w:pStyle w:val="ManualConsidrant"/>
        <w:rPr>
          <w:noProof/>
        </w:rPr>
      </w:pPr>
      <w:r>
        <w:t>(5)</w:t>
      </w:r>
      <w:r>
        <w:tab/>
      </w:r>
      <w:r>
        <w:rPr>
          <w:noProof/>
        </w:rPr>
        <w:t xml:space="preserve">Σύμφωνα με το άρθρο 38 στοιχείο α) της Σύμβασης του ΔΝΟ, η Επιτροπή Προστασίας Θαλάσσιου Περιβάλλοντος εκτελεί καθήκοντα τα οποία της ανατίθενται ή ενδέχεται να της ανατεθούν από τον ΔΝΟ ή με βάση διεθνείς συμβάσεις για την πρόληψη και τον έλεγχο της θαλάσσιας ρύπανσης από πλοία, ιδίως όσον αφορά την έκδοση και την τροποποίηση κανονισμών ή άλλων διατάξεων. </w:t>
      </w:r>
    </w:p>
    <w:p>
      <w:pPr>
        <w:pStyle w:val="ManualConsidrant"/>
        <w:rPr>
          <w:noProof/>
        </w:rPr>
      </w:pPr>
      <w:r>
        <w:t>(6)</w:t>
      </w:r>
      <w:r>
        <w:tab/>
      </w:r>
      <w:r>
        <w:rPr>
          <w:noProof/>
        </w:rPr>
        <w:t xml:space="preserve">Η Διεθνής Σύμβαση για την ασφάλεια της ανθρώπινης ζωής στη θάλασσα («Σύμβαση SOLAS») τέθηκε σε ισχύ στις 25 Μαΐου 1980. </w:t>
      </w:r>
    </w:p>
    <w:p>
      <w:pPr>
        <w:pStyle w:val="ManualConsidrant"/>
        <w:rPr>
          <w:noProof/>
        </w:rPr>
      </w:pPr>
      <w:r>
        <w:t>(7)</w:t>
      </w:r>
      <w:r>
        <w:tab/>
      </w:r>
      <w:r>
        <w:rPr>
          <w:noProof/>
        </w:rPr>
        <w:t xml:space="preserve">Σύμφωνα με το άρθρο VIII στοιχείο β) σημείο iii) της Σύμβασης SOLAS, η Επιτροπή Ναυτικής Ασφάλειας του ΔΝΟ μπορεί να εκδώσει τροποποιήσεις της Σύμβασης SOLAS. </w:t>
      </w:r>
    </w:p>
    <w:p>
      <w:pPr>
        <w:pStyle w:val="ManualConsidrant"/>
        <w:rPr>
          <w:noProof/>
        </w:rPr>
      </w:pPr>
      <w:r>
        <w:lastRenderedPageBreak/>
        <w:t>(8)</w:t>
      </w:r>
      <w:r>
        <w:tab/>
      </w:r>
      <w:r>
        <w:rPr>
          <w:noProof/>
        </w:rPr>
        <w:t xml:space="preserve">Η Διεθνής Σύμβαση για την πρόληψη της ρύπανσης από πλοία («Σύμβαση MARPOL») τέθηκε σε ισχύ στις 2 Οκτωβρίου 1983. </w:t>
      </w:r>
    </w:p>
    <w:p>
      <w:pPr>
        <w:pStyle w:val="ManualConsidrant"/>
        <w:rPr>
          <w:noProof/>
        </w:rPr>
      </w:pPr>
      <w:r>
        <w:t>(9)</w:t>
      </w:r>
      <w:r>
        <w:tab/>
      </w:r>
      <w:r>
        <w:rPr>
          <w:noProof/>
        </w:rPr>
        <w:t>Σύμφωνα με το άρθρο 16 παράγραφος 2 στοιχείο γ) της Σύμβασης MARPOL, οι τροποποιήσεις μπορούν να εκδίδονται από το κατάλληλο όργανο, εν προκειμένω από την Επιτροπή Προστασίας Θαλάσσιου Περιβάλλοντος.</w:t>
      </w:r>
    </w:p>
    <w:p>
      <w:pPr>
        <w:pStyle w:val="ManualConsidrant"/>
        <w:rPr>
          <w:noProof/>
        </w:rPr>
      </w:pPr>
      <w:r>
        <w:t>(10)</w:t>
      </w:r>
      <w:r>
        <w:tab/>
      </w:r>
      <w:r>
        <w:rPr>
          <w:noProof/>
        </w:rPr>
        <w:t xml:space="preserve">Η Επιτροπή Ναυτικής Ασφάλειας, κατά την 102η σύνοδό της από τις 4 έως τις 11 Νοεμβρίου 2020 («MSC 102») πρόκειται να εγκρίνει από κοινού με την Επιτροπή Προστασίας Θαλάσσιου Περιβάλλοντος την εγκύκλιο MSC-MEPC.5 σχετικά με την πρότυπη συμφωνία για την αδειοδότηση αναγνωρισμένων οργανισμών που ενεργούν εξ ονόματος των αρχών. </w:t>
      </w:r>
    </w:p>
    <w:p>
      <w:pPr>
        <w:pStyle w:val="ManualConsidrant"/>
        <w:rPr>
          <w:noProof/>
        </w:rPr>
      </w:pPr>
      <w:r>
        <w:t>(11)</w:t>
      </w:r>
      <w:r>
        <w:tab/>
      </w:r>
      <w:r>
        <w:rPr>
          <w:noProof/>
        </w:rPr>
        <w:t xml:space="preserve">Η Επιτροπή Προστασίας Θαλάσσιου Περιβάλλοντος, κατά την 75η σύνοδό της από τις 16 έως τις 20 Νοεμβρίου 2020 («MEPC 75») πρόκειται να εγκρίνει από κοινού με την MSC 102 την εγκύκλιο MSC-MEPC.5 σχετικά με την πρότυπη συμφωνία για την αδειοδότηση αναγνωρισμένων οργανισμών που ενεργούν για λογαριασμό των αρχών. </w:t>
      </w:r>
    </w:p>
    <w:p>
      <w:pPr>
        <w:pStyle w:val="ManualConsidrant"/>
        <w:rPr>
          <w:bCs/>
          <w:iCs/>
          <w:noProof/>
        </w:rPr>
      </w:pPr>
      <w:r>
        <w:t>(12)</w:t>
      </w:r>
      <w:r>
        <w:tab/>
      </w:r>
      <w:r>
        <w:rPr>
          <w:noProof/>
        </w:rPr>
        <w:t>Είναι σκόπιμο να καθοριστεί η θέση που πρέπει να ληφθεί εξ ονόματος της Ένωσης κατά την MSC 102, δεδομένου ότι  η έγκριση της εγκυκλίου MSC-MEPC.5 θα καταστήσει δυνατή την αποφασιστική επιρροή στο περιεχόμενο του δικαίου της ΕΕ, και συγκεκριμένα της οδηγίας  2009/15/ΕΚ του Ευρωπαϊκού Κοινοβουλίου και του Συμβουλίου</w:t>
      </w:r>
      <w:r>
        <w:rPr>
          <w:rStyle w:val="FootnoteReference"/>
          <w:noProof/>
        </w:rPr>
        <w:footnoteReference w:id="5"/>
      </w:r>
      <w:r>
        <w:rPr>
          <w:noProof/>
        </w:rPr>
        <w:t xml:space="preserve">. </w:t>
      </w:r>
    </w:p>
    <w:p>
      <w:pPr>
        <w:pStyle w:val="ManualConsidrant"/>
        <w:rPr>
          <w:noProof/>
        </w:rPr>
      </w:pPr>
      <w:r>
        <w:t>(13)</w:t>
      </w:r>
      <w:r>
        <w:tab/>
      </w:r>
      <w:r>
        <w:rPr>
          <w:noProof/>
        </w:rPr>
        <w:t>Είναι σκόπιμο να καθοριστεί η θέση που πρέπει να ληφθεί εξ ονόματος της Ένωσης MEPC 75, δεδομένου ότι  η έγκριση της εγκυκλίου MSC-MEPC.5 θα καταστήσει δυνατή την αποφασιστική επιρροή στο περιεχόμενο του δικαίου της ΕΕ, και συγκεκριμένα της οδηγίας 2009/15/ΕΚ του Ευρωπαϊκού Κοινοβουλίου και του Συμβουλίου.</w:t>
      </w:r>
    </w:p>
    <w:p>
      <w:pPr>
        <w:pStyle w:val="ManualConsidrant"/>
        <w:rPr>
          <w:noProof/>
        </w:rPr>
      </w:pPr>
      <w:r>
        <w:t>(14)</w:t>
      </w:r>
      <w:r>
        <w:tab/>
      </w:r>
      <w:r>
        <w:rPr>
          <w:noProof/>
        </w:rPr>
        <w:t>Η έγκριση της εγκυκλίου MSC-MEPC.5, η οποία αντικαθιστά τις MSC/Circ.710 και MEPC/Circ.307, θα επικαιροποιήσει την πρότυπη συμφωνία και θα την ευθυγραμμίσει με τον Κώδικα Αναγνωρισμένων Οργανισμών (Κώδικας ΑΟ) (ψηφίσματα MSC.349 (92) και MEPC.237 (65)). Θα συμβάλει στη μεγαλύτερη ακρίβεια, διαφάνεια και λογοδοσία τόσο των αρχών του κράτους της σημαίας όσο και των ΑΟ σε παγκόσμιο επίπεδο.</w:t>
      </w:r>
    </w:p>
    <w:p>
      <w:pPr>
        <w:pStyle w:val="ManualConsidrant"/>
        <w:rPr>
          <w:noProof/>
        </w:rPr>
      </w:pPr>
      <w:r>
        <w:t>(15)</w:t>
      </w:r>
      <w:r>
        <w:tab/>
      </w:r>
      <w:r>
        <w:rPr>
          <w:noProof/>
        </w:rPr>
        <w:t>Η απόφαση (ΕΕ) 2020/721 του Συμβουλίου, της 19ης Μαΐου 2020</w:t>
      </w:r>
      <w:r>
        <w:rPr>
          <w:rStyle w:val="FootnoteReference"/>
          <w:noProof/>
        </w:rPr>
        <w:footnoteReference w:id="6"/>
      </w:r>
      <w:r>
        <w:rPr>
          <w:noProof/>
        </w:rPr>
        <w:t xml:space="preserve">, θα πρέπει να τροποποιηθεί ώστε να συμπεριλάβει αναφορά στην έγκριση της εγκυκλίου MSC-MEPC.5. </w:t>
      </w:r>
    </w:p>
    <w:p>
      <w:pPr>
        <w:pStyle w:val="ManualConsidrant"/>
        <w:rPr>
          <w:noProof/>
        </w:rPr>
      </w:pPr>
      <w:r>
        <w:lastRenderedPageBreak/>
        <w:t>(16)</w:t>
      </w:r>
      <w:r>
        <w:tab/>
      </w:r>
      <w:r>
        <w:rPr>
          <w:noProof/>
        </w:rPr>
        <w:t xml:space="preserve">Η θέση της Ένωσης πρόκειται να εκφραστεί από τα κράτη μέλη της Ένωσης τα οποία είναι μέλη της Επιτροπής Ναυτικής Ασφάλειας και της Επιτροπής Προστασίας Θαλάσσιου Περιβάλλοντος του ΔΝΟ, που ενεργούν από κοινού, </w:t>
      </w:r>
    </w:p>
    <w:p>
      <w:pPr>
        <w:pStyle w:val="Formuledadoption"/>
        <w:rPr>
          <w:noProof/>
        </w:rPr>
      </w:pPr>
      <w:r>
        <w:rPr>
          <w:noProof/>
        </w:rPr>
        <w:t>ΕΞΕΔΩΣΕ ΤΗΝ ΠΑΡΟΥΣΑ ΑΠΟΦΑΣΗ:</w:t>
      </w:r>
    </w:p>
    <w:p>
      <w:pPr>
        <w:pStyle w:val="Titrearticle"/>
        <w:rPr>
          <w:noProof/>
        </w:rPr>
      </w:pPr>
      <w:r>
        <w:rPr>
          <w:noProof/>
        </w:rPr>
        <w:t>Άρθρο 1</w:t>
      </w:r>
    </w:p>
    <w:p>
      <w:pPr>
        <w:rPr>
          <w:noProof/>
        </w:rPr>
      </w:pPr>
      <w:r>
        <w:rPr>
          <w:noProof/>
        </w:rPr>
        <w:t xml:space="preserve">Η απόφαση (ΕΕ) 2020/721 του Συμβουλίου τροποποιείται ως εξής: </w:t>
      </w:r>
    </w:p>
    <w:p>
      <w:pPr>
        <w:jc w:val="center"/>
        <w:rPr>
          <w:i/>
          <w:noProof/>
        </w:rPr>
      </w:pPr>
      <w:r>
        <w:rPr>
          <w:i/>
          <w:noProof/>
        </w:rPr>
        <w:t>«Άρθρο 1</w:t>
      </w:r>
    </w:p>
    <w:p>
      <w:pPr>
        <w:rPr>
          <w:noProof/>
        </w:rPr>
      </w:pPr>
      <w:r>
        <w:rPr>
          <w:noProof/>
        </w:rPr>
        <w:t xml:space="preserve">Η θέση που πρέπει να ληφθεί εξ ονόματος της Ένωσης στο πλαίσιο της Επιτροπής Προστασίας Θαλάσσιου Περιβάλλοντος του Διεθνούς Ναυτιλιακού Οργανισμού κατά την 75η σύνοδό της είναι να υποστηρίξει την έγκριση των τροποποιήσεων των κανονισμών 2, 14 και 18 και των προσαρτημάτων I και VI του παραρτήματος VI της Διεθνούς Σύμβασης για την πρόληψη της ρύπανσης από πλοία, όπως καθορίζονται στο παράρτημα του εγγράφου MEPC 75/3 του ΔΝΟ και την έγκριση της εγκυκλίου MSC-MEPC.5 όπως ορίζεται στο παράρτημα 8 του εγγράφου III 6/15 του ΔΝΟ. </w:t>
      </w:r>
    </w:p>
    <w:p>
      <w:pPr>
        <w:jc w:val="center"/>
        <w:rPr>
          <w:i/>
          <w:noProof/>
        </w:rPr>
      </w:pPr>
      <w:r>
        <w:rPr>
          <w:i/>
          <w:noProof/>
        </w:rPr>
        <w:t>Άρθρο 2</w:t>
      </w:r>
    </w:p>
    <w:p>
      <w:pPr>
        <w:rPr>
          <w:noProof/>
        </w:rPr>
      </w:pPr>
      <w:r>
        <w:rPr>
          <w:noProof/>
        </w:rPr>
        <w:t>1. Η θέση που πρέπει να ληφθεί εξ ονόματος της Ένωσης στο πλαίσιο της Επιτροπής Ναυτικής Ασφάλειας του Διεθνούς Ναυτιλιακού Οργανισμού κατά την 102η σύνοδό της είναι να υποστηρίξει την έγκριση των τροποποιήσεων:</w:t>
      </w:r>
    </w:p>
    <w:p>
      <w:pPr>
        <w:rPr>
          <w:noProof/>
        </w:rPr>
      </w:pPr>
      <w:r>
        <w:rPr>
          <w:noProof/>
        </w:rPr>
        <w:t>α) των μερών Α-1, Β, Β-1 και Β-2 έως Β-4 του κεφαλαίου II-1 της Διεθνούς Σύμβασης για την ασφάλεια της ανθρώπινης ζωής στη θάλασσα, όπως καθορίζονται στο παράρτημα 1 του εγγράφου MSC 102/3 του ΔΝΟ·</w:t>
      </w:r>
    </w:p>
    <w:p>
      <w:pPr>
        <w:rPr>
          <w:noProof/>
        </w:rPr>
      </w:pPr>
      <w:r>
        <w:rPr>
          <w:noProof/>
        </w:rPr>
        <w:t>β) των μερών A-1 και B-1 του Διεθνούς Κώδικα για την ασφάλεια των πλοίων που χρησιμοποιούν αέρια καύσιμα ή άλλα καύσιμα με χαμηλό σημείο ανάφλεξης, όπως καθορίζονται στο παράρτημα 2 του εγγράφου MSC 102/3 του ΔΝΟ·</w:t>
      </w:r>
    </w:p>
    <w:p>
      <w:pPr>
        <w:rPr>
          <w:noProof/>
        </w:rPr>
      </w:pPr>
      <w:r>
        <w:rPr>
          <w:noProof/>
        </w:rPr>
        <w:t xml:space="preserve">γ) της απόφασης A.658(16) σχετικά με τη χρήση και εγκατάσταση οπισθανακλαστικών υλικών επί σωστικών μέσων. </w:t>
      </w:r>
    </w:p>
    <w:p>
      <w:pPr>
        <w:rPr>
          <w:noProof/>
        </w:rPr>
      </w:pPr>
      <w:r>
        <w:rPr>
          <w:noProof/>
        </w:rPr>
        <w:t>και την έγκριση της εγκυκλίου MSC-MEPC.5 σχετικά με την πρότυπη συμφωνία για την εξουσιοδότηση αναγνωρισμένων οργανισμών που ενεργούν για λογαριασμό των αρχών.»</w:t>
      </w:r>
    </w:p>
    <w:p>
      <w:pPr>
        <w:pStyle w:val="Titrearticle"/>
        <w:rPr>
          <w:noProof/>
        </w:rPr>
      </w:pPr>
      <w:r>
        <w:rPr>
          <w:noProof/>
        </w:rPr>
        <w:t xml:space="preserve">Άρθρο 2 </w:t>
      </w:r>
    </w:p>
    <w:p>
      <w:pPr>
        <w:rPr>
          <w:noProof/>
          <w:color w:val="000000"/>
        </w:rPr>
      </w:pPr>
      <w:r>
        <w:rPr>
          <w:noProof/>
          <w:color w:val="000000"/>
        </w:rPr>
        <w:t xml:space="preserve">Η παρούσα απόφαση απευθύνεται στα κράτη μέλη. </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Απόφαση (ΕΕ) 2020/721 του Συμβουλίου της 19ης Μαΐου 2020 για τη θέση που πρέπει να ληφθεί εξ ονόματος της Ευρωπαϊκής Ένωσης στο πλαίσιο της Επιτροπής Προστασίας Θαλάσσιου Περιβάλλοντος του Διεθνούς Ναυτιλιακού Οργανισμού κατά την 75η σύνοδό της και στο πλαίσιο της Επιτροπής Ναυτικής Ασφάλειας του Διεθνούς Ναυτιλιακού Οργανισμού κατά την 102η σύνοδό της όσον αφορά την έκδοση τροποποιήσεων των κανονισμών 2, 14 και 18 και των προσαρτημάτων I και VI του παραρτήματος VI της Διεθνούς Σύμβασης για την πρόληψη της ρύπανσης από πλοία, των μερών Α-1, Β και Β-1 και των μερών Β-2 έως Β-4 του κεφαλαίου II-1 της Διεθνούς Σύμβασης για την ασφάλεια της ανθρώπινης ζωής στη θάλασσα, των μερών Α-1 και Β-1 του Διεθνούς Κώδικα για την ασφάλεια των πλοίων που χρησιμοποιούν αέρια καύσιμα ή άλλα καύσιμα με χαμηλό σημείο ανάφλεξης και της απόφασης A.658(16) σχετικά με τη χρήση και εγκατάσταση οπισθανακλαστικών υλικών επί σωστικών μέσων (ΕΕ L 171 της 2.6.2020, σ. 1–3)</w:t>
      </w:r>
    </w:p>
  </w:footnote>
  <w:footnote w:id="3">
    <w:p>
      <w:pPr>
        <w:pStyle w:val="FootnoteText"/>
      </w:pPr>
      <w:r>
        <w:rPr>
          <w:rStyle w:val="FootnoteReference"/>
        </w:rPr>
        <w:footnoteRef/>
      </w:r>
      <w:r>
        <w:tab/>
        <w:t xml:space="preserve">Υπόθεση C-399/12, Γερμανία κατά Συμβουλίου (ΔΟΑΟ), ECLI:EU:C:2014:2258, σκέψη 64. </w:t>
      </w:r>
    </w:p>
  </w:footnote>
  <w:footnote w:id="4">
    <w:p>
      <w:pPr>
        <w:pStyle w:val="FootnoteText"/>
      </w:pPr>
      <w:r>
        <w:rPr>
          <w:rStyle w:val="FootnoteReference"/>
        </w:rPr>
        <w:footnoteRef/>
      </w:r>
      <w:r>
        <w:tab/>
        <w:t xml:space="preserve">Υπόθεση C-399/12, Γερμανία κατά Συμβουλίου (OIV), ECLI:EU:C:2014:2258, σκέψεις 61-64. </w:t>
      </w:r>
    </w:p>
  </w:footnote>
  <w:footnote w:id="5">
    <w:p>
      <w:pPr>
        <w:pStyle w:val="FootnoteText"/>
      </w:pPr>
      <w:r>
        <w:rPr>
          <w:rStyle w:val="FootnoteReference"/>
        </w:rPr>
        <w:footnoteRef/>
      </w:r>
      <w:r>
        <w:tab/>
        <w:t>Οδηγία 2009/15/ΕΚ του Ευρωπαϊκού Κοινοβουλίου και του Συμβουλίου, της 23ης Απριλίου 2009, σχετικά με κοινούς κανόνες και πρότυπα για τους οργανισμούς επιθεώρησης και ελέγχου πλοίων και για τις συναφείς δραστηριότητες των ναυτικών αρχών (ΕΕ L 131 της 28.5.2009, σ. 47).</w:t>
      </w:r>
    </w:p>
  </w:footnote>
  <w:footnote w:id="6">
    <w:p>
      <w:pPr>
        <w:pStyle w:val="FootnoteText"/>
      </w:pPr>
      <w:r>
        <w:rPr>
          <w:rStyle w:val="FootnoteReference"/>
        </w:rPr>
        <w:footnoteRef/>
      </w:r>
      <w:r>
        <w:tab/>
        <w:t>Απόφαση (ΕΕ) 2020/721 του Συμβουλίου της 19ης Μαΐου 2020 για τη θέση που πρέπει να ληφθεί εξ ονόματος της Ευρωπαϊκής Ένωσης στο πλαίσιο της Επιτροπής Προστασίας Θαλάσσιου Περιβάλλοντος του Διεθνούς Ναυτιλιακού Οργανισμού κατά την 75η σύνοδό της και στο πλαίσιο της Επιτροπής Ναυτικής Ασφάλειας του Διεθνούς Ναυτιλιακού Οργανισμού κατά την 102η σύνοδό της όσον αφορά την έκδοση τροποποιήσεων των κανονισμών 2, 14 και 18 και των προσαρτημάτων I και VI του παραρτήματος VI της Διεθνούς Σύμβασης για την πρόληψη της ρύπανσης από πλοία, των μερών Α-1, Β και Β-1 και των μερών Β-2 έως Β-4 του κεφαλαίου II-1 της Διεθνούς Σύμβασης για την ασφάλεια της ανθρώπινης ζωής στη θάλασσα, των μερών Α-1 και Β-1 του Διεθνούς Κώδικα για την ασφάλεια των πλοίων που χρησιμοποιούν αέρια καύσιμα ή άλλα καύσιμα με χαμηλό σημείο ανάφλεξης και της απόφασης A.658(16) σχετικά με τη χρήση και εγκατάσταση οπισθανακλαστικών υλικών επί σωστικών μέσων (ΕΕ L 171 της 2.6.2020, σ.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656D76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ED384010"/>
    <w:lvl w:ilvl="0">
      <w:start w:val="1"/>
      <w:numFmt w:val="decimal"/>
      <w:pStyle w:val="ListNumber2"/>
      <w:lvlText w:val="%1."/>
      <w:lvlJc w:val="left"/>
      <w:pPr>
        <w:tabs>
          <w:tab w:val="num" w:pos="643"/>
        </w:tabs>
        <w:ind w:left="643" w:hanging="360"/>
      </w:pPr>
    </w:lvl>
  </w:abstractNum>
  <w:abstractNum w:abstractNumId="3">
    <w:nsid w:val="FFFFFF81"/>
    <w:multiLevelType w:val="singleLevel"/>
    <w:tmpl w:val="FE6E691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0CE5F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5BE7F0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D0C9A42"/>
    <w:lvl w:ilvl="0">
      <w:start w:val="1"/>
      <w:numFmt w:val="decimal"/>
      <w:pStyle w:val="ListNumber"/>
      <w:lvlText w:val="%1."/>
      <w:lvlJc w:val="left"/>
      <w:pPr>
        <w:tabs>
          <w:tab w:val="num" w:pos="360"/>
        </w:tabs>
        <w:ind w:left="360" w:hanging="360"/>
      </w:pPr>
    </w:lvl>
  </w:abstractNum>
  <w:abstractNum w:abstractNumId="7">
    <w:nsid w:val="FFFFFF89"/>
    <w:multiLevelType w:val="singleLevel"/>
    <w:tmpl w:val="C92E864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
  </w:num>
  <w:num w:numId="6">
    <w:abstractNumId w:val="21"/>
    <w:lvlOverride w:ilvl="0">
      <w:startOverride w:val="1"/>
    </w:lvlOverride>
  </w:num>
  <w:num w:numId="7">
    <w:abstractNumId w:val="6"/>
  </w:num>
  <w:num w:numId="8">
    <w:abstractNumId w:val="2"/>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 w:vendorID="64" w:dllVersion="131078" w:nlCheck="1" w:checkStyle="1"/>
  <w:activeWritingStyle w:appName="MSWord" w:lang="en-IE" w:vendorID="64" w:dllVersion="131078" w:nlCheck="1" w:checkStyle="1"/>
  <w:attachedTemplate r:id="rId1"/>
  <w:revisionView w:markup="0"/>
  <w:defaultTabStop w:val="720"/>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21 17:22:3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3B22C03-CCEB-4052-8EF0-0AF0F0F121A7"/>
    <w:docVar w:name="LW_COVERPAGE_TYPE" w:val="1"/>
    <w:docVar w:name="LW_CROSSREFERENCE" w:val="&lt;UNUSED&gt;"/>
    <w:docVar w:name="LW_DocType" w:val="COM"/>
    <w:docVar w:name="LW_EMISSION" w:val="28.9.2020"/>
    <w:docVar w:name="LW_EMISSION_ISODATE" w:val="2020-09-28"/>
    <w:docVar w:name="LW_EMISSION_LOCATION" w:val="BRX"/>
    <w:docVar w:name="LW_EMISSION_PREFIX" w:val="Βρυξέλλες,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271"/>
    <w:docVar w:name="LW_REF.II.NEW.CP_YEAR" w:val="2020"/>
    <w:docVar w:name="LW_REF.INST.NEW" w:val="COM"/>
    <w:docVar w:name="LW_REF.INST.NEW_ADOPTED" w:val="final"/>
    <w:docVar w:name="LW_REF.INST.NEW_TEXT" w:val="(2020) 58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28?\u961?\u972?\u964?\u945?\u963?\u951?"/>
    <w:docVar w:name="LW_SUPERTITRE" w:val="&lt;UNUSED&gt;"/>
    <w:docVar w:name="LW_TITRE.OBJ.CP" w:val="\u947?\u953?\u945? \u964?\u951?\u957? \u964?\u961?\u959?\u960?\u959?\u960?\u959?\u943?\u951?\u963?\u951? \u964?\u951?\u962? \u945?\u960?\u972?\u966?\u945?\u963?\u951?\u962? (\u917?\u917?) 2020/721 \u964?\u959?\u965? \u931?\u965?\u956?\u946?\u959?\u965?\u955?\u943?\u959?\u965?, \u964?\u951?\u962? 19\u951?\u962? \u924?\u945?\u912?\u959?\u965? 2020, \u974?\u963?\u964?\u949? \u957?\u945? \u963?\u965?\u956?\u960?\u949?\u961?\u953?\u955?\u951?\u966?\u952?\u949?\u943? \u951? \u952?\u941?\u963?\u951? \u960?\u959?\u965? \u960?\u961?\u941?\u960?\u949?\u953? \u957?\u945? \u955?\u951?\u966?\u952?\u949?\u943? \u949?\u958? \u959?\u957?\u972?\u956?\u945?\u964?\u959?\u962? \u964?\u951?\u962? \u917?\u965?\u961?\u969?\u960?\u945?\u970?\u954?\u942?\u962? \u904?\u957?\u969?\u963?\u951?\u962? \u963?\u964?\u959? \u960?\u955?\u945?\u943?\u963?\u953?\u959? \u964?\u959?\u965? \u916?\u953?\u949?\u952?\u957?\u959?\u973?\u962? \u925?\u945?\u965?\u964?\u953?\u955?\u953?\u945?\u954?\u959?\u973? \u927?\u961?\u947?\u945?\u957?\u953?\u963?\u956?\u959?\u973? \u954?\u945?\u964?\u940? \u964?\u951?\u957? 75\u951? \u963?\u973?\u957?\u959?\u948?\u959? \u964?\u951?\u962? \u917?\u960?\u953?\u964?\u961?\u959?\u960?\u942?\u962? \u928?\u961?\u959?\u963?\u964?\u945?\u963?\u943?\u945?\u962? \u964?\u959?\u965? \u920?\u945?\u955?\u940?\u963?\u963?\u953?\u959?\u965? \u928?\u949?\u961?\u953?\u946?\u940?\u955?\u955?\u959?\u957?\u964?\u959?\u962? \u954?\u945?\u953? \u964?\u951?\u957? 102\u951? \u963?\u973?\u957?\u959?\u948?\u959? \u964?\u951?\u962? \u917?\u960?\u953?\u964?\u961?\u959?\u960?\u942?\u962? \u925?\u945?\u965?\u964?\u953?\u954?\u942?\u962? \u913?\u963?\u966?\u940?\u955?\u949?\u953?\u945?\u962? \u947?\u953?\u945? \u964?\u951?\u957? \u941?\u947?\u954?\u961?\u953?\u963?\u951? \u949?\u947?\u954?\u965?\u954?\u955?\u943?\u959?\u965? MSC-MEPC.5 \u963?\u967?\u949?\u964?\u953?\u954?\u940? \u956?\u949? \u960?\u961?\u972?\u964?\u965?\u960?\u951? \u963?\u965?\u956?\u966?\u969?\u957?\u943?\u945? \u947?\u953?\u945? \u964?\u951?\u957? \u949?\u958?\u959?\u965?\u963?\u953?\u959?\u948?\u972?\u964?\u951?\u963?\u951? \u945?\u957?\u945?\u947?\u957?\u969?\u961?\u953?\u963?\u956?\u941?\u957?\u969?\u957? \u959?\u961?\u947?\u945?\u957?\u953?\u963?\u956?\u974?\u957? \u960?\u959?\u965? \u949?\u957?\u949?\u961?\u947?\u959?\u973?\u957? \u949?\u958? \u959?\u957?\u972?\u956?\u945?\u964?\u959?\u962? \u964?\u969?\u957? \u945?\u961?\u967?\u974?\u957?"/>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3">
    <w:name w:val="List Number 3"/>
    <w:basedOn w:val="Normal"/>
    <w:pPr>
      <w:numPr>
        <w:numId w:val="5"/>
      </w:numPr>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3">
    <w:name w:val="List Number 3"/>
    <w:basedOn w:val="Normal"/>
    <w:pPr>
      <w:numPr>
        <w:numId w:val="5"/>
      </w:numPr>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57738">
      <w:bodyDiv w:val="1"/>
      <w:marLeft w:val="0"/>
      <w:marRight w:val="0"/>
      <w:marTop w:val="0"/>
      <w:marBottom w:val="0"/>
      <w:divBdr>
        <w:top w:val="none" w:sz="0" w:space="0" w:color="auto"/>
        <w:left w:val="none" w:sz="0" w:space="0" w:color="auto"/>
        <w:bottom w:val="none" w:sz="0" w:space="0" w:color="auto"/>
        <w:right w:val="none" w:sz="0" w:space="0" w:color="auto"/>
      </w:divBdr>
    </w:div>
    <w:div w:id="961379842">
      <w:bodyDiv w:val="1"/>
      <w:marLeft w:val="0"/>
      <w:marRight w:val="0"/>
      <w:marTop w:val="0"/>
      <w:marBottom w:val="0"/>
      <w:divBdr>
        <w:top w:val="none" w:sz="0" w:space="0" w:color="auto"/>
        <w:left w:val="none" w:sz="0" w:space="0" w:color="auto"/>
        <w:bottom w:val="none" w:sz="0" w:space="0" w:color="auto"/>
        <w:right w:val="none" w:sz="0" w:space="0" w:color="auto"/>
      </w:divBdr>
    </w:div>
    <w:div w:id="176484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6CB4F-C5C2-4E81-B79E-A765A985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3304</Words>
  <Characters>18536</Characters>
  <Application>Microsoft Office Word</Application>
  <DocSecurity>0</DocSecurity>
  <Lines>331</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2019-12-18T11:02:00Z</cp:lastPrinted>
  <dcterms:created xsi:type="dcterms:W3CDTF">2020-09-18T16:33:00Z</dcterms:created>
  <dcterms:modified xsi:type="dcterms:W3CDTF">2020-09-21T15:22:00Z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