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BB7143F-1666-4E58-93C1-C33E91FE7160" style="width:450.75pt;height:393.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Motivele și obiectivele propunerii</w:t>
      </w:r>
    </w:p>
    <w:p>
      <w:pPr>
        <w:pBdr>
          <w:top w:val="nil"/>
          <w:left w:val="nil"/>
          <w:bottom w:val="nil"/>
          <w:right w:val="nil"/>
          <w:between w:val="nil"/>
          <w:bar w:val="nil"/>
        </w:pBdr>
        <w:spacing w:before="0" w:after="240"/>
        <w:rPr>
          <w:noProof/>
        </w:rPr>
      </w:pPr>
      <w:r>
        <w:rPr>
          <w:noProof/>
        </w:rPr>
        <w:t>La 8 iulie 2019, Consiliul a adoptat o decizie</w:t>
      </w:r>
      <w:r>
        <w:rPr>
          <w:rStyle w:val="FootnoteReference"/>
          <w:noProof/>
        </w:rPr>
        <w:footnoteReference w:id="1"/>
      </w:r>
      <w:r>
        <w:rPr>
          <w:noProof/>
        </w:rPr>
        <w:t xml:space="preserve"> care autorizează Comisia să deschidă negocieri cu Mauritania în vederea încheierii unui acord de parteneriat în sectorul pescuitului sustenabil și a unui protocol de punere în aplicare a acestui acord ( doc. 10402/19 și 10231/19). Articolul 1 alineatul (2) din această decizie a permis Comisiei să negocieze o prelungire limitată a protocolului actual, care expiră la 15 noiembrie 2019, pentru a evita o întrerupere îndelungată a activităților de pescuit. Directivele de negociere anexate la această decizie a Consiliului (doc. 10231/19 ADD1) precizează faptul că o astfel de prelungire nu poate depăși o perioadă maximă de un an.</w:t>
      </w:r>
    </w:p>
    <w:p>
      <w:pPr>
        <w:pBdr>
          <w:top w:val="nil"/>
          <w:left w:val="nil"/>
          <w:bottom w:val="nil"/>
          <w:right w:val="nil"/>
          <w:between w:val="nil"/>
          <w:bar w:val="nil"/>
        </w:pBdr>
        <w:spacing w:before="0" w:after="240"/>
        <w:rPr>
          <w:noProof/>
        </w:rPr>
      </w:pPr>
      <w:r>
        <w:rPr>
          <w:noProof/>
        </w:rPr>
        <w:t>La 8 noiembrie 2019, protocolul a fost prelungit pentru o perioadă de un an, printr-un acord sub forma unui schimb de scrisori</w:t>
      </w:r>
      <w:r>
        <w:rPr>
          <w:rStyle w:val="FootnoteReference"/>
          <w:noProof/>
        </w:rPr>
        <w:footnoteReference w:id="2"/>
      </w:r>
      <w:r>
        <w:rPr>
          <w:noProof/>
        </w:rPr>
        <w:t xml:space="preserve"> (doc. 12928/19), până la 15 noiembrie 2020.</w:t>
      </w:r>
    </w:p>
    <w:p>
      <w:pPr>
        <w:pBdr>
          <w:top w:val="nil"/>
          <w:left w:val="nil"/>
          <w:bottom w:val="nil"/>
          <w:right w:val="nil"/>
          <w:between w:val="nil"/>
          <w:bar w:val="nil"/>
        </w:pBdr>
        <w:spacing w:before="0" w:after="240"/>
        <w:rPr>
          <w:noProof/>
        </w:rPr>
      </w:pPr>
      <w:r>
        <w:rPr>
          <w:noProof/>
        </w:rPr>
        <w:t>Între septembrie 2019 și februarie 2020, au avut loc patru runde de negocieri cu Mauritania pentru reînnoirea unui acord și a unui protocol de parteneriat în sectorul pescuitului sustenabil, însă acestea nu au fost concludente.</w:t>
      </w:r>
    </w:p>
    <w:p>
      <w:pPr>
        <w:pBdr>
          <w:top w:val="nil"/>
          <w:left w:val="nil"/>
          <w:bottom w:val="nil"/>
          <w:right w:val="nil"/>
          <w:between w:val="nil"/>
          <w:bar w:val="nil"/>
        </w:pBdr>
        <w:spacing w:before="0" w:after="240"/>
        <w:rPr>
          <w:noProof/>
        </w:rPr>
      </w:pPr>
      <w:r>
        <w:rPr>
          <w:noProof/>
        </w:rPr>
        <w:t>Datorită contextului sanitar actual (pandemia de COVID-19) și în ciuda prelungirii protocolului, s-a impus constatarea faptului că negocierile privind noul acord și noul protocol nu vor fi încheiate la timp pentru a se evita o întrerupere a activităților din pescuit la încheierea prelungirii menționate mai sus. În acest context, la 26 iunie 2020, Consiliul a autorizat</w:t>
      </w:r>
      <w:r>
        <w:rPr>
          <w:rStyle w:val="FootnoteReference"/>
          <w:noProof/>
        </w:rPr>
        <w:footnoteReference w:id="3"/>
      </w:r>
      <w:r>
        <w:rPr>
          <w:noProof/>
        </w:rPr>
        <w:t xml:space="preserve"> Comisia să negocieze o nouă reînnoire a protocolului pentru o perioadă maximă de un an suplimentar. </w:t>
      </w:r>
    </w:p>
    <w:p>
      <w:pPr>
        <w:pBdr>
          <w:top w:val="nil"/>
          <w:left w:val="nil"/>
          <w:bottom w:val="nil"/>
          <w:right w:val="nil"/>
          <w:between w:val="nil"/>
          <w:bar w:val="nil"/>
        </w:pBdr>
        <w:spacing w:before="0" w:after="240"/>
        <w:rPr>
          <w:noProof/>
        </w:rPr>
      </w:pPr>
      <w:r>
        <w:rPr>
          <w:noProof/>
        </w:rPr>
        <w:t>Cu ocazia celei de a cincea runde de negocieri (7 iulie 2020), negociatorii din Uniune și din Republica Islamică Mauritania au convenit asupra acestei a doua prelungiri a protocolului pentru o perioadă maximă de un an, în conformitate cu mandatul Consiliului. Această a doua prelungire este prevăzută într-un acord sub forma unui schimb de scrisori, parafat la 7 iulie 2020.</w:t>
      </w:r>
    </w:p>
    <w:p>
      <w:pPr>
        <w:pBdr>
          <w:top w:val="nil"/>
          <w:left w:val="nil"/>
          <w:bottom w:val="nil"/>
          <w:right w:val="nil"/>
          <w:between w:val="nil"/>
          <w:bar w:val="nil"/>
        </w:pBdr>
        <w:spacing w:before="0" w:after="240"/>
        <w:rPr>
          <w:noProof/>
        </w:rPr>
      </w:pPr>
      <w:r>
        <w:rPr>
          <w:noProof/>
        </w:rPr>
        <w:t xml:space="preserve">Pentru a se evita întreruperea activităților de pescuit ale flotei europene care operează în apele Mauritaniei, este necesar ca decizia Consiliului de autorizare a acestui acord sub forma unui schimb de scrisori să fie adoptată în timp util pentru a permite semnarea acestuia de către ambele părți înainte de 15 noiembrie 2020, atunci când expiră actualul protocol. </w:t>
      </w:r>
    </w:p>
    <w:p>
      <w:pPr>
        <w:pBdr>
          <w:top w:val="nil"/>
          <w:left w:val="nil"/>
          <w:bottom w:val="nil"/>
          <w:right w:val="nil"/>
          <w:between w:val="nil"/>
          <w:bar w:val="nil"/>
        </w:pBdr>
        <w:spacing w:before="0" w:after="240"/>
        <w:rPr>
          <w:noProof/>
        </w:rPr>
      </w:pPr>
      <w:r>
        <w:rPr>
          <w:noProof/>
        </w:rPr>
        <w:t>Scopul propunerii este de a autoriza încheierea protocolului.</w:t>
      </w:r>
    </w:p>
    <w:p>
      <w:pPr>
        <w:pBdr>
          <w:top w:val="nil"/>
          <w:left w:val="nil"/>
          <w:bottom w:val="nil"/>
          <w:right w:val="nil"/>
          <w:between w:val="nil"/>
          <w:bar w:val="nil"/>
        </w:pBdr>
        <w:spacing w:before="0" w:after="240"/>
        <w:rPr>
          <w:noProof/>
        </w:rPr>
      </w:pPr>
      <w:r>
        <w:rPr>
          <w:noProof/>
        </w:rPr>
        <w:lastRenderedPageBreak/>
        <w:t>Se reamintește faptul că obiectivul protocolului este să ofere posibilități de pescuit pentru navele Uniunii Europene în apele Mauritaniei, ținând cont de evaluările științifice disponibile, în special de cele ale Comitetului pentru pescuit în zona central-estică a Atlanticului (CECAF), în conformitate cu avizele științifice și cu recomandările Comisiei Internaționale pentru Conservarea Tonului din Oceanul Atlantic (ICCAT) și în limitele surplusului disponibil. De asemenea, protocolul are drept obiectiv intensificarea cooperării dintre Uniunea Europeană și Republica Islamică Mauritania, în vederea instituirii unui cadru de parteneriat pentru dezvoltarea unei politici sustenabile în domeniul pescuitului și exploatarea responsabilă a resurselor piscicole din zona de pescuit a Republicii Islamice Mauritania, în interesul ambelor părți.</w:t>
      </w:r>
    </w:p>
    <w:p>
      <w:pPr>
        <w:pBdr>
          <w:top w:val="nil"/>
          <w:left w:val="nil"/>
          <w:bottom w:val="nil"/>
          <w:right w:val="nil"/>
          <w:between w:val="nil"/>
          <w:bar w:val="nil"/>
        </w:pBdr>
        <w:spacing w:before="0" w:after="240"/>
        <w:rPr>
          <w:noProof/>
        </w:rPr>
      </w:pPr>
      <w:r>
        <w:rPr>
          <w:noProof/>
        </w:rPr>
        <w:t>Protocolul prevede posibilități de pescuit pentru următoarele categorii:</w:t>
      </w:r>
    </w:p>
    <w:p>
      <w:pPr>
        <w:pStyle w:val="Tiret0"/>
        <w:numPr>
          <w:ilvl w:val="0"/>
          <w:numId w:val="16"/>
        </w:numPr>
        <w:rPr>
          <w:noProof/>
        </w:rPr>
      </w:pPr>
      <w:r>
        <w:rPr>
          <w:noProof/>
        </w:rPr>
        <w:t>Categoria 1 - Nave de pescuit crustacee cu excepția langustelor și a crabilor: 5 000 t și 25 de nave;</w:t>
      </w:r>
    </w:p>
    <w:p>
      <w:pPr>
        <w:pStyle w:val="Tiret0"/>
        <w:rPr>
          <w:noProof/>
        </w:rPr>
      </w:pPr>
      <w:r>
        <w:rPr>
          <w:noProof/>
        </w:rPr>
        <w:t xml:space="preserve">Categoria 2 - Traulere nefrigorifice și nave cu paragate de fund pentru pescuitul de merluciu senegalez: 6 000 t și 6 nave; </w:t>
      </w:r>
    </w:p>
    <w:p>
      <w:pPr>
        <w:pStyle w:val="Tiret0"/>
        <w:rPr>
          <w:noProof/>
        </w:rPr>
      </w:pPr>
      <w:r>
        <w:rPr>
          <w:noProof/>
        </w:rPr>
        <w:t xml:space="preserve">Categoria 2bis – traulere frigorifice pentru pescuitul de merluciu senegalez: 3 500 t de merluciu, 1 450 t de calmar, 600 t de sepie pentru 6 nave; </w:t>
      </w:r>
    </w:p>
    <w:p>
      <w:pPr>
        <w:pStyle w:val="Tiret0"/>
        <w:rPr>
          <w:noProof/>
        </w:rPr>
      </w:pPr>
      <w:r>
        <w:rPr>
          <w:noProof/>
        </w:rPr>
        <w:t>Categoria 3 – Nave de pescuit specii demersale altele decât merluciul senegalez, cu alte unelte decât traulul: 3 000 t și 6 nave;</w:t>
      </w:r>
    </w:p>
    <w:p>
      <w:pPr>
        <w:pStyle w:val="Tiret0"/>
        <w:rPr>
          <w:noProof/>
        </w:rPr>
      </w:pPr>
      <w:r>
        <w:rPr>
          <w:noProof/>
        </w:rPr>
        <w:t>Categoria 4 - Nave de pescuit ton cu plasă-pungă: 12 500 t (tonaj de referință) și 25 de nave;</w:t>
      </w:r>
    </w:p>
    <w:p>
      <w:pPr>
        <w:pStyle w:val="Tiret0"/>
        <w:rPr>
          <w:noProof/>
        </w:rPr>
      </w:pPr>
      <w:r>
        <w:rPr>
          <w:noProof/>
        </w:rPr>
        <w:t>Categoria 5 - Nave de pescuit ton cu platformă și paragate și nave cu paragate: 7 500 t (tonaj de referință) și 15 nave;</w:t>
      </w:r>
    </w:p>
    <w:p>
      <w:pPr>
        <w:pStyle w:val="Tiret0"/>
        <w:rPr>
          <w:noProof/>
        </w:rPr>
      </w:pPr>
      <w:r>
        <w:rPr>
          <w:noProof/>
        </w:rPr>
        <w:t>Categoria 6 - Traulere frigorifice pentru pescuit pelagic: 225 000 t</w:t>
      </w:r>
      <w:r>
        <w:rPr>
          <w:rStyle w:val="FootnoteReference"/>
          <w:noProof/>
        </w:rPr>
        <w:footnoteReference w:id="4"/>
      </w:r>
      <w:r>
        <w:rPr>
          <w:noProof/>
        </w:rPr>
        <w:t xml:space="preserve"> și 19 nave;</w:t>
      </w:r>
    </w:p>
    <w:p>
      <w:pPr>
        <w:pStyle w:val="Tiret0"/>
        <w:rPr>
          <w:noProof/>
        </w:rPr>
      </w:pPr>
      <w:r>
        <w:rPr>
          <w:noProof/>
        </w:rPr>
        <w:t xml:space="preserve">Categoria 7 - Nave nefrigorifice de pescuit pelagic: 15 000 t (scăzute din volumul de la categoria 6, dacă sunt utilizate) și 2 nave.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Coerența cu dispozițiile existente în domeniul de politică</w:t>
      </w:r>
    </w:p>
    <w:p>
      <w:pPr>
        <w:pBdr>
          <w:top w:val="nil"/>
          <w:left w:val="nil"/>
          <w:bottom w:val="nil"/>
          <w:right w:val="nil"/>
          <w:between w:val="nil"/>
          <w:bar w:val="nil"/>
        </w:pBdr>
        <w:spacing w:before="0" w:after="240"/>
        <w:rPr>
          <w:noProof/>
        </w:rPr>
      </w:pPr>
      <w:r>
        <w:rPr>
          <w:noProof/>
        </w:rPr>
        <w:t>În conformitate cu prioritățile reformei politicii în domeniul pescuitului</w:t>
      </w:r>
      <w:r>
        <w:rPr>
          <w:rStyle w:val="FootnoteReference"/>
          <w:noProof/>
        </w:rPr>
        <w:footnoteReference w:id="5"/>
      </w:r>
      <w:r>
        <w:rPr>
          <w:noProof/>
        </w:rPr>
        <w:t xml:space="preserve">, protocolul oferă navelor Uniunii posibilități de pescuit în apele Mauritaniei, pe baza celor mai bune avize științifice disponibile și în conformitate cu recomandările Comisiei Internaționale pentru Conservarea Tonului din Oceanul Atlantic (ICCAT). Protocolul permite, de asemenea, Uniunii Europene și Mauritaniei să colaboreze mai strâns în vederea promovării unei exploatări responsabile a resurselor piscicole din apele Mauritaniei și a sprijinirii eforturilor Mauritaniei de a-și dezvolta sectorul pescuitului, în interesul ambelor părți. </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Coerența cu alte politici ale Uniunii</w:t>
      </w:r>
    </w:p>
    <w:p>
      <w:pPr>
        <w:pBdr>
          <w:top w:val="nil"/>
          <w:left w:val="nil"/>
          <w:bottom w:val="nil"/>
          <w:right w:val="nil"/>
          <w:between w:val="nil"/>
          <w:bar w:val="nil"/>
        </w:pBdr>
        <w:spacing w:before="0" w:after="240"/>
        <w:rPr>
          <w:rFonts w:eastAsia="Arial Unicode MS"/>
          <w:noProof/>
        </w:rPr>
      </w:pPr>
      <w:r>
        <w:rPr>
          <w:noProof/>
        </w:rPr>
        <w:t>Negocierea unui nou protocol la acordul de parteneriat în domeniul pescuitului încheiat cu Republica Islamică Mauritania face parte din acțiunea externă a UE față de țările ACP și ține seama în special de obiectivele Uniunii în ceea ce privește respectarea principiilor democratice și a drepturilor omului.</w:t>
      </w:r>
    </w:p>
    <w:p>
      <w:pPr>
        <w:pStyle w:val="ManualHeading1"/>
        <w:rPr>
          <w:noProof/>
        </w:rPr>
      </w:pPr>
      <w:r>
        <w:rPr>
          <w:noProof/>
        </w:rPr>
        <w:lastRenderedPageBreak/>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rPr>
        <w:tab/>
      </w:r>
      <w:r>
        <w:rPr>
          <w:noProof/>
          <w:u w:color="000000"/>
          <w:bdr w:val="nil"/>
        </w:rPr>
        <w:t>Temeiul juridic</w:t>
      </w:r>
    </w:p>
    <w:p>
      <w:pPr>
        <w:pBdr>
          <w:top w:val="nil"/>
          <w:left w:val="nil"/>
          <w:bottom w:val="nil"/>
          <w:right w:val="nil"/>
          <w:between w:val="nil"/>
          <w:bar w:val="nil"/>
        </w:pBdr>
        <w:spacing w:before="0" w:after="240"/>
        <w:rPr>
          <w:noProof/>
        </w:rPr>
      </w:pPr>
      <w:r>
        <w:rPr>
          <w:noProof/>
        </w:rPr>
        <w:t xml:space="preserve">Temeiul juridic ales este Tratatul privind funcționarea Uniunii Europene, articolul 43 alineatul (2), care stabilește politica comună în domeniul pescuitului, articolul 218 alineatul (6) litera (a) punctul (v), care stabilește etapa vizată a procedurii de negociere și de încheiere a unor acorduri între Uniune și țările terțe, precum și articolul 218 alineatul (7), care prevede dispoziții privind autorizarea modificării protocolului. </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Subsidiaritate (în cazul competențelor neexclusive)</w:t>
      </w:r>
    </w:p>
    <w:p>
      <w:pPr>
        <w:pBdr>
          <w:top w:val="nil"/>
          <w:left w:val="nil"/>
          <w:bottom w:val="nil"/>
          <w:right w:val="nil"/>
          <w:between w:val="nil"/>
          <w:bar w:val="nil"/>
        </w:pBdr>
        <w:spacing w:before="0" w:after="240"/>
        <w:rPr>
          <w:rFonts w:eastAsia="Arial Unicode MS"/>
          <w:noProof/>
        </w:rPr>
      </w:pPr>
      <w:r>
        <w:rPr>
          <w:noProof/>
        </w:rPr>
        <w:t>Propunerea intră în sfera competenței exclusive a Uniunii Europene.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pBdr>
          <w:top w:val="nil"/>
          <w:left w:val="nil"/>
          <w:bottom w:val="nil"/>
          <w:right w:val="nil"/>
          <w:between w:val="nil"/>
          <w:bar w:val="nil"/>
        </w:pBdr>
        <w:spacing w:before="0" w:after="240"/>
        <w:rPr>
          <w:noProof/>
        </w:rPr>
      </w:pPr>
      <w:r>
        <w:rPr>
          <w:noProof/>
        </w:rPr>
        <w:t>Propunerea este proporțională cu obiectivul de stabilire a unui cadru de guvernanță juridic, economic, social și de mediu pentru activitățile de pescuit desfășurate de navele Uniunii în apele țărilor terțe, astfel cum se prevede la articolul 31 din Regulamentul privind politica comună în domeniul pescuitului. Ea respectă aceste dispoziții, precum și cele referitoare la asistența financiară acordată țărilor terțe, prevăzute la articolul 32 din regulamentul menționat.</w:t>
      </w:r>
    </w:p>
    <w:p>
      <w:pPr>
        <w:pBdr>
          <w:top w:val="nil"/>
          <w:left w:val="nil"/>
          <w:bottom w:val="nil"/>
          <w:right w:val="nil"/>
          <w:between w:val="nil"/>
          <w:bar w:val="nil"/>
        </w:pBdr>
        <w:spacing w:before="0" w:after="240"/>
        <w:rPr>
          <w:rFonts w:eastAsia="Arial Unicode MS"/>
          <w:noProof/>
        </w:rPr>
      </w:pPr>
      <w:r>
        <w:rPr>
          <w:noProof/>
        </w:rPr>
        <w:t>Prelungirea cu un an suplimentar a cadrului stabilit prin protocolul care expiră la 15 noiembrie 2020 joacă un rol în cadrul procesului de negociere, având obiectivul de a asigura continuitatea activităților de pescuit ale flotei europene care operează în apele Mauritaniei.</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Evaluări ex 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 xml:space="preserve">Părțile interesate au fost consultate în cadrul evaluării protocolului, efectuată în perioada 2015-2019. Cu prilejul reuniunilor tehnice au fost consultați și experții statelor membre. În urma acestor consultări, s-a ajuns la concluzia că este oportun să se reînnoiască protocolul în domeniul pescuitului cu Republica Islamică Mauritania. </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Consultarea părților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statele membre, reprezentanți ai industriei, organizații internaționale ale societății civile, precum și administrația pescuitului și reprezentanți ai societății civile din Mauritania. Au avut loc consultări și în cadrul Consiliului consultativ pentru flota de lungă distanță.</w:t>
      </w:r>
    </w:p>
    <w:p>
      <w:pPr>
        <w:pStyle w:val="ManualHeading2"/>
        <w:rPr>
          <w:rFonts w:eastAsia="Arial Unicode MS"/>
          <w:noProof/>
          <w:u w:color="000000"/>
          <w:bdr w:val="nil"/>
        </w:rPr>
      </w:pPr>
      <w:r>
        <w:rPr>
          <w:noProof/>
          <w:u w:color="000000"/>
          <w:bdr w:val="nil"/>
        </w:rPr>
        <w:t>•</w:t>
      </w:r>
      <w:r>
        <w:rPr>
          <w:noProof/>
        </w:rPr>
        <w:tab/>
      </w:r>
      <w:r>
        <w:rPr>
          <w:noProof/>
          <w:u w:color="000000"/>
          <w:bdr w:val="nil"/>
        </w:rPr>
        <w:t>Obținerea și utilizarea expertizei</w:t>
      </w:r>
    </w:p>
    <w:p>
      <w:pPr>
        <w:spacing w:before="0" w:after="240"/>
        <w:rPr>
          <w:noProof/>
        </w:rPr>
      </w:pPr>
      <w:r>
        <w:rPr>
          <w:noProof/>
        </w:rPr>
        <w:t xml:space="preserve">Comisia a apelat la un consultant independent pentru a efectua evaluările ex post și ex ante, în conformitate cu dispozițiile articolului 31 alineatul (10) din Regulamentul privind politica comună în domeniul pescuitului. </w:t>
      </w:r>
    </w:p>
    <w:p>
      <w:pPr>
        <w:pStyle w:val="ManualHeading1"/>
        <w:rPr>
          <w:noProof/>
        </w:rPr>
      </w:pPr>
      <w:r>
        <w:rPr>
          <w:noProof/>
        </w:rPr>
        <w:t>4.</w:t>
      </w:r>
      <w:r>
        <w:rPr>
          <w:noProof/>
        </w:rPr>
        <w:tab/>
        <w:t>IMPLICAȚII BUGETARE</w:t>
      </w:r>
    </w:p>
    <w:p>
      <w:pPr>
        <w:rPr>
          <w:noProof/>
        </w:rPr>
      </w:pPr>
      <w:r>
        <w:rPr>
          <w:noProof/>
        </w:rPr>
        <w:t>Contribuția financiară anuală a Uniunii Europene este de 61 625 000 EUR și se bazează pe:</w:t>
      </w:r>
    </w:p>
    <w:p>
      <w:pPr>
        <w:rPr>
          <w:noProof/>
        </w:rPr>
      </w:pPr>
      <w:r>
        <w:rPr>
          <w:noProof/>
        </w:rPr>
        <w:t>a) o sumă anuală pentru accesul la resursele piscicole, pentru categoriile prevăzute în protocol, stabilită la 57 500 000 EUR pe durata prelungirii protocolului;</w:t>
      </w:r>
    </w:p>
    <w:p>
      <w:pPr>
        <w:rPr>
          <w:noProof/>
        </w:rPr>
      </w:pPr>
      <w:r>
        <w:rPr>
          <w:noProof/>
        </w:rPr>
        <w:lastRenderedPageBreak/>
        <w:t>b) un sprijin pentru dezvoltarea politicii sectoriale în domeniul pescuitului în Mauritania, în valoare de 4 125 000 EUR pe an pe durata prelungirii protocolului. Acest sprijin răspunde obiectivelor politicii naționale în materie de gestionare sustenabilă a resurselor piscicole continentale și maritime pe întreaga durată a protocolului.</w:t>
      </w:r>
    </w:p>
    <w:p>
      <w:pPr>
        <w:rPr>
          <w:noProof/>
        </w:rPr>
      </w:pPr>
      <w:r>
        <w:rPr>
          <w:noProof/>
        </w:rPr>
        <w:t>Cuantumul anual pentru creditele de angajament și de plată este stabilit în cursul procedurii bugetare anuale, inclusiv pentru linia aferentă rezervei pentru protocoalele care nu au intrat încă în vigoare la începutul anului</w:t>
      </w:r>
      <w:r>
        <w:rPr>
          <w:rStyle w:val="FootnoteReference"/>
          <w:noProof/>
        </w:rPr>
        <w:footnoteReference w:id="6"/>
      </w:r>
      <w:r>
        <w:rPr>
          <w:noProof/>
        </w:rPr>
        <w:t>.</w:t>
      </w:r>
    </w:p>
    <w:p>
      <w:pPr>
        <w:rPr>
          <w:noProof/>
        </w:rPr>
      </w:pPr>
      <w:r>
        <w:rPr>
          <w:noProof/>
        </w:rPr>
        <w:t>Schimbul de scrisori privind prelungirea stabilește, de asemenea, o clauză privind o reducere proporțională în cazul în care negocierile de reînnoire a acordului de parteneriat și a protocolului la acesta duc la semnarea acestor documente și la aplicarea lor înainte de expirarea prelungirii anuale care face obiectul schimbului de scrisori.</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 xml:space="preserve">Modalitățile de monitorizare sunt prevăzute în protocol, a cărui prelungire face obiectul schimbului de scrisori.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2020/0274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încheierea Acordului sub forma unui schimb de scrisori dintre Uniunea Europeană și Republica Islamică Mauritania privind prelungirea protocolului de stabilire a posibilităților de pescuit și a contribuției financiare prevăzute de Acordul de parteneriat în domeniul pescuitului dintre Comunitatea Europeană și Republica Islamică Mauritania, care expiră la 15 noiembrie 2020</w:t>
      </w:r>
    </w:p>
    <w:p>
      <w:pPr>
        <w:pStyle w:val="Institutionquiagit"/>
        <w:rPr>
          <w:noProof/>
        </w:rPr>
      </w:pPr>
      <w:r>
        <w:rPr>
          <w:noProof/>
        </w:rPr>
        <w:t>CONSILIUL UNIUNII EUROPENE,</w:t>
      </w:r>
    </w:p>
    <w:p>
      <w:pPr>
        <w:rPr>
          <w:noProof/>
        </w:rPr>
      </w:pPr>
      <w:r>
        <w:rPr>
          <w:noProof/>
        </w:rPr>
        <w:t xml:space="preserve">având în vedere Tratatul privind funcționarea Uniunii Europene, în special articolul 43 alineatul (2), coroborat cu articolul 218 alineatul (6) litera (a), </w:t>
      </w:r>
    </w:p>
    <w:p>
      <w:pPr>
        <w:rPr>
          <w:noProof/>
        </w:rPr>
      </w:pPr>
      <w:r>
        <w:rPr>
          <w:noProof/>
        </w:rPr>
        <w:t>având în vedere propunerea Comisiei Europene,</w:t>
      </w:r>
    </w:p>
    <w:p>
      <w:pPr>
        <w:rPr>
          <w:noProof/>
        </w:rPr>
      </w:pPr>
      <w:r>
        <w:rPr>
          <w:noProof/>
        </w:rPr>
        <w:t>având în vedere aprobarea Parlamentului European,</w:t>
      </w:r>
    </w:p>
    <w:p>
      <w:pPr>
        <w:rPr>
          <w:noProof/>
        </w:rPr>
      </w:pPr>
      <w:r>
        <w:rPr>
          <w:noProof/>
        </w:rPr>
        <w:t>întrucât:</w:t>
      </w:r>
    </w:p>
    <w:p>
      <w:pPr>
        <w:pStyle w:val="Point0"/>
        <w:rPr>
          <w:noProof/>
        </w:rPr>
      </w:pPr>
      <w:r>
        <w:t>(1)</w:t>
      </w:r>
      <w:r>
        <w:tab/>
      </w:r>
      <w:r>
        <w:rPr>
          <w:noProof/>
        </w:rPr>
        <w:t>În conformitate cu Decizia 2019/ … /UE a Consiliului</w:t>
      </w:r>
      <w:r>
        <w:rPr>
          <w:rStyle w:val="FootnoteReference"/>
          <w:noProof/>
        </w:rPr>
        <w:footnoteReference w:id="7"/>
      </w:r>
      <w:r>
        <w:rPr>
          <w:noProof/>
        </w:rPr>
        <w:t>, acordul sub forma unui schimb de scrisori între Uniunea Europeană și Republica Islamică Mauritania privind prelungirea Protocolului de stabilire a posibilităților de pescuit și a contribuției financiare prevăzute de Acordul de parteneriat în domeniul pescuitului dintre Comunitatea Europeană și Republica Islamică Mauritania, care expiră la 15 noiembrie 2020 (denumit în continuare „acordul sub forma unui schimb de scrisori”) a fost semnat la [</w:t>
      </w:r>
      <w:r>
        <w:rPr>
          <w:i/>
          <w:noProof/>
          <w:highlight w:val="yellow"/>
        </w:rPr>
        <w:t>a se introduce data</w:t>
      </w:r>
      <w:r>
        <w:rPr>
          <w:noProof/>
        </w:rPr>
        <w:t>], sub rezerva încheierii sale la o dată ulterioară.</w:t>
      </w:r>
    </w:p>
    <w:p>
      <w:pPr>
        <w:pStyle w:val="Point0"/>
        <w:rPr>
          <w:noProof/>
        </w:rPr>
      </w:pPr>
      <w:r>
        <w:t>(2)</w:t>
      </w:r>
      <w:r>
        <w:tab/>
      </w:r>
      <w:r>
        <w:rPr>
          <w:noProof/>
        </w:rPr>
        <w:t>Scopul acordului sub forma unui schimb de scrisori este de a permite Uniunii Europene și Republicii Islamice Mauritania să colaboreze în continuare pentru a promova o politică sustenabilă în domeniul pescuitului și exploatarea responsabilă a resurselor piscicole în apele Mauritaniei și pentru a permite navelor Uniunii să pescuiască în aceste ape.</w:t>
      </w:r>
    </w:p>
    <w:p>
      <w:pPr>
        <w:pStyle w:val="Point0"/>
        <w:rPr>
          <w:noProof/>
        </w:rPr>
      </w:pPr>
      <w:r>
        <w:t>(3)</w:t>
      </w:r>
      <w:r>
        <w:tab/>
      </w:r>
      <w:r>
        <w:rPr>
          <w:noProof/>
        </w:rPr>
        <w:t xml:space="preserve">Schimbul de scrisori trebuie aprobat în numele Uniunii Europene, </w:t>
      </w:r>
    </w:p>
    <w:p>
      <w:pPr>
        <w:ind w:left="709" w:hanging="709"/>
        <w:rPr>
          <w:noProof/>
        </w:rPr>
      </w:pP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 xml:space="preserve">Acordul sub forma unui schimb de scrisori dintre Uniunea Europeană și Republica Islamică Mauritania privind prelungirea protocolului de stabilire a posibilităților de pescuit și a contribuției financiare prevăzute de Acordul de parteneriat în domeniul pescuitului dintre Comunitatea Europeană și Republica Islamică Mauritania, care expiră la 15 noiembrie 2020 (denumit în continuare „acordul sub forma unui schimb de scrisori”), se aprobă în numele Uniunii. </w:t>
      </w:r>
    </w:p>
    <w:p>
      <w:pPr>
        <w:rPr>
          <w:noProof/>
        </w:rPr>
      </w:pPr>
      <w:r>
        <w:rPr>
          <w:noProof/>
        </w:rPr>
        <w:t>Textul acordului sub forma unui schimb de scrisori este anexat la prezenta decizie.</w:t>
      </w:r>
    </w:p>
    <w:p>
      <w:pPr>
        <w:pStyle w:val="Titrearticle"/>
        <w:rPr>
          <w:noProof/>
        </w:rPr>
      </w:pPr>
      <w:r>
        <w:rPr>
          <w:noProof/>
        </w:rPr>
        <w:lastRenderedPageBreak/>
        <w:t>Articolul 2</w:t>
      </w:r>
    </w:p>
    <w:p>
      <w:pPr>
        <w:rPr>
          <w:noProof/>
        </w:rPr>
      </w:pPr>
      <w:r>
        <w:rPr>
          <w:noProof/>
        </w:rPr>
        <w:t xml:space="preserve">Președintele Consiliului desemnează persoana împuternicită să procedeze, în numele Uniunii Europene, la notificarea prevăzută la punctul 6 din acordul sub forma unui schimb de scrisori, pentru a exprima consimțământul Uniunii Europene de a-și asuma obligații în temeiul acordului sub forma unui schimb de scrisori. </w:t>
      </w:r>
    </w:p>
    <w:p>
      <w:pPr>
        <w:pStyle w:val="Titrearticle"/>
        <w:rPr>
          <w:noProof/>
        </w:rPr>
      </w:pPr>
      <w:r>
        <w:rPr>
          <w:noProof/>
        </w:rPr>
        <w:t>Articolul 3</w:t>
      </w:r>
    </w:p>
    <w:p>
      <w:pPr>
        <w:keepNext/>
        <w:rPr>
          <w:noProof/>
        </w:rPr>
      </w:pPr>
      <w:r>
        <w:rPr>
          <w:noProof/>
        </w:rPr>
        <w:t xml:space="preserve">Prezenta decizie intră în vigoare în ziua următoare datei publicării în </w:t>
      </w:r>
      <w:r>
        <w:rPr>
          <w:i/>
          <w:noProof/>
        </w:rPr>
        <w:t>Jurnalul Oficial al Uniunii Europene</w:t>
      </w:r>
      <w:r>
        <w:rPr>
          <w:noProof/>
        </w:rPr>
        <w:t>.</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p>
      <w:pPr>
        <w:spacing w:before="0" w:after="200" w:line="276" w:lineRule="auto"/>
        <w:jc w:val="left"/>
        <w:rPr>
          <w:i/>
          <w:noProof/>
        </w:rPr>
      </w:pPr>
      <w:r>
        <w:rPr>
          <w:noProof/>
        </w:rPr>
        <w:br w:type="page"/>
      </w:r>
    </w:p>
    <w:p>
      <w:pPr>
        <w:jc w:val="center"/>
        <w:rPr>
          <w:b/>
          <w:noProof/>
          <w:u w:val="single"/>
        </w:rPr>
        <w:sectPr>
          <w:footnotePr>
            <w:numRestart w:val="eachSect"/>
          </w:footnote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FIȘĂ FINANCIARĂ LEGISLATIVĂ</w:t>
      </w:r>
    </w:p>
    <w:p>
      <w:pPr>
        <w:keepNext/>
        <w:tabs>
          <w:tab w:val="left" w:pos="850"/>
        </w:tabs>
        <w:spacing w:before="360"/>
        <w:ind w:left="850" w:hanging="850"/>
        <w:outlineLvl w:val="0"/>
        <w:rPr>
          <w:b/>
          <w:smallCaps/>
          <w:noProof/>
        </w:rPr>
      </w:pPr>
      <w:bookmarkStart w:id="1" w:name="_Toc514938007"/>
      <w:bookmarkStart w:id="2" w:name="_Toc520485025"/>
      <w:r>
        <w:rPr>
          <w:b/>
          <w:smallCaps/>
          <w:noProof/>
        </w:rPr>
        <w:t>1.</w:t>
      </w:r>
      <w:r>
        <w:rPr>
          <w:noProof/>
        </w:rPr>
        <w:tab/>
      </w:r>
      <w:r>
        <w:rPr>
          <w:b/>
          <w:smallCaps/>
          <w:noProof/>
        </w:rPr>
        <w:t>CADRUL PROPUNERII/INIȚIATIVEI</w:t>
      </w:r>
      <w:bookmarkEnd w:id="1"/>
      <w:bookmarkEnd w:id="2"/>
      <w:r>
        <w:rPr>
          <w:b/>
          <w:smallCaps/>
          <w:noProof/>
        </w:rPr>
        <w:t xml:space="preserve"> </w:t>
      </w:r>
    </w:p>
    <w:p>
      <w:pPr>
        <w:keepNext/>
        <w:tabs>
          <w:tab w:val="left" w:pos="850"/>
        </w:tabs>
        <w:outlineLvl w:val="1"/>
        <w:rPr>
          <w:b/>
          <w:noProof/>
        </w:rPr>
      </w:pPr>
      <w:bookmarkStart w:id="3" w:name="_Toc514938008"/>
      <w:bookmarkStart w:id="4" w:name="_Toc520485026"/>
      <w:r>
        <w:rPr>
          <w:b/>
          <w:noProof/>
        </w:rPr>
        <w:t>1.1.</w:t>
      </w:r>
      <w:r>
        <w:rPr>
          <w:noProof/>
        </w:rPr>
        <w:tab/>
      </w:r>
      <w:r>
        <w:rPr>
          <w:b/>
          <w:noProof/>
        </w:rPr>
        <w:t>Denumirea propunerii/inițiativei</w:t>
      </w:r>
      <w:bookmarkEnd w:id="3"/>
      <w:bookmarkEnd w:id="4"/>
    </w:p>
    <w:p>
      <w:pPr>
        <w:pBdr>
          <w:top w:val="single" w:sz="4" w:space="1" w:color="auto"/>
          <w:left w:val="single" w:sz="4" w:space="4" w:color="auto"/>
          <w:bottom w:val="single" w:sz="4" w:space="1" w:color="auto"/>
          <w:right w:val="single" w:sz="4" w:space="4" w:color="auto"/>
        </w:pBdr>
        <w:ind w:left="850"/>
        <w:rPr>
          <w:noProof/>
        </w:rPr>
      </w:pPr>
      <w:r>
        <w:rPr>
          <w:noProof/>
        </w:rPr>
        <w:t>Propunere de decizie a Consiliului privind încheierea Acordului sub forma unui schimb de scrisori privind prelungirea protocolului de stabilire a posibilităților de pescuit și a contribuției financiare prevăzute de Acordul de parteneriat în domeniul pescuitului dintre Comunitatea Europeană și Republica Islamică Mauritania care expiră la 15 noiembrie 2020.</w:t>
      </w:r>
    </w:p>
    <w:p>
      <w:pPr>
        <w:keepNext/>
        <w:tabs>
          <w:tab w:val="left" w:pos="850"/>
        </w:tabs>
        <w:outlineLvl w:val="1"/>
        <w:rPr>
          <w:noProof/>
        </w:rPr>
      </w:pPr>
      <w:bookmarkStart w:id="5" w:name="_Toc514938011"/>
      <w:bookmarkStart w:id="6" w:name="_Toc520485027"/>
      <w:r>
        <w:rPr>
          <w:b/>
          <w:noProof/>
        </w:rPr>
        <w:t>1.2.</w:t>
      </w:r>
      <w:r>
        <w:rPr>
          <w:noProof/>
        </w:rPr>
        <w:tab/>
      </w:r>
      <w:r>
        <w:rPr>
          <w:b/>
          <w:noProof/>
        </w:rPr>
        <w:t>Domeniul (domeniile) de politică vizat(e)</w:t>
      </w:r>
      <w:bookmarkEnd w:id="5"/>
      <w:bookmarkEnd w:id="6"/>
      <w:r>
        <w:rPr>
          <w:b/>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11 – Afaceri maritime și pescuit</w:t>
      </w:r>
    </w:p>
    <w:p>
      <w:pPr>
        <w:pBdr>
          <w:top w:val="single" w:sz="4" w:space="1" w:color="auto"/>
          <w:left w:val="single" w:sz="4" w:space="4" w:color="auto"/>
          <w:bottom w:val="single" w:sz="4" w:space="1" w:color="auto"/>
          <w:right w:val="single" w:sz="4" w:space="4" w:color="auto"/>
        </w:pBdr>
        <w:ind w:left="850"/>
        <w:rPr>
          <w:noProof/>
        </w:rPr>
      </w:pPr>
      <w:r>
        <w:rPr>
          <w:noProof/>
        </w:rPr>
        <w:t>11.03 – Contribuții obligatorii către organizațiile regionale de gestionare a pescuitului (ORGP) și către alte organizații internaționale și acorduri în domeniul pescuitului sustenabil (APS)</w:t>
      </w:r>
    </w:p>
    <w:p>
      <w:pPr>
        <w:pBdr>
          <w:top w:val="single" w:sz="4" w:space="1" w:color="auto"/>
          <w:left w:val="single" w:sz="4" w:space="4" w:color="auto"/>
          <w:bottom w:val="single" w:sz="4" w:space="1" w:color="auto"/>
          <w:right w:val="single" w:sz="4" w:space="4" w:color="auto"/>
        </w:pBdr>
        <w:ind w:left="850"/>
        <w:rPr>
          <w:noProof/>
        </w:rPr>
      </w:pPr>
      <w:r>
        <w:rPr>
          <w:noProof/>
        </w:rPr>
        <w:t>11.03.01 - Instituirea unui cadru de guvernanță pentru activitățile de pescuit efectuate de navele de pescuit ale Uniunii în apele țărilor terțe</w:t>
      </w:r>
    </w:p>
    <w:p>
      <w:pPr>
        <w:keepNext/>
        <w:tabs>
          <w:tab w:val="left" w:pos="850"/>
        </w:tabs>
        <w:outlineLvl w:val="1"/>
        <w:rPr>
          <w:b/>
          <w:bCs/>
          <w:noProof/>
          <w:szCs w:val="24"/>
        </w:rPr>
      </w:pPr>
      <w:bookmarkStart w:id="7" w:name="_Toc514938014"/>
      <w:bookmarkStart w:id="8" w:name="_Toc520485028"/>
      <w:r>
        <w:rPr>
          <w:b/>
          <w:noProof/>
        </w:rPr>
        <w:t>1.3.</w:t>
      </w:r>
      <w:r>
        <w:rPr>
          <w:noProof/>
        </w:rPr>
        <w:tab/>
      </w:r>
      <w:r>
        <w:rPr>
          <w:b/>
          <w:noProof/>
        </w:rPr>
        <w:t>Obiectul propunerii/inițiativei:</w:t>
      </w:r>
      <w:bookmarkEnd w:id="7"/>
      <w:bookmarkEnd w:id="8"/>
      <w:r>
        <w:rPr>
          <w:b/>
          <w:noProof/>
        </w:rPr>
        <w:t xml:space="preserve"> </w:t>
      </w:r>
    </w:p>
    <w:p>
      <w:pPr>
        <w:ind w:left="850"/>
        <w:rPr>
          <w:b/>
          <w:noProof/>
          <w:sz w:val="22"/>
        </w:rPr>
      </w:pPr>
      <w:r>
        <w:rPr>
          <w:noProof/>
          <w:sz w:val="22"/>
        </w:rPr>
        <w:sym w:font="Wingdings" w:char="F0A8"/>
      </w:r>
      <w:r>
        <w:rPr>
          <w:b/>
          <w:i/>
          <w:noProof/>
          <w:sz w:val="22"/>
        </w:rPr>
        <w:t xml:space="preserve"> </w:t>
      </w:r>
      <w:r>
        <w:rPr>
          <w:b/>
          <w:noProof/>
        </w:rPr>
        <w:t>o acțiune nouă</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o acțiune nouă întreprinsă ca urmare a unui proiect-pilot/a unei acțiuni pregătitoare</w:t>
      </w:r>
      <w:r>
        <w:rPr>
          <w:rStyle w:val="FootnoteReference"/>
          <w:noProof/>
        </w:rPr>
        <w:footnoteReference w:id="8"/>
      </w:r>
      <w:r>
        <w:rPr>
          <w:noProof/>
          <w:sz w:val="22"/>
        </w:rPr>
        <w:t xml:space="preserve"> </w:t>
      </w:r>
    </w:p>
    <w:p>
      <w:pPr>
        <w:ind w:left="850"/>
        <w:rPr>
          <w:noProof/>
          <w:sz w:val="22"/>
        </w:rPr>
      </w:pPr>
      <w:r>
        <w:rPr>
          <w:b/>
          <w:noProof/>
        </w:rPr>
        <w:t>X prelungirea unei acțiuni existente</w:t>
      </w:r>
      <w:r>
        <w:rPr>
          <w:noProof/>
          <w:sz w:val="22"/>
        </w:rPr>
        <w:t xml:space="preserve"> </w:t>
      </w:r>
    </w:p>
    <w:p>
      <w:pPr>
        <w:ind w:left="850"/>
        <w:rPr>
          <w:noProof/>
        </w:rPr>
      </w:pPr>
      <w:r>
        <w:rPr>
          <w:noProof/>
          <w:sz w:val="22"/>
        </w:rPr>
        <w:sym w:font="Wingdings" w:char="F0A8"/>
      </w:r>
      <w:r>
        <w:rPr>
          <w:i/>
          <w:noProof/>
          <w:sz w:val="22"/>
        </w:rPr>
        <w:t xml:space="preserve"> </w:t>
      </w:r>
      <w:r>
        <w:rPr>
          <w:b/>
          <w:noProof/>
        </w:rPr>
        <w:t>o fuziune sau o redirecționare a uneia sau mai multor acțiuni către o altă/o nouă acțiune</w:t>
      </w:r>
      <w:r>
        <w:rPr>
          <w:noProof/>
        </w:rPr>
        <w:t xml:space="preserve"> </w:t>
      </w:r>
    </w:p>
    <w:p>
      <w:pPr>
        <w:keepNext/>
        <w:tabs>
          <w:tab w:val="left" w:pos="850"/>
        </w:tabs>
        <w:outlineLvl w:val="1"/>
        <w:rPr>
          <w:b/>
          <w:bCs/>
          <w:noProof/>
          <w:szCs w:val="24"/>
        </w:rPr>
      </w:pPr>
      <w:bookmarkStart w:id="9" w:name="_Toc514938015"/>
      <w:bookmarkStart w:id="10" w:name="_Toc520485029"/>
      <w:r>
        <w:rPr>
          <w:b/>
          <w:noProof/>
        </w:rPr>
        <w:t>1.4.</w:t>
      </w:r>
      <w:r>
        <w:rPr>
          <w:noProof/>
        </w:rPr>
        <w:tab/>
      </w:r>
      <w:r>
        <w:rPr>
          <w:b/>
          <w:noProof/>
        </w:rPr>
        <w:t>Obiectiv(e)</w:t>
      </w:r>
      <w:bookmarkEnd w:id="9"/>
      <w:bookmarkEnd w:id="10"/>
    </w:p>
    <w:p>
      <w:pPr>
        <w:keepNext/>
        <w:tabs>
          <w:tab w:val="left" w:pos="850"/>
        </w:tabs>
        <w:outlineLvl w:val="2"/>
        <w:rPr>
          <w:i/>
          <w:noProof/>
        </w:rPr>
      </w:pPr>
      <w:bookmarkStart w:id="11" w:name="_Toc514938016"/>
      <w:bookmarkStart w:id="12" w:name="_Toc520485030"/>
      <w:r>
        <w:rPr>
          <w:i/>
          <w:noProof/>
        </w:rPr>
        <w:t>1.4.1.</w:t>
      </w:r>
      <w:r>
        <w:rPr>
          <w:noProof/>
        </w:rPr>
        <w:tab/>
      </w:r>
      <w:r>
        <w:rPr>
          <w:i/>
          <w:noProof/>
        </w:rPr>
        <w:t>Obiectiv(e) general(e)</w:t>
      </w:r>
      <w:bookmarkEnd w:id="11"/>
      <w:bookmarkEnd w:id="12"/>
    </w:p>
    <w:p>
      <w:pPr>
        <w:pBdr>
          <w:top w:val="single" w:sz="4" w:space="1" w:color="auto"/>
          <w:left w:val="single" w:sz="4" w:space="4" w:color="auto"/>
          <w:bottom w:val="single" w:sz="4" w:space="1" w:color="auto"/>
          <w:right w:val="single" w:sz="4" w:space="4" w:color="auto"/>
        </w:pBdr>
        <w:ind w:left="850"/>
        <w:rPr>
          <w:noProof/>
        </w:rPr>
      </w:pPr>
      <w:r>
        <w:rPr>
          <w:noProof/>
        </w:rPr>
        <w:t>Negocierea și încheierea de acorduri de parteneriat în domeniul pescuitului sustenabil (APPS) cu țări terțe corespund obiectivului general de a permite accesul navelor de pescuit ale Uniunii Europene în zonele de pescuit ale unor țări terțe și de a dezvolta un parteneriat cu aceste țări în vederea consolidării exploatării sustenabile a resurselor piscicole din afara apelor Uniunii.</w:t>
      </w:r>
    </w:p>
    <w:p>
      <w:pPr>
        <w:pBdr>
          <w:top w:val="single" w:sz="4" w:space="1" w:color="auto"/>
          <w:left w:val="single" w:sz="4" w:space="4" w:color="auto"/>
          <w:bottom w:val="single" w:sz="4" w:space="1" w:color="auto"/>
          <w:right w:val="single" w:sz="4" w:space="4" w:color="auto"/>
        </w:pBdr>
        <w:ind w:left="850"/>
        <w:rPr>
          <w:noProof/>
        </w:rPr>
      </w:pPr>
      <w:r>
        <w:rPr>
          <w:noProof/>
        </w:rPr>
        <w:t>Acordurile de parteneriat în domeniul pescuitului sustenabil asigură, de asemenea, coerența dintre principiile pe care se bazează politica comună în domeniul pescuitului și angajamentele care se înscriu în alte politici europene (exploatarea sustenabilă a resurselor din țări terțe, combaterea pescuitului ilegal, nedeclarat și nereglementat, integrarea țărilor partenere în economia globală, precum și o mai bună guvernanță, la nivel politic și financiar, a activităților de pescuit).</w:t>
      </w:r>
    </w:p>
    <w:p>
      <w:pPr>
        <w:keepNext/>
        <w:tabs>
          <w:tab w:val="left" w:pos="850"/>
        </w:tabs>
        <w:outlineLvl w:val="2"/>
        <w:rPr>
          <w:bCs/>
          <w:i/>
          <w:noProof/>
          <w:szCs w:val="24"/>
        </w:rPr>
      </w:pPr>
      <w:bookmarkStart w:id="13" w:name="_Toc514938018"/>
      <w:bookmarkStart w:id="14" w:name="_Toc520485031"/>
      <w:r>
        <w:rPr>
          <w:i/>
          <w:noProof/>
        </w:rPr>
        <w:t>1.4.2.</w:t>
      </w:r>
      <w:r>
        <w:rPr>
          <w:noProof/>
        </w:rPr>
        <w:tab/>
      </w:r>
      <w:r>
        <w:rPr>
          <w:i/>
          <w:noProof/>
        </w:rPr>
        <w:t>Obiectiv(e) specific(e)</w:t>
      </w:r>
      <w:bookmarkEnd w:id="13"/>
      <w:bookmarkEnd w:id="14"/>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Obiectiv specific</w:t>
      </w:r>
    </w:p>
    <w:p>
      <w:pPr>
        <w:pBdr>
          <w:top w:val="single" w:sz="4" w:space="1" w:color="auto"/>
          <w:left w:val="single" w:sz="4" w:space="4" w:color="auto"/>
          <w:bottom w:val="single" w:sz="4" w:space="1" w:color="auto"/>
          <w:right w:val="single" w:sz="4" w:space="4" w:color="auto"/>
        </w:pBdr>
        <w:ind w:left="850"/>
        <w:rPr>
          <w:noProof/>
        </w:rPr>
      </w:pPr>
      <w:r>
        <w:rPr>
          <w:noProof/>
        </w:rPr>
        <w:t>Sprijinirea pescuitului sustenabil în apele din afara Uniunii, menținerea prezenței europene în zonele de pescuit îndepărtate și protejarea intereselor sectorului european al pescuitului și ale consumatorilor prin negocierea și încheierea de APPS cu state de coastă, care să fie coerente cu alte politici europene.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Activitatea (activitățile) ABM/ABB în cauză</w:t>
      </w:r>
    </w:p>
    <w:p>
      <w:pPr>
        <w:pBdr>
          <w:top w:val="single" w:sz="4" w:space="1" w:color="auto"/>
          <w:left w:val="single" w:sz="4" w:space="4" w:color="auto"/>
          <w:bottom w:val="single" w:sz="4" w:space="1" w:color="auto"/>
          <w:right w:val="single" w:sz="4" w:space="4" w:color="auto"/>
        </w:pBdr>
        <w:ind w:left="850"/>
        <w:rPr>
          <w:noProof/>
        </w:rPr>
      </w:pPr>
      <w:r>
        <w:rPr>
          <w:noProof/>
        </w:rPr>
        <w:t>Afaceri maritime și pescuit, pentru crearea unui cadru de guvernanță pentru activitățile de pescuit efectuate de navele de pescuit ale Uniunii Europene în apele unor țări terțe (APS) (linia bugetară 11.03.01).</w:t>
      </w:r>
    </w:p>
    <w:p>
      <w:pPr>
        <w:keepNext/>
        <w:tabs>
          <w:tab w:val="left" w:pos="850"/>
        </w:tabs>
        <w:outlineLvl w:val="2"/>
        <w:rPr>
          <w:i/>
          <w:noProof/>
        </w:rPr>
      </w:pPr>
      <w:bookmarkStart w:id="15" w:name="_Toc514938019"/>
      <w:bookmarkStart w:id="16" w:name="_Toc520485032"/>
      <w:r>
        <w:rPr>
          <w:i/>
          <w:noProof/>
        </w:rPr>
        <w:t>1.4.3.</w:t>
      </w:r>
      <w:r>
        <w:rPr>
          <w:noProof/>
        </w:rPr>
        <w:tab/>
      </w:r>
      <w:r>
        <w:rPr>
          <w:i/>
          <w:noProof/>
        </w:rPr>
        <w:t>Rezultatul (rezultatele) și impactul preconizate</w:t>
      </w:r>
      <w:bookmarkEnd w:id="15"/>
      <w:bookmarkEnd w:id="16"/>
    </w:p>
    <w:p>
      <w:pPr>
        <w:ind w:left="850"/>
        <w:rPr>
          <w:i/>
          <w:noProof/>
          <w:sz w:val="20"/>
        </w:rPr>
      </w:pPr>
      <w:r>
        <w:rPr>
          <w:i/>
          <w:noProof/>
          <w:sz w:val="20"/>
        </w:rPr>
        <w:t>A se preciza efectele pe care propunerea/inițiativa ar trebui să le aibă asupra beneficiarilor vizați/grupurilor vizate.</w:t>
      </w:r>
    </w:p>
    <w:p>
      <w:pPr>
        <w:pBdr>
          <w:top w:val="single" w:sz="4" w:space="1" w:color="auto"/>
          <w:left w:val="single" w:sz="4" w:space="4" w:color="auto"/>
          <w:bottom w:val="single" w:sz="4" w:space="1" w:color="auto"/>
          <w:right w:val="single" w:sz="4" w:space="4" w:color="auto"/>
        </w:pBdr>
        <w:ind w:left="850"/>
        <w:rPr>
          <w:noProof/>
        </w:rPr>
      </w:pPr>
      <w:r>
        <w:rPr>
          <w:noProof/>
        </w:rPr>
        <w:t xml:space="preserve">Prelungirea protocolului la APP existent permite evitarea întreruperii activităților de pescuit ale navelor europene odată cu expirarea protocolului în data de 15 noiembrie </w:t>
      </w:r>
      <w:r>
        <w:rPr>
          <w:noProof/>
          <w:highlight w:val="yellow"/>
        </w:rPr>
        <w:t>2020</w:t>
      </w:r>
      <w:r>
        <w:rPr>
          <w:noProof/>
        </w:rPr>
        <w:t>. Prelungirea este valabilă pentru o perioadă maximă de un an, până la finalizarea negocierilor pentru reînnoirea APP.</w:t>
      </w:r>
    </w:p>
    <w:p>
      <w:pPr>
        <w:pBdr>
          <w:top w:val="single" w:sz="4" w:space="1" w:color="auto"/>
          <w:left w:val="single" w:sz="4" w:space="4" w:color="auto"/>
          <w:bottom w:val="single" w:sz="4" w:space="1" w:color="auto"/>
          <w:right w:val="single" w:sz="4" w:space="4" w:color="auto"/>
        </w:pBdr>
        <w:ind w:left="850"/>
        <w:rPr>
          <w:noProof/>
        </w:rPr>
      </w:pPr>
      <w:r>
        <w:rPr>
          <w:noProof/>
        </w:rPr>
        <w:t>Protocolul permite stabilirea unui cadru de parteneriat strategic în domeniul pescuitului între Uniunea Europeană și Republica Islamică Mauritania. Protocolul contribuie, de asemenea, la o mai bună gestionare și conservare a resurselor piscicole, prin sprijinul financiar (sprijinul sectorial) pentru punerea în aplicare a programelor adoptate la nivel național de către țara parteneră, în special în ceea ce privește controlul și combaterea pescuitului ilegal și sprijinirea sectorului pescuitului artizanal.</w:t>
      </w:r>
    </w:p>
    <w:p>
      <w:pPr>
        <w:keepNext/>
        <w:tabs>
          <w:tab w:val="left" w:pos="850"/>
        </w:tabs>
        <w:outlineLvl w:val="2"/>
        <w:rPr>
          <w:i/>
          <w:noProof/>
          <w:szCs w:val="24"/>
        </w:rPr>
      </w:pPr>
      <w:bookmarkStart w:id="17" w:name="_Toc514938023"/>
      <w:bookmarkStart w:id="18" w:name="_Toc520485033"/>
      <w:r>
        <w:rPr>
          <w:i/>
          <w:noProof/>
        </w:rPr>
        <w:t>1.4.4.</w:t>
      </w:r>
      <w:r>
        <w:rPr>
          <w:noProof/>
        </w:rPr>
        <w:tab/>
      </w:r>
      <w:r>
        <w:rPr>
          <w:i/>
          <w:noProof/>
        </w:rPr>
        <w:t>Indicatori de performanță</w:t>
      </w:r>
      <w:bookmarkEnd w:id="17"/>
      <w:bookmarkEnd w:id="18"/>
    </w:p>
    <w:p>
      <w:pPr>
        <w:ind w:left="850"/>
        <w:rPr>
          <w:i/>
          <w:noProof/>
          <w:sz w:val="20"/>
        </w:rPr>
      </w:pPr>
      <w:r>
        <w:rPr>
          <w:i/>
          <w:noProof/>
          <w:sz w:val="20"/>
        </w:rPr>
        <w:t>A se preciza indicatorii care permit monitorizarea progreselor și a realizărilor obținute.</w:t>
      </w:r>
    </w:p>
    <w:p>
      <w:pPr>
        <w:pBdr>
          <w:top w:val="single" w:sz="4" w:space="1" w:color="auto"/>
          <w:left w:val="single" w:sz="4" w:space="4" w:color="auto"/>
          <w:bottom w:val="single" w:sz="4" w:space="1" w:color="auto"/>
          <w:right w:val="single" w:sz="4" w:space="4" w:color="auto"/>
        </w:pBdr>
        <w:ind w:left="850"/>
        <w:rPr>
          <w:noProof/>
        </w:rPr>
      </w:pPr>
      <w:r>
        <w:rPr>
          <w:noProof/>
        </w:rPr>
        <w:t>Rata de utilizare a posibilităților de pescuit (procent anual al autorizațiilor de pescuit utilizate în raport cu disponibilitatea oferită în temeiul protocolului).</w:t>
      </w:r>
    </w:p>
    <w:p>
      <w:pPr>
        <w:pBdr>
          <w:top w:val="single" w:sz="4" w:space="1" w:color="auto"/>
          <w:left w:val="single" w:sz="4" w:space="4" w:color="auto"/>
          <w:bottom w:val="single" w:sz="4" w:space="1" w:color="auto"/>
          <w:right w:val="single" w:sz="4" w:space="4" w:color="auto"/>
        </w:pBdr>
        <w:ind w:left="850"/>
        <w:rPr>
          <w:noProof/>
        </w:rPr>
      </w:pPr>
      <w:r>
        <w:rPr>
          <w:noProof/>
        </w:rPr>
        <w:t>Date privind capturile (colectare și analiză) și valoarea comercială a acordului.</w:t>
      </w:r>
    </w:p>
    <w:p>
      <w:pPr>
        <w:pBdr>
          <w:top w:val="single" w:sz="4" w:space="1" w:color="auto"/>
          <w:left w:val="single" w:sz="4" w:space="4" w:color="auto"/>
          <w:bottom w:val="single" w:sz="4" w:space="1" w:color="auto"/>
          <w:right w:val="single" w:sz="4" w:space="4" w:color="auto"/>
        </w:pBdr>
        <w:ind w:left="850"/>
        <w:rPr>
          <w:noProof/>
        </w:rPr>
      </w:pPr>
      <w:r>
        <w:rPr>
          <w:noProof/>
        </w:rPr>
        <w:t>Contribuția la ocuparea forței de muncă, la realizarea de valoare adăugată în Uniune și la stabilizarea pieței Uniunii (la nivel agregat cu alte APPS).</w:t>
      </w:r>
    </w:p>
    <w:p>
      <w:pPr>
        <w:pBdr>
          <w:top w:val="single" w:sz="4" w:space="1" w:color="auto"/>
          <w:left w:val="single" w:sz="4" w:space="4" w:color="auto"/>
          <w:bottom w:val="single" w:sz="4" w:space="1" w:color="auto"/>
          <w:right w:val="single" w:sz="4" w:space="4" w:color="auto"/>
        </w:pBdr>
        <w:ind w:left="850"/>
        <w:rPr>
          <w:noProof/>
        </w:rPr>
      </w:pPr>
      <w:r>
        <w:rPr>
          <w:noProof/>
        </w:rPr>
        <w:t>Contribuția la îmbunătățirea cercetării, a monitorizării și a controlului activităților de pescuit de către țara parteneră și a dezvoltării sectorului pescuitului din țara respectivă, în special al pescuitului artizanal.</w:t>
      </w:r>
    </w:p>
    <w:p>
      <w:pPr>
        <w:keepNext/>
        <w:outlineLvl w:val="1"/>
        <w:rPr>
          <w:b/>
          <w:bCs/>
          <w:noProof/>
          <w:szCs w:val="24"/>
        </w:rPr>
      </w:pPr>
      <w:bookmarkStart w:id="19" w:name="_Toc514938025"/>
      <w:bookmarkStart w:id="20" w:name="_Toc520485034"/>
      <w:r>
        <w:rPr>
          <w:b/>
          <w:noProof/>
        </w:rPr>
        <w:t>1.5.</w:t>
      </w:r>
      <w:r>
        <w:rPr>
          <w:noProof/>
        </w:rPr>
        <w:tab/>
      </w:r>
      <w:r>
        <w:rPr>
          <w:b/>
          <w:noProof/>
        </w:rPr>
        <w:t>Motivele propunerii/inițiativei</w:t>
      </w:r>
      <w:bookmarkEnd w:id="19"/>
      <w:bookmarkEnd w:id="20"/>
      <w:r>
        <w:rPr>
          <w:b/>
          <w:noProof/>
        </w:rPr>
        <w:t xml:space="preserve"> </w:t>
      </w:r>
    </w:p>
    <w:p>
      <w:pPr>
        <w:keepNext/>
        <w:tabs>
          <w:tab w:val="left" w:pos="850"/>
        </w:tabs>
        <w:outlineLvl w:val="2"/>
        <w:rPr>
          <w:i/>
          <w:noProof/>
        </w:rPr>
      </w:pPr>
      <w:bookmarkStart w:id="21" w:name="_Toc514938026"/>
      <w:bookmarkStart w:id="22" w:name="_Toc520485035"/>
      <w:r>
        <w:rPr>
          <w:i/>
          <w:noProof/>
        </w:rPr>
        <w:t>1.5.1.</w:t>
      </w:r>
      <w:r>
        <w:rPr>
          <w:noProof/>
        </w:rPr>
        <w:tab/>
      </w:r>
      <w:r>
        <w:rPr>
          <w:i/>
          <w:noProof/>
        </w:rPr>
        <w:t>Cerința (cerințele) care trebuie îndeplinită (îndeplinite) pe termen scurt sau lung, inclusiv un calendar detaliat pentru punerea în aplicare a inițiativei</w:t>
      </w:r>
      <w:bookmarkEnd w:id="21"/>
      <w:bookmarkEnd w:id="22"/>
    </w:p>
    <w:p>
      <w:pPr>
        <w:pBdr>
          <w:top w:val="single" w:sz="4" w:space="1" w:color="auto"/>
          <w:left w:val="single" w:sz="4" w:space="4" w:color="auto"/>
          <w:bottom w:val="single" w:sz="4" w:space="1" w:color="auto"/>
          <w:right w:val="single" w:sz="4" w:space="4" w:color="auto"/>
        </w:pBdr>
        <w:ind w:left="850"/>
        <w:rPr>
          <w:noProof/>
        </w:rPr>
      </w:pPr>
      <w:r>
        <w:rPr>
          <w:noProof/>
        </w:rPr>
        <w:t>Se prevede ca schimbul de scrisori care prelungește protocolul să se aplice cu titlu provizoriu de la data semnării sale, începând cu 16 noiembrie 2020, pentru a se evita întreruperea operațiunilor de pescuit în curs efectuate în temeiul protocolului actual.</w:t>
      </w:r>
    </w:p>
    <w:p>
      <w:pPr>
        <w:keepNext/>
        <w:tabs>
          <w:tab w:val="left" w:pos="850"/>
        </w:tabs>
        <w:outlineLvl w:val="2"/>
        <w:rPr>
          <w:bCs/>
          <w:i/>
          <w:noProof/>
          <w:szCs w:val="24"/>
        </w:rPr>
      </w:pPr>
      <w:bookmarkStart w:id="23" w:name="_Toc514938029"/>
      <w:bookmarkStart w:id="24" w:name="_Toc520485036"/>
      <w:r>
        <w:rPr>
          <w:i/>
          <w:noProof/>
        </w:rPr>
        <w:t>1.5.2.</w:t>
      </w:r>
      <w:r>
        <w:rPr>
          <w:noProof/>
        </w:rPr>
        <w:tab/>
      </w:r>
      <w:r>
        <w:rPr>
          <w:i/>
          <w:noProof/>
        </w:rPr>
        <w:t>Valoarea adăugată a intervenției Uniunii (aceasta poate rezulta din diferiți factori, de exemplu o mai bună coordonare, securitatea juridică, o mai mare eficacitate sau complementaritate etc.). În sensul prezentului punct, „valoarea adăugată a intervenției Uniunii” este valoarea ce rezultă din intervenția Uniunii care depășește valoarea ce ar fi fost obținută dacă ar fi acționat doar statele membre.</w:t>
      </w:r>
      <w:bookmarkEnd w:id="23"/>
      <w:bookmarkEnd w:id="24"/>
    </w:p>
    <w:p>
      <w:pPr>
        <w:pBdr>
          <w:top w:val="single" w:sz="4" w:space="1" w:color="auto"/>
          <w:left w:val="single" w:sz="4" w:space="4" w:color="auto"/>
          <w:bottom w:val="single" w:sz="4" w:space="1" w:color="auto"/>
          <w:right w:val="single" w:sz="4" w:space="4" w:color="auto"/>
        </w:pBdr>
        <w:ind w:left="850"/>
        <w:rPr>
          <w:noProof/>
        </w:rPr>
      </w:pPr>
      <w:r>
        <w:rPr>
          <w:noProof/>
        </w:rPr>
        <w:t>În cazul în care Uniunea nu încheie un nou protocol, navele Uniunii nu ar putea desfășura activități de pescuit, deoarece acordul conține o clauză care exclude activitățile de pescuit care nu au loc în cadrul definit de un protocol la acord. Prin urmare, valoarea adăugată este evidentă pentru flota UE de lungă distanță. Protocolul oferă totodată un cadru pentru o cooperare mai strânsă între Uniune și Mauritania.</w:t>
      </w:r>
    </w:p>
    <w:p>
      <w:pPr>
        <w:keepNext/>
        <w:tabs>
          <w:tab w:val="left" w:pos="850"/>
        </w:tabs>
        <w:outlineLvl w:val="2"/>
        <w:rPr>
          <w:i/>
          <w:noProof/>
        </w:rPr>
      </w:pPr>
      <w:bookmarkStart w:id="25" w:name="_Toc514938030"/>
      <w:bookmarkStart w:id="26" w:name="_Toc520485037"/>
      <w:r>
        <w:rPr>
          <w:noProof/>
        </w:rPr>
        <w:br w:type="page"/>
      </w:r>
      <w:r>
        <w:rPr>
          <w:i/>
          <w:noProof/>
        </w:rPr>
        <w:t>1.5.3.</w:t>
      </w:r>
      <w:r>
        <w:rPr>
          <w:noProof/>
        </w:rPr>
        <w:tab/>
      </w:r>
      <w:r>
        <w:rPr>
          <w:i/>
          <w:noProof/>
        </w:rPr>
        <w:t>Învățăminte desprinse din experiențe anterioare similare</w:t>
      </w:r>
      <w:bookmarkEnd w:id="25"/>
      <w:bookmarkEnd w:id="26"/>
    </w:p>
    <w:p>
      <w:pPr>
        <w:pBdr>
          <w:top w:val="single" w:sz="4" w:space="1" w:color="auto"/>
          <w:left w:val="single" w:sz="4" w:space="4" w:color="auto"/>
          <w:bottom w:val="single" w:sz="4" w:space="1" w:color="auto"/>
          <w:right w:val="single" w:sz="4" w:space="4" w:color="auto"/>
        </w:pBdr>
        <w:ind w:left="850"/>
        <w:rPr>
          <w:noProof/>
        </w:rPr>
      </w:pPr>
      <w:r>
        <w:rPr>
          <w:noProof/>
        </w:rPr>
        <w:t>Analiza capturilor din trecut din zona de pescuit a Mauritaniei și a capturilor recente în cadrul protocoalelor similare din regiune, precum și evaluările și avizele științifice disponibile au determinat părțile să stabilească posibilități de pescuit sub formă de limite de captură (TAC) sau de tonaje de referință pentru categoriile menționate în expunerea de motive de mai sus. Sprijinul sectorial ține seama de necesitățile în materie de consolidare a capacităților administrației pescuitului din Mauritania, precum și de prioritățile strategiei naționale în domeniul pescuitului, inclusiv în ceea ce privește cercetarea științifică și activitățile de control și de monitorizare a pescuitului.</w:t>
      </w:r>
    </w:p>
    <w:p>
      <w:pPr>
        <w:keepNext/>
        <w:tabs>
          <w:tab w:val="left" w:pos="850"/>
        </w:tabs>
        <w:outlineLvl w:val="2"/>
        <w:rPr>
          <w:i/>
          <w:noProof/>
        </w:rPr>
      </w:pPr>
      <w:bookmarkStart w:id="27" w:name="_Toc514938033"/>
      <w:bookmarkStart w:id="28" w:name="_Toc520485038"/>
      <w:r>
        <w:rPr>
          <w:i/>
          <w:noProof/>
        </w:rPr>
        <w:t>1.5.4.</w:t>
      </w:r>
      <w:r>
        <w:rPr>
          <w:noProof/>
        </w:rPr>
        <w:tab/>
      </w:r>
      <w:r>
        <w:rPr>
          <w:i/>
          <w:noProof/>
        </w:rPr>
        <w:t>Compatibilitatea cu cadrul financiar multianual și posibilele sinergii cu alte instrumente corespunzătoare</w:t>
      </w:r>
      <w:bookmarkEnd w:id="27"/>
      <w:bookmarkEnd w:id="28"/>
    </w:p>
    <w:p>
      <w:pPr>
        <w:pBdr>
          <w:top w:val="single" w:sz="4" w:space="1" w:color="auto"/>
          <w:left w:val="single" w:sz="4" w:space="4" w:color="auto"/>
          <w:bottom w:val="single" w:sz="4" w:space="1" w:color="auto"/>
          <w:right w:val="single" w:sz="4" w:space="4" w:color="auto"/>
        </w:pBdr>
        <w:ind w:left="850"/>
        <w:rPr>
          <w:noProof/>
        </w:rPr>
      </w:pPr>
      <w:r>
        <w:rPr>
          <w:noProof/>
        </w:rPr>
        <w:t>Fondurile alocate cu titlu de contribuție financiară pentru acces în temeiul acordului de parteneriat în domeniul pescuitului constituie venituri fungibile la bugetul de stat al Mauritaniei. Cu toate acestea, fondurile dedicate sprijinului sectorial sunt alocate (în general prin înscrierea lor în legea anuală a bugetului) ministerului responsabil de pescuit, aceasta fiind o condiție pentru încheierea și monitorizarea acordurilor de parteneriat în domeniul pescuitului. Aceste resurse financiare sunt compatibile cu alte surse de finanțare din partea altor donatori internaționali pentru realizarea de proiecte și/sau programe la nivel național în sectorul pescuitului.</w:t>
      </w:r>
    </w:p>
    <w:p>
      <w:pPr>
        <w:keepNext/>
        <w:tabs>
          <w:tab w:val="left" w:pos="850"/>
        </w:tabs>
        <w:outlineLvl w:val="2"/>
        <w:rPr>
          <w:i/>
          <w:noProof/>
        </w:rPr>
      </w:pPr>
      <w:bookmarkStart w:id="29" w:name="_Toc514938036"/>
      <w:bookmarkStart w:id="30" w:name="_Toc520485039"/>
      <w:r>
        <w:rPr>
          <w:i/>
          <w:noProof/>
        </w:rPr>
        <w:t>1.5.5.</w:t>
      </w:r>
      <w:r>
        <w:rPr>
          <w:noProof/>
        </w:rPr>
        <w:tab/>
      </w:r>
      <w:r>
        <w:rPr>
          <w:i/>
          <w:noProof/>
        </w:rPr>
        <w:t>Evaluarea diferitelor opțiuni de finanțare disponibile, inclusiv a posibilităților de realocare a creditelor</w:t>
      </w:r>
      <w:bookmarkEnd w:id="29"/>
      <w:bookmarkEnd w:id="30"/>
    </w:p>
    <w:p>
      <w:pPr>
        <w:pBdr>
          <w:top w:val="single" w:sz="4" w:space="1" w:color="auto"/>
          <w:left w:val="single" w:sz="4" w:space="4" w:color="auto"/>
          <w:bottom w:val="single" w:sz="4" w:space="1" w:color="auto"/>
          <w:right w:val="single" w:sz="4" w:space="4" w:color="auto"/>
        </w:pBdr>
        <w:ind w:left="850"/>
        <w:rPr>
          <w:noProof/>
        </w:rPr>
      </w:pPr>
      <w:r>
        <w:rPr>
          <w:noProof/>
        </w:rPr>
        <w:t>Nu se aplică</w:t>
      </w:r>
    </w:p>
    <w:p>
      <w:pPr>
        <w:ind w:left="850"/>
        <w:rPr>
          <w:noProof/>
        </w:rPr>
      </w:pPr>
    </w:p>
    <w:p>
      <w:pPr>
        <w:keepNext/>
        <w:outlineLvl w:val="1"/>
        <w:rPr>
          <w:b/>
          <w:bCs/>
          <w:noProof/>
          <w:szCs w:val="24"/>
        </w:rPr>
      </w:pPr>
      <w:bookmarkStart w:id="31" w:name="_Toc514938039"/>
      <w:bookmarkStart w:id="32" w:name="_Toc520485040"/>
      <w:r>
        <w:rPr>
          <w:b/>
          <w:noProof/>
        </w:rPr>
        <w:t>Durata și impactul financiar ale propunerii/inițiativei</w:t>
      </w:r>
      <w:bookmarkEnd w:id="31"/>
      <w:bookmarkEnd w:id="32"/>
    </w:p>
    <w:p>
      <w:pPr>
        <w:ind w:left="850"/>
        <w:rPr>
          <w:noProof/>
        </w:rPr>
      </w:pPr>
      <w:r>
        <w:rPr>
          <w:b/>
          <w:noProof/>
        </w:rPr>
        <w:t>X</w:t>
      </w:r>
      <w:r>
        <w:rPr>
          <w:b/>
          <w:i/>
          <w:noProof/>
        </w:rPr>
        <w:t xml:space="preserve"> </w:t>
      </w:r>
      <w:r>
        <w:rPr>
          <w:b/>
          <w:noProof/>
        </w:rPr>
        <w:t xml:space="preserve">durată limitată </w:t>
      </w:r>
    </w:p>
    <w:p>
      <w:pPr>
        <w:tabs>
          <w:tab w:val="num" w:pos="1134"/>
        </w:tabs>
        <w:ind w:left="1134" w:hanging="283"/>
        <w:rPr>
          <w:rFonts w:eastAsia="Times New Roman"/>
          <w:noProof/>
        </w:rPr>
      </w:pPr>
      <w:r>
        <w:rPr>
          <w:noProof/>
        </w:rPr>
        <w:t>X</w:t>
      </w:r>
      <w:r>
        <w:rPr>
          <w:noProof/>
        </w:rPr>
        <w:tab/>
        <w:t xml:space="preserve">În vigoare din </w:t>
      </w:r>
      <w:r>
        <w:rPr>
          <w:noProof/>
          <w:highlight w:val="yellow"/>
        </w:rPr>
        <w:t>2020</w:t>
      </w:r>
      <w:r>
        <w:rPr>
          <w:noProof/>
        </w:rPr>
        <w:t xml:space="preserve"> până în 2024. </w:t>
      </w:r>
    </w:p>
    <w:p>
      <w:pPr>
        <w:tabs>
          <w:tab w:val="num" w:pos="1134"/>
        </w:tabs>
        <w:ind w:left="1134" w:hanging="283"/>
        <w:rPr>
          <w:rFonts w:eastAsia="Times New Roman"/>
          <w:noProof/>
        </w:rPr>
      </w:pPr>
      <w:r>
        <w:rPr>
          <w:noProof/>
        </w:rPr>
        <w:t>X</w:t>
      </w:r>
      <w:r>
        <w:rPr>
          <w:noProof/>
        </w:rPr>
        <w:tab/>
        <w:t xml:space="preserve">Impact financiar în 2020 pentru creditele de angajament și din 2020 până în 2022 pentru creditele de plată. </w:t>
      </w:r>
    </w:p>
    <w:p>
      <w:pPr>
        <w:ind w:left="850"/>
        <w:rPr>
          <w:noProof/>
        </w:rPr>
      </w:pPr>
      <w:r>
        <w:rPr>
          <w:noProof/>
        </w:rPr>
        <w:sym w:font="Wingdings" w:char="F0A8"/>
      </w:r>
      <w:r>
        <w:rPr>
          <w:b/>
          <w:i/>
          <w:noProof/>
        </w:rPr>
        <w:t xml:space="preserve"> </w:t>
      </w:r>
      <w:r>
        <w:rPr>
          <w:b/>
          <w:noProof/>
        </w:rPr>
        <w:t>durată nelimitată</w:t>
      </w:r>
    </w:p>
    <w:p>
      <w:pPr>
        <w:tabs>
          <w:tab w:val="num" w:pos="1134"/>
        </w:tabs>
        <w:ind w:left="1134" w:hanging="283"/>
        <w:rPr>
          <w:rFonts w:eastAsia="Times New Roman"/>
          <w:noProof/>
        </w:rPr>
      </w:pPr>
      <w:r>
        <w:rPr>
          <w:noProof/>
        </w:rPr>
        <w:t>Punere în aplicare cu o perioadă de creștere în intensitate din AAAA până în AAAA,</w:t>
      </w:r>
    </w:p>
    <w:p>
      <w:pPr>
        <w:tabs>
          <w:tab w:val="num" w:pos="1134"/>
        </w:tabs>
        <w:ind w:left="1134" w:hanging="283"/>
        <w:rPr>
          <w:rFonts w:eastAsia="Times New Roman"/>
          <w:noProof/>
        </w:rPr>
      </w:pPr>
      <w:r>
        <w:rPr>
          <w:noProof/>
        </w:rPr>
        <w:t>urmată de o perioadă de funcționare în regim de croazieră.</w:t>
      </w:r>
    </w:p>
    <w:p>
      <w:pPr>
        <w:keepNext/>
        <w:outlineLvl w:val="1"/>
        <w:rPr>
          <w:b/>
          <w:bCs/>
          <w:noProof/>
          <w:szCs w:val="24"/>
        </w:rPr>
      </w:pPr>
      <w:bookmarkStart w:id="33" w:name="_Toc514938040"/>
      <w:bookmarkStart w:id="34" w:name="_Toc520485041"/>
      <w:r>
        <w:rPr>
          <w:b/>
          <w:noProof/>
        </w:rPr>
        <w:t>Modul (modurile) de gestiune preconizat(e)</w:t>
      </w:r>
      <w:r>
        <w:rPr>
          <w:rStyle w:val="FootnoteReference"/>
          <w:noProof/>
        </w:rPr>
        <w:footnoteReference w:id="9"/>
      </w:r>
      <w:bookmarkEnd w:id="33"/>
      <w:bookmarkEnd w:id="34"/>
      <w:r>
        <w:rPr>
          <w:b/>
          <w:noProof/>
          <w:vertAlign w:val="superscript"/>
        </w:rPr>
        <w:t xml:space="preserve"> </w:t>
      </w:r>
    </w:p>
    <w:p>
      <w:pPr>
        <w:ind w:left="850"/>
        <w:rPr>
          <w:noProof/>
        </w:rPr>
      </w:pPr>
      <w:r>
        <w:rPr>
          <w:b/>
          <w:noProof/>
        </w:rPr>
        <w:t>X</w:t>
      </w:r>
      <w:r>
        <w:rPr>
          <w:i/>
          <w:noProof/>
        </w:rPr>
        <w:t xml:space="preserve"> </w:t>
      </w:r>
      <w:r>
        <w:rPr>
          <w:b/>
          <w:noProof/>
        </w:rPr>
        <w:t>Gestiune directă</w:t>
      </w:r>
      <w:r>
        <w:rPr>
          <w:noProof/>
        </w:rPr>
        <w:t xml:space="preserve"> asigurată de Comisie</w:t>
      </w:r>
    </w:p>
    <w:p>
      <w:pPr>
        <w:tabs>
          <w:tab w:val="num" w:pos="1134"/>
        </w:tabs>
        <w:ind w:left="1134" w:hanging="283"/>
        <w:rPr>
          <w:rFonts w:eastAsia="Times New Roman" w:cs="EUAlbertina"/>
          <w:noProof/>
        </w:rPr>
      </w:pPr>
      <w:r>
        <w:rPr>
          <w:b/>
          <w:noProof/>
        </w:rPr>
        <w:t>X</w:t>
      </w:r>
      <w:r>
        <w:rPr>
          <w:noProof/>
        </w:rPr>
        <w:t xml:space="preserve"> prin intermediul departamentelor sale, inclusiv al personalului din delegațiile Uniunii; </w:t>
      </w:r>
    </w:p>
    <w:p>
      <w:pPr>
        <w:tabs>
          <w:tab w:val="num" w:pos="1134"/>
        </w:tabs>
        <w:ind w:left="1134" w:hanging="283"/>
        <w:rPr>
          <w:rFonts w:eastAsia="Times New Roman"/>
          <w:noProof/>
        </w:rPr>
      </w:pPr>
      <w:r>
        <w:rPr>
          <w:noProof/>
        </w:rPr>
        <w:sym w:font="Wingdings" w:char="F0A8"/>
      </w:r>
      <w:r>
        <w:rPr>
          <w:noProof/>
        </w:rPr>
        <w:tab/>
        <w:t xml:space="preserve">prin intermediul agențiilor executive </w:t>
      </w:r>
    </w:p>
    <w:p>
      <w:pPr>
        <w:ind w:left="850"/>
        <w:rPr>
          <w:noProof/>
        </w:rPr>
      </w:pPr>
      <w:r>
        <w:rPr>
          <w:noProof/>
        </w:rPr>
        <w:sym w:font="Wingdings" w:char="F0A8"/>
      </w:r>
      <w:r>
        <w:rPr>
          <w:b/>
          <w:i/>
          <w:noProof/>
        </w:rPr>
        <w:t xml:space="preserve"> </w:t>
      </w:r>
      <w:r>
        <w:rPr>
          <w:b/>
          <w:noProof/>
        </w:rPr>
        <w:t>Gestiune partajată</w:t>
      </w:r>
      <w:r>
        <w:rPr>
          <w:noProof/>
        </w:rPr>
        <w:t xml:space="preserve"> cu statele membre </w:t>
      </w:r>
    </w:p>
    <w:p>
      <w:pPr>
        <w:ind w:left="850"/>
        <w:rPr>
          <w:noProof/>
        </w:rPr>
      </w:pPr>
      <w:r>
        <w:rPr>
          <w:noProof/>
        </w:rPr>
        <w:sym w:font="Wingdings" w:char="F0A8"/>
      </w:r>
      <w:r>
        <w:rPr>
          <w:i/>
          <w:noProof/>
        </w:rPr>
        <w:t xml:space="preserve"> </w:t>
      </w:r>
      <w:r>
        <w:rPr>
          <w:b/>
          <w:noProof/>
        </w:rPr>
        <w:t>Gestiune indirectă</w:t>
      </w:r>
      <w:r>
        <w:rPr>
          <w:noProof/>
        </w:rPr>
        <w:t>, cu delegarea sarcinilor de execuție bugetară:</w:t>
      </w:r>
    </w:p>
    <w:p>
      <w:pPr>
        <w:tabs>
          <w:tab w:val="num" w:pos="1134"/>
        </w:tabs>
        <w:ind w:left="1134" w:hanging="283"/>
        <w:rPr>
          <w:rFonts w:eastAsia="Times New Roman"/>
          <w:noProof/>
        </w:rPr>
      </w:pPr>
      <w:r>
        <w:rPr>
          <w:noProof/>
        </w:rPr>
        <w:sym w:font="Wingdings" w:char="F0A8"/>
      </w:r>
      <w:r>
        <w:rPr>
          <w:noProof/>
        </w:rPr>
        <w:t xml:space="preserve"> țărilor terțe sau organismelor pe care acestea le-au desemnat;</w:t>
      </w:r>
    </w:p>
    <w:p>
      <w:pPr>
        <w:tabs>
          <w:tab w:val="num" w:pos="1134"/>
        </w:tabs>
        <w:ind w:left="1134" w:hanging="283"/>
        <w:rPr>
          <w:rFonts w:eastAsia="Times New Roman"/>
          <w:noProof/>
        </w:rPr>
      </w:pPr>
      <w:r>
        <w:rPr>
          <w:noProof/>
        </w:rPr>
        <w:sym w:font="Wingdings" w:char="F0A8"/>
      </w:r>
      <w:r>
        <w:rPr>
          <w:noProof/>
        </w:rPr>
        <w:t xml:space="preserve"> organizațiilor internaționale și agențiilor acestora (a se preciza);</w:t>
      </w:r>
    </w:p>
    <w:p>
      <w:pPr>
        <w:tabs>
          <w:tab w:val="num" w:pos="1134"/>
        </w:tabs>
        <w:ind w:left="1134" w:hanging="283"/>
        <w:rPr>
          <w:rFonts w:eastAsia="Times New Roman"/>
          <w:noProof/>
        </w:rPr>
      </w:pPr>
      <w:r>
        <w:rPr>
          <w:noProof/>
        </w:rPr>
        <w:sym w:font="Wingdings" w:char="F0A8"/>
      </w:r>
      <w:r>
        <w:rPr>
          <w:noProof/>
        </w:rPr>
        <w:t xml:space="preserve"> BEI și Fondului european de investiții;</w:t>
      </w:r>
    </w:p>
    <w:p>
      <w:pPr>
        <w:tabs>
          <w:tab w:val="num" w:pos="1134"/>
        </w:tabs>
        <w:ind w:left="1134" w:hanging="283"/>
        <w:rPr>
          <w:rFonts w:eastAsia="Times New Roman"/>
          <w:noProof/>
        </w:rPr>
      </w:pPr>
      <w:r>
        <w:rPr>
          <w:noProof/>
        </w:rPr>
        <w:sym w:font="Wingdings" w:char="F0A8"/>
      </w:r>
      <w:r>
        <w:rPr>
          <w:noProof/>
        </w:rPr>
        <w:t xml:space="preserve"> organismelor menționate la articolele 70 și 71 din Regulamentul financiar;</w:t>
      </w:r>
    </w:p>
    <w:p>
      <w:pPr>
        <w:tabs>
          <w:tab w:val="num" w:pos="1134"/>
        </w:tabs>
        <w:ind w:left="1134" w:hanging="283"/>
        <w:rPr>
          <w:rFonts w:eastAsia="Times New Roman"/>
          <w:noProof/>
        </w:rPr>
      </w:pPr>
      <w:r>
        <w:rPr>
          <w:noProof/>
        </w:rPr>
        <w:sym w:font="Wingdings" w:char="F0A8"/>
      </w:r>
      <w:r>
        <w:rPr>
          <w:noProof/>
        </w:rPr>
        <w:t xml:space="preserve"> organismelor de drept public;</w:t>
      </w:r>
    </w:p>
    <w:p>
      <w:pPr>
        <w:tabs>
          <w:tab w:val="num" w:pos="1134"/>
        </w:tabs>
        <w:ind w:left="1134" w:hanging="283"/>
        <w:rPr>
          <w:rFonts w:eastAsia="Times New Roman"/>
          <w:noProof/>
        </w:rPr>
      </w:pPr>
      <w:r>
        <w:rPr>
          <w:noProof/>
        </w:rPr>
        <w:sym w:font="Wingdings" w:char="F0A8"/>
      </w:r>
      <w:r>
        <w:rPr>
          <w:noProof/>
        </w:rPr>
        <w:t xml:space="preserve"> organismelor de drept privat cu misiune de serviciu public, cu condiția să prezinte garanții financiare adecvate;</w:t>
      </w:r>
    </w:p>
    <w:p>
      <w:pPr>
        <w:tabs>
          <w:tab w:val="num" w:pos="1134"/>
        </w:tabs>
        <w:ind w:left="1134" w:hanging="283"/>
        <w:rPr>
          <w:rFonts w:eastAsia="Times New Roman"/>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tabs>
          <w:tab w:val="num" w:pos="1134"/>
        </w:tabs>
        <w:ind w:left="1134" w:hanging="283"/>
        <w:rPr>
          <w:rFonts w:eastAsia="Times New Roman"/>
          <w:noProof/>
        </w:rPr>
      </w:pPr>
      <w:r>
        <w:rPr>
          <w:noProof/>
        </w:rPr>
        <w:sym w:font="Wingdings" w:char="F0A8"/>
      </w:r>
      <w:r>
        <w:rPr>
          <w:noProof/>
        </w:rPr>
        <w:t xml:space="preserve"> persoanelor cărora li se încredințează executarea unor acțiuni specifice în cadrul PESC, în temeiul titlului V din Tratatul privind Uniunea Europeană, și care sunt identificate în actul de bază relevant.</w:t>
      </w:r>
    </w:p>
    <w:p>
      <w:pPr>
        <w:tabs>
          <w:tab w:val="num" w:pos="1134"/>
        </w:tabs>
        <w:ind w:left="1134" w:hanging="283"/>
        <w:rPr>
          <w:rFonts w:eastAsia="Times New Roman"/>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bookmarkStart w:id="35" w:name="_Toc514938041"/>
      <w:bookmarkStart w:id="36" w:name="_Toc520485042"/>
      <w:r>
        <w:rPr>
          <w:b/>
          <w:smallCaps/>
          <w:noProof/>
        </w:rPr>
        <w:t>2.</w:t>
      </w:r>
      <w:r>
        <w:rPr>
          <w:noProof/>
        </w:rPr>
        <w:tab/>
      </w:r>
      <w:r>
        <w:rPr>
          <w:b/>
          <w:smallCaps/>
          <w:noProof/>
        </w:rPr>
        <w:t>MĂSURI DE GESTIUNE</w:t>
      </w:r>
      <w:bookmarkEnd w:id="35"/>
      <w:bookmarkEnd w:id="36"/>
      <w:r>
        <w:rPr>
          <w:b/>
          <w:smallCaps/>
          <w:noProof/>
        </w:rPr>
        <w:t xml:space="preserve"> </w:t>
      </w:r>
    </w:p>
    <w:p>
      <w:pPr>
        <w:keepNext/>
        <w:outlineLvl w:val="1"/>
        <w:rPr>
          <w:b/>
          <w:noProof/>
        </w:rPr>
      </w:pPr>
      <w:bookmarkStart w:id="37" w:name="_Toc514938042"/>
      <w:bookmarkStart w:id="38" w:name="_Toc520485043"/>
      <w:r>
        <w:rPr>
          <w:b/>
          <w:noProof/>
        </w:rPr>
        <w:t>2.1.</w:t>
      </w:r>
      <w:r>
        <w:rPr>
          <w:noProof/>
        </w:rPr>
        <w:tab/>
      </w:r>
      <w:r>
        <w:rPr>
          <w:b/>
          <w:noProof/>
        </w:rPr>
        <w:t>Dispoziții în materie de monitorizare și de raportare</w:t>
      </w:r>
      <w:bookmarkEnd w:id="37"/>
      <w:bookmarkEnd w:id="38"/>
      <w:r>
        <w:rPr>
          <w:b/>
          <w:noProof/>
        </w:rPr>
        <w:t xml:space="preserve"> </w:t>
      </w:r>
    </w:p>
    <w:p>
      <w:pPr>
        <w:ind w:left="850"/>
        <w:rPr>
          <w:i/>
          <w:noProof/>
          <w:sz w:val="20"/>
        </w:rPr>
      </w:pPr>
      <w:r>
        <w:rPr>
          <w:i/>
          <w:noProof/>
          <w:sz w:val="20"/>
        </w:rPr>
        <w:t>A se preciza frecvența și condițiile aferente acestor dispoziții.</w:t>
      </w:r>
    </w:p>
    <w:p>
      <w:pPr>
        <w:pBdr>
          <w:top w:val="single" w:sz="4" w:space="1" w:color="auto"/>
          <w:left w:val="single" w:sz="4" w:space="4" w:color="auto"/>
          <w:bottom w:val="single" w:sz="4" w:space="1" w:color="auto"/>
          <w:right w:val="single" w:sz="4" w:space="4" w:color="auto"/>
        </w:pBdr>
        <w:ind w:left="850"/>
        <w:rPr>
          <w:noProof/>
        </w:rPr>
      </w:pPr>
      <w:r>
        <w:rPr>
          <w:noProof/>
        </w:rPr>
        <w:t xml:space="preserve">Comisia (DG MARE), în colaborare cu atașatul său pentru pescuit cu sediul în țară (Nouakchott), va asigura monitorizarea periodică a punerii în aplicare a protocolului în ceea ce privește utilizarea de către operatori a posibilităților de pescuit și în ceea ce privește datele privind capturile și respectarea condiționalităților pentru sprijinul sectorial. </w:t>
      </w:r>
    </w:p>
    <w:p>
      <w:pPr>
        <w:pBdr>
          <w:top w:val="single" w:sz="4" w:space="1" w:color="auto"/>
          <w:left w:val="single" w:sz="4" w:space="4" w:color="auto"/>
          <w:bottom w:val="single" w:sz="4" w:space="1" w:color="auto"/>
          <w:right w:val="single" w:sz="4" w:space="4" w:color="auto"/>
        </w:pBdr>
        <w:ind w:left="850"/>
        <w:rPr>
          <w:noProof/>
        </w:rPr>
      </w:pPr>
      <w:r>
        <w:rPr>
          <w:noProof/>
        </w:rPr>
        <w:t>În plus, APP prevede cel puțin o întrunire anuală a comitetului mixt, în cadrul căreia Comisia și Mauritania evaluează punerea în aplicare a acordului și a protocolului și, dacă este necesar, aduc modificări programării și, dacă este cazul, contribuției financiare.</w:t>
      </w:r>
    </w:p>
    <w:p>
      <w:pPr>
        <w:keepNext/>
        <w:outlineLvl w:val="1"/>
        <w:rPr>
          <w:b/>
          <w:bCs/>
          <w:noProof/>
          <w:szCs w:val="24"/>
        </w:rPr>
      </w:pPr>
      <w:bookmarkStart w:id="39" w:name="_Toc514938045"/>
      <w:bookmarkStart w:id="40" w:name="_Toc520485044"/>
      <w:r>
        <w:rPr>
          <w:b/>
          <w:noProof/>
        </w:rPr>
        <w:t>2.2.</w:t>
      </w:r>
      <w:r>
        <w:rPr>
          <w:noProof/>
        </w:rPr>
        <w:tab/>
      </w:r>
      <w:r>
        <w:rPr>
          <w:b/>
          <w:noProof/>
        </w:rPr>
        <w:t>Sistemul (sistemele) de gestiune și control</w:t>
      </w:r>
      <w:bookmarkEnd w:id="39"/>
      <w:bookmarkEnd w:id="40"/>
      <w:r>
        <w:rPr>
          <w:b/>
          <w:noProof/>
        </w:rPr>
        <w:t xml:space="preserve"> </w:t>
      </w:r>
    </w:p>
    <w:p>
      <w:pPr>
        <w:keepNext/>
        <w:tabs>
          <w:tab w:val="left" w:pos="850"/>
        </w:tabs>
        <w:outlineLvl w:val="2"/>
        <w:rPr>
          <w:i/>
          <w:noProof/>
        </w:rPr>
      </w:pPr>
      <w:bookmarkStart w:id="41" w:name="_Toc514938046"/>
      <w:bookmarkStart w:id="42" w:name="_Toc520485045"/>
      <w:r>
        <w:rPr>
          <w:i/>
          <w:noProof/>
        </w:rPr>
        <w:t>2.2.1.</w:t>
      </w:r>
      <w:r>
        <w:rPr>
          <w:noProof/>
        </w:rPr>
        <w:tab/>
      </w:r>
      <w:r>
        <w:rPr>
          <w:i/>
          <w:noProof/>
        </w:rPr>
        <w:t>Justificarea modului (modurilor) de gestiune, a mecanismului (mecanismelor) de punere în aplicare a finanțării, a modalităților de plată și a strategiei de control propuse</w:t>
      </w:r>
      <w:bookmarkEnd w:id="41"/>
      <w:bookmarkEnd w:id="42"/>
    </w:p>
    <w:p>
      <w:pPr>
        <w:pBdr>
          <w:top w:val="single" w:sz="4" w:space="1" w:color="auto"/>
          <w:left w:val="single" w:sz="4" w:space="4" w:color="auto"/>
          <w:bottom w:val="single" w:sz="4" w:space="1" w:color="auto"/>
          <w:right w:val="single" w:sz="4" w:space="4" w:color="auto"/>
        </w:pBdr>
        <w:ind w:left="850"/>
        <w:rPr>
          <w:noProof/>
        </w:rPr>
      </w:pPr>
      <w:r>
        <w:rPr>
          <w:noProof/>
        </w:rPr>
        <w:t>Riscul identificat este o subutilizare a posibilităților de pescuit de către armatorii din UE și o subutilizare sau întârzieri în utilizarea fondurilor destinate finanțării politicii sectoriale în domeniul pescuitului de către Mauritania.</w:t>
      </w:r>
    </w:p>
    <w:p>
      <w:pPr>
        <w:keepNext/>
        <w:tabs>
          <w:tab w:val="left" w:pos="850"/>
        </w:tabs>
        <w:outlineLvl w:val="2"/>
        <w:rPr>
          <w:bCs/>
          <w:i/>
          <w:noProof/>
          <w:szCs w:val="24"/>
        </w:rPr>
      </w:pPr>
      <w:bookmarkStart w:id="43" w:name="_Toc514938047"/>
      <w:bookmarkStart w:id="44" w:name="_Toc520485046"/>
      <w:r>
        <w:rPr>
          <w:i/>
          <w:noProof/>
        </w:rPr>
        <w:t>2.2.2.</w:t>
      </w:r>
      <w:r>
        <w:rPr>
          <w:noProof/>
        </w:rPr>
        <w:tab/>
      </w:r>
      <w:r>
        <w:rPr>
          <w:i/>
          <w:noProof/>
        </w:rPr>
        <w:t>Informații privind riscurile identificate și sistemul (sistemele) de control intern instituit(e) pentru atenuarea lor</w:t>
      </w:r>
      <w:bookmarkEnd w:id="43"/>
      <w:bookmarkEnd w:id="44"/>
    </w:p>
    <w:p>
      <w:pPr>
        <w:pBdr>
          <w:top w:val="single" w:sz="4" w:space="1" w:color="auto"/>
          <w:left w:val="single" w:sz="4" w:space="4" w:color="auto"/>
          <w:bottom w:val="single" w:sz="4" w:space="1" w:color="auto"/>
          <w:right w:val="single" w:sz="4" w:space="4" w:color="auto"/>
        </w:pBdr>
        <w:ind w:left="850"/>
        <w:rPr>
          <w:noProof/>
        </w:rPr>
      </w:pPr>
      <w:r>
        <w:rPr>
          <w:noProof/>
        </w:rPr>
        <w:t>S-a prevăzut un dialog susținut privind programarea și punerea în aplicare a politicii sectoriale prevăzute de acord și de protocol. Analiza comună a rezultatelor face parte, de asemenea, din aceste metode de control.</w:t>
      </w:r>
    </w:p>
    <w:p>
      <w:pPr>
        <w:pBdr>
          <w:top w:val="single" w:sz="4" w:space="1" w:color="auto"/>
          <w:left w:val="single" w:sz="4" w:space="4" w:color="auto"/>
          <w:bottom w:val="single" w:sz="4" w:space="1" w:color="auto"/>
          <w:right w:val="single" w:sz="4" w:space="4" w:color="auto"/>
        </w:pBdr>
        <w:ind w:left="850"/>
        <w:rPr>
          <w:noProof/>
        </w:rPr>
      </w:pPr>
      <w:r>
        <w:rPr>
          <w:noProof/>
        </w:rPr>
        <w:t>În plus, acordul și protocolul prevăd clauze specifice privind suspendarea lor, cu anumite condiții și în anumite circumstanțe.</w:t>
      </w:r>
    </w:p>
    <w:p>
      <w:pPr>
        <w:keepNext/>
        <w:tabs>
          <w:tab w:val="left" w:pos="850"/>
        </w:tabs>
        <w:outlineLvl w:val="2"/>
        <w:rPr>
          <w:i/>
          <w:noProof/>
        </w:rPr>
      </w:pPr>
      <w:bookmarkStart w:id="45" w:name="_Toc514938048"/>
      <w:bookmarkStart w:id="46" w:name="_Toc520485047"/>
      <w:r>
        <w:rPr>
          <w:noProof/>
        </w:rPr>
        <w:br w:type="page"/>
      </w:r>
      <w:r>
        <w:rPr>
          <w:i/>
          <w:noProof/>
        </w:rPr>
        <w:t>2.2.3.</w:t>
      </w:r>
      <w:r>
        <w:rPr>
          <w:noProof/>
        </w:rPr>
        <w:tab/>
      </w:r>
      <w:r>
        <w:rPr>
          <w:i/>
          <w:noProof/>
        </w:rPr>
        <w:t>Estimarea și justificarea raportului cost-eficacitate al controalelor (raportul dintre costurile controalelor și valoarea fondurilor aferente gestionate) și evaluarea nivelurilor preconizate ale riscurilor de eroare (la plată și la închidere)</w:t>
      </w:r>
      <w:bookmarkEnd w:id="45"/>
      <w:bookmarkEnd w:id="46"/>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bCs/>
          <w:noProof/>
          <w:szCs w:val="24"/>
        </w:rPr>
      </w:pPr>
      <w:bookmarkStart w:id="47" w:name="_Toc514938049"/>
      <w:bookmarkStart w:id="48" w:name="_Toc520485048"/>
      <w:r>
        <w:rPr>
          <w:b/>
          <w:noProof/>
        </w:rPr>
        <w:t>2.3.</w:t>
      </w:r>
      <w:r>
        <w:rPr>
          <w:noProof/>
        </w:rPr>
        <w:tab/>
      </w:r>
      <w:r>
        <w:rPr>
          <w:b/>
          <w:noProof/>
        </w:rPr>
        <w:t>Măsuri de prevenire a fraudelor și a neregulilor</w:t>
      </w:r>
      <w:bookmarkEnd w:id="47"/>
      <w:bookmarkEnd w:id="48"/>
      <w:r>
        <w:rPr>
          <w:b/>
          <w:noProof/>
        </w:rPr>
        <w:t xml:space="preserve"> </w:t>
      </w:r>
    </w:p>
    <w:p>
      <w:pPr>
        <w:ind w:left="850"/>
        <w:rPr>
          <w:i/>
          <w:noProof/>
          <w:sz w:val="20"/>
        </w:rPr>
      </w:pPr>
      <w:r>
        <w:rPr>
          <w:i/>
          <w:noProof/>
          <w:sz w:val="20"/>
        </w:rPr>
        <w:t>A se preciza măsurile de prevenire și de protecție existente sau preconizate, de exemplu din strategia antifraudă.</w:t>
      </w:r>
    </w:p>
    <w:p>
      <w:pPr>
        <w:pBdr>
          <w:top w:val="single" w:sz="4" w:space="1" w:color="auto"/>
          <w:left w:val="single" w:sz="4" w:space="4" w:color="auto"/>
          <w:bottom w:val="single" w:sz="4" w:space="1" w:color="auto"/>
          <w:right w:val="single" w:sz="4" w:space="4" w:color="auto"/>
        </w:pBdr>
        <w:ind w:left="850"/>
        <w:rPr>
          <w:noProof/>
        </w:rPr>
      </w:pPr>
      <w:r>
        <w:rPr>
          <w:noProof/>
        </w:rPr>
        <w:t xml:space="preserve">Comisia se angajează să stabilească un dialog politic și o colaborare regulată cu Republica Islamică Mauritania în scopul îmbunătățirii gestionării acordului și a protocolului, precum și în scopul consolidării contribuției Uniunii la gestionarea sustenabilă a resurselor. Toate plățile efectuate de Comisie în cadrul unui APP sunt supuse normelor și procedurilor bugetare și financiare standard ale Comisiei. În special, conturile bancare ale țărilor terțe în care se plătește contribuția financiară sunt identificate în întregime. Conform protocolului, contribuția financiară trebuie să fie plătită într-un cont al Trezoreriei publice deschis la Banca Centrală a Mauritaniei. </w:t>
      </w:r>
    </w:p>
    <w:p>
      <w:pPr>
        <w:rPr>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bookmarkStart w:id="49" w:name="_Toc514938050"/>
      <w:bookmarkStart w:id="50" w:name="_Toc520485049"/>
      <w:r>
        <w:rPr>
          <w:b/>
          <w:smallCaps/>
          <w:noProof/>
        </w:rPr>
        <w:t>3.</w:t>
      </w:r>
      <w:r>
        <w:rPr>
          <w:noProof/>
        </w:rPr>
        <w:tab/>
      </w:r>
      <w:r>
        <w:rPr>
          <w:b/>
          <w:smallCaps/>
          <w:noProof/>
        </w:rPr>
        <w:t>IMPACTUL FINANCIAR ESTIMAT AL PROPUNERII/INIȚIATIVEI</w:t>
      </w:r>
      <w:bookmarkEnd w:id="49"/>
      <w:bookmarkEnd w:id="50"/>
      <w:r>
        <w:rPr>
          <w:b/>
          <w:smallCaps/>
          <w:noProof/>
        </w:rPr>
        <w:t xml:space="preserve"> </w:t>
      </w:r>
    </w:p>
    <w:p>
      <w:pPr>
        <w:keepNext/>
        <w:outlineLvl w:val="1"/>
        <w:rPr>
          <w:b/>
          <w:noProof/>
        </w:rPr>
      </w:pPr>
      <w:bookmarkStart w:id="51" w:name="_Toc514938051"/>
      <w:bookmarkStart w:id="52" w:name="_Toc520485050"/>
      <w:r>
        <w:rPr>
          <w:b/>
          <w:noProof/>
        </w:rPr>
        <w:t>3.1.</w:t>
      </w:r>
      <w:r>
        <w:rPr>
          <w:noProof/>
        </w:rPr>
        <w:tab/>
      </w:r>
      <w:r>
        <w:rPr>
          <w:b/>
          <w:noProof/>
        </w:rPr>
        <w:t>Rubrica (rubricile) din cadrul financiar multianual și linia (liniile) bugetară (bugetare) de cheltuieli afectată (afectate)</w:t>
      </w:r>
      <w:bookmarkEnd w:id="51"/>
      <w:bookmarkEnd w:id="52"/>
      <w:r>
        <w:rPr>
          <w:b/>
          <w:noProof/>
        </w:rPr>
        <w:t xml:space="preserve"> </w:t>
      </w:r>
    </w:p>
    <w:p>
      <w:pPr>
        <w:tabs>
          <w:tab w:val="num" w:pos="1134"/>
        </w:tabs>
        <w:ind w:left="1134" w:hanging="283"/>
        <w:rPr>
          <w:rFonts w:eastAsia="Times New Roman"/>
          <w:noProof/>
        </w:rPr>
      </w:pPr>
      <w:r>
        <w:rPr>
          <w:noProof/>
        </w:rPr>
        <w:t xml:space="preserve">Linii bugetare existente </w:t>
      </w:r>
    </w:p>
    <w:p>
      <w:pPr>
        <w:ind w:left="850"/>
        <w:rPr>
          <w:i/>
          <w:noProof/>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Rubrica din cadrul financiar multianual</w:t>
            </w:r>
          </w:p>
        </w:tc>
        <w:tc>
          <w:tcPr>
            <w:tcW w:w="384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w:t>
            </w:r>
            <w:r>
              <w:rPr>
                <w:noProof/>
              </w:rPr>
              <w:br/>
              <w:t xml:space="preserve"> </w:t>
            </w:r>
            <w:r>
              <w:rPr>
                <w:noProof/>
                <w:sz w:val="18"/>
              </w:rPr>
              <w:t>cheltuieli</w:t>
            </w:r>
          </w:p>
        </w:tc>
        <w:tc>
          <w:tcPr>
            <w:tcW w:w="456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Numărul </w:t>
            </w:r>
            <w:r>
              <w:rPr>
                <w:noProof/>
              </w:rPr>
              <w:br/>
            </w:r>
          </w:p>
        </w:tc>
        <w:tc>
          <w:tcPr>
            <w:tcW w:w="1080" w:type="dxa"/>
            <w:vAlign w:val="center"/>
          </w:tcPr>
          <w:p>
            <w:pPr>
              <w:jc w:val="center"/>
              <w:rPr>
                <w:noProof/>
              </w:rPr>
            </w:pPr>
            <w:r>
              <w:rPr>
                <w:noProof/>
                <w:sz w:val="18"/>
              </w:rPr>
              <w:t>Dif./ Nedif.</w:t>
            </w:r>
            <w:r>
              <w:rPr>
                <w:rStyle w:val="FootnoteReference"/>
                <w:noProof/>
              </w:rPr>
              <w:footnoteReference w:id="10"/>
            </w:r>
          </w:p>
        </w:tc>
        <w:tc>
          <w:tcPr>
            <w:tcW w:w="1076" w:type="dxa"/>
            <w:vAlign w:val="center"/>
          </w:tcPr>
          <w:p>
            <w:pPr>
              <w:jc w:val="center"/>
              <w:rPr>
                <w:noProof/>
              </w:rPr>
            </w:pPr>
            <w:r>
              <w:rPr>
                <w:noProof/>
                <w:sz w:val="18"/>
              </w:rPr>
              <w:t>din partea țărilor AELS</w:t>
            </w:r>
            <w:r>
              <w:rPr>
                <w:rStyle w:val="FootnoteReference"/>
                <w:noProof/>
              </w:rPr>
              <w:footnoteReference w:id="11"/>
            </w:r>
          </w:p>
          <w:p>
            <w:pPr>
              <w:spacing w:before="0" w:after="0"/>
              <w:jc w:val="center"/>
              <w:rPr>
                <w:b/>
                <w:noProof/>
                <w:sz w:val="18"/>
              </w:rPr>
            </w:pPr>
          </w:p>
        </w:tc>
        <w:tc>
          <w:tcPr>
            <w:tcW w:w="1080" w:type="dxa"/>
            <w:vAlign w:val="center"/>
          </w:tcPr>
          <w:p>
            <w:pPr>
              <w:jc w:val="center"/>
              <w:rPr>
                <w:noProof/>
              </w:rPr>
            </w:pPr>
            <w:r>
              <w:rPr>
                <w:noProof/>
                <w:sz w:val="18"/>
              </w:rPr>
              <w:t>din partea țărilor candidate</w:t>
            </w:r>
            <w:r>
              <w:rPr>
                <w:rStyle w:val="FootnoteReference"/>
                <w:noProof/>
              </w:rPr>
              <w:footnoteReference w:id="12"/>
            </w:r>
          </w:p>
          <w:p>
            <w:pPr>
              <w:spacing w:before="0" w:after="0"/>
              <w:jc w:val="center"/>
              <w:rPr>
                <w:noProof/>
                <w:sz w:val="18"/>
              </w:rPr>
            </w:pPr>
          </w:p>
        </w:tc>
        <w:tc>
          <w:tcPr>
            <w:tcW w:w="1084" w:type="dxa"/>
            <w:vAlign w:val="center"/>
          </w:tcPr>
          <w:p>
            <w:pPr>
              <w:jc w:val="center"/>
              <w:rPr>
                <w:noProof/>
                <w:sz w:val="18"/>
              </w:rPr>
            </w:pPr>
            <w:r>
              <w:rPr>
                <w:noProof/>
                <w:sz w:val="18"/>
              </w:rPr>
              <w:t>din partea țărilor terțe</w:t>
            </w:r>
          </w:p>
        </w:tc>
        <w:tc>
          <w:tcPr>
            <w:tcW w:w="1320"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Crearea unui cadru de guvernanță pentru activitățile de pescuit efectuate de navele de pescuit ale Uniunii Europene în apele țărilor terțe (APS)</w:t>
            </w:r>
          </w:p>
        </w:tc>
        <w:tc>
          <w:tcPr>
            <w:tcW w:w="1080" w:type="dxa"/>
            <w:vAlign w:val="center"/>
          </w:tcPr>
          <w:p>
            <w:pPr>
              <w:jc w:val="center"/>
              <w:rPr>
                <w:noProof/>
                <w:color w:val="0000FF"/>
              </w:rPr>
            </w:pPr>
            <w:r>
              <w:rPr>
                <w:noProof/>
                <w:sz w:val="22"/>
              </w:rPr>
              <w:t>Dif.</w:t>
            </w:r>
          </w:p>
        </w:tc>
        <w:tc>
          <w:tcPr>
            <w:tcW w:w="1076" w:type="dxa"/>
            <w:vAlign w:val="center"/>
          </w:tcPr>
          <w:p>
            <w:pPr>
              <w:jc w:val="center"/>
              <w:rPr>
                <w:noProof/>
                <w:sz w:val="20"/>
                <w:szCs w:val="20"/>
              </w:rPr>
            </w:pPr>
            <w:r>
              <w:rPr>
                <w:noProof/>
                <w:sz w:val="20"/>
              </w:rPr>
              <w:t>NU</w:t>
            </w:r>
          </w:p>
        </w:tc>
        <w:tc>
          <w:tcPr>
            <w:tcW w:w="1080" w:type="dxa"/>
            <w:vAlign w:val="center"/>
          </w:tcPr>
          <w:p>
            <w:pPr>
              <w:jc w:val="center"/>
              <w:rPr>
                <w:noProof/>
                <w:sz w:val="20"/>
                <w:szCs w:val="20"/>
              </w:rPr>
            </w:pPr>
            <w:r>
              <w:rPr>
                <w:noProof/>
                <w:sz w:val="20"/>
              </w:rPr>
              <w:t>NU</w:t>
            </w:r>
          </w:p>
        </w:tc>
        <w:tc>
          <w:tcPr>
            <w:tcW w:w="1084" w:type="dxa"/>
            <w:vAlign w:val="center"/>
          </w:tcPr>
          <w:p>
            <w:pPr>
              <w:jc w:val="center"/>
              <w:rPr>
                <w:noProof/>
                <w:sz w:val="20"/>
                <w:szCs w:val="20"/>
              </w:rPr>
            </w:pPr>
            <w:r>
              <w:rPr>
                <w:noProof/>
                <w:sz w:val="20"/>
              </w:rPr>
              <w:t>NU</w:t>
            </w:r>
          </w:p>
        </w:tc>
        <w:tc>
          <w:tcPr>
            <w:tcW w:w="1320" w:type="dxa"/>
            <w:vAlign w:val="center"/>
          </w:tcPr>
          <w:p>
            <w:pPr>
              <w:jc w:val="center"/>
              <w:rPr>
                <w:noProof/>
                <w:sz w:val="20"/>
                <w:szCs w:val="20"/>
              </w:rPr>
            </w:pPr>
            <w:r>
              <w:rPr>
                <w:noProof/>
                <w:sz w:val="20"/>
              </w:rPr>
              <w:t>NU</w:t>
            </w:r>
          </w:p>
        </w:tc>
      </w:tr>
    </w:tbl>
    <w:p>
      <w:pPr>
        <w:tabs>
          <w:tab w:val="num" w:pos="1134"/>
        </w:tabs>
        <w:ind w:left="1134" w:hanging="283"/>
        <w:rPr>
          <w:rFonts w:eastAsia="Times New Roman"/>
          <w:noProof/>
        </w:rPr>
      </w:pPr>
      <w:r>
        <w:rPr>
          <w:noProof/>
        </w:rPr>
        <w:t xml:space="preserve">Noile linii bugetare solicitate </w:t>
      </w:r>
    </w:p>
    <w:p>
      <w:pPr>
        <w:ind w:left="850"/>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84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w:t>
            </w:r>
            <w:r>
              <w:rPr>
                <w:noProof/>
                <w:sz w:val="18"/>
              </w:rPr>
              <w:br/>
              <w:t xml:space="preserve"> cheltuieli</w:t>
            </w:r>
          </w:p>
        </w:tc>
        <w:tc>
          <w:tcPr>
            <w:tcW w:w="456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Numărul </w:t>
            </w:r>
            <w:r>
              <w:rPr>
                <w:noProof/>
              </w:rPr>
              <w:br/>
            </w:r>
          </w:p>
        </w:tc>
        <w:tc>
          <w:tcPr>
            <w:tcW w:w="1080" w:type="dxa"/>
            <w:vAlign w:val="center"/>
          </w:tcPr>
          <w:p>
            <w:pPr>
              <w:jc w:val="center"/>
              <w:rPr>
                <w:noProof/>
              </w:rPr>
            </w:pPr>
            <w:r>
              <w:rPr>
                <w:noProof/>
                <w:sz w:val="18"/>
              </w:rPr>
              <w:t>Dif./ Nedif.</w:t>
            </w:r>
          </w:p>
        </w:tc>
        <w:tc>
          <w:tcPr>
            <w:tcW w:w="107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1084" w:type="dxa"/>
            <w:vAlign w:val="center"/>
          </w:tcPr>
          <w:p>
            <w:pPr>
              <w:jc w:val="center"/>
              <w:rPr>
                <w:noProof/>
                <w:sz w:val="18"/>
              </w:rPr>
            </w:pPr>
            <w:r>
              <w:rPr>
                <w:noProof/>
                <w:sz w:val="18"/>
              </w:rPr>
              <w:t>din partea țărilor terțe</w:t>
            </w:r>
          </w:p>
        </w:tc>
        <w:tc>
          <w:tcPr>
            <w:tcW w:w="1320"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DA/NU</w:t>
            </w:r>
          </w:p>
        </w:tc>
        <w:tc>
          <w:tcPr>
            <w:tcW w:w="1080" w:type="dxa"/>
            <w:vAlign w:val="center"/>
          </w:tcPr>
          <w:p>
            <w:pPr>
              <w:jc w:val="center"/>
              <w:rPr>
                <w:noProof/>
                <w:color w:val="0000FF"/>
                <w:sz w:val="20"/>
                <w:szCs w:val="20"/>
              </w:rPr>
            </w:pPr>
            <w:r>
              <w:rPr>
                <w:noProof/>
                <w:sz w:val="20"/>
              </w:rPr>
              <w:t>DA/NU</w:t>
            </w:r>
          </w:p>
        </w:tc>
        <w:tc>
          <w:tcPr>
            <w:tcW w:w="1084" w:type="dxa"/>
            <w:vAlign w:val="center"/>
          </w:tcPr>
          <w:p>
            <w:pPr>
              <w:jc w:val="center"/>
              <w:rPr>
                <w:noProof/>
                <w:color w:val="0000FF"/>
                <w:sz w:val="20"/>
                <w:szCs w:val="20"/>
              </w:rPr>
            </w:pPr>
            <w:r>
              <w:rPr>
                <w:noProof/>
                <w:sz w:val="20"/>
              </w:rPr>
              <w:t>DA/NU</w:t>
            </w:r>
          </w:p>
        </w:tc>
        <w:tc>
          <w:tcPr>
            <w:tcW w:w="1320" w:type="dxa"/>
            <w:vAlign w:val="center"/>
          </w:tcPr>
          <w:p>
            <w:pPr>
              <w:jc w:val="center"/>
              <w:rPr>
                <w:noProof/>
                <w:sz w:val="20"/>
                <w:szCs w:val="20"/>
              </w:rPr>
            </w:pPr>
            <w:r>
              <w:rPr>
                <w:noProof/>
                <w:sz w:val="20"/>
              </w:rPr>
              <w:t>DA/NU</w:t>
            </w:r>
          </w:p>
        </w:tc>
      </w:tr>
    </w:tbl>
    <w:p>
      <w:pPr>
        <w:rPr>
          <w:noProof/>
        </w:rPr>
        <w:sectPr>
          <w:pgSz w:w="11907" w:h="16840" w:code="1"/>
          <w:pgMar w:top="1134" w:right="1418" w:bottom="1134" w:left="1418" w:header="709" w:footer="709" w:gutter="0"/>
          <w:cols w:space="708"/>
          <w:docGrid w:linePitch="360"/>
        </w:sectPr>
      </w:pPr>
    </w:p>
    <w:p>
      <w:pPr>
        <w:keepNext/>
        <w:outlineLvl w:val="1"/>
        <w:rPr>
          <w:b/>
          <w:bCs/>
          <w:noProof/>
          <w:szCs w:val="24"/>
        </w:rPr>
      </w:pPr>
      <w:bookmarkStart w:id="53" w:name="_Toc514938052"/>
      <w:bookmarkStart w:id="54" w:name="_Toc520485051"/>
      <w:r>
        <w:rPr>
          <w:b/>
          <w:noProof/>
        </w:rPr>
        <w:t>3.2.</w:t>
      </w:r>
      <w:r>
        <w:rPr>
          <w:noProof/>
        </w:rPr>
        <w:tab/>
      </w:r>
      <w:r>
        <w:rPr>
          <w:b/>
          <w:noProof/>
        </w:rPr>
        <w:t>Impactul financiar estimat al propunerii asupra creditelor</w:t>
      </w:r>
      <w:bookmarkEnd w:id="53"/>
      <w:bookmarkEnd w:id="54"/>
      <w:r>
        <w:rPr>
          <w:b/>
          <w:noProof/>
        </w:rPr>
        <w:t xml:space="preserve"> </w:t>
      </w:r>
    </w:p>
    <w:p>
      <w:pPr>
        <w:keepNext/>
        <w:tabs>
          <w:tab w:val="left" w:pos="850"/>
        </w:tabs>
        <w:outlineLvl w:val="2"/>
        <w:rPr>
          <w:i/>
          <w:noProof/>
        </w:rPr>
      </w:pPr>
      <w:bookmarkStart w:id="55" w:name="_Toc514938053"/>
      <w:bookmarkStart w:id="56" w:name="_Toc520485052"/>
      <w:r>
        <w:rPr>
          <w:i/>
          <w:noProof/>
        </w:rPr>
        <w:t>3.2.1.</w:t>
      </w:r>
      <w:r>
        <w:rPr>
          <w:noProof/>
        </w:rPr>
        <w:tab/>
      </w:r>
      <w:r>
        <w:rPr>
          <w:i/>
          <w:noProof/>
        </w:rPr>
        <w:t>Sinteza impactului estimat asupra creditelor operaționale</w:t>
      </w:r>
      <w:bookmarkEnd w:id="55"/>
      <w:bookmarkEnd w:id="56"/>
      <w:r>
        <w:rPr>
          <w:i/>
          <w:noProof/>
        </w:rPr>
        <w:t xml:space="preserve"> </w:t>
      </w:r>
    </w:p>
    <w:p>
      <w:pPr>
        <w:tabs>
          <w:tab w:val="num" w:pos="1134"/>
        </w:tabs>
        <w:ind w:left="1134" w:hanging="283"/>
        <w:rPr>
          <w:rFonts w:eastAsia="Times New Roman"/>
          <w:noProof/>
        </w:rPr>
      </w:pPr>
      <w:r>
        <w:rPr>
          <w:noProof/>
        </w:rPr>
        <w:sym w:font="Wingdings" w:char="F0A8"/>
      </w:r>
      <w:r>
        <w:rPr>
          <w:noProof/>
        </w:rPr>
        <w:tab/>
        <w:t xml:space="preserve">Propunerea/inițiativa nu implică utilizarea de credite operaționale </w:t>
      </w:r>
    </w:p>
    <w:p>
      <w:pPr>
        <w:tabs>
          <w:tab w:val="num" w:pos="1134"/>
        </w:tabs>
        <w:ind w:left="1134" w:hanging="283"/>
        <w:rPr>
          <w:rFonts w:eastAsia="Times New Roman"/>
          <w:noProof/>
        </w:rPr>
      </w:pPr>
      <w:r>
        <w:rPr>
          <w:noProof/>
        </w:rPr>
        <w:t>X</w:t>
      </w:r>
      <w:r>
        <w:rPr>
          <w:noProof/>
        </w:rPr>
        <w:tab/>
        <w:t>Propunerea/inițiativa implică utilizarea de credite operaționale, conform explicațiilor de mai jos:</w:t>
      </w:r>
    </w:p>
    <w:p>
      <w:pPr>
        <w:jc w:val="right"/>
        <w:rPr>
          <w:noProof/>
          <w:sz w:val="18"/>
          <w:szCs w:val="18"/>
        </w:rPr>
      </w:pPr>
      <w:r>
        <w:rPr>
          <w:noProof/>
          <w:sz w:val="18"/>
        </w:rPr>
        <w:t>în 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din cadrul financiar</w:t>
            </w:r>
            <w:r>
              <w:rPr>
                <w:noProof/>
              </w:rPr>
              <w:br/>
            </w:r>
            <w:r>
              <w:rPr>
                <w:b/>
                <w:noProof/>
                <w:sz w:val="22"/>
              </w:rPr>
              <w:t xml:space="preserve">multianual </w:t>
            </w:r>
          </w:p>
        </w:tc>
        <w:tc>
          <w:tcPr>
            <w:tcW w:w="1080" w:type="dxa"/>
            <w:vAlign w:val="center"/>
          </w:tcPr>
          <w:p>
            <w:pPr>
              <w:spacing w:before="60" w:after="60"/>
              <w:jc w:val="center"/>
              <w:rPr>
                <w:noProof/>
                <w:sz w:val="22"/>
              </w:rPr>
            </w:pPr>
            <w:r>
              <w:rPr>
                <w:noProof/>
                <w:sz w:val="22"/>
              </w:rPr>
              <w:t>Numărul</w:t>
            </w:r>
          </w:p>
          <w:p>
            <w:pPr>
              <w:spacing w:before="60" w:after="60"/>
              <w:jc w:val="center"/>
              <w:rPr>
                <w:noProof/>
              </w:rPr>
            </w:pPr>
            <w:r>
              <w:rPr>
                <w:noProof/>
                <w:sz w:val="22"/>
              </w:rPr>
              <w:t>2</w:t>
            </w:r>
          </w:p>
        </w:tc>
        <w:tc>
          <w:tcPr>
            <w:tcW w:w="7817" w:type="dxa"/>
            <w:vAlign w:val="center"/>
          </w:tcPr>
          <w:p>
            <w:pPr>
              <w:spacing w:before="60" w:after="60"/>
              <w:rPr>
                <w:noProof/>
              </w:rPr>
            </w:pPr>
            <w:r>
              <w:rPr>
                <w:noProof/>
              </w:rPr>
              <w:t>Creștere durabilă: resurse naturale</w:t>
            </w:r>
          </w:p>
        </w:tc>
      </w:tr>
    </w:tbl>
    <w:p>
      <w:pPr>
        <w:rPr>
          <w:noProof/>
          <w:sz w:val="16"/>
        </w:rPr>
      </w:pPr>
    </w:p>
    <w:tbl>
      <w:tblPr>
        <w:tblW w:w="104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46"/>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2022</w:t>
            </w:r>
          </w:p>
        </w:tc>
        <w:tc>
          <w:tcPr>
            <w:tcW w:w="1746"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Linia bugetară</w:t>
            </w:r>
            <w:r>
              <w:rPr>
                <w:rStyle w:val="FootnoteReference"/>
                <w:noProof/>
              </w:rPr>
              <w:footnoteReference w:id="13"/>
            </w:r>
            <w:r>
              <w:rPr>
                <w:noProof/>
                <w:sz w:val="20"/>
              </w:rPr>
              <w:t>11.0301</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61,625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61,625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57,500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4,125</w:t>
            </w:r>
          </w:p>
        </w:tc>
        <w:tc>
          <w:tcPr>
            <w:tcW w:w="1746" w:type="dxa"/>
            <w:vAlign w:val="center"/>
          </w:tcPr>
          <w:p>
            <w:pPr>
              <w:spacing w:before="20" w:after="20"/>
              <w:jc w:val="right"/>
              <w:rPr>
                <w:b/>
                <w:noProof/>
                <w:sz w:val="20"/>
              </w:rPr>
            </w:pPr>
            <w:r>
              <w:rPr>
                <w:b/>
                <w:noProof/>
                <w:sz w:val="20"/>
              </w:rPr>
              <w:t>61,625</w:t>
            </w:r>
          </w:p>
        </w:tc>
      </w:tr>
      <w:tr>
        <w:tc>
          <w:tcPr>
            <w:tcW w:w="3960" w:type="dxa"/>
            <w:vMerge w:val="restart"/>
            <w:vAlign w:val="center"/>
          </w:tcPr>
          <w:p>
            <w:pPr>
              <w:rPr>
                <w:noProof/>
              </w:rPr>
            </w:pPr>
            <w:r>
              <w:rPr>
                <w:noProof/>
                <w:sz w:val="20"/>
              </w:rPr>
              <w:t>Linia bugetară</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Credite cu caracter administrativ finanțate din bugetul unor programe specifice</w:t>
            </w:r>
            <w:r>
              <w:rPr>
                <w:rStyle w:val="FootnoteReference"/>
                <w:noProof/>
              </w:rPr>
              <w:footnoteReference w:id="14"/>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Linia bugetară</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credite</w:t>
            </w:r>
            <w:r>
              <w:rPr>
                <w:noProof/>
              </w:rPr>
              <w:t xml:space="preserve"> </w:t>
            </w:r>
            <w:r>
              <w:rPr>
                <w:noProof/>
              </w:rPr>
              <w:br/>
            </w:r>
            <w:r>
              <w:rPr>
                <w:b/>
                <w:noProof/>
                <w:sz w:val="22"/>
              </w:rPr>
              <w:t>pentru DG MARE</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61,625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61,625</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57,500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4,125</w:t>
            </w:r>
          </w:p>
        </w:tc>
        <w:tc>
          <w:tcPr>
            <w:tcW w:w="1746" w:type="dxa"/>
            <w:vAlign w:val="center"/>
          </w:tcPr>
          <w:p>
            <w:pPr>
              <w:spacing w:before="20" w:after="20"/>
              <w:jc w:val="right"/>
              <w:rPr>
                <w:b/>
                <w:noProof/>
                <w:sz w:val="20"/>
              </w:rPr>
            </w:pPr>
            <w:r>
              <w:rPr>
                <w:b/>
                <w:noProof/>
                <w:sz w:val="20"/>
              </w:rPr>
              <w:t>61,625</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61,625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61,625</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57,500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4,125</w:t>
            </w:r>
          </w:p>
        </w:tc>
        <w:tc>
          <w:tcPr>
            <w:tcW w:w="1732" w:type="dxa"/>
            <w:vAlign w:val="center"/>
          </w:tcPr>
          <w:p>
            <w:pPr>
              <w:spacing w:before="20" w:after="20"/>
              <w:jc w:val="right"/>
              <w:rPr>
                <w:b/>
                <w:noProof/>
                <w:sz w:val="20"/>
              </w:rPr>
            </w:pPr>
            <w:r>
              <w:rPr>
                <w:b/>
                <w:noProof/>
                <w:sz w:val="20"/>
              </w:rPr>
              <w:t>61,625</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credite cu caracter administrativ finanțate din bugetul unor programe specifice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credite</w:t>
            </w:r>
            <w:r>
              <w:rPr>
                <w:noProof/>
              </w:rPr>
              <w:t xml:space="preserve"> </w:t>
            </w:r>
            <w:r>
              <w:rPr>
                <w:noProof/>
              </w:rPr>
              <w:br/>
            </w:r>
            <w:r>
              <w:rPr>
                <w:b/>
                <w:noProof/>
                <w:sz w:val="22"/>
              </w:rPr>
              <w:t>pentru RUBRICA 2</w:t>
            </w:r>
            <w:r>
              <w:rPr>
                <w:noProof/>
              </w:rPr>
              <w:br/>
            </w:r>
            <w:r>
              <w:rPr>
                <w:noProof/>
                <w:sz w:val="22"/>
              </w:rP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61,625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32" w:type="dxa"/>
          </w:tcPr>
          <w:p>
            <w:pPr>
              <w:spacing w:before="20" w:after="20"/>
              <w:jc w:val="right"/>
              <w:rPr>
                <w:b/>
                <w:noProof/>
                <w:sz w:val="20"/>
              </w:rPr>
            </w:pPr>
            <w:r>
              <w:rPr>
                <w:b/>
                <w:noProof/>
                <w:sz w:val="20"/>
              </w:rPr>
              <w:t>61,625</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868" w:type="dxa"/>
          </w:tcPr>
          <w:p>
            <w:pPr>
              <w:spacing w:before="20" w:after="20"/>
              <w:jc w:val="right"/>
              <w:rPr>
                <w:noProof/>
                <w:sz w:val="20"/>
              </w:rPr>
            </w:pPr>
            <w:r>
              <w:rPr>
                <w:noProof/>
                <w:sz w:val="20"/>
              </w:rPr>
              <w:t>57,500</w:t>
            </w:r>
          </w:p>
        </w:tc>
        <w:tc>
          <w:tcPr>
            <w:tcW w:w="868" w:type="dxa"/>
          </w:tcPr>
          <w:p>
            <w:pPr>
              <w:spacing w:before="20" w:after="20"/>
              <w:jc w:val="right"/>
              <w:rPr>
                <w:noProof/>
                <w:sz w:val="20"/>
              </w:rPr>
            </w:pPr>
          </w:p>
        </w:tc>
        <w:tc>
          <w:tcPr>
            <w:tcW w:w="868" w:type="dxa"/>
          </w:tcPr>
          <w:p>
            <w:pPr>
              <w:spacing w:before="20" w:after="20"/>
              <w:jc w:val="right"/>
              <w:rPr>
                <w:noProof/>
                <w:sz w:val="20"/>
              </w:rPr>
            </w:pPr>
            <w:r>
              <w:rPr>
                <w:noProof/>
                <w:sz w:val="20"/>
              </w:rPr>
              <w:t>4,125</w:t>
            </w:r>
          </w:p>
        </w:tc>
        <w:tc>
          <w:tcPr>
            <w:tcW w:w="1732" w:type="dxa"/>
          </w:tcPr>
          <w:p>
            <w:pPr>
              <w:spacing w:before="20" w:after="20"/>
              <w:jc w:val="right"/>
              <w:rPr>
                <w:b/>
                <w:noProof/>
                <w:sz w:val="20"/>
              </w:rPr>
            </w:pPr>
            <w:r>
              <w:rPr>
                <w:b/>
                <w:noProof/>
                <w:sz w:val="20"/>
              </w:rPr>
              <w:t>61,625</w:t>
            </w:r>
          </w:p>
        </w:tc>
      </w:tr>
    </w:tbl>
    <w:p>
      <w:pPr>
        <w:spacing w:after="40"/>
        <w:rPr>
          <w:b/>
          <w:noProof/>
          <w:sz w:val="22"/>
          <w:u w:val="single"/>
        </w:rPr>
      </w:pPr>
      <w:r>
        <w:rPr>
          <w:b/>
          <w:noProof/>
          <w:sz w:val="22"/>
          <w:u w:val="single"/>
        </w:rPr>
        <w:t>În cazul în care propunerea/inițiativa afectează mai multe rubrici operaționale, a se repeta secțiunea de mai sus: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credite operaționale (toate rubricile operaționale)</w:t>
            </w:r>
          </w:p>
        </w:tc>
        <w:tc>
          <w:tcPr>
            <w:tcW w:w="1440" w:type="dxa"/>
            <w:tcBorders>
              <w:top w:val="single" w:sz="4" w:space="0" w:color="auto"/>
            </w:tcBorders>
            <w:vAlign w:val="center"/>
          </w:tcPr>
          <w:p>
            <w:pPr>
              <w:spacing w:beforeLines="20" w:before="48" w:afterLines="20" w:after="48"/>
              <w:rPr>
                <w:noProof/>
                <w:sz w:val="18"/>
              </w:rPr>
            </w:pPr>
            <w:r>
              <w:rPr>
                <w:noProof/>
                <w:sz w:val="18"/>
              </w:rPr>
              <w:t>Angajamente</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credite cu caracter administrativ finanțate din bugetul unor programe specifice (toate rubricile operaționale)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credite</w:t>
            </w:r>
            <w:r>
              <w:rPr>
                <w:noProof/>
              </w:rPr>
              <w:br/>
            </w:r>
            <w:r>
              <w:rPr>
                <w:b/>
                <w:noProof/>
                <w:sz w:val="22"/>
              </w:rPr>
              <w:t>pentru RUBRICILE 1-4</w:t>
            </w:r>
            <w:r>
              <w:rPr>
                <w:noProof/>
              </w:rPr>
              <w:t xml:space="preserve"> </w:t>
            </w:r>
            <w:r>
              <w:rPr>
                <w:noProof/>
              </w:rPr>
              <w:br/>
            </w:r>
            <w:r>
              <w:rPr>
                <w:noProof/>
                <w:sz w:val="22"/>
              </w:rPr>
              <w:t>din cadrul financiar multianual</w:t>
            </w:r>
            <w:r>
              <w:rPr>
                <w:noProof/>
              </w:rPr>
              <w:t xml:space="preserve"> </w:t>
            </w:r>
            <w:r>
              <w:rPr>
                <w:noProof/>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61,625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77" w:type="dxa"/>
            <w:tcBorders>
              <w:right w:val="single" w:sz="4" w:space="0" w:color="auto"/>
            </w:tcBorders>
          </w:tcPr>
          <w:p>
            <w:pPr>
              <w:spacing w:before="20" w:after="20"/>
              <w:jc w:val="right"/>
              <w:rPr>
                <w:b/>
                <w:noProof/>
                <w:sz w:val="20"/>
              </w:rPr>
            </w:pPr>
            <w:r>
              <w:rPr>
                <w:b/>
                <w:noProof/>
                <w:sz w:val="20"/>
              </w:rPr>
              <w:t>61,625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Plăți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tcPr>
          <w:p>
            <w:pPr>
              <w:spacing w:before="20" w:after="20"/>
              <w:jc w:val="right"/>
              <w:rPr>
                <w:noProof/>
                <w:sz w:val="20"/>
              </w:rPr>
            </w:pPr>
            <w:r>
              <w:rPr>
                <w:noProof/>
                <w:sz w:val="20"/>
              </w:rPr>
              <w:t>57,500</w:t>
            </w:r>
          </w:p>
        </w:tc>
        <w:tc>
          <w:tcPr>
            <w:tcW w:w="868" w:type="dxa"/>
            <w:tcBorders>
              <w:bottom w:val="single" w:sz="4" w:space="0" w:color="auto"/>
            </w:tcBorders>
          </w:tcPr>
          <w:p>
            <w:pPr>
              <w:spacing w:before="20" w:after="20"/>
              <w:jc w:val="right"/>
              <w:rPr>
                <w:noProof/>
                <w:sz w:val="20"/>
              </w:rPr>
            </w:pPr>
          </w:p>
        </w:tc>
        <w:tc>
          <w:tcPr>
            <w:tcW w:w="868" w:type="dxa"/>
            <w:tcBorders>
              <w:bottom w:val="single" w:sz="4" w:space="0" w:color="auto"/>
            </w:tcBorders>
          </w:tcPr>
          <w:p>
            <w:pPr>
              <w:spacing w:before="20" w:after="20"/>
              <w:jc w:val="right"/>
              <w:rPr>
                <w:noProof/>
                <w:sz w:val="20"/>
              </w:rPr>
            </w:pPr>
            <w:r>
              <w:rPr>
                <w:noProof/>
                <w:sz w:val="20"/>
              </w:rPr>
              <w:t>4,125</w:t>
            </w:r>
          </w:p>
        </w:tc>
        <w:tc>
          <w:tcPr>
            <w:tcW w:w="1777" w:type="dxa"/>
            <w:tcBorders>
              <w:bottom w:val="single" w:sz="4" w:space="0" w:color="auto"/>
              <w:right w:val="single" w:sz="4" w:space="0" w:color="auto"/>
            </w:tcBorders>
          </w:tcPr>
          <w:p>
            <w:pPr>
              <w:spacing w:before="20" w:after="20"/>
              <w:jc w:val="right"/>
              <w:rPr>
                <w:b/>
                <w:noProof/>
                <w:sz w:val="20"/>
              </w:rPr>
            </w:pPr>
            <w:r>
              <w:rPr>
                <w:b/>
                <w:noProof/>
                <w:sz w:val="20"/>
              </w:rPr>
              <w:t>61,625</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din cadrul financiar</w:t>
            </w:r>
            <w:r>
              <w:rPr>
                <w:noProof/>
              </w:rPr>
              <w:br/>
            </w:r>
            <w:r>
              <w:rPr>
                <w:b/>
                <w:noProof/>
                <w:sz w:val="22"/>
              </w:rPr>
              <w:t xml:space="preserve">multianual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left"/>
        <w:rPr>
          <w:noProof/>
          <w:sz w:val="20"/>
        </w:rPr>
      </w:pPr>
      <w:r>
        <w:rPr>
          <w:noProof/>
        </w:rPr>
        <w:t xml:space="preserve">Această secțiune trebuie completată utilizând „datele bugetare cu caracter administrativ”, care trebuie introduse mai întâi în </w:t>
      </w:r>
      <w:hyperlink r:id="rId13">
        <w:r>
          <w:rPr>
            <w:noProof/>
            <w:color w:val="0000FF"/>
            <w:u w:val="single"/>
          </w:rPr>
          <w:t>anexa la fișa financiară legislativă</w:t>
        </w:r>
      </w:hyperlink>
      <w:r>
        <w:rPr>
          <w:noProof/>
        </w:rPr>
        <w:t xml:space="preserve"> (anexa V la normele interne), aceasta urmând a fi încărcată în DECIDE pentru consultarea interservicii.</w:t>
      </w:r>
    </w:p>
    <w:p>
      <w:pPr>
        <w:jc w:val="right"/>
        <w:rPr>
          <w:noProof/>
          <w:sz w:val="20"/>
        </w:rPr>
      </w:pPr>
      <w:r>
        <w:rPr>
          <w:noProof/>
          <w:sz w:val="20"/>
        </w:rPr>
        <w:t>în 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2022</w:t>
            </w:r>
          </w:p>
        </w:tc>
        <w:tc>
          <w:tcPr>
            <w:tcW w:w="1777" w:type="dxa"/>
            <w:vAlign w:val="center"/>
          </w:tcPr>
          <w:p>
            <w:pPr>
              <w:jc w:val="center"/>
              <w:rPr>
                <w:b/>
                <w:noProof/>
                <w:sz w:val="20"/>
              </w:rPr>
            </w:pPr>
            <w:r>
              <w:rPr>
                <w:b/>
                <w:noProof/>
                <w:sz w:val="20"/>
              </w:rPr>
              <w:t>TOTAL</w:t>
            </w:r>
          </w:p>
        </w:tc>
      </w:tr>
      <w:tr>
        <w:trPr>
          <w:gridAfter w:val="6"/>
          <w:wAfter w:w="6475"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Resurse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Alte cheltuieli administrative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MARE</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777"/>
      </w:tblGrid>
      <w:tr>
        <w:tc>
          <w:tcPr>
            <w:tcW w:w="3960" w:type="dxa"/>
            <w:shd w:val="thinDiagStripe" w:color="C0C0C0" w:fill="auto"/>
            <w:vAlign w:val="center"/>
          </w:tcPr>
          <w:p>
            <w:pPr>
              <w:jc w:val="center"/>
              <w:rPr>
                <w:b/>
                <w:noProof/>
              </w:rPr>
            </w:pPr>
            <w:r>
              <w:rPr>
                <w:b/>
                <w:noProof/>
                <w:sz w:val="22"/>
              </w:rPr>
              <w:t>TOTAL credite</w:t>
            </w:r>
            <w:r>
              <w:rPr>
                <w:noProof/>
              </w:rPr>
              <w:t xml:space="preserve"> </w:t>
            </w:r>
            <w:r>
              <w:rPr>
                <w:noProof/>
              </w:rPr>
              <w:br/>
            </w:r>
            <w:r>
              <w:rPr>
                <w:b/>
                <w:noProof/>
                <w:sz w:val="22"/>
              </w:rPr>
              <w:t>pentru RUBRICA 5</w:t>
            </w:r>
            <w:r>
              <w:rPr>
                <w:noProof/>
              </w:rPr>
              <w:t xml:space="preserve"> </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în 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2022</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credite</w:t>
            </w:r>
            <w:r>
              <w:rPr>
                <w:noProof/>
              </w:rPr>
              <w:br/>
            </w:r>
            <w:r>
              <w:rPr>
                <w:b/>
                <w:noProof/>
                <w:sz w:val="22"/>
              </w:rPr>
              <w:t>pentru RUBRICILE 1-5</w:t>
            </w:r>
            <w:r>
              <w:rPr>
                <w:noProof/>
              </w:rPr>
              <w:t xml:space="preserve"> </w:t>
            </w:r>
            <w:r>
              <w:rPr>
                <w:noProof/>
              </w:rPr>
              <w:br/>
            </w:r>
            <w:r>
              <w:rPr>
                <w:noProof/>
                <w:sz w:val="22"/>
              </w:rP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tcPr>
          <w:p>
            <w:pPr>
              <w:spacing w:before="20" w:after="20"/>
              <w:jc w:val="right"/>
              <w:rPr>
                <w:noProof/>
                <w:sz w:val="20"/>
              </w:rPr>
            </w:pPr>
            <w:r>
              <w:rPr>
                <w:noProof/>
                <w:sz w:val="20"/>
              </w:rPr>
              <w:t>61,625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77" w:type="dxa"/>
          </w:tcPr>
          <w:p>
            <w:pPr>
              <w:spacing w:before="20" w:after="20"/>
              <w:jc w:val="right"/>
              <w:rPr>
                <w:b/>
                <w:noProof/>
                <w:sz w:val="20"/>
              </w:rPr>
            </w:pPr>
            <w:r>
              <w:rPr>
                <w:b/>
                <w:noProof/>
                <w:sz w:val="20"/>
              </w:rPr>
              <w:t>61,625</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tcPr>
          <w:p>
            <w:pPr>
              <w:spacing w:before="20" w:after="20"/>
              <w:jc w:val="right"/>
              <w:rPr>
                <w:noProof/>
                <w:sz w:val="20"/>
              </w:rPr>
            </w:pPr>
            <w:r>
              <w:rPr>
                <w:noProof/>
                <w:sz w:val="20"/>
              </w:rPr>
              <w:t>57,500</w:t>
            </w:r>
          </w:p>
        </w:tc>
        <w:tc>
          <w:tcPr>
            <w:tcW w:w="868" w:type="dxa"/>
          </w:tcPr>
          <w:p>
            <w:pPr>
              <w:spacing w:before="20" w:after="20"/>
              <w:jc w:val="right"/>
              <w:rPr>
                <w:noProof/>
                <w:sz w:val="20"/>
              </w:rPr>
            </w:pPr>
          </w:p>
        </w:tc>
        <w:tc>
          <w:tcPr>
            <w:tcW w:w="868" w:type="dxa"/>
          </w:tcPr>
          <w:p>
            <w:pPr>
              <w:spacing w:before="20" w:after="20"/>
              <w:jc w:val="right"/>
              <w:rPr>
                <w:noProof/>
                <w:sz w:val="20"/>
              </w:rPr>
            </w:pPr>
            <w:r>
              <w:rPr>
                <w:noProof/>
                <w:sz w:val="20"/>
              </w:rPr>
              <w:t>4,125</w:t>
            </w:r>
          </w:p>
        </w:tc>
        <w:tc>
          <w:tcPr>
            <w:tcW w:w="1777" w:type="dxa"/>
          </w:tcPr>
          <w:p>
            <w:pPr>
              <w:spacing w:before="20" w:after="20"/>
              <w:jc w:val="right"/>
              <w:rPr>
                <w:b/>
                <w:noProof/>
                <w:sz w:val="20"/>
              </w:rPr>
            </w:pPr>
            <w:r>
              <w:rPr>
                <w:b/>
                <w:noProof/>
                <w:sz w:val="20"/>
              </w:rPr>
              <w:t>61,625</w:t>
            </w:r>
          </w:p>
        </w:tc>
      </w:tr>
    </w:tbl>
    <w:p>
      <w:pPr>
        <w:rPr>
          <w:noProof/>
        </w:rPr>
      </w:pPr>
    </w:p>
    <w:p>
      <w:pPr>
        <w:keepNext/>
        <w:tabs>
          <w:tab w:val="left" w:pos="850"/>
        </w:tabs>
        <w:outlineLvl w:val="2"/>
        <w:rPr>
          <w:bCs/>
          <w:i/>
          <w:noProof/>
          <w:szCs w:val="24"/>
        </w:rPr>
      </w:pPr>
      <w:bookmarkStart w:id="57" w:name="_Toc514938054"/>
      <w:bookmarkStart w:id="58" w:name="_Toc520485053"/>
      <w:r>
        <w:rPr>
          <w:i/>
          <w:noProof/>
        </w:rPr>
        <w:t>3.2.2.</w:t>
      </w:r>
      <w:r>
        <w:rPr>
          <w:noProof/>
        </w:rPr>
        <w:tab/>
      </w:r>
      <w:r>
        <w:rPr>
          <w:i/>
          <w:noProof/>
        </w:rPr>
        <w:t>Realizările preconizate finanțate din credite operaționale</w:t>
      </w:r>
      <w:bookmarkEnd w:id="57"/>
      <w:bookmarkEnd w:id="58"/>
      <w:r>
        <w:rPr>
          <w:i/>
          <w:noProof/>
        </w:rPr>
        <w:t xml:space="preserve"> </w:t>
      </w:r>
    </w:p>
    <w:p>
      <w:pPr>
        <w:jc w:val="right"/>
        <w:rPr>
          <w:noProof/>
          <w:sz w:val="20"/>
        </w:rPr>
      </w:pPr>
      <w:r>
        <w:rPr>
          <w:noProof/>
          <w:sz w:val="20"/>
        </w:rPr>
        <w:t>Credite de angajament în milioane EUR (cu trei zecimale)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720"/>
        <w:gridCol w:w="180"/>
        <w:gridCol w:w="720"/>
        <w:gridCol w:w="900"/>
      </w:tblGrid>
      <w:tr>
        <w:trPr>
          <w:gridAfter w:val="1"/>
          <w:wAfter w:w="900" w:type="dxa"/>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Anul</w:t>
            </w:r>
            <w:r>
              <w:rPr>
                <w:noProof/>
              </w:rPr>
              <w:t xml:space="preserve"> </w:t>
            </w:r>
            <w:r>
              <w:rPr>
                <w:noProof/>
              </w:rPr>
              <w:br/>
            </w:r>
            <w:r>
              <w:rPr>
                <w:b/>
                <w:noProof/>
                <w:sz w:val="18"/>
              </w:rPr>
              <w:t>2020</w:t>
            </w:r>
          </w:p>
        </w:tc>
        <w:tc>
          <w:tcPr>
            <w:tcW w:w="1260" w:type="dxa"/>
            <w:gridSpan w:val="2"/>
            <w:vAlign w:val="center"/>
          </w:tcPr>
          <w:p>
            <w:pPr>
              <w:ind w:right="-29"/>
              <w:jc w:val="center"/>
              <w:rPr>
                <w:noProof/>
                <w:sz w:val="18"/>
                <w:szCs w:val="18"/>
              </w:rPr>
            </w:pPr>
            <w:r>
              <w:rPr>
                <w:noProof/>
                <w:sz w:val="18"/>
              </w:rPr>
              <w:t>Anul</w:t>
            </w:r>
            <w:r>
              <w:rPr>
                <w:noProof/>
              </w:rPr>
              <w:t xml:space="preserve"> </w:t>
            </w:r>
            <w:r>
              <w:rPr>
                <w:noProof/>
              </w:rPr>
              <w:br/>
            </w:r>
            <w:r>
              <w:rPr>
                <w:b/>
                <w:noProof/>
                <w:sz w:val="18"/>
              </w:rPr>
              <w:t>2021</w:t>
            </w:r>
          </w:p>
        </w:tc>
        <w:tc>
          <w:tcPr>
            <w:tcW w:w="1440" w:type="dxa"/>
            <w:gridSpan w:val="2"/>
            <w:vAlign w:val="center"/>
          </w:tcPr>
          <w:p>
            <w:pPr>
              <w:ind w:right="-29"/>
              <w:jc w:val="center"/>
              <w:rPr>
                <w:noProof/>
                <w:sz w:val="18"/>
                <w:szCs w:val="18"/>
              </w:rPr>
            </w:pPr>
            <w:r>
              <w:rPr>
                <w:noProof/>
                <w:sz w:val="18"/>
              </w:rPr>
              <w:t>Anul</w:t>
            </w:r>
            <w:r>
              <w:rPr>
                <w:noProof/>
              </w:rPr>
              <w:t xml:space="preserve"> </w:t>
            </w:r>
            <w:r>
              <w:rPr>
                <w:noProof/>
              </w:rPr>
              <w:br/>
            </w:r>
            <w:r>
              <w:rPr>
                <w:b/>
                <w:noProof/>
                <w:sz w:val="18"/>
              </w:rPr>
              <w:t>2022</w:t>
            </w:r>
          </w:p>
        </w:tc>
        <w:tc>
          <w:tcPr>
            <w:tcW w:w="1620" w:type="dxa"/>
            <w:gridSpan w:val="3"/>
            <w:tcBorders>
              <w:left w:val="nil"/>
              <w:bottom w:val="nil"/>
            </w:tcBorders>
            <w:vAlign w:val="center"/>
          </w:tcPr>
          <w:p>
            <w:pPr>
              <w:ind w:right="-29"/>
              <w:jc w:val="center"/>
              <w:rPr>
                <w:noProof/>
                <w:sz w:val="18"/>
                <w:szCs w:val="18"/>
              </w:rPr>
            </w:pPr>
            <w:r>
              <w:rPr>
                <w:b/>
                <w:noProof/>
                <w:sz w:val="18"/>
              </w:rPr>
              <w:t>TOTAL</w:t>
            </w:r>
          </w:p>
        </w:tc>
      </w:tr>
      <w:tr>
        <w:trPr>
          <w:gridAfter w:val="12"/>
          <w:wAfter w:w="7865" w:type="dxa"/>
          <w:trHeight w:val="465"/>
          <w:jc w:val="center"/>
        </w:trPr>
        <w:tc>
          <w:tcPr>
            <w:tcW w:w="1423" w:type="dxa"/>
            <w:vMerge/>
            <w:vAlign w:val="center"/>
          </w:tcPr>
          <w:p>
            <w:pPr>
              <w:ind w:right="-29"/>
              <w:jc w:val="center"/>
              <w:rPr>
                <w:noProof/>
                <w:sz w:val="18"/>
                <w:szCs w:val="18"/>
              </w:rPr>
            </w:pP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rPr>
              <w:footnoteReference w:id="15"/>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Număr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 total</w:t>
            </w: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1</w:t>
            </w:r>
            <w:r>
              <w:rPr>
                <w:rStyle w:val="FootnoteReference"/>
                <w:noProof/>
              </w:rPr>
              <w:footnoteReference w:id="16"/>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xml:space="preserve">- Acces </w:t>
            </w:r>
          </w:p>
        </w:tc>
        <w:tc>
          <w:tcPr>
            <w:tcW w:w="720" w:type="dxa"/>
          </w:tcPr>
          <w:p>
            <w:pPr>
              <w:ind w:right="-29"/>
              <w:jc w:val="center"/>
              <w:rPr>
                <w:noProof/>
                <w:sz w:val="18"/>
                <w:szCs w:val="18"/>
              </w:rPr>
            </w:pPr>
            <w:r>
              <w:rPr>
                <w:noProof/>
                <w:sz w:val="18"/>
                <w:szCs w:val="18"/>
              </w:rPr>
              <w:t>Anual</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11,6</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11,6</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11,6</w:t>
            </w: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58</w:t>
            </w:r>
          </w:p>
        </w:tc>
      </w:tr>
      <w:tr>
        <w:trPr>
          <w:trHeight w:hRule="exact" w:val="369"/>
          <w:jc w:val="center"/>
        </w:trPr>
        <w:tc>
          <w:tcPr>
            <w:tcW w:w="1423" w:type="dxa"/>
          </w:tcPr>
          <w:p>
            <w:pPr>
              <w:ind w:right="-29"/>
              <w:jc w:val="center"/>
              <w:rPr>
                <w:noProof/>
                <w:sz w:val="18"/>
                <w:szCs w:val="18"/>
              </w:rPr>
            </w:pPr>
            <w:r>
              <w:rPr>
                <w:noProof/>
                <w:sz w:val="18"/>
              </w:rPr>
              <w:t>- Sectorial</w:t>
            </w:r>
          </w:p>
        </w:tc>
        <w:tc>
          <w:tcPr>
            <w:tcW w:w="720" w:type="dxa"/>
          </w:tcPr>
          <w:p>
            <w:pPr>
              <w:ind w:right="-29"/>
              <w:jc w:val="center"/>
              <w:rPr>
                <w:noProof/>
                <w:sz w:val="18"/>
                <w:szCs w:val="18"/>
              </w:rPr>
            </w:pPr>
            <w:r>
              <w:rPr>
                <w:noProof/>
                <w:sz w:val="18"/>
                <w:szCs w:val="18"/>
              </w:rPr>
              <w:t>Anual</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4</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4</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4</w:t>
            </w: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20</w:t>
            </w: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gridAfter w:val="1"/>
          <w:wAfter w:w="900" w:type="dxa"/>
          <w:jc w:val="center"/>
        </w:trPr>
        <w:tc>
          <w:tcPr>
            <w:tcW w:w="2844"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TOTALURI</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15,6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15,6</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15,6</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78</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keepNext/>
        <w:tabs>
          <w:tab w:val="left" w:pos="850"/>
        </w:tabs>
        <w:outlineLvl w:val="2"/>
        <w:rPr>
          <w:bCs/>
          <w:i/>
          <w:noProof/>
          <w:szCs w:val="24"/>
        </w:rPr>
      </w:pPr>
      <w:bookmarkStart w:id="59" w:name="_Toc514938055"/>
      <w:bookmarkStart w:id="60" w:name="_Toc520485054"/>
      <w:r>
        <w:rPr>
          <w:i/>
          <w:noProof/>
        </w:rPr>
        <w:t>3.2.3.</w:t>
      </w:r>
      <w:r>
        <w:rPr>
          <w:noProof/>
        </w:rPr>
        <w:tab/>
      </w:r>
      <w:r>
        <w:rPr>
          <w:i/>
          <w:noProof/>
        </w:rPr>
        <w:t>Sinteza impactului estimat asupra creditelor administrative</w:t>
      </w:r>
      <w:bookmarkEnd w:id="59"/>
      <w:bookmarkEnd w:id="60"/>
      <w:r>
        <w:rPr>
          <w:i/>
          <w:noProof/>
        </w:rPr>
        <w:t xml:space="preserve"> </w:t>
      </w:r>
    </w:p>
    <w:p>
      <w:pPr>
        <w:tabs>
          <w:tab w:val="num" w:pos="1134"/>
        </w:tabs>
        <w:ind w:left="1134" w:hanging="283"/>
        <w:rPr>
          <w:rFonts w:eastAsia="Times New Roman"/>
          <w:noProof/>
        </w:rPr>
      </w:pPr>
      <w:r>
        <w:rPr>
          <w:noProof/>
        </w:rPr>
        <w:t>X</w:t>
      </w:r>
      <w:r>
        <w:rPr>
          <w:noProof/>
        </w:rPr>
        <w:tab/>
        <w:t xml:space="preserve">Propunerea/inițiativa nu implică utilizarea de credite cu caracter administrativ. </w:t>
      </w:r>
    </w:p>
    <w:p>
      <w:pPr>
        <w:tabs>
          <w:tab w:val="num" w:pos="1134"/>
        </w:tabs>
        <w:ind w:left="1134" w:hanging="283"/>
        <w:rPr>
          <w:rFonts w:eastAsia="Times New Roman"/>
          <w:noProof/>
        </w:rPr>
      </w:pPr>
      <w:r>
        <w:rPr>
          <w:noProof/>
        </w:rPr>
        <w:sym w:font="Wingdings" w:char="F0A8"/>
      </w:r>
      <w:r>
        <w:rPr>
          <w:noProof/>
        </w:rPr>
        <w:tab/>
        <w:t>Propunerea/inițiativa implică utilizarea de credite cu caracter administrativ, conform explicațiilor de mai jos:</w:t>
      </w:r>
    </w:p>
    <w:p>
      <w:pPr>
        <w:jc w:val="right"/>
        <w:rPr>
          <w:noProof/>
          <w:sz w:val="20"/>
        </w:rPr>
      </w:pPr>
      <w:r>
        <w:rPr>
          <w:noProof/>
          <w:sz w:val="20"/>
        </w:rPr>
        <w:t>în 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 xml:space="preserve">N </w:t>
            </w:r>
            <w:r>
              <w:rPr>
                <w:rStyle w:val="FootnoteReference"/>
                <w:noProof/>
              </w:rPr>
              <w:footnoteReference w:id="17"/>
            </w:r>
          </w:p>
        </w:tc>
        <w:tc>
          <w:tcPr>
            <w:tcW w:w="1080"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(a se vedea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t xml:space="preserve"> </w:t>
            </w:r>
            <w:r>
              <w:rPr>
                <w:noProof/>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rPr>
              <w:t xml:space="preserve"> </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noProof/>
              </w:rPr>
              <w:footnoteReference w:id="18"/>
            </w:r>
            <w:r>
              <w:rPr>
                <w:noProof/>
              </w:rPr>
              <w:t xml:space="preserve"> </w:t>
            </w:r>
            <w:r>
              <w:rPr>
                <w:noProof/>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w:t>
            </w:r>
            <w:r>
              <w:rPr>
                <w:noProof/>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w:t>
            </w:r>
            <w:r>
              <w:rPr>
                <w:noProof/>
              </w:rPr>
              <w:br/>
            </w:r>
            <w:r>
              <w:rPr>
                <w:b/>
                <w:noProof/>
                <w:sz w:val="16"/>
              </w:rPr>
              <w:t>în afara RUBRICII 5</w:t>
            </w:r>
            <w:r>
              <w:rPr>
                <w:noProof/>
              </w:rPr>
              <w:t xml:space="preserve"> </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outlineLvl w:val="3"/>
        <w:rPr>
          <w:bCs/>
          <w:noProof/>
          <w:szCs w:val="24"/>
        </w:rPr>
      </w:pPr>
      <w:r>
        <w:rPr>
          <w:noProof/>
        </w:rPr>
        <w:t>3.2.3.1.</w:t>
      </w:r>
      <w:r>
        <w:rPr>
          <w:noProof/>
        </w:rPr>
        <w:tab/>
        <w:t xml:space="preserve">Necesarul de resurse umane estimat </w:t>
      </w:r>
    </w:p>
    <w:p>
      <w:pPr>
        <w:tabs>
          <w:tab w:val="num" w:pos="1134"/>
        </w:tabs>
        <w:ind w:left="1134" w:hanging="283"/>
        <w:rPr>
          <w:rFonts w:eastAsia="Times New Roman"/>
          <w:noProof/>
        </w:rPr>
      </w:pPr>
      <w:r>
        <w:rPr>
          <w:noProof/>
        </w:rPr>
        <w:t>X</w:t>
      </w:r>
      <w:r>
        <w:rPr>
          <w:noProof/>
        </w:rPr>
        <w:tab/>
        <w:t xml:space="preserve">Propunerea/inițiativa nu implică utilizarea de resurse umane. </w:t>
      </w:r>
    </w:p>
    <w:p>
      <w:pPr>
        <w:tabs>
          <w:tab w:val="num" w:pos="1134"/>
        </w:tabs>
        <w:ind w:left="1134" w:hanging="283"/>
        <w:rPr>
          <w:rFonts w:eastAsia="Times New Roman"/>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Anul</w:t>
            </w:r>
            <w:r>
              <w:rPr>
                <w:noProof/>
              </w:rPr>
              <w:t xml:space="preserve"> </w:t>
            </w:r>
            <w:r>
              <w:rPr>
                <w:noProof/>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Anul</w:t>
            </w:r>
            <w:r>
              <w:rPr>
                <w:noProof/>
              </w:rPr>
              <w:t xml:space="preserve"> </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600" w:type="dxa"/>
            <w:gridSpan w:val="3"/>
            <w:shd w:val="clear" w:color="auto" w:fill="auto"/>
            <w:vAlign w:val="center"/>
          </w:tcPr>
          <w:p>
            <w:pPr>
              <w:jc w:val="center"/>
              <w:rPr>
                <w:b/>
                <w:noProof/>
                <w:sz w:val="16"/>
                <w:szCs w:val="16"/>
              </w:rPr>
            </w:pPr>
            <w:r>
              <w:rPr>
                <w:noProof/>
                <w:sz w:val="16"/>
              </w:rPr>
              <w:t>A se introduce atâția ani câți sunt considerați necesari pentru a reflecta durata impactului (a se vedea punctul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Posturi din schema de personal (funcționari și agenți temporari)</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(la sediu și în birourile de reprezentare ale Comisiei)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(în delegații)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(cercetare indirectă)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(cercetare 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Personal extern (în echivalent normă întreagă: ENI)</w:t>
            </w:r>
            <w:r>
              <w:rPr>
                <w:rStyle w:val="FootnoteReference"/>
                <w:noProof/>
              </w:rPr>
              <w:footnoteReference w:id="19"/>
            </w:r>
          </w:p>
          <w:p>
            <w:pPr>
              <w:spacing w:before="0" w:after="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(AC, END, INT din „pachetul global”)</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(AC, AL, END, INT și JPD în delegații)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0"/>
            </w:r>
          </w:p>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la sediu</w:t>
            </w:r>
          </w:p>
          <w:p>
            <w:pPr>
              <w:spacing w:beforeLines="20" w:before="48" w:afterLines="20" w:after="48"/>
              <w:ind w:left="136"/>
              <w:jc w:val="left"/>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în delegații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02/12/22 (AC, END, INT – cercetare indirectă)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(AC, END, INT – cercetare 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Alte linii bugetare (a se preciza)</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este domeniul de politică sau titlul din buget în cauză.</w:t>
      </w:r>
    </w:p>
    <w:p>
      <w:pPr>
        <w:ind w:left="850"/>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r>
              <w:rPr>
                <w:noProof/>
              </w:rPr>
              <w:t>Punerea în aplicare a protocolului (plăți, accesul navelor Uniunii la apele Mauritaniei, prelucrarea autorizațiilor de pescuit), pregătirea comitetelor mixte și adoptarea de măsuri în urma acestora, pregătirea pentru reînnoirea protocolului, evaluare externă, proceduri legislative, negocieri.</w:t>
            </w:r>
          </w:p>
        </w:tc>
      </w:tr>
      <w:tr>
        <w:tc>
          <w:tcPr>
            <w:tcW w:w="3240" w:type="dxa"/>
          </w:tcPr>
          <w:p>
            <w:pPr>
              <w:spacing w:before="60" w:after="60"/>
              <w:rPr>
                <w:noProof/>
                <w:sz w:val="20"/>
              </w:rPr>
            </w:pPr>
            <w:r>
              <w:rPr>
                <w:noProof/>
                <w:sz w:val="20"/>
              </w:rPr>
              <w:t>Personal extern</w:t>
            </w:r>
          </w:p>
        </w:tc>
        <w:tc>
          <w:tcPr>
            <w:tcW w:w="7200" w:type="dxa"/>
          </w:tcPr>
          <w:p>
            <w:pPr>
              <w:rPr>
                <w:noProof/>
                <w:sz w:val="20"/>
              </w:rPr>
            </w:pPr>
            <w:r>
              <w:rPr>
                <w:noProof/>
              </w:rPr>
              <w:t>Punerea în aplicare a protocolului: contacte cu autoritățile Mauritaniei privind accesul navelor Uniunii la apele Mauritaniei, prelucrarea autorizațiilor de pescuit, pregătirea comisiilor mixte și adoptarea de măsuri în urma acestora, în special implementarea sprijinului sectorial.</w:t>
            </w:r>
          </w:p>
        </w:tc>
      </w:tr>
    </w:tbl>
    <w:p>
      <w:pPr>
        <w:rPr>
          <w:noProof/>
        </w:rPr>
        <w:sectPr>
          <w:pgSz w:w="11907" w:h="16840"/>
          <w:pgMar w:top="1134" w:right="1418" w:bottom="1134" w:left="1418" w:header="709" w:footer="709" w:gutter="0"/>
          <w:cols w:space="708"/>
          <w:docGrid w:linePitch="360"/>
        </w:sectPr>
      </w:pPr>
    </w:p>
    <w:p>
      <w:pPr>
        <w:keepNext/>
        <w:tabs>
          <w:tab w:val="left" w:pos="850"/>
        </w:tabs>
        <w:outlineLvl w:val="2"/>
        <w:rPr>
          <w:i/>
          <w:noProof/>
        </w:rPr>
      </w:pPr>
      <w:bookmarkStart w:id="61" w:name="_Toc514938056"/>
      <w:bookmarkStart w:id="62" w:name="_Toc520485055"/>
      <w:r>
        <w:rPr>
          <w:i/>
          <w:noProof/>
        </w:rPr>
        <w:t>3.2.4.</w:t>
      </w:r>
      <w:r>
        <w:rPr>
          <w:noProof/>
        </w:rPr>
        <w:tab/>
      </w:r>
      <w:r>
        <w:rPr>
          <w:i/>
          <w:noProof/>
        </w:rPr>
        <w:t>Compatibilitatea cu actualul cadru financiar multianual</w:t>
      </w:r>
      <w:bookmarkEnd w:id="61"/>
      <w:bookmarkEnd w:id="62"/>
      <w:r>
        <w:rPr>
          <w:i/>
          <w:noProof/>
        </w:rPr>
        <w:t xml:space="preserve"> </w:t>
      </w:r>
    </w:p>
    <w:p>
      <w:pPr>
        <w:ind w:left="850"/>
        <w:rPr>
          <w:noProof/>
        </w:rPr>
      </w:pPr>
      <w:r>
        <w:rPr>
          <w:noProof/>
        </w:rPr>
        <w:t>Propunerea/inițiativa:</w:t>
      </w:r>
    </w:p>
    <w:p>
      <w:pPr>
        <w:tabs>
          <w:tab w:val="num" w:pos="1134"/>
        </w:tabs>
        <w:ind w:left="1134" w:hanging="283"/>
        <w:rPr>
          <w:rFonts w:eastAsia="Times New Roman"/>
          <w:noProof/>
        </w:rPr>
      </w:pPr>
      <w:r>
        <w:rPr>
          <w:noProof/>
        </w:rPr>
        <w:t>X</w:t>
      </w:r>
      <w:r>
        <w:rPr>
          <w:noProof/>
        </w:rPr>
        <w:tab/>
        <w:t>poate fi finanțată integral prin realocarea creditelor în cadrul rubricii relevante din cadrul financiar multianual (CFM).</w:t>
      </w:r>
    </w:p>
    <w:p>
      <w:pPr>
        <w:pBdr>
          <w:top w:val="single" w:sz="4" w:space="1" w:color="auto"/>
          <w:left w:val="single" w:sz="4" w:space="4" w:color="auto"/>
          <w:bottom w:val="single" w:sz="4" w:space="1" w:color="auto"/>
          <w:right w:val="single" w:sz="4" w:space="4" w:color="auto"/>
        </w:pBdr>
        <w:ind w:left="850"/>
        <w:rPr>
          <w:noProof/>
          <w:sz w:val="20"/>
        </w:rPr>
      </w:pPr>
      <w:r>
        <w:rPr>
          <w:noProof/>
          <w:sz w:val="20"/>
        </w:rPr>
        <w:t>Aceasta se referă la utilizarea liniei de rezervă (capitolul 40).</w:t>
      </w:r>
    </w:p>
    <w:p>
      <w:pPr>
        <w:tabs>
          <w:tab w:val="num" w:pos="1134"/>
        </w:tabs>
        <w:ind w:left="1134" w:hanging="283"/>
        <w:rPr>
          <w:rFonts w:eastAsia="Times New Roman"/>
          <w:noProof/>
        </w:rPr>
      </w:pPr>
      <w:r>
        <w:rPr>
          <w:noProof/>
        </w:rPr>
        <w:sym w:font="Wingdings" w:char="F0A8"/>
      </w:r>
      <w:r>
        <w:rPr>
          <w:noProof/>
        </w:rPr>
        <w:tab/>
        <w:t>necesită utilizarea marjei nealocate din cadrul rubricii corespunzătoare din CFM și/sau utilizarea instrumentelor speciale, astfel cum sunt definite în Regulamentul privind CFM.</w:t>
      </w:r>
    </w:p>
    <w:p>
      <w:pPr>
        <w:pBdr>
          <w:top w:val="single" w:sz="4" w:space="1" w:color="auto"/>
          <w:left w:val="single" w:sz="4" w:space="4" w:color="auto"/>
          <w:bottom w:val="single" w:sz="4" w:space="1" w:color="auto"/>
          <w:right w:val="single" w:sz="4" w:space="4" w:color="auto"/>
        </w:pBdr>
        <w:ind w:left="850"/>
        <w:rPr>
          <w:noProof/>
          <w:sz w:val="20"/>
        </w:rPr>
      </w:pPr>
      <w:r>
        <w:rPr>
          <w:noProof/>
          <w:sz w:val="20"/>
        </w:rPr>
        <w:t>A se explica necesitatea efectuării acestei acțiuni, precizând rubricile și liniile bugetare vizate, sumele aferente și instrumentele propuse a fi utilizate.</w:t>
      </w:r>
    </w:p>
    <w:p>
      <w:pPr>
        <w:tabs>
          <w:tab w:val="num" w:pos="1134"/>
        </w:tabs>
        <w:ind w:left="1134" w:hanging="283"/>
        <w:rPr>
          <w:rFonts w:eastAsia="Times New Roman"/>
          <w:noProof/>
        </w:rPr>
      </w:pPr>
      <w:r>
        <w:rPr>
          <w:noProof/>
        </w:rPr>
        <w:sym w:font="Wingdings" w:char="F0A8"/>
      </w:r>
      <w:r>
        <w:rPr>
          <w:noProof/>
        </w:rPr>
        <w:tab/>
        <w:t>necesită revizuirea CFM.</w:t>
      </w:r>
    </w:p>
    <w:p>
      <w:pPr>
        <w:pBdr>
          <w:top w:val="single" w:sz="4" w:space="1" w:color="auto"/>
          <w:left w:val="single" w:sz="4" w:space="4" w:color="auto"/>
          <w:bottom w:val="single" w:sz="4" w:space="1" w:color="auto"/>
          <w:right w:val="single" w:sz="4" w:space="4" w:color="auto"/>
        </w:pBdr>
        <w:ind w:left="850"/>
        <w:rPr>
          <w:noProof/>
          <w:sz w:val="20"/>
        </w:rPr>
      </w:pPr>
      <w:r>
        <w:rPr>
          <w:noProof/>
          <w:sz w:val="20"/>
        </w:rPr>
        <w:t>A se explica necesitatea efectuării acestei acțiuni, precizând rubricile și liniile bugetare în cauză, precum și sumele aferente.</w:t>
      </w:r>
    </w:p>
    <w:p>
      <w:pPr>
        <w:keepNext/>
        <w:tabs>
          <w:tab w:val="left" w:pos="850"/>
        </w:tabs>
        <w:outlineLvl w:val="2"/>
        <w:rPr>
          <w:bCs/>
          <w:i/>
          <w:noProof/>
          <w:szCs w:val="24"/>
        </w:rPr>
      </w:pPr>
      <w:bookmarkStart w:id="63" w:name="_Toc514938058"/>
      <w:bookmarkStart w:id="64" w:name="_Toc520485056"/>
      <w:r>
        <w:rPr>
          <w:i/>
          <w:noProof/>
        </w:rPr>
        <w:t>3.2.5.</w:t>
      </w:r>
      <w:r>
        <w:rPr>
          <w:noProof/>
        </w:rPr>
        <w:tab/>
      </w:r>
      <w:r>
        <w:rPr>
          <w:i/>
          <w:noProof/>
        </w:rPr>
        <w:t>Contribuția terților la finanțare</w:t>
      </w:r>
      <w:bookmarkEnd w:id="63"/>
      <w:bookmarkEnd w:id="64"/>
      <w:r>
        <w:rPr>
          <w:i/>
          <w:noProof/>
        </w:rPr>
        <w:t xml:space="preserve"> </w:t>
      </w:r>
    </w:p>
    <w:p>
      <w:pPr>
        <w:ind w:left="850"/>
        <w:rPr>
          <w:noProof/>
        </w:rPr>
      </w:pPr>
      <w:r>
        <w:rPr>
          <w:noProof/>
        </w:rPr>
        <w:t>Propunerea/inițiativa:</w:t>
      </w:r>
    </w:p>
    <w:p>
      <w:pPr>
        <w:tabs>
          <w:tab w:val="num" w:pos="1134"/>
        </w:tabs>
        <w:ind w:left="1134" w:hanging="283"/>
        <w:rPr>
          <w:rFonts w:eastAsia="Times New Roman"/>
          <w:noProof/>
        </w:rPr>
      </w:pPr>
      <w:r>
        <w:rPr>
          <w:noProof/>
        </w:rPr>
        <w:t>X</w:t>
      </w:r>
      <w:r>
        <w:rPr>
          <w:noProof/>
        </w:rPr>
        <w:tab/>
        <w:t>nu prevede cofinanțare din partea terților</w:t>
      </w:r>
    </w:p>
    <w:p>
      <w:pPr>
        <w:tabs>
          <w:tab w:val="num" w:pos="1134"/>
        </w:tabs>
        <w:ind w:left="1134" w:hanging="283"/>
        <w:rPr>
          <w:rFonts w:eastAsia="Times New Roman"/>
          <w:noProof/>
        </w:rPr>
      </w:pPr>
      <w:r>
        <w:rPr>
          <w:noProof/>
        </w:rPr>
        <w:sym w:font="Wingdings" w:char="F0A8"/>
      </w:r>
      <w:r>
        <w:rPr>
          <w:noProof/>
        </w:rPr>
        <w:tab/>
        <w:t>prevede o cofinanțare din partea terților, estimată mai jos:</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w:t>
            </w:r>
            <w:r>
              <w:rPr>
                <w:rStyle w:val="FootnoteReference"/>
                <w:noProof/>
              </w:rPr>
              <w:footnoteReference w:id="21"/>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keepNext/>
        <w:outlineLvl w:val="1"/>
        <w:rPr>
          <w:b/>
          <w:bCs/>
          <w:noProof/>
          <w:szCs w:val="24"/>
        </w:rPr>
      </w:pPr>
      <w:r>
        <w:rPr>
          <w:noProof/>
        </w:rPr>
        <w:br w:type="page"/>
      </w:r>
      <w:bookmarkStart w:id="65" w:name="_Toc514938059"/>
      <w:bookmarkStart w:id="66" w:name="_Toc520485057"/>
      <w:r>
        <w:rPr>
          <w:b/>
          <w:noProof/>
        </w:rPr>
        <w:t>3.3.</w:t>
      </w:r>
      <w:r>
        <w:rPr>
          <w:noProof/>
        </w:rPr>
        <w:tab/>
      </w:r>
      <w:r>
        <w:rPr>
          <w:b/>
          <w:noProof/>
        </w:rPr>
        <w:t>Impactul estimat asupra veniturilor</w:t>
      </w:r>
      <w:bookmarkEnd w:id="65"/>
      <w:bookmarkEnd w:id="66"/>
      <w:r>
        <w:rPr>
          <w:b/>
          <w:noProof/>
        </w:rPr>
        <w:t xml:space="preserve"> </w:t>
      </w:r>
    </w:p>
    <w:p>
      <w:pPr>
        <w:tabs>
          <w:tab w:val="num" w:pos="1134"/>
        </w:tabs>
        <w:ind w:left="1134" w:hanging="283"/>
        <w:rPr>
          <w:rFonts w:eastAsia="Times New Roman"/>
          <w:noProof/>
        </w:rPr>
      </w:pPr>
      <w:r>
        <w:rPr>
          <w:noProof/>
        </w:rPr>
        <w:t>X</w:t>
      </w:r>
      <w:r>
        <w:rPr>
          <w:noProof/>
        </w:rPr>
        <w:tab/>
        <w:t>Propunerea/inițiativa nu are impact financiar asupra veniturilor.</w:t>
      </w:r>
    </w:p>
    <w:p>
      <w:pPr>
        <w:tabs>
          <w:tab w:val="num" w:pos="1134"/>
        </w:tabs>
        <w:ind w:left="1134" w:hanging="283"/>
        <w:rPr>
          <w:rFonts w:eastAsia="Times New Roman"/>
          <w:noProof/>
        </w:rPr>
      </w:pPr>
      <w:r>
        <w:rPr>
          <w:noProof/>
        </w:rPr>
        <w:sym w:font="Wingdings" w:char="F0A8"/>
      </w:r>
      <w:r>
        <w:rPr>
          <w:noProof/>
        </w:rPr>
        <w:tab/>
        <w:t>Propunerea/inițiativa are următorul impact financiar:</w:t>
      </w:r>
    </w:p>
    <w:p>
      <w:pPr>
        <w:numPr>
          <w:ilvl w:val="2"/>
          <w:numId w:val="0"/>
        </w:numPr>
        <w:tabs>
          <w:tab w:val="num" w:pos="2126"/>
        </w:tabs>
        <w:ind w:left="2126" w:hanging="709"/>
        <w:rPr>
          <w:rFonts w:eastAsia="Times New Roman"/>
          <w:noProof/>
        </w:rPr>
      </w:pPr>
      <w:r>
        <w:rPr>
          <w:noProof/>
        </w:rPr>
        <w:sym w:font="Wingdings" w:char="F0A8"/>
      </w:r>
      <w:r>
        <w:rPr>
          <w:noProof/>
        </w:rPr>
        <w:tab/>
        <w:t xml:space="preserve">asupra resurselor proprii </w:t>
      </w:r>
    </w:p>
    <w:p>
      <w:pPr>
        <w:numPr>
          <w:ilvl w:val="2"/>
          <w:numId w:val="0"/>
        </w:numPr>
        <w:tabs>
          <w:tab w:val="num" w:pos="2126"/>
        </w:tabs>
        <w:ind w:left="2126" w:hanging="709"/>
        <w:rPr>
          <w:rFonts w:eastAsia="Times New Roman"/>
          <w:noProof/>
        </w:rPr>
      </w:pPr>
      <w:r>
        <w:rPr>
          <w:noProof/>
        </w:rPr>
        <w:sym w:font="Wingdings" w:char="F0A8"/>
      </w:r>
      <w:r>
        <w:rPr>
          <w:noProof/>
        </w:rPr>
        <w:tab/>
        <w:t>asupra altor venituri</w:t>
      </w:r>
    </w:p>
    <w:p>
      <w:pPr>
        <w:numPr>
          <w:ilvl w:val="2"/>
          <w:numId w:val="0"/>
        </w:numPr>
        <w:tabs>
          <w:tab w:val="num" w:pos="2126"/>
        </w:tabs>
        <w:ind w:left="2126" w:hanging="709"/>
        <w:rPr>
          <w:rFonts w:eastAsia="Times New Roman"/>
          <w:noProof/>
        </w:rPr>
      </w:pPr>
      <w:r>
        <w:rPr>
          <w:noProof/>
        </w:rPr>
        <w:t>vă rugăm să precizați, dacă veniturile sunt alocate unor linii de cheltuieli </w:t>
      </w:r>
      <w:r>
        <w:rPr>
          <w:noProof/>
        </w:rPr>
        <w:sym w:font="Wingdings" w:char="F0A8"/>
      </w:r>
      <w:r>
        <w:rPr>
          <w:noProof/>
        </w:rPr>
        <w:tab/>
      </w:r>
    </w:p>
    <w:p>
      <w:pPr>
        <w:ind w:left="4320"/>
        <w:rPr>
          <w:i/>
          <w:noProof/>
          <w:sz w:val="20"/>
        </w:rPr>
      </w:pPr>
      <w:r>
        <w:rPr>
          <w:noProof/>
        </w:rPr>
        <w:t>în 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325" w:type="dxa"/>
            <w:vMerge w:val="restart"/>
            <w:vAlign w:val="center"/>
          </w:tcPr>
          <w:p>
            <w:pPr>
              <w:jc w:val="center"/>
              <w:rPr>
                <w:noProof/>
                <w:sz w:val="18"/>
              </w:rPr>
            </w:pPr>
            <w:r>
              <w:rPr>
                <w:noProof/>
                <w:sz w:val="18"/>
              </w:rPr>
              <w:t>Credite disponibile pentru exercițiul financiar în curs</w:t>
            </w:r>
          </w:p>
        </w:tc>
        <w:tc>
          <w:tcPr>
            <w:tcW w:w="7151" w:type="dxa"/>
            <w:gridSpan w:val="7"/>
            <w:vAlign w:val="center"/>
          </w:tcPr>
          <w:p>
            <w:pPr>
              <w:jc w:val="center"/>
              <w:rPr>
                <w:noProof/>
                <w:sz w:val="18"/>
              </w:rPr>
            </w:pPr>
            <w:r>
              <w:rPr>
                <w:noProof/>
                <w:sz w:val="18"/>
              </w:rPr>
              <w:t>Impactul propunerii/inițiativei</w:t>
            </w:r>
            <w:r>
              <w:rPr>
                <w:rStyle w:val="FootnoteReference"/>
                <w:noProof/>
              </w:rPr>
              <w:footnoteReference w:id="22"/>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Anul</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Pentru veniturile alocate, a se preciza linia bugetară (liniile bugetare) de cheltuieli afectată (afectate).</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Alte observații (de exemplu, metoda/formula utilizată pentru calcularea impactului asupra veniturilor sau orice alte informații).</w:t>
      </w:r>
    </w:p>
    <w:p>
      <w:pPr>
        <w:pBdr>
          <w:top w:val="single" w:sz="4" w:space="1" w:color="auto"/>
          <w:left w:val="single" w:sz="4" w:space="4" w:color="auto"/>
          <w:bottom w:val="single" w:sz="4" w:space="1" w:color="auto"/>
          <w:right w:val="single" w:sz="4" w:space="4" w:color="auto"/>
        </w:pBdr>
        <w:ind w:left="850"/>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Segoe Print"/>
    <w:panose1 w:val="00000000000000000000"/>
    <w:charset w:val="00"/>
    <w:family w:val="roman"/>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Consiliului din 8 iulie 2019 de autorizare a începerii negocierilor cu Republica Islamică Mauritania în vederea încheierii unui acord de parteneriat în domeniul pescuitului sustenabil și a protocolului de punere în aplicare a acordului respectiv (ST 10231 2019 INIT).</w:t>
      </w:r>
    </w:p>
  </w:footnote>
  <w:footnote w:id="2">
    <w:p>
      <w:pPr>
        <w:pStyle w:val="FootnoteText"/>
      </w:pPr>
      <w:r>
        <w:rPr>
          <w:rStyle w:val="FootnoteReference"/>
        </w:rPr>
        <w:footnoteRef/>
      </w:r>
      <w:r>
        <w:tab/>
        <w:t>DECIZIA (UE) 2019/1918 A CONSILIULUI din 8 noiembrie 2019 privind semnarea, în numele Uniunii Europene, și aplicarea provizorie a Acordului sub forma unui schimb de scrisori dintre Uniunea Europeană și Republica Islamică Mauritania privind prelungirea protocolului de stabilire a posibilităților de pescuit și a contribuției financiare prevăzute de Acordul de parteneriat în domeniul pescuitului dintre Comunitatea Europeană și Republica Islamică Mauritania care expiră la 15 noiembrie 2019 JO L 297 I din 18.11.2019, p.1.</w:t>
      </w:r>
    </w:p>
  </w:footnote>
  <w:footnote w:id="3">
    <w:p>
      <w:pPr>
        <w:pStyle w:val="FootnoteText"/>
      </w:pPr>
      <w:r>
        <w:rPr>
          <w:rStyle w:val="FootnoteReference"/>
        </w:rPr>
        <w:footnoteRef/>
      </w:r>
      <w:r>
        <w:tab/>
        <w:t>Addendum la directivele de negociere din doc. 10231/19 ADD1 și din doc. 10231/19 ADD 2 PECHE 285.</w:t>
      </w:r>
    </w:p>
  </w:footnote>
  <w:footnote w:id="4">
    <w:p>
      <w:pPr>
        <w:pStyle w:val="FootnoteText"/>
      </w:pPr>
      <w:r>
        <w:rPr>
          <w:rStyle w:val="FootnoteReference"/>
        </w:rPr>
        <w:footnoteRef/>
      </w:r>
      <w:r>
        <w:tab/>
        <w:t xml:space="preserve">Cu o depășire autorizată de 10 % fără incidență asupra contribuției financiare plătite de Uniunea Europeană pentru acces. </w:t>
      </w:r>
    </w:p>
  </w:footnote>
  <w:footnote w:id="5">
    <w:p>
      <w:pPr>
        <w:pStyle w:val="FootnoteText"/>
      </w:pPr>
      <w:r>
        <w:rPr>
          <w:rStyle w:val="FootnoteReference"/>
        </w:rPr>
        <w:footnoteRef/>
      </w:r>
      <w:r>
        <w:tab/>
        <w:t>JO L 354 din 28.12.2013, p. 22.</w:t>
      </w:r>
    </w:p>
  </w:footnote>
  <w:footnote w:id="6">
    <w:p>
      <w:pPr>
        <w:pStyle w:val="FootnoteText"/>
      </w:pPr>
      <w:r>
        <w:rPr>
          <w:rStyle w:val="FootnoteReference"/>
        </w:rPr>
        <w:footnoteRef/>
      </w:r>
      <w:r>
        <w:tab/>
        <w:t>În conformitate cu Acordul interinstituțional privind cooperarea în chestiuni bugetare (2013/C 373/01)</w:t>
      </w:r>
    </w:p>
  </w:footnote>
  <w:footnote w:id="7">
    <w:p>
      <w:pPr>
        <w:pStyle w:val="FootnoteText"/>
      </w:pPr>
      <w:r>
        <w:rPr>
          <w:rStyle w:val="FootnoteReference"/>
        </w:rPr>
        <w:footnoteRef/>
      </w:r>
      <w:r>
        <w:tab/>
        <w:t>JO L […] din […], p. […].</w:t>
      </w:r>
    </w:p>
  </w:footnote>
  <w:footnote w:id="8">
    <w:p>
      <w:pPr>
        <w:pStyle w:val="FootnoteText"/>
        <w:rPr>
          <w:szCs w:val="24"/>
        </w:rPr>
      </w:pPr>
      <w:r>
        <w:rPr>
          <w:rStyle w:val="FootnoteReference"/>
        </w:rPr>
        <w:footnoteRef/>
      </w:r>
      <w:r>
        <w:tab/>
        <w:t>Astfel cum se menționează la articolul 58 alineatul (2) litera (a) sau (b) din Regulamentul financiar.</w:t>
      </w:r>
    </w:p>
  </w:footnote>
  <w:footnote w:id="9">
    <w:p>
      <w:pPr>
        <w:pStyle w:val="FootnoteText"/>
        <w:jc w:val="left"/>
        <w:rPr>
          <w:szCs w:val="24"/>
        </w:rPr>
      </w:pPr>
      <w:r>
        <w:rPr>
          <w:rStyle w:val="FootnoteReference"/>
        </w:rPr>
        <w:footnoteRef/>
      </w:r>
      <w:r>
        <w:tab/>
        <w:t xml:space="preserve">Explicațiile privind modurile de gestiune, precum și trimiterile la Regulamentul financiar sunt disponibile pe site-ul BudgWeb: </w:t>
      </w:r>
      <w:hyperlink r:id="rId1">
        <w:r>
          <w:rPr>
            <w:rStyle w:val="Hyperlink"/>
          </w:rPr>
          <w:t>https://myintracomm.ec.europa.eu/budgweb/FR/man/budgmanag/Pages/budgmanag.aspx</w:t>
        </w:r>
      </w:hyperlink>
      <w:r>
        <w:t xml:space="preserve"> </w:t>
      </w:r>
    </w:p>
  </w:footnote>
  <w:footnote w:id="10">
    <w:p>
      <w:pPr>
        <w:pStyle w:val="FootnoteText"/>
        <w:rPr>
          <w:szCs w:val="24"/>
        </w:rPr>
      </w:pPr>
      <w:r>
        <w:rPr>
          <w:rStyle w:val="FootnoteReference"/>
        </w:rPr>
        <w:footnoteRef/>
      </w:r>
      <w:r>
        <w:tab/>
        <w:t>Dif. = credite diferențiate / Nedif. = credite nediferențiate.</w:t>
      </w:r>
    </w:p>
  </w:footnote>
  <w:footnote w:id="11">
    <w:p>
      <w:pPr>
        <w:pStyle w:val="FootnoteText"/>
        <w:rPr>
          <w:szCs w:val="24"/>
        </w:rPr>
      </w:pPr>
      <w:r>
        <w:rPr>
          <w:rStyle w:val="FootnoteReference"/>
        </w:rPr>
        <w:footnoteRef/>
      </w:r>
      <w:r>
        <w:tab/>
        <w:t xml:space="preserve">AELS: Asociația Europeană a Liberului Schimb. </w:t>
      </w:r>
    </w:p>
  </w:footnote>
  <w:footnote w:id="12">
    <w:p>
      <w:pPr>
        <w:pStyle w:val="FootnoteText"/>
        <w:rPr>
          <w:szCs w:val="24"/>
        </w:rPr>
      </w:pPr>
      <w:r>
        <w:rPr>
          <w:rStyle w:val="FootnoteReference"/>
        </w:rPr>
        <w:footnoteRef/>
      </w:r>
      <w:r>
        <w:tab/>
        <w:t>Țările candidate și, după caz, candidații potențiali din Balcanii de Vest.</w:t>
      </w:r>
    </w:p>
  </w:footnote>
  <w:footnote w:id="13">
    <w:p>
      <w:pPr>
        <w:pStyle w:val="FootnoteText"/>
        <w:rPr>
          <w:sz w:val="18"/>
          <w:szCs w:val="18"/>
        </w:rPr>
      </w:pPr>
      <w:r>
        <w:rPr>
          <w:rStyle w:val="FootnoteReference"/>
        </w:rPr>
        <w:footnoteRef/>
      </w:r>
      <w:r>
        <w:tab/>
      </w:r>
      <w:r>
        <w:rPr>
          <w:sz w:val="18"/>
        </w:rPr>
        <w:t>În conformitate cu nomenclatura bugetară oficială.</w:t>
      </w:r>
    </w:p>
  </w:footnote>
  <w:footnote w:id="14">
    <w:p>
      <w:pPr>
        <w:pStyle w:val="FootnoteText"/>
        <w:rPr>
          <w:szCs w:val="24"/>
        </w:rPr>
      </w:pPr>
      <w:r>
        <w:rPr>
          <w:rStyle w:val="FootnoteReference"/>
        </w:rPr>
        <w:footnoteRef/>
      </w:r>
      <w:r>
        <w:tab/>
      </w:r>
      <w:r>
        <w:rPr>
          <w:sz w:val="18"/>
        </w:rPr>
        <w:t>Asistență tehnică și/sau administrativă și cheltuieli de sprijin pentru punerea în aplicare a programelor și/sau a acțiunilor UE (fostele linii „BA”), cercetare indirectă și cercetare directă.</w:t>
      </w:r>
    </w:p>
  </w:footnote>
  <w:footnote w:id="15">
    <w:p>
      <w:pPr>
        <w:pStyle w:val="FootnoteText"/>
        <w:rPr>
          <w:szCs w:val="24"/>
        </w:rPr>
      </w:pPr>
      <w:r>
        <w:rPr>
          <w:rStyle w:val="FootnoteReference"/>
        </w:rPr>
        <w:footnoteRef/>
      </w:r>
      <w:r>
        <w:tab/>
        <w:t>Realizările se referă la produsele și serviciile care trebuie furnizate (de ex.: numărul de schimburi de studenți finanțate, numărul de km de drumuri construiți etc.).</w:t>
      </w:r>
    </w:p>
  </w:footnote>
  <w:footnote w:id="16">
    <w:p>
      <w:pPr>
        <w:pStyle w:val="FootnoteText"/>
        <w:rPr>
          <w:szCs w:val="24"/>
        </w:rPr>
      </w:pPr>
      <w:r>
        <w:rPr>
          <w:rStyle w:val="FootnoteReference"/>
        </w:rPr>
        <w:footnoteRef/>
      </w:r>
      <w:r>
        <w:tab/>
        <w:t xml:space="preserve">Conform descrierii de la punctul 1.4.2. „Obiectiv(e) specific(e)…” </w:t>
      </w:r>
    </w:p>
  </w:footnote>
  <w:footnote w:id="17">
    <w:p>
      <w:pPr>
        <w:pStyle w:val="FootnoteText"/>
        <w:rPr>
          <w:sz w:val="18"/>
          <w:szCs w:val="18"/>
        </w:rPr>
      </w:pPr>
      <w:r>
        <w:rPr>
          <w:rStyle w:val="FootnoteReference"/>
        </w:rPr>
        <w:footnoteRef/>
      </w:r>
      <w:r>
        <w:tab/>
      </w:r>
      <w:r>
        <w:rPr>
          <w:sz w:val="18"/>
        </w:rPr>
        <w:t>Anul N este anul în care începe punerea în aplicare a propunerii/inițiativei. Vă rugăm să înlocuiți „N” cu primul an estimat de punere în aplicare (de exemplu: 2021). Se procedează la fel pentru anii următori.</w:t>
      </w:r>
    </w:p>
  </w:footnote>
  <w:footnote w:id="18">
    <w:p>
      <w:pPr>
        <w:pStyle w:val="FootnoteText"/>
        <w:rPr>
          <w:sz w:val="18"/>
          <w:szCs w:val="24"/>
        </w:rPr>
      </w:pPr>
      <w:r>
        <w:rPr>
          <w:rStyle w:val="FootnoteReference"/>
        </w:rPr>
        <w:footnoteRef/>
      </w:r>
      <w:r>
        <w:tab/>
      </w:r>
      <w:r>
        <w:rPr>
          <w:sz w:val="18"/>
        </w:rPr>
        <w:t>Asistență tehnică și/sau administrativă și cheltuieli de sprijin pentru punerea în aplicare a programelor și/sau a acțiunilor UE (fostele linii „BA”), cercetare indirectă și cercetare directă.</w:t>
      </w:r>
    </w:p>
  </w:footnote>
  <w:footnote w:id="19">
    <w:p>
      <w:pPr>
        <w:pStyle w:val="FootnoteText"/>
        <w:rPr>
          <w:szCs w:val="24"/>
        </w:rPr>
      </w:pPr>
      <w:r>
        <w:rPr>
          <w:rStyle w:val="FootnoteReference"/>
        </w:rPr>
        <w:footnoteRef/>
      </w:r>
      <w:r>
        <w:tab/>
        <w:t xml:space="preserve">AC = agent contractual; AL= agent local; END = expert național detașat; INT = personal pus la dispoziție de agenții de muncă temporară; JPD = tânăr profesionist în delegații. </w:t>
      </w:r>
    </w:p>
  </w:footnote>
  <w:footnote w:id="20">
    <w:p>
      <w:pPr>
        <w:pStyle w:val="FootnoteText"/>
        <w:rPr>
          <w:szCs w:val="24"/>
        </w:rPr>
      </w:pPr>
      <w:r>
        <w:rPr>
          <w:rStyle w:val="FootnoteReference"/>
        </w:rPr>
        <w:footnoteRef/>
      </w:r>
      <w:r>
        <w:tab/>
        <w:t>Subplafonul pentru personal extern acoperit din creditele operaționale (fostele linii „BA”).</w:t>
      </w:r>
    </w:p>
  </w:footnote>
  <w:footnote w:id="21">
    <w:p>
      <w:pPr>
        <w:pStyle w:val="FootnoteText"/>
      </w:pPr>
      <w:r>
        <w:rPr>
          <w:rStyle w:val="FootnoteReference"/>
        </w:rPr>
        <w:footnoteRef/>
      </w:r>
      <w:r>
        <w:tab/>
        <w:t>Anul N este anul în care începe punerea în aplicare a propunerii/inițiativei. Vă rugăm să înlocuiți „N” cu primul an estimat de punere în aplicare (de exemplu: 2021). Se procedează la fel pentru anii următori.</w:t>
      </w:r>
    </w:p>
  </w:footnote>
  <w:footnote w:id="22">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20 %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9"/>
  </w:num>
  <w:num w:numId="8">
    <w:abstractNumId w:val="18"/>
  </w:num>
  <w:num w:numId="9">
    <w:abstractNumId w:val="27"/>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24"/>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26"/>
  </w:num>
  <w:num w:numId="21">
    <w:abstractNumId w:val="10"/>
  </w:num>
  <w:num w:numId="22">
    <w:abstractNumId w:val="16"/>
  </w:num>
  <w:num w:numId="23">
    <w:abstractNumId w:val="8"/>
  </w:num>
  <w:num w:numId="24">
    <w:abstractNumId w:val="25"/>
  </w:num>
  <w:num w:numId="25">
    <w:abstractNumId w:val="7"/>
  </w:num>
  <w:num w:numId="26">
    <w:abstractNumId w:val="17"/>
  </w:num>
  <w:num w:numId="27">
    <w:abstractNumId w:val="22"/>
  </w:num>
  <w:num w:numId="28">
    <w:abstractNumId w:val="23"/>
  </w:num>
  <w:num w:numId="29">
    <w:abstractNumId w:val="9"/>
  </w:num>
  <w:num w:numId="30">
    <w:abstractNumId w:val="21"/>
  </w:num>
  <w:num w:numId="31">
    <w:abstractNumId w:val="28"/>
  </w:num>
  <w:num w:numId="32">
    <w:abstractNumId w:val="24"/>
  </w:num>
  <w:num w:numId="33">
    <w:abstractNumId w:val="15"/>
  </w:num>
  <w:num w:numId="34">
    <w:abstractNumId w:val="26"/>
  </w:num>
  <w:num w:numId="35">
    <w:abstractNumId w:val="10"/>
  </w:num>
  <w:num w:numId="36">
    <w:abstractNumId w:val="16"/>
  </w:num>
  <w:num w:numId="37">
    <w:abstractNumId w:val="8"/>
  </w:num>
  <w:num w:numId="38">
    <w:abstractNumId w:val="25"/>
  </w:num>
  <w:num w:numId="39">
    <w:abstractNumId w:val="7"/>
  </w:num>
  <w:num w:numId="40">
    <w:abstractNumId w:val="17"/>
  </w:num>
  <w:num w:numId="41">
    <w:abstractNumId w:val="22"/>
  </w:num>
  <w:num w:numId="42">
    <w:abstractNumId w:val="23"/>
  </w:num>
  <w:num w:numId="43">
    <w:abstractNumId w:val="9"/>
  </w:num>
  <w:num w:numId="44">
    <w:abstractNumId w:val="21"/>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16:08: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BB7143F-1666-4E58-93C1-C33E91FE7160"/>
    <w:docVar w:name="LW_COVERPAGE_TYPE" w:val="1"/>
    <w:docVar w:name="LW_CROSSREFERENCE" w:val="&lt;UNUSED&gt;"/>
    <w:docVar w:name="LW_DocType" w:val="COM"/>
    <w:docVar w:name="LW_EMISSION" w:val="28.9.2020"/>
    <w:docVar w:name="LW_EMISSION_ISODATE" w:val="2020-09-28"/>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74"/>
    <w:docVar w:name="LW_REF.II.NEW.CP_YEAR" w:val="2020"/>
    <w:docVar w:name="LW_REF.INST.NEW" w:val="COM"/>
    <w:docVar w:name="LW_REF.INST.NEW_ADOPTED" w:val="final"/>
    <w:docVar w:name="LW_REF.INST.NEW_TEXT" w:val="(2020) 5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încheierea Acordului sub forma unui schimb de scrisori dintre Uniunea European\u259? \u537?i Republica Islamic\u259? Mauritania privind prelungirea protocolului de stabilire a posibilit\u259?\u539?ilor de pescuit \u537?i a contribu\u539?iei financiare prev\u259?zute de Acordul de parteneriat în domeniul pescuitului dintre Comunitatea European\u259? \u537?i Republica Islamic\u259? Mauritania, care expir\u259? la 15 noiembrie 2020"/>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ro-RO"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ro-RO"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ro-RO"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ro-RO"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ro-RO"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ro-RO"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FR/leg/internal/Documents/2016-5-legislative-financial-statement-ann-fr.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332B-1F0A-4203-914C-FD4BFDC6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23</Pages>
  <Words>4813</Words>
  <Characters>29173</Characters>
  <Application>Microsoft Office Word</Application>
  <DocSecurity>0</DocSecurity>
  <Lines>1215</Lines>
  <Paragraphs>514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2020-09-10T15:49:00Z</cp:lastPrinted>
  <dcterms:created xsi:type="dcterms:W3CDTF">2020-09-24T09:58:00Z</dcterms:created>
  <dcterms:modified xsi:type="dcterms:W3CDTF">2020-09-25T14:08:00Z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