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72179CC-EA90-418C-9595-8D64853C749E" style="width:450.75pt;height:365.9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widowControl w:val="0"/>
        <w:shd w:val="clear" w:color="auto" w:fill="FFFFFF"/>
        <w:autoSpaceDE w:val="0"/>
        <w:autoSpaceDN w:val="0"/>
        <w:adjustRightInd w:val="0"/>
        <w:spacing w:before="230" w:after="0" w:line="269" w:lineRule="exact"/>
        <w:rPr>
          <w:noProof/>
        </w:rPr>
      </w:pPr>
      <w:r>
        <w:rPr>
          <w:noProof/>
        </w:rPr>
        <w:t>Vastavalt nõukogu 28. novembri 2006. aasta direktiivi 2006/112/EÜ (mis käsitleb ühist käibemaksusüsteemi)</w:t>
      </w:r>
      <w:r>
        <w:rPr>
          <w:rStyle w:val="FootnoteReference"/>
          <w:noProof/>
        </w:rPr>
        <w:footnoteReference w:id="1"/>
      </w:r>
      <w:r>
        <w:rPr>
          <w:noProof/>
        </w:rPr>
        <w:t xml:space="preserve"> (edaspidi „käibemaksudirektiiv“) artikli 395 lõikele 1 võib nõukogu ühehäälselt komisjoni ettepaneku põhjal anda igale liikmesriigile loa võtta erimeetmeid kõnealuse direktiivi sätetest erandite tegemiseks eesmärgiga lihtsustada käibemaksu kogumist või hoida ära teatavat liiki maksudest kõrvalehoidmist või maksustamise vältimist.</w:t>
      </w:r>
    </w:p>
    <w:p>
      <w:pPr>
        <w:widowControl w:val="0"/>
        <w:shd w:val="clear" w:color="auto" w:fill="FFFFFF"/>
        <w:autoSpaceDE w:val="0"/>
        <w:autoSpaceDN w:val="0"/>
        <w:adjustRightInd w:val="0"/>
        <w:spacing w:before="230" w:after="0" w:line="269" w:lineRule="exact"/>
        <w:rPr>
          <w:noProof/>
        </w:rPr>
      </w:pPr>
      <w:r>
        <w:rPr>
          <w:noProof/>
        </w:rPr>
        <w:t xml:space="preserve">Komisjonis 18. mail 2020 registreeritud kirjas taotles Horvaatia luba jätkata pärast 31. detsembrit 2020 käibemaksuvabastuse kohaldamist maksukohustuslaste suhtes, kelle aastakäive riigi vääringus ei ületa 45 000 eurot. </w:t>
      </w:r>
    </w:p>
    <w:p>
      <w:pPr>
        <w:widowControl w:val="0"/>
        <w:shd w:val="clear" w:color="auto" w:fill="FFFFFF"/>
        <w:autoSpaceDE w:val="0"/>
        <w:autoSpaceDN w:val="0"/>
        <w:adjustRightInd w:val="0"/>
        <w:spacing w:before="230" w:after="0" w:line="269" w:lineRule="exact"/>
        <w:rPr>
          <w:noProof/>
        </w:rPr>
      </w:pPr>
      <w:r>
        <w:rPr>
          <w:noProof/>
        </w:rPr>
        <w:t xml:space="preserve">Käibemaksudirektiivi artikli 395 lõike 2 kohaselt teavitas komisjon 6. juuni 2020. aasta kirjas teisi liikmesriike Horvaatia taotlusest. Komisjon teatas 11. juuni 2020. aasta kirjas Horvaatiale, et tal on taotluse hindamiseks kogu vajalik teave. </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t>Ettepaneku põhjused ja eesmärgid</w:t>
      </w:r>
    </w:p>
    <w:p>
      <w:pPr>
        <w:pBdr>
          <w:top w:val="nil"/>
          <w:left w:val="nil"/>
          <w:bottom w:val="nil"/>
          <w:right w:val="nil"/>
          <w:between w:val="nil"/>
          <w:bar w:val="nil"/>
        </w:pBdr>
        <w:spacing w:before="0" w:after="240"/>
        <w:rPr>
          <w:rFonts w:eastAsia="Arial Unicode MS"/>
          <w:noProof/>
        </w:rPr>
      </w:pPr>
      <w:r>
        <w:rPr>
          <w:noProof/>
        </w:rPr>
        <w:t>Käibemaksudirektiivi XII jaotise 1. peatükiga on liikmesriikidel lubatud kohaldada väikeettevõtjatele erikorda, sealhulgas kohaldada käibemaksuvabastust selliste maksukohustuslaste suhtes, kelle aastakäive ei ületa teatavat summat. Kõnealune maksuvabastus tähendab, et maksukohustuslane ei pea oma tarnete eest käibemaksu võtma ning järelikult ei saa ta käibemaksu sisenditelt maha arvata.</w:t>
      </w:r>
    </w:p>
    <w:p>
      <w:pPr>
        <w:pBdr>
          <w:top w:val="nil"/>
          <w:left w:val="nil"/>
          <w:bottom w:val="nil"/>
          <w:right w:val="nil"/>
          <w:between w:val="nil"/>
          <w:bar w:val="nil"/>
        </w:pBdr>
        <w:spacing w:before="0" w:after="240"/>
        <w:rPr>
          <w:rFonts w:eastAsia="Arial Unicode MS"/>
          <w:noProof/>
        </w:rPr>
      </w:pPr>
      <w:r>
        <w:rPr>
          <w:noProof/>
        </w:rPr>
        <w:t>Käibemaksudirektiivi artikli 287 punkti 19 kohaselt võib Horvaatia kohaldada käibemaksuvabastust maksukohustuslaste suhtes, kelle aastakäive riigi vääringus ühinemiskuupäeval kehtinud vahetuskursi alusel arvutatuna ei ületa 35 000 eurot. Nõukogu rakendusotsusega (EL) 2017/1768</w:t>
      </w:r>
      <w:r>
        <w:rPr>
          <w:rStyle w:val="FootnoteReference"/>
          <w:rFonts w:eastAsia="Arial Unicode MS"/>
          <w:noProof/>
        </w:rPr>
        <w:footnoteReference w:id="2"/>
      </w:r>
      <w:r>
        <w:rPr>
          <w:noProof/>
        </w:rPr>
        <w:t xml:space="preserve"> anti Horvaatiale luba rakendada kõrgemat künnist ja seeläbi kohaldada käibemaksuvabastust maksukohustuslaste suhtes, kelle aastakäive ei ületa 45 000 eurot. Kõnealune otsus kaotab kehtivuse 31. detsembril 2020 ja Horvaatia taotles selle kohaldamisaja pikendamist. </w:t>
      </w:r>
    </w:p>
    <w:p>
      <w:pPr>
        <w:pBdr>
          <w:top w:val="nil"/>
          <w:left w:val="nil"/>
          <w:bottom w:val="nil"/>
          <w:right w:val="nil"/>
          <w:between w:val="nil"/>
          <w:bar w:val="nil"/>
        </w:pBdr>
        <w:spacing w:before="0" w:after="240"/>
        <w:rPr>
          <w:rFonts w:eastAsia="Arial Unicode MS"/>
          <w:noProof/>
        </w:rPr>
      </w:pPr>
      <w:r>
        <w:rPr>
          <w:noProof/>
        </w:rPr>
        <w:t>Horvaatia ametiasutuste sõnul hõlbustab meede käibemaksu kogumist, võimaldades Horvaatial lihtsustada haldusmenetlusi väikeettevõtjate jaoks ja seega vähendada nende halduskoormust. Meede vähendab ka maksuhalduri töökoormust.</w:t>
      </w:r>
    </w:p>
    <w:p>
      <w:pPr>
        <w:pBdr>
          <w:top w:val="nil"/>
          <w:left w:val="nil"/>
          <w:bottom w:val="nil"/>
          <w:right w:val="nil"/>
          <w:between w:val="nil"/>
          <w:bar w:val="nil"/>
        </w:pBdr>
        <w:spacing w:before="0" w:after="240"/>
        <w:rPr>
          <w:rFonts w:eastAsia="Arial Unicode MS"/>
          <w:noProof/>
        </w:rPr>
      </w:pPr>
      <w:r>
        <w:rPr>
          <w:noProof/>
        </w:rPr>
        <w:t xml:space="preserve">Horvaatia ametiasutused täheldasid samuti, et viimastel aastatel kehtinud kõrgem künnis ei ole toonud kaasa riigieelarve tulude vähenemist. </w:t>
      </w:r>
    </w:p>
    <w:p>
      <w:pPr>
        <w:pBdr>
          <w:top w:val="nil"/>
          <w:left w:val="nil"/>
          <w:bottom w:val="nil"/>
          <w:right w:val="nil"/>
          <w:between w:val="nil"/>
          <w:bar w:val="nil"/>
        </w:pBdr>
        <w:spacing w:before="0" w:after="240"/>
        <w:rPr>
          <w:rFonts w:eastAsia="Arial Unicode MS"/>
          <w:noProof/>
        </w:rPr>
      </w:pPr>
      <w:r>
        <w:rPr>
          <w:noProof/>
        </w:rPr>
        <w:t>Meede on vabatahtlik. Seetõttu on väikeettevõtjatel, kelle käive ei ületa künnist, endiselt võimalus kasutada oma õigust valida tavapärane käibemaksukord.</w:t>
      </w:r>
    </w:p>
    <w:p>
      <w:pPr>
        <w:pBdr>
          <w:top w:val="nil"/>
          <w:left w:val="nil"/>
          <w:bottom w:val="nil"/>
          <w:right w:val="nil"/>
          <w:between w:val="nil"/>
          <w:bar w:val="nil"/>
        </w:pBdr>
        <w:spacing w:before="0" w:after="240"/>
        <w:rPr>
          <w:rFonts w:eastAsia="Arial Unicode MS"/>
          <w:noProof/>
        </w:rPr>
      </w:pPr>
      <w:r>
        <w:rPr>
          <w:noProof/>
        </w:rPr>
        <w:t xml:space="preserve">Üldiselt on erandid ajaliselt piiratud, et oleks võimalik hinnata erandmeetme asjakohasust ja tulemuslikkust. Lisaks vaadati hiljuti läbi käibemaksudirektiivi artiklid 281–294, milles käsitletakse väikeettevõtjate suhtes kohaldatavat erikorda. Nõukogu direktiivis (EL) </w:t>
      </w:r>
      <w:r>
        <w:rPr>
          <w:noProof/>
        </w:rPr>
        <w:lastRenderedPageBreak/>
        <w:t>2020/285,</w:t>
      </w:r>
      <w:r>
        <w:rPr>
          <w:rStyle w:val="FootnoteReference"/>
          <w:noProof/>
        </w:rPr>
        <w:footnoteReference w:id="3"/>
      </w:r>
      <w:r>
        <w:rPr>
          <w:noProof/>
        </w:rPr>
        <w:t xml:space="preserve"> millega nähakse väikeettevõtjatele ette lihtsamad käibemaksueeskirjad, on nõutud, et liikmesriigid peavad vastu võtma ja avaldama hiljemalt 31. detsembriks 2024 uute eeskirjade järgimiseks vajalikud õigus- ja haldusnormid. Liikmesriigid peavad neid siseriiklikke norme kohaldama alates 1. jaanuarist 2025.</w:t>
      </w:r>
    </w:p>
    <w:p>
      <w:pPr>
        <w:pBdr>
          <w:top w:val="nil"/>
          <w:left w:val="nil"/>
          <w:bottom w:val="nil"/>
          <w:right w:val="nil"/>
          <w:between w:val="nil"/>
          <w:bar w:val="nil"/>
        </w:pBdr>
        <w:spacing w:before="0" w:after="240"/>
        <w:rPr>
          <w:rFonts w:eastAsia="Arial Unicode MS"/>
          <w:noProof/>
        </w:rPr>
      </w:pPr>
      <w:r>
        <w:rPr>
          <w:noProof/>
        </w:rPr>
        <w:t xml:space="preserve">Tulenevalt eelnevast on asjakohane lubada Horvaatial jätkata erandmeetme kohaldamist kuni 31. detsembrini 2024. </w:t>
      </w:r>
    </w:p>
    <w:p>
      <w:pPr>
        <w:pStyle w:val="ManualHeading2"/>
        <w:ind w:left="0" w:firstLine="0"/>
        <w:rPr>
          <w:rFonts w:eastAsia="Arial Unicode MS"/>
          <w:noProof/>
          <w:color w:val="000000"/>
          <w:u w:color="000000"/>
          <w:bdr w:val="nil"/>
        </w:rPr>
      </w:pPr>
      <w:r>
        <w:rPr>
          <w:noProof/>
          <w:color w:val="000000"/>
          <w:u w:color="000000"/>
          <w:bdr w:val="nil"/>
        </w:rPr>
        <w:t>•</w:t>
      </w:r>
      <w:r>
        <w:rPr>
          <w:noProof/>
        </w:rPr>
        <w:tab/>
        <w:t>Kooskõla poliitikavaldkonnas praegu kehtivate õigusnormidega</w:t>
      </w:r>
    </w:p>
    <w:p>
      <w:pPr>
        <w:pBdr>
          <w:top w:val="nil"/>
          <w:left w:val="nil"/>
          <w:bottom w:val="nil"/>
          <w:right w:val="nil"/>
          <w:between w:val="nil"/>
          <w:bar w:val="nil"/>
        </w:pBdr>
        <w:spacing w:before="0" w:after="240"/>
        <w:rPr>
          <w:noProof/>
        </w:rPr>
      </w:pPr>
      <w:r>
        <w:rPr>
          <w:noProof/>
        </w:rPr>
        <w:t>Erandmeede on kooskõlas käibemaksu tegevuskavast</w:t>
      </w:r>
      <w:r>
        <w:rPr>
          <w:rStyle w:val="FootnoteReference"/>
          <w:rFonts w:eastAsia="Arial Unicode MS"/>
          <w:noProof/>
        </w:rPr>
        <w:footnoteReference w:id="4"/>
      </w:r>
      <w:r>
        <w:rPr>
          <w:noProof/>
        </w:rPr>
        <w:t xml:space="preserve"> tuleneva direktiivi (EL) 2020/285 (millega muudetakse käibemaksudirektiivi artikleid 281–294, milles käsitletakse väikeettevõtjate suhtes kohaldatavat erikorda) põhimõtetega ning selle eesmärk on luua nende ettevõtjate jaoks ajakohane lihtsustatud kord. Eelkõige püütakse sellega vähendada käibemaksukohustuste täitmisega seotud kulusid ja konkurentsimoonutusi nii riigis kui ka ELi tasandil, vähendada künnise negatiivset mõju ning lihtsustada ettevõtjatel nõuete täitmist ja maksuhalduritel järelevalve tegemist.</w:t>
      </w:r>
    </w:p>
    <w:p>
      <w:pPr>
        <w:pBdr>
          <w:top w:val="nil"/>
          <w:left w:val="nil"/>
          <w:bottom w:val="nil"/>
          <w:right w:val="nil"/>
          <w:between w:val="nil"/>
          <w:bar w:val="nil"/>
        </w:pBdr>
        <w:spacing w:before="0" w:after="240"/>
        <w:rPr>
          <w:noProof/>
        </w:rPr>
      </w:pPr>
      <w:r>
        <w:rPr>
          <w:noProof/>
        </w:rPr>
        <w:t>Lisaks on 45 000 euro suurune künnis direktiiviga (EL) 2020/285 kooskõlas, kuna see võimaldab liikmesriikidel kehtestada käibemaksuvabastuse jaoks nõutava aastakäibe künnise, mis ei ületa 85 000 eurot (või sellega samaväärset summat riigi vääringus).</w:t>
      </w:r>
    </w:p>
    <w:p>
      <w:pPr>
        <w:pBdr>
          <w:top w:val="nil"/>
          <w:left w:val="nil"/>
          <w:bottom w:val="nil"/>
          <w:right w:val="nil"/>
          <w:between w:val="nil"/>
          <w:bar w:val="nil"/>
        </w:pBdr>
        <w:spacing w:before="0" w:after="240"/>
        <w:rPr>
          <w:noProof/>
        </w:rPr>
      </w:pPr>
      <w:r>
        <w:rPr>
          <w:noProof/>
        </w:rPr>
        <w:t>Samasuguseid erandeid, millega vabastatakse käibemaksust maksukohustuslased, kelle aastakäive jääb allapoole teatavat künnist, nagu on sätestatud käibemaksudirektiivi artiklites 285 ja 287, on tehtud ka teistele liikmesriikidele. Maltal</w:t>
      </w:r>
      <w:r>
        <w:rPr>
          <w:rStyle w:val="FootnoteReference"/>
          <w:rFonts w:eastAsia="Arial Unicode MS"/>
          <w:noProof/>
        </w:rPr>
        <w:footnoteReference w:id="5"/>
      </w:r>
      <w:r>
        <w:rPr>
          <w:noProof/>
        </w:rPr>
        <w:t xml:space="preserve"> on lubatud kohaldada 20 000 euro suurust künnist; Madalmaadel</w:t>
      </w:r>
      <w:r>
        <w:rPr>
          <w:rStyle w:val="FootnoteReference"/>
          <w:rFonts w:eastAsia="Arial Unicode MS"/>
          <w:noProof/>
        </w:rPr>
        <w:footnoteReference w:id="6"/>
      </w:r>
      <w:r>
        <w:rPr>
          <w:noProof/>
        </w:rPr>
        <w:t xml:space="preserve"> 25 000 euro suurust künnist; Itaalial</w:t>
      </w:r>
      <w:r>
        <w:rPr>
          <w:rStyle w:val="FootnoteReference"/>
          <w:noProof/>
        </w:rPr>
        <w:footnoteReference w:id="7"/>
      </w:r>
      <w:r>
        <w:rPr>
          <w:noProof/>
        </w:rPr>
        <w:t xml:space="preserve"> 30 000 euro suurust künnist; Luksemburgil</w:t>
      </w:r>
      <w:r>
        <w:rPr>
          <w:rStyle w:val="FootnoteReference"/>
          <w:rFonts w:eastAsia="Arial Unicode MS"/>
          <w:noProof/>
        </w:rPr>
        <w:footnoteReference w:id="8"/>
      </w:r>
      <w:r>
        <w:rPr>
          <w:noProof/>
        </w:rPr>
        <w:t xml:space="preserve"> 35 000 euro suurust künnist; Lätil,</w:t>
      </w:r>
      <w:r>
        <w:rPr>
          <w:rStyle w:val="FootnoteReference"/>
          <w:noProof/>
        </w:rPr>
        <w:footnoteReference w:id="9"/>
      </w:r>
      <w:r>
        <w:rPr>
          <w:noProof/>
        </w:rPr>
        <w:t xml:space="preserve"> Poolal</w:t>
      </w:r>
      <w:r>
        <w:rPr>
          <w:rStyle w:val="FootnoteReference"/>
          <w:rFonts w:eastAsia="Arial Unicode MS"/>
          <w:noProof/>
        </w:rPr>
        <w:footnoteReference w:id="10"/>
      </w:r>
      <w:r>
        <w:rPr>
          <w:noProof/>
        </w:rPr>
        <w:t xml:space="preserve"> ja Eestil</w:t>
      </w:r>
      <w:r>
        <w:rPr>
          <w:rStyle w:val="FootnoteReference"/>
          <w:rFonts w:eastAsia="Arial Unicode MS"/>
          <w:noProof/>
        </w:rPr>
        <w:footnoteReference w:id="11"/>
      </w:r>
      <w:r>
        <w:rPr>
          <w:noProof/>
        </w:rPr>
        <w:t xml:space="preserve"> 40 000 euro </w:t>
      </w:r>
      <w:r>
        <w:rPr>
          <w:noProof/>
        </w:rPr>
        <w:lastRenderedPageBreak/>
        <w:t>suurust künnist; Leedul</w:t>
      </w:r>
      <w:r>
        <w:rPr>
          <w:rStyle w:val="FootnoteReference"/>
          <w:rFonts w:eastAsia="Arial Unicode MS"/>
          <w:noProof/>
        </w:rPr>
        <w:footnoteReference w:id="12"/>
      </w:r>
      <w:r>
        <w:rPr>
          <w:noProof/>
        </w:rPr>
        <w:t xml:space="preserve"> 45 000 euro suurust künnist; Ungaril</w:t>
      </w:r>
      <w:r>
        <w:rPr>
          <w:rStyle w:val="FootnoteReference"/>
          <w:rFonts w:eastAsia="Arial Unicode MS"/>
          <w:noProof/>
        </w:rPr>
        <w:footnoteReference w:id="13"/>
      </w:r>
      <w:r>
        <w:rPr>
          <w:noProof/>
        </w:rPr>
        <w:t xml:space="preserve"> 48 000 euro suurust künnist; Sloveenial</w:t>
      </w:r>
      <w:r>
        <w:rPr>
          <w:rStyle w:val="FootnoteReference"/>
          <w:rFonts w:eastAsia="Arial Unicode MS"/>
          <w:noProof/>
        </w:rPr>
        <w:footnoteReference w:id="14"/>
      </w:r>
      <w:r>
        <w:rPr>
          <w:noProof/>
        </w:rPr>
        <w:t xml:space="preserve"> 50 000 euro suurust künnist ning Rumeenial</w:t>
      </w:r>
      <w:r>
        <w:rPr>
          <w:rStyle w:val="FootnoteReference"/>
          <w:rFonts w:eastAsia="Arial Unicode MS"/>
          <w:noProof/>
        </w:rPr>
        <w:footnoteReference w:id="15"/>
      </w:r>
      <w:r>
        <w:rPr>
          <w:noProof/>
        </w:rPr>
        <w:t xml:space="preserve"> 88 500 euro suurust künnist.</w:t>
      </w:r>
    </w:p>
    <w:p>
      <w:pPr>
        <w:pBdr>
          <w:top w:val="nil"/>
          <w:left w:val="nil"/>
          <w:bottom w:val="nil"/>
          <w:right w:val="nil"/>
          <w:between w:val="nil"/>
          <w:bar w:val="nil"/>
        </w:pBdr>
        <w:spacing w:before="0" w:after="240"/>
        <w:rPr>
          <w:noProof/>
        </w:rPr>
      </w:pPr>
      <w:r>
        <w:rPr>
          <w:noProof/>
        </w:rPr>
        <w:t>Nagu juba mainitud, peaks käibemaksudirektiivi kohaldamisega seotud erandite kehtivus olema alati ajaliselt piiratud, et oleks võimalik hinnata nende mõju. Horvaatia taotletud erimeetme kehtivusaja pikendamine kuni 31. detsembrini 2024 on kooskõlas väikeste ja keskmise suurusega ettevõtjate jaoks lihtsamaid käibemaksueeskirju kehtestava uue direktiivi nõuetega. Kõnealuses direktiivis on sätestatud, et liikmesriigid peavad kohaldama alates 1. jaanuarist 2025 siseriiklikke norme, mille nad peavad selle direktiivi järgimiseks vastu võtma.</w:t>
      </w:r>
    </w:p>
    <w:p>
      <w:pPr>
        <w:pBdr>
          <w:top w:val="nil"/>
          <w:left w:val="nil"/>
          <w:bottom w:val="nil"/>
          <w:right w:val="nil"/>
          <w:between w:val="nil"/>
          <w:bar w:val="nil"/>
        </w:pBdr>
        <w:spacing w:before="0" w:after="240"/>
        <w:rPr>
          <w:rFonts w:eastAsia="Arial Unicode MS"/>
          <w:noProof/>
        </w:rPr>
      </w:pPr>
      <w:r>
        <w:rPr>
          <w:noProof/>
        </w:rPr>
        <w:t>Kavandatud meede on seega kooskõlas käibemaksudirektiivi sätetega.</w:t>
      </w:r>
    </w:p>
    <w:p>
      <w:pPr>
        <w:pStyle w:val="ManualHeading2"/>
        <w:rPr>
          <w:rFonts w:eastAsia="Arial Unicode MS"/>
          <w:noProof/>
        </w:rPr>
      </w:pPr>
      <w:r>
        <w:rPr>
          <w:noProof/>
          <w:color w:val="000000"/>
          <w:u w:color="000000"/>
          <w:bdr w:val="nil"/>
        </w:rPr>
        <w:t>•</w:t>
      </w:r>
      <w:r>
        <w:rPr>
          <w:noProof/>
        </w:rPr>
        <w:tab/>
        <w:t>Kooskõla muude liidu tegevuspõhimõtetega</w:t>
      </w:r>
    </w:p>
    <w:p>
      <w:pPr>
        <w:pBdr>
          <w:top w:val="nil"/>
          <w:left w:val="nil"/>
          <w:bottom w:val="nil"/>
          <w:right w:val="nil"/>
          <w:between w:val="nil"/>
          <w:bar w:val="nil"/>
        </w:pBdr>
        <w:spacing w:before="0" w:after="240"/>
        <w:rPr>
          <w:noProof/>
        </w:rPr>
      </w:pPr>
      <w:r>
        <w:rPr>
          <w:noProof/>
        </w:rPr>
        <w:t>Komisjon on oma iga-aastastes tööprogrammides pidevalt rõhutanud vajadust väikeettevõtjate jaoks kehtivate lihtsamate eeskirjade järele. Sellega seoses on komisjoni 2020. aasta tööprogrammis</w:t>
      </w:r>
      <w:r>
        <w:rPr>
          <w:rStyle w:val="FootnoteReference"/>
          <w:rFonts w:eastAsia="Arial Unicode MS"/>
          <w:noProof/>
        </w:rPr>
        <w:footnoteReference w:id="16"/>
      </w:r>
      <w:r>
        <w:rPr>
          <w:noProof/>
        </w:rPr>
        <w:t xml:space="preserve"> viidatud sihtotstarbelisele VKEde strateegiale, mis lihtsustab väikeste ja keskmise suurusega ettevõtjate tegevust, kasvamist ja laienemist. Kõnealune erandmeede on nende eesmärkidega kooskõlas eelarve-eeskirjade osas. Meede on eelkõige kooskõlas komisjoni 2017. aasta tööprogrammiga,</w:t>
      </w:r>
      <w:r>
        <w:rPr>
          <w:rStyle w:val="FootnoteReference"/>
          <w:rFonts w:eastAsia="Arial Unicode MS"/>
          <w:noProof/>
        </w:rPr>
        <w:footnoteReference w:id="17"/>
      </w:r>
      <w:r>
        <w:rPr>
          <w:noProof/>
        </w:rPr>
        <w:t xml:space="preserve"> milles märgiti, et väikeettevõtjate käibemaksukohustuse täitmisega seotud halduskoormus on suur ning tehnilised uuendused tekitavad tõhusa maksukogumise jaoks uusi väljakutseid, ja rõhutati vajadust lihtsustada väiksemate ettevõtjate jaoks käibemaksukorda.</w:t>
      </w:r>
    </w:p>
    <w:p>
      <w:pPr>
        <w:pBdr>
          <w:top w:val="nil"/>
          <w:left w:val="nil"/>
          <w:bottom w:val="nil"/>
          <w:right w:val="nil"/>
          <w:between w:val="nil"/>
          <w:bar w:val="nil"/>
        </w:pBdr>
        <w:spacing w:before="0" w:after="240"/>
        <w:rPr>
          <w:noProof/>
        </w:rPr>
      </w:pPr>
      <w:r>
        <w:rPr>
          <w:noProof/>
        </w:rPr>
        <w:lastRenderedPageBreak/>
        <w:t>Samuti on meede kooskõlas 2015. aasta ühtse turu strateegiaga,</w:t>
      </w:r>
      <w:r>
        <w:rPr>
          <w:rStyle w:val="FootnoteReference"/>
          <w:rFonts w:eastAsia="Arial Unicode MS"/>
          <w:noProof/>
        </w:rPr>
        <w:footnoteReference w:id="18"/>
      </w:r>
      <w:r>
        <w:rPr>
          <w:noProof/>
        </w:rPr>
        <w:t xml:space="preserve"> milles komisjon seadis eesmärgiks aidata väikestel ja keskmise suurusega ettevõtjatel kasvada, muu hulgas vähendades halduskoormust, mis takistab neil ühtse turu võimaluste täielikku ärakasutamist. See on ka kooskõlas lähenemisviisiga, mida kajastab komisjoni 2013. aasta teatis „Tegevuskava „Ettevõtlus 2020“: Ettevõtlikkuse taaselavdamine Euroopas“,</w:t>
      </w:r>
      <w:r>
        <w:rPr>
          <w:rStyle w:val="FootnoteReference"/>
          <w:rFonts w:eastAsia="Arial Unicode MS"/>
          <w:noProof/>
        </w:rPr>
        <w:footnoteReference w:id="19"/>
      </w:r>
      <w:r>
        <w:rPr>
          <w:noProof/>
        </w:rPr>
        <w:t xml:space="preserve"> milles rõhutati vajadust lihtsustada maksualaseid õigusakte väikeettevõtjate jaoks.</w:t>
      </w:r>
    </w:p>
    <w:p>
      <w:pPr>
        <w:pBdr>
          <w:top w:val="nil"/>
          <w:left w:val="nil"/>
          <w:bottom w:val="nil"/>
          <w:right w:val="nil"/>
          <w:between w:val="nil"/>
          <w:bar w:val="nil"/>
        </w:pBdr>
        <w:spacing w:before="0" w:after="240"/>
        <w:rPr>
          <w:rFonts w:eastAsia="Arial Unicode MS"/>
          <w:noProof/>
        </w:rPr>
      </w:pPr>
      <w:r>
        <w:rPr>
          <w:noProof/>
        </w:rPr>
        <w:t>Lisaks on meede kooskõlas ELi poliitikaga, mis käsitleb väikesi ja keskmise suurusega ettevõtjaid ning mida on kirjeldatud 2016. aasta teatises idufirmade kohta</w:t>
      </w:r>
      <w:r>
        <w:rPr>
          <w:rStyle w:val="FootnoteReference"/>
          <w:rFonts w:eastAsia="Arial Unicode MS"/>
          <w:noProof/>
        </w:rPr>
        <w:footnoteReference w:id="20"/>
      </w:r>
      <w:r>
        <w:rPr>
          <w:noProof/>
        </w:rPr>
        <w:t xml:space="preserve"> ja 2008. aasta teatises „„Kõigepealt mõtle väikestele“ – Euroopa väikeettevõtlusalgatus „Small Business Act““,</w:t>
      </w:r>
      <w:r>
        <w:rPr>
          <w:rStyle w:val="FootnoteReference"/>
          <w:rFonts w:eastAsia="Arial Unicode MS"/>
          <w:noProof/>
        </w:rPr>
        <w:footnoteReference w:id="21"/>
      </w:r>
      <w:r>
        <w:rPr>
          <w:noProof/>
        </w:rPr>
        <w:t xml:space="preserve"> milles kutsuti liikmesriike üles võtma õigusaktide väljatöötamisel arvesse VKEde eripära ja lihtsustama olemasolevat regulatiivset keskkonda.</w:t>
      </w:r>
    </w:p>
    <w:p>
      <w:pPr>
        <w:pBdr>
          <w:top w:val="nil"/>
          <w:left w:val="nil"/>
          <w:bottom w:val="nil"/>
          <w:right w:val="nil"/>
          <w:between w:val="nil"/>
          <w:bar w:val="nil"/>
        </w:pBdr>
        <w:spacing w:before="0" w:after="240"/>
        <w:rPr>
          <w:b/>
          <w:noProof/>
        </w:rPr>
      </w:pPr>
      <w:r>
        <w:rPr>
          <w:noProof/>
        </w:rPr>
        <w:t xml:space="preserve"> </w:t>
      </w:r>
      <w:r>
        <w:rPr>
          <w:b/>
          <w:noProof/>
        </w:rPr>
        <w:t>2.</w:t>
      </w:r>
      <w:r>
        <w:rPr>
          <w:noProof/>
        </w:rPr>
        <w:tab/>
      </w:r>
      <w:r>
        <w:rPr>
          <w:b/>
          <w:noProof/>
        </w:rPr>
        <w:t>ÕIGUSLIK ALUS, SUBSIDIAARSUS JA PROPORTSIONAALSUS</w:t>
      </w:r>
    </w:p>
    <w:p>
      <w:pPr>
        <w:pStyle w:val="ManualHeading2"/>
        <w:rPr>
          <w:rFonts w:eastAsia="Arial Unicode MS"/>
          <w:noProof/>
          <w:u w:color="000000"/>
          <w:bdr w:val="nil"/>
        </w:rPr>
      </w:pPr>
      <w:r>
        <w:rPr>
          <w:noProof/>
          <w:u w:color="000000"/>
          <w:bdr w:val="nil"/>
        </w:rPr>
        <w:t>•</w:t>
      </w:r>
      <w:r>
        <w:rPr>
          <w:noProof/>
        </w:rPr>
        <w:tab/>
      </w:r>
      <w:r>
        <w:rPr>
          <w:noProof/>
          <w:u w:color="000000"/>
          <w:bdr w:val="nil"/>
        </w:rPr>
        <w:t>Õiguslik alus</w:t>
      </w:r>
    </w:p>
    <w:p>
      <w:pPr>
        <w:pBdr>
          <w:top w:val="nil"/>
          <w:left w:val="nil"/>
          <w:bottom w:val="nil"/>
          <w:right w:val="nil"/>
          <w:between w:val="nil"/>
          <w:bar w:val="nil"/>
        </w:pBdr>
        <w:spacing w:before="0" w:after="240"/>
        <w:rPr>
          <w:rFonts w:eastAsia="Arial Unicode MS"/>
          <w:noProof/>
        </w:rPr>
      </w:pPr>
      <w:r>
        <w:rPr>
          <w:noProof/>
        </w:rPr>
        <w:t>Käibemaksudirektiivi artikkel 395.</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Subsidiaarsus (ainupädevusse mittekuuluva valdkonna puhul) </w:t>
      </w:r>
    </w:p>
    <w:p>
      <w:pPr>
        <w:pBdr>
          <w:top w:val="nil"/>
          <w:left w:val="nil"/>
          <w:bottom w:val="nil"/>
          <w:right w:val="nil"/>
          <w:between w:val="nil"/>
          <w:bar w:val="nil"/>
        </w:pBdr>
        <w:spacing w:before="0" w:after="240"/>
        <w:rPr>
          <w:rFonts w:eastAsia="Arial Unicode MS"/>
          <w:noProof/>
        </w:rPr>
      </w:pPr>
      <w:r>
        <w:rPr>
          <w:noProof/>
        </w:rPr>
        <w:t>Võttes arvesse käibemaksudirektiivi sätet, millel ettepanek põhineb, kuulub ettepanek Euroopa Liidu ainupädevusse. Seepärast subsidiaarsuse põhimõtet ei kohaldata.</w:t>
      </w:r>
    </w:p>
    <w:p>
      <w:pPr>
        <w:pStyle w:val="ManualHeading2"/>
        <w:rPr>
          <w:rFonts w:eastAsia="Arial Unicode MS"/>
          <w:noProof/>
          <w:u w:color="000000"/>
          <w:bdr w:val="nil"/>
        </w:rPr>
      </w:pPr>
      <w:r>
        <w:rPr>
          <w:noProof/>
          <w:u w:color="000000"/>
          <w:bdr w:val="nil"/>
        </w:rPr>
        <w:t>•</w:t>
      </w:r>
      <w:r>
        <w:rPr>
          <w:noProof/>
        </w:rPr>
        <w:tab/>
      </w:r>
      <w:r>
        <w:rPr>
          <w:noProof/>
          <w:u w:color="000000"/>
          <w:bdr w:val="nil"/>
        </w:rPr>
        <w:t>Proportsionaalsus</w:t>
      </w:r>
    </w:p>
    <w:p>
      <w:pPr>
        <w:pBdr>
          <w:top w:val="nil"/>
          <w:left w:val="nil"/>
          <w:bottom w:val="nil"/>
          <w:right w:val="nil"/>
          <w:between w:val="nil"/>
          <w:bar w:val="nil"/>
        </w:pBdr>
        <w:spacing w:before="0" w:after="240"/>
        <w:rPr>
          <w:noProof/>
        </w:rPr>
      </w:pPr>
      <w:r>
        <w:rPr>
          <w:noProof/>
        </w:rPr>
        <w:t>Otsus käsitleb liikmesriigile tema enda taotlusel antud luba ja sellega ei määrata mingeid kohustusi.</w:t>
      </w:r>
    </w:p>
    <w:p>
      <w:pPr>
        <w:pBdr>
          <w:top w:val="nil"/>
          <w:left w:val="nil"/>
          <w:bottom w:val="nil"/>
          <w:right w:val="nil"/>
          <w:between w:val="nil"/>
          <w:bar w:val="nil"/>
        </w:pBdr>
        <w:spacing w:before="0" w:after="240"/>
        <w:rPr>
          <w:rFonts w:eastAsia="Arial Unicode MS"/>
          <w:noProof/>
        </w:rPr>
      </w:pPr>
      <w:r>
        <w:rPr>
          <w:noProof/>
        </w:rPr>
        <w:t>Erandi piiratud ulatust arvestades on erimeede proportsionaalne taotletava eesmärgiga, st lihtsustada maksukogumist väikeste maksukohustuslaste ja maksuhalduri jaoks.</w:t>
      </w:r>
    </w:p>
    <w:p>
      <w:pPr>
        <w:pStyle w:val="ManualHeading2"/>
        <w:rPr>
          <w:rFonts w:eastAsia="Arial Unicode MS"/>
          <w:noProof/>
          <w:u w:color="000000"/>
          <w:bdr w:val="nil"/>
        </w:rPr>
      </w:pPr>
      <w:r>
        <w:rPr>
          <w:noProof/>
          <w:u w:color="000000"/>
          <w:bdr w:val="nil"/>
        </w:rPr>
        <w:t>•</w:t>
      </w:r>
      <w:r>
        <w:rPr>
          <w:noProof/>
        </w:rPr>
        <w:tab/>
      </w:r>
      <w:r>
        <w:rPr>
          <w:noProof/>
          <w:u w:color="000000"/>
          <w:bdr w:val="nil"/>
        </w:rPr>
        <w:t>Vahendi valik</w:t>
      </w:r>
    </w:p>
    <w:p>
      <w:pPr>
        <w:pBdr>
          <w:top w:val="nil"/>
          <w:left w:val="nil"/>
          <w:bottom w:val="nil"/>
          <w:right w:val="nil"/>
          <w:between w:val="nil"/>
          <w:bar w:val="nil"/>
        </w:pBdr>
        <w:spacing w:before="0" w:after="240"/>
        <w:rPr>
          <w:noProof/>
        </w:rPr>
      </w:pPr>
      <w:r>
        <w:rPr>
          <w:noProof/>
        </w:rPr>
        <w:t>Otsus käsitleb liikmesriigile tema enda taotlusel antud luba ja sellega ei määrata mingeid kohustusi.</w:t>
      </w:r>
    </w:p>
    <w:p>
      <w:pPr>
        <w:pBdr>
          <w:top w:val="nil"/>
          <w:left w:val="nil"/>
          <w:bottom w:val="nil"/>
          <w:right w:val="nil"/>
          <w:between w:val="nil"/>
          <w:bar w:val="nil"/>
        </w:pBdr>
        <w:spacing w:before="0" w:after="240"/>
        <w:rPr>
          <w:rFonts w:eastAsia="Arial Unicode MS"/>
          <w:noProof/>
        </w:rPr>
      </w:pPr>
      <w:r>
        <w:rPr>
          <w:noProof/>
        </w:rPr>
        <w:t>Erandi piiratud ulatust arvestades on erimeede proportsionaalne taotletava eesmärgiga, st lihtsustada maksukogumist väikeste maksukohustuslaste ja maksuhalduri jaoks.</w:t>
      </w:r>
    </w:p>
    <w:p>
      <w:pPr>
        <w:pStyle w:val="ManualHeading1"/>
        <w:rPr>
          <w:noProof/>
        </w:rPr>
      </w:pPr>
      <w:r>
        <w:rPr>
          <w:noProof/>
        </w:rPr>
        <w:lastRenderedPageBreak/>
        <w:t>3.</w:t>
      </w:r>
      <w:r>
        <w:rPr>
          <w:noProof/>
        </w:rPr>
        <w:tab/>
        <w:t>JÄRELHINDAMISE, SIDUSRÜHMADEGA KONSULTEERIMISE JA MÕJU HINDAMISE TULEMUSED</w:t>
      </w:r>
    </w:p>
    <w:p>
      <w:pPr>
        <w:pStyle w:val="ManualHeading2"/>
        <w:rPr>
          <w:rFonts w:eastAsia="Arial Unicode MS"/>
          <w:noProof/>
          <w:u w:color="000000"/>
          <w:bdr w:val="nil"/>
        </w:rPr>
      </w:pPr>
      <w:r>
        <w:rPr>
          <w:noProof/>
          <w:u w:color="000000"/>
          <w:bdr w:val="nil"/>
        </w:rPr>
        <w:t>•</w:t>
      </w:r>
      <w:r>
        <w:rPr>
          <w:noProof/>
        </w:rPr>
        <w:tab/>
      </w:r>
      <w:r>
        <w:rPr>
          <w:noProof/>
          <w:u w:color="000000"/>
          <w:bdr w:val="nil"/>
        </w:rPr>
        <w:t>Konsulteerimine sidusrühmadega</w:t>
      </w:r>
    </w:p>
    <w:p>
      <w:pPr>
        <w:pBdr>
          <w:top w:val="nil"/>
          <w:left w:val="nil"/>
          <w:bottom w:val="nil"/>
          <w:right w:val="nil"/>
          <w:between w:val="nil"/>
          <w:bar w:val="nil"/>
        </w:pBdr>
        <w:spacing w:before="0" w:after="240"/>
        <w:rPr>
          <w:rFonts w:eastAsia="Arial Unicode MS"/>
          <w:noProof/>
        </w:rPr>
      </w:pPr>
      <w:r>
        <w:rPr>
          <w:noProof/>
        </w:rPr>
        <w:t>Sidusrühmadega ei konsulteeritud. Käesolev ettepanek põhineb Horvaatia esitatud taotlusel ja käsitleb ainult kõnealust konkreetset liikmesriiki.</w:t>
      </w:r>
    </w:p>
    <w:p>
      <w:pPr>
        <w:pStyle w:val="ManualHeading2"/>
        <w:rPr>
          <w:rFonts w:eastAsia="Arial Unicode MS"/>
          <w:noProof/>
          <w:u w:color="000000"/>
          <w:bdr w:val="nil"/>
        </w:rPr>
      </w:pPr>
      <w:r>
        <w:rPr>
          <w:noProof/>
          <w:u w:color="000000"/>
          <w:bdr w:val="nil"/>
        </w:rPr>
        <w:t>•</w:t>
      </w:r>
      <w:r>
        <w:rPr>
          <w:noProof/>
        </w:rPr>
        <w:tab/>
      </w:r>
      <w:r>
        <w:rPr>
          <w:noProof/>
          <w:u w:color="000000"/>
          <w:bdr w:val="nil"/>
        </w:rPr>
        <w:t>Eksperdiarvamuste kogumine ja kasutamine</w:t>
      </w:r>
    </w:p>
    <w:p>
      <w:pPr>
        <w:pBdr>
          <w:top w:val="nil"/>
          <w:left w:val="nil"/>
          <w:bottom w:val="nil"/>
          <w:right w:val="nil"/>
          <w:between w:val="nil"/>
          <w:bar w:val="nil"/>
        </w:pBdr>
        <w:spacing w:before="0" w:after="240"/>
        <w:rPr>
          <w:rFonts w:eastAsia="Arial Unicode MS"/>
          <w:noProof/>
        </w:rPr>
      </w:pPr>
      <w:r>
        <w:rPr>
          <w:noProof/>
        </w:rPr>
        <w:t>Välisekspertide arvamusi ei olnud vaja kasutada.</w:t>
      </w:r>
    </w:p>
    <w:p>
      <w:pPr>
        <w:pStyle w:val="ManualHeading2"/>
        <w:rPr>
          <w:rFonts w:eastAsia="Arial Unicode MS"/>
          <w:noProof/>
          <w:u w:color="000000"/>
          <w:bdr w:val="nil"/>
        </w:rPr>
      </w:pPr>
      <w:r>
        <w:rPr>
          <w:noProof/>
          <w:u w:color="000000"/>
          <w:bdr w:val="nil"/>
        </w:rPr>
        <w:t>•</w:t>
      </w:r>
      <w:r>
        <w:rPr>
          <w:noProof/>
        </w:rPr>
        <w:tab/>
      </w:r>
      <w:r>
        <w:rPr>
          <w:noProof/>
          <w:u w:color="000000"/>
          <w:bdr w:val="nil"/>
        </w:rPr>
        <w:t>Mõjuhinnang</w:t>
      </w:r>
    </w:p>
    <w:p>
      <w:pPr>
        <w:pBdr>
          <w:top w:val="nil"/>
          <w:left w:val="nil"/>
          <w:bottom w:val="nil"/>
          <w:right w:val="nil"/>
          <w:between w:val="nil"/>
          <w:bar w:val="nil"/>
        </w:pBdr>
        <w:spacing w:before="0" w:after="240"/>
        <w:rPr>
          <w:noProof/>
        </w:rPr>
      </w:pPr>
      <w:r>
        <w:rPr>
          <w:noProof/>
        </w:rPr>
        <w:t xml:space="preserve">Ettepanek võtta vastu nõukogu rakendusotsus on tehtud selleks, et suurendada aastakäibe künnist, millest väiksema käibega maksukohustuslased võib vabastada käibemaksust. Seega laiendatakse selle lihtsustamismeetme kohaldamisala, millega vabastatakse mitmest käibemaksukohustusest ettevõtjad, kelle aastakäive riigi vääringus ei ületa 45 000 eurot. </w:t>
      </w:r>
    </w:p>
    <w:p>
      <w:pPr>
        <w:pBdr>
          <w:top w:val="nil"/>
          <w:left w:val="nil"/>
          <w:bottom w:val="nil"/>
          <w:right w:val="nil"/>
          <w:between w:val="nil"/>
          <w:bar w:val="nil"/>
        </w:pBdr>
        <w:spacing w:before="0" w:after="240"/>
        <w:rPr>
          <w:rFonts w:eastAsia="Arial Unicode MS"/>
          <w:noProof/>
        </w:rPr>
      </w:pPr>
      <w:r>
        <w:rPr>
          <w:noProof/>
        </w:rPr>
        <w:t xml:space="preserve">Isikud, kelle maksustatav käive ei ületa künnist, ei pea end registreerima käibemaksukohustuslasena ning seega nende halduskoormus meetme tulemusena väheneb, kuna nad ei pea pidama käibemaksuarvestust ega esitama käibedeklaratsiooni. Ka maksuhalduri töökoormus väheneb. Sellel võib olla positiivne mõju praegu Horvaatias käibemaksukohustuslasena registreeritud maksukohustuslaste halduskoormuse vähendamisele ja maksuhaldusele. </w:t>
      </w:r>
    </w:p>
    <w:p>
      <w:pPr>
        <w:rPr>
          <w:noProof/>
        </w:rPr>
      </w:pPr>
      <w:r>
        <w:rPr>
          <w:noProof/>
        </w:rPr>
        <w:t xml:space="preserve">Horvaatia käibemaksutulu mõju eelarvele ei ole toonud kaasa riigieelarve vähenemist. </w:t>
      </w:r>
    </w:p>
    <w:p>
      <w:pPr>
        <w:pStyle w:val="ManualHeading1"/>
        <w:rPr>
          <w:noProof/>
        </w:rPr>
      </w:pPr>
      <w:r>
        <w:rPr>
          <w:noProof/>
        </w:rPr>
        <w:t>4.</w:t>
      </w:r>
      <w:r>
        <w:rPr>
          <w:noProof/>
        </w:rPr>
        <w:tab/>
        <w:t>MÕJU EELARVELE</w:t>
      </w:r>
    </w:p>
    <w:p>
      <w:pPr>
        <w:rPr>
          <w:noProof/>
        </w:rPr>
      </w:pPr>
      <w:r>
        <w:rPr>
          <w:noProof/>
        </w:rPr>
        <w:t>Ettepanekul puudub mõju ELi eelarvele, kuna Horvaatia arvutab välja nõukogu määruse (EMÜ, Euratom) nr 1553/89 artikli 6 kohase hüvitise.</w:t>
      </w:r>
    </w:p>
    <w:p>
      <w:pPr>
        <w:pStyle w:val="ManualHeading1"/>
        <w:rPr>
          <w:noProof/>
        </w:rPr>
      </w:pPr>
      <w:r>
        <w:rPr>
          <w:noProof/>
        </w:rPr>
        <w:t>5.</w:t>
      </w:r>
      <w:r>
        <w:rPr>
          <w:noProof/>
        </w:rPr>
        <w:tab/>
        <w:t>MUU TEAVE</w:t>
      </w:r>
    </w:p>
    <w:p>
      <w:pPr>
        <w:rPr>
          <w:noProof/>
        </w:rPr>
      </w:pPr>
      <w:r>
        <w:rPr>
          <w:noProof/>
        </w:rPr>
        <w:t>Ettepanek sisaldab aegumisklauslit.</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2020/0280 (NLE)</w:t>
      </w:r>
    </w:p>
    <w:p>
      <w:pPr>
        <w:pStyle w:val="Statut"/>
        <w:rPr>
          <w:noProof/>
        </w:rPr>
      </w:pPr>
      <w:r>
        <w:rPr>
          <w:noProof/>
        </w:rPr>
        <w:t>Ettepanek:</w:t>
      </w:r>
    </w:p>
    <w:p>
      <w:pPr>
        <w:pStyle w:val="Typedudocument"/>
        <w:rPr>
          <w:noProof/>
        </w:rPr>
      </w:pPr>
      <w:r>
        <w:rPr>
          <w:noProof/>
        </w:rPr>
        <w:t>NÕUKOGU RAKENDUSOTSUS,</w:t>
      </w:r>
    </w:p>
    <w:p>
      <w:pPr>
        <w:pStyle w:val="Titreobjet"/>
        <w:rPr>
          <w:noProof/>
        </w:rPr>
      </w:pPr>
      <w:r>
        <w:rPr>
          <w:noProof/>
        </w:rPr>
        <w:t>millega muudetakse rakendusotsust (EL) 2017/1768, millega lubatakse Horvaatia Vabariigil kehtestada erimeede, millega tehakse erand direktiivi 2006/112/EÜ (mis käsitleb ühist käibemaksusüsteemi) artiklist 287</w:t>
      </w:r>
    </w:p>
    <w:p>
      <w:pPr>
        <w:pStyle w:val="Institutionquiagit"/>
        <w:rPr>
          <w:noProof/>
        </w:rPr>
      </w:pPr>
      <w:r>
        <w:rPr>
          <w:noProof/>
        </w:rPr>
        <w:t>EUROOPA LIIDU NÕUKOGU,</w:t>
      </w:r>
    </w:p>
    <w:p>
      <w:pPr>
        <w:rPr>
          <w:noProof/>
        </w:rPr>
      </w:pPr>
      <w:r>
        <w:rPr>
          <w:noProof/>
        </w:rPr>
        <w:t xml:space="preserve">võttes arvesse Euroopa Liidu toimimise lepingut, </w:t>
      </w:r>
    </w:p>
    <w:p>
      <w:pPr>
        <w:rPr>
          <w:noProof/>
        </w:rPr>
      </w:pPr>
      <w:r>
        <w:rPr>
          <w:noProof/>
        </w:rPr>
        <w:t>võttes arvesse nõukogu 28. novembri 2006. aasta direktiivi 2006/112/EÜ, mis käsitleb ühist käibemaksusüsteemi,</w:t>
      </w:r>
      <w:r>
        <w:rPr>
          <w:rStyle w:val="FootnoteReference"/>
          <w:noProof/>
        </w:rPr>
        <w:footnoteReference w:id="22"/>
      </w:r>
      <w:r>
        <w:rPr>
          <w:noProof/>
        </w:rPr>
        <w:t xml:space="preserve"> eriti selle artikli 395 lõike 1 esimest lõiku,</w:t>
      </w:r>
    </w:p>
    <w:p>
      <w:pPr>
        <w:rPr>
          <w:noProof/>
        </w:rPr>
      </w:pPr>
      <w:r>
        <w:rPr>
          <w:noProof/>
        </w:rPr>
        <w:t>võttes arvesse Euroopa Komisjoni ettepanekut</w:t>
      </w:r>
    </w:p>
    <w:p>
      <w:pPr>
        <w:rPr>
          <w:noProof/>
        </w:rPr>
      </w:pPr>
      <w:r>
        <w:rPr>
          <w:noProof/>
        </w:rPr>
        <w:t>ning arvestades järgmist:</w:t>
      </w:r>
    </w:p>
    <w:p>
      <w:pPr>
        <w:pStyle w:val="ManualConsidrant"/>
        <w:rPr>
          <w:noProof/>
        </w:rPr>
      </w:pPr>
      <w:r>
        <w:t>(1)</w:t>
      </w:r>
      <w:r>
        <w:tab/>
      </w:r>
      <w:r>
        <w:rPr>
          <w:noProof/>
        </w:rPr>
        <w:t>Direktiivi 2006/112/EÜ artikli 287 punkti 19 kohaselt võib Horvaatia kohaldada käibemaksuvabastust maksukohustuslaste suhtes, kelle aastakäive riigi vääringus ühinemiskuupäeval kehtinud vahetuskursi alusel arvutatuna ei ületa 35 000 eurot.</w:t>
      </w:r>
    </w:p>
    <w:p>
      <w:pPr>
        <w:pStyle w:val="ManualConsidrant"/>
        <w:rPr>
          <w:noProof/>
        </w:rPr>
      </w:pPr>
      <w:r>
        <w:t>(2)</w:t>
      </w:r>
      <w:r>
        <w:tab/>
      </w:r>
      <w:r>
        <w:rPr>
          <w:noProof/>
        </w:rPr>
        <w:t>Nõukogu rakendusotsusega (EL) 2017/1768</w:t>
      </w:r>
      <w:r>
        <w:rPr>
          <w:rStyle w:val="FootnoteReference"/>
          <w:rFonts w:eastAsia="Arial Unicode MS"/>
          <w:noProof/>
        </w:rPr>
        <w:footnoteReference w:id="23"/>
      </w:r>
      <w:r>
        <w:rPr>
          <w:noProof/>
        </w:rPr>
        <w:t xml:space="preserve"> lubati Horvaatial kehtestada erimeede, millega tehakse erand direktiivi 2006/112/EÜ artiklist 287 (edaspidi „erandmeede“), et vabastada käibemaksust maksukohustuslased, kelle aastakäive riigi vääringus ühinemiskuupäeval kehtinud vahetuskursi alusel arvutatuna ei ületa 45 000 eurot; erandmeedet lubati kohaldada kuni 31. detsembrini 2020 või kuni direktiivi 2006/112/EÜ artikleid 281–294 muutva direktiivi jõustumiseni, olenevalt sellest, kumb kuupäev on varasem. </w:t>
      </w:r>
    </w:p>
    <w:p>
      <w:pPr>
        <w:pStyle w:val="ManualConsidrant"/>
        <w:rPr>
          <w:noProof/>
        </w:rPr>
      </w:pPr>
      <w:r>
        <w:t>(3)</w:t>
      </w:r>
      <w:r>
        <w:tab/>
      </w:r>
      <w:r>
        <w:rPr>
          <w:noProof/>
        </w:rPr>
        <w:t>Komisjonis 18. mail 2020 registreeritud kirjas taotles Horvaatia luba jätkata erandmeetme kohaldamist kuni 31. detsembrini 2024, mis on kuupäev, milleks liikmesriigid peavad vastu võtma vajalikud õigus- ja haldusnormid, et järgida nõukogu direktiivi (EL) 2020/285,</w:t>
      </w:r>
      <w:r>
        <w:rPr>
          <w:rStyle w:val="FootnoteReference"/>
          <w:noProof/>
        </w:rPr>
        <w:footnoteReference w:id="24"/>
      </w:r>
      <w:r>
        <w:rPr>
          <w:noProof/>
        </w:rPr>
        <w:t xml:space="preserve"> millega nähakse ette lihtsamad käibemaksueeskirjad väikeettevõtjatele ja jäetakse muu hulgas välja direktiivi 2006/112/EÜ artikkel 287.</w:t>
      </w:r>
    </w:p>
    <w:p>
      <w:pPr>
        <w:pStyle w:val="ManualConsidrant"/>
        <w:rPr>
          <w:noProof/>
        </w:rPr>
      </w:pPr>
      <w:r>
        <w:t>(4)</w:t>
      </w:r>
      <w:r>
        <w:tab/>
      </w:r>
      <w:r>
        <w:rPr>
          <w:noProof/>
        </w:rPr>
        <w:t>Direktiivi 2006/112/EÜ artikli 395 lõike 2 teise lõigu kohaselt teavitas komisjon 9. juuni 2020. aasta kirjas teisi liikmesriike Horvaatia taotlusest. Komisjon teatas 11. juuni 2020. aasta kirjas Horvaatiale, et tal on taotluse hindamiseks kogu vajalik teave.</w:t>
      </w:r>
    </w:p>
    <w:p>
      <w:pPr>
        <w:pStyle w:val="ManualConsidrant"/>
        <w:rPr>
          <w:noProof/>
        </w:rPr>
      </w:pPr>
      <w:r>
        <w:lastRenderedPageBreak/>
        <w:t>(5)</w:t>
      </w:r>
      <w:r>
        <w:tab/>
      </w:r>
      <w:r>
        <w:rPr>
          <w:noProof/>
        </w:rPr>
        <w:t>Horvaatia esitatud teabest ilmneb, et erandmeetme taotlemise põhjused on jäänud suures osas samaks ning suurendatud künnis ei ole mõjutanud lõpptarbimise etapis kogutava maksutulu kogusummat. Maksukohustuslased võivad endiselt valida tavapärase käibemaksukorra.</w:t>
      </w:r>
    </w:p>
    <w:p>
      <w:pPr>
        <w:pStyle w:val="ManualConsidrant"/>
        <w:rPr>
          <w:noProof/>
        </w:rPr>
      </w:pPr>
      <w:r>
        <w:t>(6)</w:t>
      </w:r>
      <w:r>
        <w:tab/>
      </w:r>
      <w:r>
        <w:rPr>
          <w:noProof/>
        </w:rPr>
        <w:t>Võttes arvesse erandmeetme võimalikku positiivset mõju väikeettevõtjate ja maksuhalduri halduskoormuse ning nõuete täitmisega seotud kulude vähendamisele ning asjaolu, et see ei avalda olulist mõju kogu käibemaksutulule, tuleks Horvaatial lubada jätkata erandmeetme kohaldamist.</w:t>
      </w:r>
    </w:p>
    <w:p>
      <w:pPr>
        <w:pStyle w:val="ManualConsidrant"/>
        <w:rPr>
          <w:noProof/>
        </w:rPr>
      </w:pPr>
      <w:r>
        <w:t>(7)</w:t>
      </w:r>
      <w:r>
        <w:tab/>
      </w:r>
      <w:r>
        <w:rPr>
          <w:noProof/>
        </w:rPr>
        <w:t>Erandmeetme kohaldamise luba peaks olema ajaliselt piiratud. Tähtaeg peaks olema piisav, et võimaldada hinnata künnise tulemuslikkust ja asjakohasust. Lisaks jäetakse direktiiviga (EL) 2020/285 alates 1. jaanuarist 2025 välja direktiivi 2006/112/EÜ artikkel 287. Tulenevalt eelnevast on asjakohane lubada Horvaatial jätkata erandmeetme kohaldamist kuni 31. detsembrini 2024.</w:t>
      </w:r>
    </w:p>
    <w:p>
      <w:pPr>
        <w:pStyle w:val="ManualConsidrant"/>
        <w:rPr>
          <w:noProof/>
        </w:rPr>
      </w:pPr>
      <w:r>
        <w:t>(8)</w:t>
      </w:r>
      <w:r>
        <w:tab/>
      </w:r>
      <w:r>
        <w:rPr>
          <w:noProof/>
        </w:rPr>
        <w:t>Erandi kohaldamine ei mõjuta käibemaksust saadavaid liidu omavahendeid, sest Horvaatia arvutab välja nõukogu määruse (EMÜ, Euratom) nr 1553/89</w:t>
      </w:r>
      <w:r>
        <w:rPr>
          <w:rStyle w:val="FootnoteReference"/>
          <w:noProof/>
        </w:rPr>
        <w:footnoteReference w:id="25"/>
      </w:r>
      <w:r>
        <w:rPr>
          <w:noProof/>
        </w:rPr>
        <w:t xml:space="preserve"> artikli 6 kohase hüvitise.</w:t>
      </w:r>
    </w:p>
    <w:p>
      <w:pPr>
        <w:pStyle w:val="ManualConsidrant"/>
        <w:rPr>
          <w:noProof/>
        </w:rPr>
      </w:pPr>
      <w:r>
        <w:t>(9)</w:t>
      </w:r>
      <w:r>
        <w:tab/>
      </w:r>
      <w:r>
        <w:rPr>
          <w:noProof/>
        </w:rPr>
        <w:t>Seepärast tuleks rakendusotsust (EL) 2017/1768 vastavalt muuta,</w:t>
      </w:r>
    </w:p>
    <w:p>
      <w:pPr>
        <w:rPr>
          <w:noProof/>
        </w:rPr>
      </w:pPr>
    </w:p>
    <w:p>
      <w:pPr>
        <w:pStyle w:val="Formuledadoption"/>
        <w:rPr>
          <w:noProof/>
        </w:rPr>
      </w:pPr>
      <w:r>
        <w:rPr>
          <w:noProof/>
        </w:rPr>
        <w:t xml:space="preserve">ON VASTU VÕTNUD KÄESOLEVA OTSUSE: </w:t>
      </w:r>
    </w:p>
    <w:p>
      <w:pPr>
        <w:pStyle w:val="Titrearticle"/>
        <w:rPr>
          <w:noProof/>
        </w:rPr>
      </w:pPr>
      <w:r>
        <w:rPr>
          <w:noProof/>
        </w:rPr>
        <w:t>Artikkel 1</w:t>
      </w:r>
    </w:p>
    <w:p>
      <w:pPr>
        <w:rPr>
          <w:noProof/>
        </w:rPr>
      </w:pPr>
      <w:r>
        <w:rPr>
          <w:noProof/>
        </w:rPr>
        <w:t>Rakendusotsuse (EL) 2017/1768 artikli 2 teine lõik asendatakse järgmisega:</w:t>
      </w:r>
    </w:p>
    <w:p>
      <w:pPr>
        <w:rPr>
          <w:noProof/>
          <w:color w:val="000000" w:themeColor="text1"/>
        </w:rPr>
      </w:pPr>
      <w:r>
        <w:rPr>
          <w:noProof/>
        </w:rPr>
        <w:t>„Otsust kohaldatakse alates 1. jaanuarist 2018 kuni 31. detsembrini 2024.“</w:t>
      </w:r>
    </w:p>
    <w:p>
      <w:pPr>
        <w:pStyle w:val="Titrearticle"/>
        <w:rPr>
          <w:noProof/>
        </w:rPr>
      </w:pPr>
      <w:r>
        <w:rPr>
          <w:noProof/>
        </w:rPr>
        <w:t>Artikkel 2</w:t>
      </w:r>
    </w:p>
    <w:p>
      <w:pPr>
        <w:keepNext/>
        <w:keepLines/>
        <w:rPr>
          <w:noProof/>
        </w:rPr>
      </w:pPr>
      <w:r>
        <w:rPr>
          <w:noProof/>
        </w:rPr>
        <w:t>Käesolev otsus on adresseeritud Horvaatia Vabariigile.</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p/>
  </w:endnote>
  <w:endnote w:type="continuationSeparator" w:id="0">
    <w:p>
      <w:pPr>
        <w:spacing w:before="0" w:after="0"/>
      </w:pPr>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p/>
  </w:footnote>
  <w:footnote w:type="continuationSeparator" w:id="0">
    <w:p>
      <w:pPr>
        <w:spacing w:before="0" w:after="0"/>
      </w:pPr>
      <w:r>
        <w:continuationSeparator/>
      </w:r>
    </w:p>
    <w:p/>
  </w:footnote>
  <w:footnote w:id="1">
    <w:p>
      <w:pPr>
        <w:pStyle w:val="FootnoteText"/>
      </w:pPr>
      <w:r>
        <w:rPr>
          <w:rStyle w:val="FootnoteReference"/>
        </w:rPr>
        <w:footnoteRef/>
      </w:r>
      <w:r>
        <w:tab/>
        <w:t>ELT L 347, 11.12.2006, lk 1.</w:t>
      </w:r>
    </w:p>
  </w:footnote>
  <w:footnote w:id="2">
    <w:p>
      <w:pPr>
        <w:pStyle w:val="FootnoteText"/>
      </w:pPr>
      <w:r>
        <w:rPr>
          <w:rStyle w:val="FootnoteReference"/>
        </w:rPr>
        <w:footnoteRef/>
      </w:r>
      <w:r>
        <w:tab/>
        <w:t>Nõukogu 25. septembri 2017. aasta rakendusotsus (EL) 2017/1768, millega lubatakse Horvaatia Vabariigil kehtestada erimeede, millega tehakse erand direktiivi 2006/112/EÜ (mis käsitleb ühist käibemaksusüsteemi) artiklist 287 (ELT L 250, 28.9.2017, lk 71).</w:t>
      </w:r>
    </w:p>
  </w:footnote>
  <w:footnote w:id="3">
    <w:p>
      <w:pPr>
        <w:pStyle w:val="FootnoteText"/>
      </w:pPr>
      <w:r>
        <w:rPr>
          <w:rStyle w:val="FootnoteReference"/>
        </w:rPr>
        <w:footnoteRef/>
      </w:r>
      <w:r>
        <w:tab/>
        <w:t>Nõukogu 18. veebruari 2020. aasta direktiiv (EL) 2020/285, millega muudetakse direktiivi 2006/112/EÜ (mis käsitleb ühist käibemaksusüsteemi) väikeettevõtete erikorra osas ning määrust (EL) nr 904/2010 halduskoostöö ja teabevahetuse osas, mille eesmärk on teostada järelevalvet väikeettevõtete erikorra nõuetekohase kohaldamise üle (ELT L 62, 2.3.2020, lk 13).</w:t>
      </w:r>
    </w:p>
  </w:footnote>
  <w:footnote w:id="4">
    <w:p>
      <w:pPr>
        <w:pStyle w:val="FootnoteText"/>
      </w:pPr>
      <w:r>
        <w:rPr>
          <w:rStyle w:val="FootnoteReference"/>
        </w:rPr>
        <w:footnoteRef/>
      </w:r>
      <w:r>
        <w:tab/>
        <w:t>Komisjoni teatis Euroopa Parlamendile, nõukogule ning Euroopa Majandus- ja Sotsiaalkomiteele käibemaksu tegevuskava kohta „Ühtse ELi käibemaksuala suunas – On aeg otsustada“ (COM(2016) 148 final).</w:t>
      </w:r>
    </w:p>
  </w:footnote>
  <w:footnote w:id="5">
    <w:p>
      <w:pPr>
        <w:pStyle w:val="FootnoteText"/>
      </w:pPr>
      <w:r>
        <w:rPr>
          <w:rStyle w:val="FootnoteReference"/>
        </w:rPr>
        <w:footnoteRef/>
      </w:r>
      <w:r>
        <w:tab/>
        <w:t>Nõukogu 20. veebruari 2018. aasta rakendusotsus (EL) 2018/279, millega lubatakse Maltal kohaldada erimeedet, millega tehakse erand direktiivi 2006/112/EÜ (mis käsitleb ühist käibemaksusüsteemi) artiklist 287 (ELT L 54, 24.2.2018, lk 14).</w:t>
      </w:r>
    </w:p>
  </w:footnote>
  <w:footnote w:id="6">
    <w:p>
      <w:pPr>
        <w:pStyle w:val="FootnoteText"/>
      </w:pPr>
      <w:r>
        <w:rPr>
          <w:rStyle w:val="FootnoteReference"/>
        </w:rPr>
        <w:footnoteRef/>
      </w:r>
      <w:r>
        <w:tab/>
        <w:t>Nõukogu 4. detsembri 2018. aasta rakendusotsus (EL) 2018/1904, mille kohaselt lubatakse Madalmaadel kehtestada erimeede, millega tehakse erand ühist käibemaksusüsteemi käsitleva direktiivi 2006/112/EÜ artiklist 285 (ELT L 310, 6.12.2018, lk 25).</w:t>
      </w:r>
    </w:p>
  </w:footnote>
  <w:footnote w:id="7">
    <w:p>
      <w:pPr>
        <w:pStyle w:val="FootnoteText"/>
      </w:pPr>
      <w:r>
        <w:rPr>
          <w:rStyle w:val="FootnoteReference"/>
        </w:rPr>
        <w:footnoteRef/>
      </w:r>
      <w:r>
        <w:tab/>
        <w:t>Nõukogu 8. novembri 2016. aasta rakendusotsus (EL) 2016/1988, millega muudetakse rakendusotsust 2013/678/EL, millega Itaalia Vabariigil lubatakse jätkuvalt kohaldada erimeedet, millega tehakse erand ühist käibemaksusüsteemi käsitleva direktiivi 2006/112/EÜ artiklist 285 (ELT L 306, 15.11.2016, lk 11).</w:t>
      </w:r>
    </w:p>
  </w:footnote>
  <w:footnote w:id="8">
    <w:p>
      <w:pPr>
        <w:pStyle w:val="FootnoteText"/>
      </w:pPr>
      <w:r>
        <w:rPr>
          <w:rStyle w:val="FootnoteReference"/>
        </w:rPr>
        <w:footnoteRef/>
      </w:r>
      <w:r>
        <w:tab/>
        <w:t>Nõukogu 19. detsembri 2019. aasta rakendusotsus (EL) 2019/2210, millega muudetakse rakendusotsust 2013/677/EL, mille kohaselt lubatakse Luksemburgil kehtestada erimeede, millega tehakse erand ühist käibemaksusüsteemi käsitleva direktiivi 2006/112/EÜ artiklist 285 (ELT L 332, 23.12.2019, lk 155).</w:t>
      </w:r>
    </w:p>
  </w:footnote>
  <w:footnote w:id="9">
    <w:p>
      <w:pPr>
        <w:pStyle w:val="FootnoteText"/>
      </w:pPr>
      <w:r>
        <w:rPr>
          <w:rStyle w:val="FootnoteReference"/>
        </w:rPr>
        <w:footnoteRef/>
      </w:r>
      <w:r>
        <w:tab/>
        <w:t>Nõukogu 18. detsembri 2017. aasta rakendusotsus (EL) 2017/2408, millega lubatakse Läti Vabariigil kohaldada erimeedet, millega tehakse erand direktiivi 2006/112/EÜ (mis käsitleb ühist käibemaksusüsteemi) artiklist 287 (ELT L 342, 21.12.2017, lk 8).</w:t>
      </w:r>
    </w:p>
  </w:footnote>
  <w:footnote w:id="10">
    <w:p>
      <w:pPr>
        <w:pStyle w:val="FootnoteText"/>
      </w:pPr>
      <w:r>
        <w:rPr>
          <w:rStyle w:val="FootnoteReference"/>
        </w:rPr>
        <w:footnoteRef/>
      </w:r>
      <w:r>
        <w:tab/>
        <w:t>Nõukogu 4. detsembri 2018. aasta rakendusotsus (EL) 2018/1919, millega muudetakse otsust 2009/790/EÜ, mille kohaselt lubatakse Poola Vabariigil kohaldada meedet, millega tehakse erand direktiivi 2006/112/EÜ (mis käsitleb ühist käibemaksusüsteemi) artiklist 287 (ELT L 311, 7.12.2018, lk 32).</w:t>
      </w:r>
    </w:p>
  </w:footnote>
  <w:footnote w:id="11">
    <w:p>
      <w:pPr>
        <w:pStyle w:val="FootnoteText"/>
      </w:pPr>
      <w:r>
        <w:rPr>
          <w:rStyle w:val="FootnoteReference"/>
        </w:rPr>
        <w:footnoteRef/>
      </w:r>
      <w:r>
        <w:tab/>
        <w:t>Nõukogu 21. märtsi 2017. aasta rakendusotsus (EL) 2017/563, millega lubatakse Eesti Vabariigil kohaldada erimeedet, millega tehakse erand direktiivi 2006/112/EÜ (mis käsitleb ühist käibemaksusüsteemi) artiklist 287 (ELT L 80, 25.3.2017, lk 33).</w:t>
      </w:r>
    </w:p>
  </w:footnote>
  <w:footnote w:id="12">
    <w:p>
      <w:pPr>
        <w:pStyle w:val="FootnoteText"/>
      </w:pPr>
      <w:r>
        <w:rPr>
          <w:rStyle w:val="FootnoteReference"/>
        </w:rPr>
        <w:footnoteRef/>
      </w:r>
      <w:r>
        <w:tab/>
        <w:t>Nõukogu 10. oktoobri 2017. aasta rakendusotsus (EL) 2017/1853, millega muudetakse rakendusotsust 2011/335/EL, mille kohaselt lubatakse Leedu Vabariigil kohaldada meedet, millega tehakse erand direktiivi 2006/112/EÜ (mis käsitleb ühist käibemaksusüsteemi) artiklist 287 (ELT L 265, 14.10.2017, lk 15).</w:t>
      </w:r>
    </w:p>
  </w:footnote>
  <w:footnote w:id="13">
    <w:p>
      <w:pPr>
        <w:pStyle w:val="FootnoteText"/>
      </w:pPr>
      <w:r>
        <w:rPr>
          <w:rStyle w:val="FootnoteReference"/>
        </w:rPr>
        <w:footnoteRef/>
      </w:r>
      <w:r>
        <w:tab/>
        <w:t>Nõukogu 2. oktoobri 2018. aasta rakendusotsus (EL) 2018/1490, millega lubatakse Ungaril kehtestada erimeede, millega tehakse erand direktiivi 2006/112/EÜ (mis käsitleb ühist käibemaksusüsteemi) artiklist 287 (ELT L 252, 8.10.2018, lk 38).</w:t>
      </w:r>
    </w:p>
  </w:footnote>
  <w:footnote w:id="14">
    <w:p>
      <w:pPr>
        <w:pStyle w:val="FootnoteText"/>
      </w:pPr>
      <w:r>
        <w:rPr>
          <w:rStyle w:val="FootnoteReference"/>
        </w:rPr>
        <w:footnoteRef/>
      </w:r>
      <w:r>
        <w:tab/>
        <w:t>Nõukogu 6. novembri 2018. aasta rakendusotsus (EL) 2018/1700, millega muudetakse rakendusotsust 2013/54/EL, mille kohaselt lubatakse Sloveenia Vabariigil kehtestada erimeede, millega tehakse erand direktiivi 2006/112/EÜ (mis käsitleb ühist käibemaksusüsteemi) artiklist 287 (ELT L 285, 13.11.2018, lk 78).</w:t>
      </w:r>
    </w:p>
  </w:footnote>
  <w:footnote w:id="15">
    <w:p>
      <w:pPr>
        <w:pStyle w:val="FootnoteText"/>
      </w:pPr>
      <w:r>
        <w:rPr>
          <w:rStyle w:val="FootnoteReference"/>
        </w:rPr>
        <w:footnoteRef/>
      </w:r>
      <w:r>
        <w:tab/>
        <w:t>Nõukogu 10. oktoobri 2017. aasta rakendusotsus (EL) 2017/1855, mille kohaselt lubatakse Rumeenial kohaldada erimeedet, millega tehakse erand direktiivi 2006/112/EÜ (mis käsitleb ühist käibemaksusüsteemi) artiklist 287 (ELT L 265, 14.10.2017, lk 19).</w:t>
      </w:r>
    </w:p>
  </w:footnote>
  <w:footnote w:id="16">
    <w:p>
      <w:pPr>
        <w:pStyle w:val="FootnoteText"/>
      </w:pPr>
      <w:r>
        <w:rPr>
          <w:rStyle w:val="FootnoteReference"/>
        </w:rPr>
        <w:footnoteRef/>
      </w:r>
      <w:r>
        <w:tab/>
        <w:t>Komisjoni teatis Euroopa Parlamendile, nõukogule, Euroopa Majandus- ja Sotsiaalkomiteele ning Regioonide Komiteele „Komisjoni 2020. aasta tööprogramm – Liit, mis seab kõrgemad sihid“ (COM(2020) 37 final).</w:t>
      </w:r>
    </w:p>
  </w:footnote>
  <w:footnote w:id="17">
    <w:p>
      <w:pPr>
        <w:pStyle w:val="FootnoteText"/>
      </w:pPr>
      <w:r>
        <w:rPr>
          <w:rStyle w:val="FootnoteReference"/>
        </w:rPr>
        <w:footnoteRef/>
      </w:r>
      <w:r>
        <w:tab/>
        <w:t>Komisjoni teatis Euroopa Parlamendile, nõukogule, Euroopa Majandus- ja Sotsiaalkomiteele ning Regioonide Komiteele „Komisjoni 2017. aasta tööprogramm“ (COM(2016) 710 final).</w:t>
      </w:r>
    </w:p>
  </w:footnote>
  <w:footnote w:id="18">
    <w:p>
      <w:pPr>
        <w:pStyle w:val="FootnoteText"/>
      </w:pPr>
      <w:r>
        <w:rPr>
          <w:rStyle w:val="FootnoteReference"/>
        </w:rPr>
        <w:footnoteRef/>
      </w:r>
      <w:r>
        <w:tab/>
        <w:t>Komisjoni teatis Euroopa Parlamendile, nõukogule, Euroopa Majandus- ja Sotsiaalkomiteele ning Regioonide Komiteele „Ühtse turu täiustamine: rohkem võimalusi inimestele ja ettevõtetele“ (COM(2015) 550 final).</w:t>
      </w:r>
    </w:p>
  </w:footnote>
  <w:footnote w:id="19">
    <w:p>
      <w:pPr>
        <w:pStyle w:val="FootnoteText"/>
      </w:pPr>
      <w:r>
        <w:rPr>
          <w:rStyle w:val="FootnoteReference"/>
        </w:rPr>
        <w:footnoteRef/>
      </w:r>
      <w:r>
        <w:tab/>
        <w:t>Komisjoni teatis Euroopa Parlamendile, nõukogule, Euroopa Majandus- ja Sotsiaalkomiteele ning Regioonide Komiteele „Tegevuskava „Ettevõtlus 2020“: Ettevõtlikkuse taaselavdamine Euroopas“ (COM(2012) 795 final).</w:t>
      </w:r>
    </w:p>
  </w:footnote>
  <w:footnote w:id="20">
    <w:p>
      <w:pPr>
        <w:pStyle w:val="FootnoteText"/>
      </w:pPr>
      <w:r>
        <w:rPr>
          <w:rStyle w:val="FootnoteReference"/>
        </w:rPr>
        <w:footnoteRef/>
      </w:r>
      <w:r>
        <w:tab/>
        <w:t>Komisjoni teatis Euroopa Parlamendile, nõukogule, Euroopa Majandus- ja Sotsiaalkomiteele ning Regioonide Komiteele „Euroopa uued liidrid: idu- ja kasvufirmade algatus“ (COM(2016) 733 final).</w:t>
      </w:r>
    </w:p>
  </w:footnote>
  <w:footnote w:id="21">
    <w:p>
      <w:pPr>
        <w:pStyle w:val="FootnoteText"/>
      </w:pPr>
      <w:r>
        <w:rPr>
          <w:rStyle w:val="FootnoteReference"/>
        </w:rPr>
        <w:footnoteRef/>
      </w:r>
      <w:r>
        <w:tab/>
        <w:t>Komisjoni teatis Euroopa Parlamendile, nõukogule, Euroopa Majandus- ja Sotsiaalkomiteele ning Regioonide Komiteele „„Kõigepealt mõtle väikestele“ – Euroopa väikeettevõtlusalgatus „Small Business Act““ (KOM(2008) 394 (lõplik)).</w:t>
      </w:r>
    </w:p>
  </w:footnote>
  <w:footnote w:id="22">
    <w:p>
      <w:pPr>
        <w:pStyle w:val="FootnoteText"/>
      </w:pPr>
      <w:r>
        <w:rPr>
          <w:rStyle w:val="FootnoteReference"/>
        </w:rPr>
        <w:footnoteRef/>
      </w:r>
      <w:r>
        <w:tab/>
        <w:t>ELT L 347, 11.12.2006, lk 1.</w:t>
      </w:r>
    </w:p>
  </w:footnote>
  <w:footnote w:id="23">
    <w:p>
      <w:pPr>
        <w:pStyle w:val="FootnoteText"/>
      </w:pPr>
      <w:r>
        <w:rPr>
          <w:rStyle w:val="FootnoteReference"/>
        </w:rPr>
        <w:footnoteRef/>
      </w:r>
      <w:r>
        <w:tab/>
        <w:t>Nõukogu 25. septembri 2017. aasta rakendusotsus (EL) 2017/1768, millega lubatakse Horvaatia Vabariigil kehtestada erimeede, millega tehakse erand direktiivi 2006/112/EÜ (mis käsitleb ühist käibemaksusüsteemi) artiklist 287 (ELT L 250, 28.9.2017, lk 71).</w:t>
      </w:r>
    </w:p>
  </w:footnote>
  <w:footnote w:id="24">
    <w:p>
      <w:pPr>
        <w:pStyle w:val="FootnoteText"/>
      </w:pPr>
      <w:r>
        <w:rPr>
          <w:rStyle w:val="FootnoteReference"/>
        </w:rPr>
        <w:footnoteRef/>
      </w:r>
      <w:r>
        <w:tab/>
        <w:t>Nõukogu 18. veebruari 2020. aasta direktiiv (EL) 2020/285, millega muudetakse direktiivi 2006/112/EÜ (mis käsitleb ühist käibemaksusüsteemi) väikeettevõtete erikorra osas ning määrust (EL) nr 904/2010 halduskoostöö ja teabevahetuse osas, mille eesmärk on teostada järelevalvet väikeettevõtete erikorra nõuetekohase kohaldamise üle (ELT L 62, 2.3.2020, lk 13).</w:t>
      </w:r>
    </w:p>
  </w:footnote>
  <w:footnote w:id="25">
    <w:p>
      <w:pPr>
        <w:pStyle w:val="FootnoteText"/>
      </w:pPr>
      <w:r>
        <w:rPr>
          <w:rStyle w:val="FootnoteReference"/>
        </w:rPr>
        <w:footnoteRef/>
      </w: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A4EC17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C7C80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62A348E"/>
    <w:lvl w:ilvl="0">
      <w:start w:val="1"/>
      <w:numFmt w:val="decimal"/>
      <w:pStyle w:val="ListNumber2"/>
      <w:lvlText w:val="%1."/>
      <w:lvlJc w:val="left"/>
      <w:pPr>
        <w:tabs>
          <w:tab w:val="num" w:pos="643"/>
        </w:tabs>
        <w:ind w:left="643" w:hanging="360"/>
      </w:pPr>
    </w:lvl>
  </w:abstractNum>
  <w:abstractNum w:abstractNumId="3">
    <w:nsid w:val="FFFFFF81"/>
    <w:multiLevelType w:val="singleLevel"/>
    <w:tmpl w:val="1EC01B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61044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48A59A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958C250"/>
    <w:lvl w:ilvl="0">
      <w:start w:val="1"/>
      <w:numFmt w:val="decimal"/>
      <w:pStyle w:val="ListNumber"/>
      <w:lvlText w:val="%1."/>
      <w:lvlJc w:val="left"/>
      <w:pPr>
        <w:tabs>
          <w:tab w:val="num" w:pos="360"/>
        </w:tabs>
        <w:ind w:left="360" w:hanging="360"/>
      </w:pPr>
    </w:lvl>
  </w:abstractNum>
  <w:abstractNum w:abstractNumId="7">
    <w:nsid w:val="FFFFFF89"/>
    <w:multiLevelType w:val="singleLevel"/>
    <w:tmpl w:val="C3F4132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revisionView w:markup="0"/>
  <w:defaultTabStop w:val="720"/>
  <w:hyphenationZone w:val="283"/>
  <w:characterSpacingControl w:val="doNotCompress"/>
  <w:hdrShapeDefaults>
    <o:shapedefaults v:ext="edit" spidmax="9216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25 15:15:3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72179CC-EA90-418C-9595-8D64853C749E"/>
    <w:docVar w:name="LW_COVERPAGE_TYPE" w:val="1"/>
    <w:docVar w:name="LW_CROSSREFERENCE" w:val="&lt;UNUSED&gt;"/>
    <w:docVar w:name="LW_DocType" w:val="COM"/>
    <w:docVar w:name="LW_EMISSION" w:val="30.9.2020"/>
    <w:docVar w:name="LW_EMISSION_ISODATE" w:val="2020-09-30"/>
    <w:docVar w:name="LW_EMISSION_LOCATION" w:val="BRX"/>
    <w:docVar w:name="LW_EMISSION_PREFIX" w:val="Brüssel,"/>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280"/>
    <w:docVar w:name="LW_REF.II.NEW.CP_YEAR" w:val="2020"/>
    <w:docVar w:name="LW_REF.INST.NEW" w:val="COM"/>
    <w:docVar w:name="LW_REF.INST.NEW_ADOPTED" w:val="final"/>
    <w:docVar w:name="LW_REF.INST.NEW_TEXT" w:val="(2020) 59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ttepanek:"/>
    <w:docVar w:name="LW_SUPERTITRE" w:val="&lt;UNUSED&gt;"/>
    <w:docVar w:name="LW_TITRE.OBJ.CP" w:val="millega muudetakse rakendusotsust (EL) 2017/1768, millega lubatakse Horvaatia Vabariigil kehtestada erimeede, millega tehakse erand direktiivi 2006/112/EÜ (mis käsitleb ühist käibemaksusüsteemi) artiklist 287"/>
    <w:docVar w:name="LW_TYPE.DOC.CP" w:val="NÕUKOGU RAKENDUS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4969">
      <w:bodyDiv w:val="1"/>
      <w:marLeft w:val="0"/>
      <w:marRight w:val="0"/>
      <w:marTop w:val="0"/>
      <w:marBottom w:val="0"/>
      <w:divBdr>
        <w:top w:val="none" w:sz="0" w:space="0" w:color="auto"/>
        <w:left w:val="none" w:sz="0" w:space="0" w:color="auto"/>
        <w:bottom w:val="none" w:sz="0" w:space="0" w:color="auto"/>
        <w:right w:val="none" w:sz="0" w:space="0" w:color="auto"/>
      </w:divBdr>
    </w:div>
    <w:div w:id="207384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BA42E24-4653-4F89-9D1B-54DCF136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1485</Words>
  <Characters>11249</Characters>
  <Application>Microsoft Office Word</Application>
  <DocSecurity>0</DocSecurity>
  <Lines>190</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2020-07-28T18:30:00Z</cp:lastPrinted>
  <dcterms:created xsi:type="dcterms:W3CDTF">2020-09-23T14:40:00Z</dcterms:created>
  <dcterms:modified xsi:type="dcterms:W3CDTF">2020-09-25T13:15:00Z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