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E00929E-3D88-4F4F-97DD-017C30E2DB53" style="width:450.75pt;height:39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8"/>
          <w:szCs w:val="28"/>
        </w:rPr>
      </w:pPr>
      <w:bookmarkStart w:id="1" w:name="_GoBack"/>
      <w:bookmarkEnd w:id="1"/>
      <w:r>
        <w:rPr>
          <w:rFonts w:ascii="Times New Roman" w:hAnsi="Times New Roman"/>
          <w:b/>
          <w:noProof/>
          <w:sz w:val="28"/>
          <w:szCs w:val="28"/>
        </w:rPr>
        <w:lastRenderedPageBreak/>
        <w:t>Bilag 1: Liste over foranstaltninger og vejledende tidsplan</w:t>
      </w:r>
    </w:p>
    <w:p>
      <w:pPr>
        <w:pStyle w:val="ListParagraph"/>
        <w:numPr>
          <w:ilvl w:val="0"/>
          <w:numId w:val="1"/>
        </w:numPr>
        <w:spacing w:after="240" w:line="240" w:lineRule="auto"/>
        <w:jc w:val="both"/>
        <w:rPr>
          <w:rFonts w:ascii="Times New Roman Bold" w:eastAsia="Times New Roman" w:hAnsi="Times New Roman Bold" w:cs="Times New Roman"/>
          <w:b/>
          <w:smallCaps/>
          <w:noProof/>
          <w:sz w:val="24"/>
          <w:szCs w:val="20"/>
          <w:u w:val="single"/>
        </w:rPr>
      </w:pPr>
      <w:r>
        <w:rPr>
          <w:rFonts w:ascii="Times New Roman Bold" w:hAnsi="Times New Roman Bold"/>
          <w:b/>
          <w:smallCaps/>
          <w:noProof/>
          <w:sz w:val="24"/>
          <w:szCs w:val="20"/>
          <w:u w:val="single"/>
        </w:rPr>
        <w:t>Foranstaltninger, som skal støtte en grøn, digital, inklusiv og modstandsdygtig økonomisk genrejsning ved at gøre finansiering mere tilgængelig for virksomheder</w:t>
      </w:r>
    </w:p>
    <w:p>
      <w:pPr>
        <w:pStyle w:val="ListParagraph"/>
        <w:ind w:left="360"/>
        <w:jc w:val="both"/>
        <w:rPr>
          <w:noProof/>
        </w:rPr>
      </w:pPr>
    </w:p>
    <w:tbl>
      <w:tblPr>
        <w:tblStyle w:val="TableGrid"/>
        <w:tblW w:w="9089" w:type="dxa"/>
        <w:tblLook w:val="04A0" w:firstRow="1" w:lastRow="0" w:firstColumn="1" w:lastColumn="0" w:noHBand="0" w:noVBand="1"/>
      </w:tblPr>
      <w:tblGrid>
        <w:gridCol w:w="7834"/>
        <w:gridCol w:w="1255"/>
      </w:tblGrid>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Foranstaltning nr. 1: Gøre virksomhederne mere synlige for grænseoverskridende investorer</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Kommissionen vil vedtage et lovgivningsforslag i tredje kvartal af 2021 med henblik på at oprette et fælles europæisk adgangspunkt. Denne platform giver offentligheden uhindret, EU-dækkende adgang til alle relevante oplysninger (herunder finansielle og bæredygtighedsrelaterede oplysninger), der offentliggøres af virksomheder, herunder finansielle selskaber.</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i/>
                <w:noProof/>
              </w:rPr>
              <w:t>Tredje kvartal 2021</w:t>
            </w:r>
          </w:p>
        </w:tc>
      </w:tr>
      <w:tr>
        <w:trPr>
          <w:trHeight w:val="1520"/>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hAnsi="Times New Roman" w:cs="Times New Roman"/>
                <w:noProof/>
              </w:rPr>
            </w:pPr>
            <w:r>
              <w:rPr>
                <w:rFonts w:ascii="Times New Roman" w:hAnsi="Times New Roman"/>
                <w:noProof/>
              </w:rPr>
              <w:t>De oplysninger, der skal dækkes, bør afspejle investorernes behov og interesserne hos en bredere kreds af brugere, herunder finansielle formidlere og civilsamfundet. Denne platform bør derfor også forbedre tilgængeligheden af og adgangen til bæredygtighedsrelaterede data, styre flere investeringer i retning af bæredygtige aktiviteter og bidrage til at opfylde målene for den europæiske grønne pagt</w:t>
            </w:r>
            <w:r>
              <w:rPr>
                <w:rStyle w:val="FootnoteReference"/>
                <w:rFonts w:ascii="Times New Roman" w:eastAsia="Times New Roman" w:hAnsi="Times New Roman" w:cs="Times New Roman"/>
                <w:noProof/>
                <w:lang w:eastAsia="en-GB"/>
              </w:rPr>
              <w:footnoteReference w:id="2"/>
            </w:r>
            <w:r>
              <w:rPr>
                <w:rFonts w:ascii="Times New Roman" w:hAnsi="Times New Roman"/>
                <w:noProof/>
              </w:rPr>
              <w:t>.</w:t>
            </w:r>
          </w:p>
          <w:p>
            <w:pPr>
              <w:jc w:val="both"/>
              <w:rPr>
                <w:rFonts w:ascii="Times New Roman" w:hAnsi="Times New Roman" w:cs="Times New Roman"/>
                <w:noProof/>
              </w:rPr>
            </w:pPr>
          </w:p>
          <w:p>
            <w:pPr>
              <w:jc w:val="both"/>
              <w:rPr>
                <w:rFonts w:ascii="Times New Roman" w:eastAsia="Times New Roman" w:hAnsi="Times New Roman" w:cs="Times New Roman"/>
                <w:noProof/>
              </w:rPr>
            </w:pPr>
            <w:r>
              <w:rPr>
                <w:rFonts w:ascii="Times New Roman" w:hAnsi="Times New Roman"/>
                <w:noProof/>
              </w:rPr>
              <w:t>Platformen vil bygge videre på pilotprojektet om den europæiske portal for finansiel gennemsigtighed</w:t>
            </w:r>
            <w:r>
              <w:rPr>
                <w:rStyle w:val="FootnoteReference"/>
                <w:rFonts w:ascii="Times New Roman" w:eastAsia="Times New Roman" w:hAnsi="Times New Roman" w:cs="Times New Roman"/>
                <w:noProof/>
                <w:lang w:eastAsia="en-GB"/>
              </w:rPr>
              <w:footnoteReference w:id="3"/>
            </w:r>
            <w:r>
              <w:rPr>
                <w:rFonts w:ascii="Times New Roman" w:hAnsi="Times New Roman"/>
                <w:noProof/>
              </w:rPr>
              <w:t xml:space="preserve"> og supplere systemet til sammenkobling af selskabsregistre</w:t>
            </w:r>
            <w:r>
              <w:rPr>
                <w:rStyle w:val="FootnoteReference"/>
                <w:rFonts w:ascii="Times New Roman" w:hAnsi="Times New Roman" w:cs="Times New Roman"/>
                <w:noProof/>
              </w:rPr>
              <w:footnoteReference w:id="4"/>
            </w:r>
            <w:r>
              <w:rPr>
                <w:rFonts w:ascii="Times New Roman" w:hAnsi="Times New Roman"/>
                <w:noProof/>
              </w:rPr>
              <w:t>, men vil ikke ændre dets funktioner. Lovgivningsforslaget vil medføre en strømlining af EU-lovgivningen</w:t>
            </w:r>
            <w:r>
              <w:rPr>
                <w:rStyle w:val="FootnoteReference"/>
                <w:rFonts w:ascii="Times New Roman" w:eastAsia="Times New Roman" w:hAnsi="Times New Roman" w:cs="Times New Roman"/>
                <w:noProof/>
                <w:lang w:eastAsia="en-GB"/>
              </w:rPr>
              <w:footnoteReference w:id="5"/>
            </w:r>
            <w:r>
              <w:rPr>
                <w:rFonts w:ascii="Times New Roman" w:hAnsi="Times New Roman"/>
                <w:noProof/>
              </w:rPr>
              <w:t xml:space="preserve"> om offentliggørelse af virksomhedsdata. Platformen vil i videst muligt omfang bygge på eksisterende it-infrastruktur på EU-plan og nationalt plan (databaser, registre) for at undgå at øge virksomhedernes indberetningsbyrde. Alle oplysninger gives i sammenlignelige digitale formater. Detaljerne vedrørende platformens informationsdækning, styring og forretningsmodel er endnu ikke fastlagt.</w:t>
            </w:r>
          </w:p>
          <w:p>
            <w:pPr>
              <w:jc w:val="both"/>
              <w:rPr>
                <w:rFonts w:ascii="Times New Roman" w:hAnsi="Times New Roman" w:cs="Times New Roman"/>
                <w:noProof/>
              </w:rPr>
            </w:pPr>
          </w:p>
        </w:tc>
      </w:tr>
      <w:tr>
        <w:trPr>
          <w:trHeight w:val="1160"/>
        </w:trPr>
        <w:tc>
          <w:tcPr>
            <w:tcW w:w="7893" w:type="dxa"/>
            <w:vAlign w:val="center"/>
          </w:tcPr>
          <w:p>
            <w:pPr>
              <w:spacing w:after="160" w:line="252" w:lineRule="auto"/>
              <w:rPr>
                <w:rFonts w:ascii="Times New Roman" w:hAnsi="Times New Roman" w:cs="Times New Roman"/>
                <w:b/>
                <w:noProof/>
                <w:u w:val="single"/>
              </w:rPr>
            </w:pPr>
            <w:r>
              <w:rPr>
                <w:rFonts w:ascii="Times New Roman" w:hAnsi="Times New Roman"/>
                <w:b/>
                <w:noProof/>
                <w:u w:val="single"/>
              </w:rPr>
              <w:t xml:space="preserve">Foranstaltning nr. 2: </w:t>
            </w:r>
            <w:r>
              <w:rPr>
                <w:rFonts w:ascii="Times New Roman" w:hAnsi="Times New Roman"/>
                <w:b/>
                <w:bCs/>
                <w:noProof/>
                <w:szCs w:val="24"/>
                <w:u w:val="single"/>
              </w:rPr>
              <w:t xml:space="preserve">Støtte til adgang til offentlige markeder </w:t>
            </w:r>
          </w:p>
          <w:p>
            <w:pPr>
              <w:jc w:val="both"/>
              <w:rPr>
                <w:rFonts w:ascii="Times New Roman" w:hAnsi="Times New Roman"/>
                <w:i/>
                <w:noProof/>
                <w:u w:val="single"/>
              </w:rPr>
            </w:pPr>
            <w:r>
              <w:rPr>
                <w:rFonts w:ascii="Times New Roman" w:hAnsi="Times New Roman"/>
                <w:i/>
                <w:noProof/>
              </w:rPr>
              <w:t xml:space="preserve">For at fremme og diversificere små og innovative virksomheders adgang til finansiering vil Kommissionen senest i fjerde kvartal af 2021 vurdere, </w:t>
            </w:r>
            <w:r>
              <w:rPr>
                <w:rFonts w:ascii="Times New Roman" w:hAnsi="Times New Roman"/>
                <w:bCs/>
                <w:i/>
                <w:noProof/>
              </w:rPr>
              <w:t>om børsreglerne</w:t>
            </w:r>
            <w:r>
              <w:rPr>
                <w:rFonts w:ascii="Times New Roman" w:hAnsi="Times New Roman"/>
                <w:i/>
                <w:noProof/>
              </w:rPr>
              <w:t xml:space="preserve"> for offentlige markeder (både SMV-vækstmarkeder og regulerede markeder) kan forenkles yderligere.</w:t>
            </w:r>
          </w:p>
          <w:p>
            <w:pPr>
              <w:jc w:val="both"/>
              <w:rPr>
                <w:rFonts w:ascii="Times New Roman" w:hAnsi="Times New Roman" w:cs="Times New Roman"/>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Fjerde kvartal 2021</w:t>
            </w:r>
          </w:p>
        </w:tc>
      </w:tr>
      <w:tr>
        <w:trPr>
          <w:trHeight w:val="1520"/>
        </w:trPr>
        <w:tc>
          <w:tcPr>
            <w:tcW w:w="9089" w:type="dxa"/>
            <w:gridSpan w:val="2"/>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Vurderingen vil navnlig fokusere på: i) hensigtsmæssigheden af og konsistensen i SMV-definitionen på tværs af den finansielle lovgivning, ii) en potentiel forenkling af reglerne om markedsmisbrug og iii) fordelene ved at indføre overgangsbestemmelser for førstegangsudstedere på regulerede markeder og SMV-vækstmarkeder.</w:t>
            </w: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Foranstaltning nr. 3: Støtte til langsigtede investeringsfonde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Kommissionen vil vedtage et forslag til en revision af ELTIF-forordningen</w:t>
            </w:r>
            <w:r>
              <w:rPr>
                <w:rStyle w:val="FootnoteReference"/>
                <w:rFonts w:ascii="Times New Roman" w:hAnsi="Times New Roman" w:cs="Times New Roman"/>
                <w:i/>
                <w:noProof/>
              </w:rPr>
              <w:footnoteReference w:id="6"/>
            </w:r>
            <w:r>
              <w:rPr>
                <w:rFonts w:ascii="Times New Roman" w:hAnsi="Times New Roman"/>
                <w:i/>
                <w:noProof/>
              </w:rPr>
              <w:t xml:space="preserve"> senest i tredje kvartal af 2021 på grundlag af resultaterne af en offentlig høring iværksat i 2020 og en konsekvensanalyse.</w:t>
            </w:r>
          </w:p>
          <w:p>
            <w:pPr>
              <w:jc w:val="both"/>
              <w:rPr>
                <w:rFonts w:ascii="Times New Roman" w:hAnsi="Times New Roman" w:cs="Times New Roman"/>
                <w:b/>
                <w:i/>
                <w:noProof/>
                <w:u w:val="single"/>
              </w:rPr>
            </w:pPr>
          </w:p>
        </w:tc>
        <w:tc>
          <w:tcPr>
            <w:tcW w:w="1196" w:type="dxa"/>
            <w:vAlign w:val="center"/>
          </w:tcPr>
          <w:p>
            <w:pPr>
              <w:jc w:val="both"/>
              <w:rPr>
                <w:rFonts w:ascii="Times New Roman" w:hAnsi="Times New Roman" w:cs="Times New Roman"/>
                <w:b/>
                <w:i/>
                <w:noProof/>
              </w:rPr>
            </w:pPr>
            <w:r>
              <w:rPr>
                <w:rFonts w:ascii="Times New Roman" w:hAnsi="Times New Roman"/>
                <w:b/>
                <w:noProof/>
              </w:rPr>
              <w:t>Tredje kvartal 2021</w:t>
            </w:r>
          </w:p>
        </w:tc>
      </w:tr>
      <w:tr>
        <w:trPr>
          <w:trHeight w:val="60"/>
        </w:trPr>
        <w:tc>
          <w:tcPr>
            <w:tcW w:w="9089" w:type="dxa"/>
            <w:gridSpan w:val="2"/>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bCs/>
                <w:noProof/>
              </w:rPr>
            </w:pPr>
            <w:r>
              <w:rPr>
                <w:rFonts w:ascii="Times New Roman" w:hAnsi="Times New Roman"/>
                <w:noProof/>
              </w:rPr>
              <w:t xml:space="preserve">Revisionen vil bl.a. indeholde en undersøgelse af: i) </w:t>
            </w:r>
            <w:r>
              <w:rPr>
                <w:rFonts w:ascii="Times New Roman" w:hAnsi="Times New Roman"/>
                <w:bCs/>
                <w:noProof/>
              </w:rPr>
              <w:t>ELTIF'ers indløsningspolitik og levetid, ii) det omfang, hvori ELTIF'er markedsføres i EU, iii) hensigtsmæssigheden af investeringsbegrænsninger for detailinvestorer og iv) det omfang, hvori listen over investerbare aktiver og investeringer, såvel som diversificeringsregler, sammensætning af porteføljer og begrænsninger i låntagningen af kontante midler, bør ajourføres.</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i/>
                <w:noProof/>
                <w:u w:val="single"/>
              </w:rPr>
            </w:pPr>
            <w:r>
              <w:rPr>
                <w:rFonts w:ascii="Times New Roman" w:hAnsi="Times New Roman"/>
                <w:b/>
                <w:noProof/>
                <w:u w:val="single"/>
              </w:rPr>
              <w:t>Foranstaltning nr. 4: Tilskyndelse til mere langsigtet finansiering og egenkapitalfinansiering fra institutionelle investorer</w:t>
            </w:r>
          </w:p>
          <w:p>
            <w:pPr>
              <w:jc w:val="both"/>
              <w:rPr>
                <w:rFonts w:ascii="Times New Roman" w:hAnsi="Times New Roman" w:cs="Times New Roman"/>
                <w:i/>
                <w:noProof/>
              </w:rPr>
            </w:pPr>
          </w:p>
          <w:p>
            <w:pPr>
              <w:pStyle w:val="ListParagraph"/>
              <w:numPr>
                <w:ilvl w:val="0"/>
                <w:numId w:val="2"/>
              </w:numPr>
              <w:spacing w:after="0" w:line="240" w:lineRule="auto"/>
              <w:jc w:val="both"/>
              <w:rPr>
                <w:rFonts w:ascii="Times New Roman" w:hAnsi="Times New Roman" w:cs="Times New Roman"/>
                <w:i/>
                <w:noProof/>
                <w:szCs w:val="24"/>
              </w:rPr>
            </w:pPr>
            <w:r>
              <w:rPr>
                <w:rFonts w:ascii="Times New Roman" w:hAnsi="Times New Roman"/>
                <w:i/>
                <w:noProof/>
                <w:szCs w:val="24"/>
              </w:rPr>
              <w:t>Som led i revisionen af Solvens II</w:t>
            </w:r>
            <w:r>
              <w:rPr>
                <w:rStyle w:val="FootnoteReference"/>
                <w:rFonts w:ascii="Times New Roman" w:hAnsi="Times New Roman" w:cs="Times New Roman"/>
                <w:i/>
                <w:noProof/>
                <w:szCs w:val="24"/>
              </w:rPr>
              <w:footnoteReference w:id="7"/>
            </w:r>
            <w:r>
              <w:rPr>
                <w:rFonts w:ascii="Times New Roman" w:hAnsi="Times New Roman"/>
                <w:i/>
                <w:noProof/>
                <w:szCs w:val="24"/>
              </w:rPr>
              <w:t xml:space="preserve"> vil Kommissionen senest i tredje kvartal af 2021 vurdere, om de retlige rammer kan ændres med henblik på yderligere at fremme forsikringsselskabers langsigtede investeringer uden at skade den finansielle stabilitet og beskyttelsen af forsikringstagerne.</w:t>
            </w:r>
            <w:r>
              <w:rPr>
                <w:rFonts w:ascii="Times New Roman" w:hAnsi="Times New Roman"/>
                <w:noProof/>
                <w:szCs w:val="24"/>
              </w:rPr>
              <w:t xml:space="preserve"> </w:t>
            </w:r>
          </w:p>
          <w:p>
            <w:pPr>
              <w:ind w:left="360"/>
              <w:rPr>
                <w:rFonts w:ascii="Times New Roman" w:hAnsi="Times New Roman" w:cs="Times New Roman"/>
                <w:b/>
                <w:i/>
                <w:noProof/>
                <w:u w:val="single"/>
              </w:rPr>
            </w:pPr>
          </w:p>
        </w:tc>
        <w:tc>
          <w:tcPr>
            <w:tcW w:w="1196" w:type="dxa"/>
            <w:vAlign w:val="center"/>
          </w:tcPr>
          <w:p>
            <w:pPr>
              <w:jc w:val="both"/>
              <w:rPr>
                <w:rFonts w:ascii="Times New Roman" w:hAnsi="Times New Roman" w:cs="Times New Roman"/>
                <w:i/>
                <w:noProof/>
              </w:rPr>
            </w:pPr>
            <w:r>
              <w:rPr>
                <w:rFonts w:ascii="Times New Roman" w:hAnsi="Times New Roman"/>
                <w:b/>
                <w:noProof/>
              </w:rPr>
              <w:t>Tredje kvartal 2021</w:t>
            </w: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noProof/>
              </w:rPr>
            </w:pPr>
          </w:p>
        </w:tc>
      </w:tr>
      <w:tr>
        <w:trPr>
          <w:trHeight w:val="1160"/>
        </w:trPr>
        <w:tc>
          <w:tcPr>
            <w:tcW w:w="9089" w:type="dxa"/>
            <w:gridSpan w:val="2"/>
            <w:vAlign w:val="center"/>
          </w:tcPr>
          <w:p>
            <w:pPr>
              <w:jc w:val="both"/>
              <w:rPr>
                <w:rFonts w:ascii="Times New Roman" w:hAnsi="Times New Roman" w:cs="Times New Roman"/>
                <w:b/>
                <w:noProof/>
                <w:u w:val="single"/>
              </w:rPr>
            </w:pPr>
          </w:p>
          <w:p>
            <w:pPr>
              <w:jc w:val="both"/>
              <w:rPr>
                <w:rFonts w:ascii="Times New Roman" w:hAnsi="Times New Roman" w:cs="Times New Roman"/>
                <w:noProof/>
                <w:szCs w:val="24"/>
              </w:rPr>
            </w:pPr>
            <w:r>
              <w:rPr>
                <w:rFonts w:ascii="Times New Roman" w:hAnsi="Times New Roman"/>
                <w:noProof/>
                <w:szCs w:val="24"/>
              </w:rPr>
              <w:t>Revisionen af Solvens II vil navnlig omfatte en vurdering af, hvorvidt udvælgelseskriterierne for aktivklasse langsigtede egenkapitalinvesteringer, beregningen af risikomargen og værdiansættelsen af forsikringsselskabernes passiver er hensigtsmæssige, med henblik på både at undgå utidig procyklisk adfærd og i højere grad afspejle forsikringsvirksomhedens langsigtede karakter.</w:t>
            </w:r>
          </w:p>
          <w:p>
            <w:pPr>
              <w:jc w:val="both"/>
              <w:rPr>
                <w:rFonts w:ascii="Times New Roman" w:hAnsi="Times New Roman" w:cs="Times New Roman"/>
                <w:noProof/>
              </w:rPr>
            </w:pPr>
          </w:p>
        </w:tc>
      </w:tr>
      <w:tr>
        <w:trPr>
          <w:trHeight w:val="1160"/>
        </w:trPr>
        <w:tc>
          <w:tcPr>
            <w:tcW w:w="7893" w:type="dxa"/>
            <w:vAlign w:val="center"/>
          </w:tcPr>
          <w:p>
            <w:pPr>
              <w:pStyle w:val="ListParagraph"/>
              <w:rPr>
                <w:rFonts w:ascii="Times New Roman" w:hAnsi="Times New Roman" w:cs="Times New Roman"/>
                <w:noProof/>
                <w:u w:val="single"/>
              </w:rPr>
            </w:pPr>
          </w:p>
          <w:p>
            <w:pPr>
              <w:pStyle w:val="ListParagraph"/>
              <w:numPr>
                <w:ilvl w:val="0"/>
                <w:numId w:val="2"/>
              </w:numPr>
              <w:spacing w:after="0" w:line="240" w:lineRule="auto"/>
              <w:jc w:val="both"/>
              <w:rPr>
                <w:rFonts w:ascii="Times New Roman" w:hAnsi="Times New Roman" w:cs="Times New Roman"/>
                <w:noProof/>
                <w:u w:val="single"/>
              </w:rPr>
            </w:pPr>
            <w:r>
              <w:rPr>
                <w:rFonts w:ascii="Times New Roman" w:hAnsi="Times New Roman"/>
                <w:i/>
                <w:noProof/>
                <w:szCs w:val="24"/>
              </w:rPr>
              <w:t>Kommissionen vil i sit arbejde med gennemførelse af Basel III i forbindelse med revisionen af kapitalkravsforordningen (CRR)</w:t>
            </w:r>
            <w:r>
              <w:rPr>
                <w:rStyle w:val="FootnoteReference"/>
                <w:rFonts w:ascii="Times New Roman" w:hAnsi="Times New Roman" w:cs="Times New Roman"/>
                <w:i/>
                <w:noProof/>
                <w:szCs w:val="24"/>
              </w:rPr>
              <w:footnoteReference w:id="8"/>
            </w:r>
            <w:r>
              <w:rPr>
                <w:rFonts w:ascii="Times New Roman" w:hAnsi="Times New Roman"/>
                <w:i/>
                <w:noProof/>
                <w:szCs w:val="24"/>
              </w:rPr>
              <w:t>/-direktivet (CRD)</w:t>
            </w:r>
            <w:r>
              <w:rPr>
                <w:rStyle w:val="FootnoteReference"/>
                <w:rFonts w:ascii="Times New Roman" w:hAnsi="Times New Roman" w:cs="Times New Roman"/>
                <w:i/>
                <w:noProof/>
                <w:szCs w:val="24"/>
              </w:rPr>
              <w:footnoteReference w:id="9"/>
            </w:r>
            <w:r>
              <w:rPr>
                <w:rFonts w:ascii="Times New Roman" w:hAnsi="Times New Roman"/>
                <w:i/>
                <w:noProof/>
                <w:szCs w:val="24"/>
              </w:rPr>
              <w:t xml:space="preserve"> (som forventes vedtaget senest i første kvartal af 2021) anvende den fleksibilitet, der er indbygget i Basel III, for at sikre en passende tilsynsmæssig behandling af langsigtede SMV-egenkapitalinvesteringer foretaget af banker.</w:t>
            </w:r>
          </w:p>
          <w:p>
            <w:pPr>
              <w:ind w:left="360"/>
              <w:rPr>
                <w:rFonts w:ascii="Times New Roman" w:hAnsi="Times New Roman" w:cs="Times New Roman"/>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Første kvartal 2021</w:t>
            </w:r>
          </w:p>
        </w:tc>
      </w:tr>
      <w:tr>
        <w:trPr>
          <w:trHeight w:val="488"/>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Revisionen af CRR/CRD har til formål at undgå, at gennemførelsen af Basel III indvirker uhensigtsmæssigt på bankernes investering i SMV'ers langfristede egenkapital samt på bankernes og investeringsselskabernes market making-aktivitet.</w:t>
            </w:r>
          </w:p>
          <w:p>
            <w:pPr>
              <w:jc w:val="both"/>
              <w:rPr>
                <w:rFonts w:ascii="Times New Roman" w:hAnsi="Times New Roman" w:cs="Times New Roman"/>
                <w:noProof/>
              </w:rPr>
            </w:pPr>
          </w:p>
        </w:tc>
      </w:tr>
      <w:tr>
        <w:trPr>
          <w:trHeight w:val="1160"/>
        </w:trP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Foranstaltning nr. 5: Ledelse af SMV'er til alternative finansieringskilder</w:t>
            </w:r>
          </w:p>
          <w:p>
            <w:pPr>
              <w:jc w:val="both"/>
              <w:rPr>
                <w:rFonts w:ascii="Times New Roman" w:hAnsi="Times New Roman" w:cs="Times New Roman"/>
                <w:b/>
                <w:noProof/>
                <w:u w:val="single"/>
              </w:rPr>
            </w:pPr>
          </w:p>
          <w:p>
            <w:pPr>
              <w:jc w:val="both"/>
              <w:rPr>
                <w:rFonts w:ascii="Times New Roman" w:hAnsi="Times New Roman" w:cs="Times New Roman"/>
                <w:i/>
                <w:noProof/>
                <w:color w:val="000000"/>
                <w:szCs w:val="24"/>
              </w:rPr>
            </w:pPr>
            <w:r>
              <w:rPr>
                <w:rFonts w:ascii="Times New Roman" w:hAnsi="Times New Roman"/>
                <w:i/>
                <w:noProof/>
                <w:color w:val="000000"/>
                <w:szCs w:val="24"/>
              </w:rPr>
              <w:t xml:space="preserve">Med henblik på at lette SMV'ers adgang til finansiering vil Kommissionen senest i fjerde kvartal af 2021 analysere fordelene ved og gennemførligheden af at oprette en henvisningsordning, hvori det kræves, at banker leder SMV'er, hvis låneansøgning de har afslået, til alternative finansieringskilder.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i/>
                <w:noProof/>
              </w:rPr>
            </w:pPr>
            <w:r>
              <w:rPr>
                <w:rFonts w:ascii="Times New Roman" w:hAnsi="Times New Roman"/>
                <w:b/>
                <w:noProof/>
              </w:rPr>
              <w:t>Fjerde kvartal 2021</w:t>
            </w:r>
          </w:p>
        </w:tc>
      </w:tr>
      <w:tr>
        <w:trPr>
          <w:trHeight w:val="389"/>
        </w:trPr>
        <w:tc>
          <w:tcPr>
            <w:tcW w:w="9089"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noProof/>
              </w:rPr>
            </w:pPr>
            <w:r>
              <w:rPr>
                <w:rFonts w:ascii="Times New Roman" w:hAnsi="Times New Roman"/>
                <w:noProof/>
              </w:rPr>
              <w:t>Ved gennemførlighedsvurderingen analyseres effektiviteten af de eksisterende bankhenvisningsordninger. Kommissionen vil også undersøge fordelene ved gensidigt at kræve, at alternative finansieringsplatforme henviser afviste SMV'er til banker, og hvorvidt anvendelsesområdet for en henvisningsordning skal udvides til at omfatte egenkapitalfinansieringsudbydere, matchmaking-platforme og specialiserede rådgivningscentre.</w:t>
            </w:r>
          </w:p>
          <w:p>
            <w:pPr>
              <w:jc w:val="both"/>
              <w:rPr>
                <w:rFonts w:ascii="Times New Roman" w:eastAsia="Times New Roman" w:hAnsi="Times New Roman" w:cs="Times New Roman"/>
                <w:noProof/>
                <w:lang w:eastAsia="en-GB"/>
              </w:rPr>
            </w:pPr>
          </w:p>
        </w:tc>
      </w:tr>
      <w:tr>
        <w:trPr>
          <w:trHeight w:val="1160"/>
        </w:trPr>
        <w:tc>
          <w:tcPr>
            <w:tcW w:w="7893" w:type="dxa"/>
            <w:tcBorders>
              <w:bottom w:val="single" w:sz="4" w:space="0" w:color="auto"/>
            </w:tcBorders>
            <w:vAlign w:val="center"/>
          </w:tcPr>
          <w:p>
            <w:pPr>
              <w:jc w:val="both"/>
              <w:rPr>
                <w:rFonts w:ascii="Times New Roman" w:hAnsi="Times New Roman" w:cs="Times New Roman"/>
                <w:b/>
                <w:noProof/>
                <w:szCs w:val="24"/>
                <w:u w:val="single"/>
              </w:rPr>
            </w:pPr>
            <w:r>
              <w:rPr>
                <w:rFonts w:ascii="Times New Roman" w:hAnsi="Times New Roman"/>
                <w:b/>
                <w:noProof/>
                <w:u w:val="single"/>
              </w:rPr>
              <w:t xml:space="preserve">Foranstaltning nr. 6: </w:t>
            </w:r>
            <w:r>
              <w:rPr>
                <w:rFonts w:ascii="Times New Roman" w:hAnsi="Times New Roman"/>
                <w:b/>
                <w:noProof/>
                <w:szCs w:val="24"/>
                <w:u w:val="single"/>
              </w:rPr>
              <w:t>Hjælp til bankerne med at yde flere lån til realøkonomien</w:t>
            </w:r>
          </w:p>
          <w:p>
            <w:pPr>
              <w:jc w:val="both"/>
              <w:rPr>
                <w:rFonts w:ascii="Times New Roman" w:hAnsi="Times New Roman" w:cs="Times New Roman"/>
                <w:b/>
                <w:noProof/>
                <w:u w:val="single"/>
              </w:rPr>
            </w:pPr>
          </w:p>
          <w:p>
            <w:pPr>
              <w:jc w:val="both"/>
              <w:rPr>
                <w:rFonts w:ascii="Times New Roman" w:hAnsi="Times New Roman" w:cs="Times New Roman"/>
                <w:i/>
                <w:noProof/>
                <w:szCs w:val="24"/>
              </w:rPr>
            </w:pPr>
            <w:r>
              <w:rPr>
                <w:rFonts w:ascii="Times New Roman" w:hAnsi="Times New Roman"/>
                <w:i/>
                <w:noProof/>
              </w:rPr>
              <w:t xml:space="preserve">For </w:t>
            </w:r>
            <w:r>
              <w:rPr>
                <w:rFonts w:ascii="Times New Roman" w:hAnsi="Times New Roman"/>
                <w:i/>
                <w:noProof/>
                <w:szCs w:val="24"/>
              </w:rPr>
              <w:t>at opskalere securitiseringsmarkedet i EU vil Kommissionen senest i fjerde kvartal af 2021 gennemføre en omfattende revision af EU's securitiseringsramme</w:t>
            </w:r>
            <w:r>
              <w:rPr>
                <w:rStyle w:val="FootnoteReference"/>
                <w:rFonts w:ascii="Times New Roman" w:hAnsi="Times New Roman" w:cs="Times New Roman"/>
                <w:i/>
                <w:noProof/>
                <w:szCs w:val="24"/>
              </w:rPr>
              <w:footnoteReference w:id="10"/>
            </w:r>
            <w:r>
              <w:rPr>
                <w:rFonts w:ascii="Times New Roman" w:hAnsi="Times New Roman"/>
                <w:i/>
                <w:noProof/>
                <w:szCs w:val="24"/>
              </w:rPr>
              <w:t xml:space="preserve"> både for simpel, transparent og standardiseret (STS) og ikke-STS-securitiseringer</w:t>
            </w:r>
            <w:r>
              <w:rPr>
                <w:rStyle w:val="FootnoteReference"/>
                <w:rFonts w:ascii="Times New Roman" w:hAnsi="Times New Roman" w:cs="Times New Roman"/>
                <w:i/>
                <w:noProof/>
                <w:szCs w:val="24"/>
              </w:rPr>
              <w:footnoteReference w:id="11"/>
            </w:r>
            <w:r>
              <w:rPr>
                <w:rFonts w:ascii="Times New Roman" w:hAnsi="Times New Roman"/>
                <w:i/>
                <w:noProof/>
                <w:szCs w:val="24"/>
              </w:rPr>
              <w:t>.</w:t>
            </w:r>
          </w:p>
          <w:p>
            <w:pPr>
              <w:jc w:val="both"/>
              <w:rPr>
                <w:rFonts w:ascii="Times New Roman" w:hAnsi="Times New Roman" w:cs="Times New Roman"/>
                <w:i/>
                <w:noProof/>
                <w:u w:val="single"/>
              </w:rPr>
            </w:pPr>
          </w:p>
        </w:tc>
        <w:tc>
          <w:tcPr>
            <w:tcW w:w="1196" w:type="dxa"/>
            <w:tcBorders>
              <w:bottom w:val="single" w:sz="4" w:space="0" w:color="auto"/>
            </w:tcBorders>
            <w:vAlign w:val="center"/>
          </w:tcPr>
          <w:p>
            <w:pPr>
              <w:jc w:val="both"/>
              <w:rPr>
                <w:rFonts w:ascii="Times New Roman" w:hAnsi="Times New Roman" w:cs="Times New Roman"/>
                <w:b/>
                <w:i/>
                <w:noProof/>
              </w:rPr>
            </w:pPr>
            <w:r>
              <w:rPr>
                <w:rFonts w:ascii="Times New Roman" w:hAnsi="Times New Roman"/>
                <w:b/>
                <w:noProof/>
              </w:rPr>
              <w:t>Fjerde kvartal 2021</w:t>
            </w:r>
          </w:p>
        </w:tc>
      </w:tr>
      <w:tr>
        <w:trPr>
          <w:trHeight w:val="1881"/>
        </w:trPr>
        <w:tc>
          <w:tcPr>
            <w:tcW w:w="9089" w:type="dxa"/>
            <w:gridSpan w:val="2"/>
            <w:tcBorders>
              <w:bottom w:val="single" w:sz="4" w:space="0" w:color="auto"/>
            </w:tcBorders>
            <w:vAlign w:val="center"/>
          </w:tcPr>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szCs w:val="24"/>
              </w:rPr>
              <w:t xml:space="preserve">Revisionen vil sigte mod at styrke securitiseringens rolle som et instrument, der står til rådighed for bankerne, for at hjælpe dem med at yde bæredygtig og stabil finansiering til realøkonomien i et post-covid-19-miljø med særlig fokus på SMV'er og den grønne omstilling. </w:t>
            </w:r>
            <w:r>
              <w:rPr>
                <w:rFonts w:ascii="Times New Roman" w:hAnsi="Times New Roman"/>
                <w:noProof/>
              </w:rPr>
              <w:t>Der vil blive lagt særlig vægt på den nuværende rammes evne til på passende vis at afspejle det faktiske risikoniveau både for STS- og ikke-STS-securitiseringsinstrumenter, herunder hensigtsmæssigheden af oplysningskrav, proceduren for anerkendelse af væsentlig risikooverførsel og den tilsynsmæssige behandling af kontanter og syntetisk securitisering, samtidig med at den finansielle stabilitet i EU bevares.</w:t>
            </w:r>
          </w:p>
          <w:p>
            <w:pPr>
              <w:jc w:val="both"/>
              <w:rPr>
                <w:rFonts w:ascii="Times New Roman" w:hAnsi="Times New Roman" w:cs="Times New Roman"/>
                <w:noProof/>
              </w:rPr>
            </w:pPr>
          </w:p>
        </w:tc>
      </w:tr>
      <w:tr>
        <w:tc>
          <w:tcPr>
            <w:tcW w:w="9089" w:type="dxa"/>
            <w:gridSpan w:val="2"/>
            <w:tcBorders>
              <w:top w:val="single" w:sz="4" w:space="0" w:color="auto"/>
              <w:left w:val="nil"/>
              <w:bottom w:val="single" w:sz="4" w:space="0" w:color="auto"/>
              <w:right w:val="nil"/>
            </w:tcBorders>
            <w:vAlign w:val="center"/>
          </w:tcPr>
          <w:p>
            <w:pPr>
              <w:jc w:val="both"/>
              <w:rPr>
                <w:b/>
                <w:i/>
                <w:noProof/>
              </w:rPr>
            </w:pPr>
          </w:p>
          <w:p>
            <w:pPr>
              <w:pStyle w:val="ListParagraph"/>
              <w:numPr>
                <w:ilvl w:val="0"/>
                <w:numId w:val="1"/>
              </w:numPr>
              <w:spacing w:after="0" w:line="240" w:lineRule="auto"/>
              <w:jc w:val="both"/>
              <w:rPr>
                <w:b/>
                <w:i/>
                <w:noProof/>
              </w:rPr>
            </w:pPr>
            <w:r>
              <w:rPr>
                <w:rFonts w:ascii="Times New Roman Bold" w:hAnsi="Times New Roman Bold"/>
                <w:b/>
                <w:smallCaps/>
                <w:noProof/>
                <w:sz w:val="24"/>
                <w:szCs w:val="20"/>
                <w:u w:val="single"/>
              </w:rPr>
              <w:t>EU skal gøres til et endnu sikrere sted for enkeltpersoner at spare op og foretage langsigtede investeringer</w:t>
            </w:r>
          </w:p>
          <w:p>
            <w:pPr>
              <w:jc w:val="both"/>
              <w:rPr>
                <w:noProof/>
              </w:rPr>
            </w:pPr>
          </w:p>
        </w:tc>
      </w:tr>
      <w:tr>
        <w:tc>
          <w:tcPr>
            <w:tcW w:w="7893" w:type="dxa"/>
            <w:tcBorders>
              <w:top w:val="single" w:sz="4" w:space="0" w:color="auto"/>
            </w:tcBorders>
            <w:vAlign w:val="center"/>
          </w:tcPr>
          <w:p>
            <w:pPr>
              <w:jc w:val="both"/>
              <w:rPr>
                <w:rFonts w:ascii="Times New Roman" w:hAnsi="Times New Roman" w:cs="Times New Roman"/>
                <w:b/>
                <w:noProof/>
                <w:u w:val="single"/>
              </w:rPr>
            </w:pPr>
            <w:r>
              <w:rPr>
                <w:rFonts w:ascii="Times New Roman" w:hAnsi="Times New Roman"/>
                <w:b/>
                <w:noProof/>
                <w:u w:val="single"/>
              </w:rPr>
              <w:t>Foranstaltning nr. 7: Styrkelse af borgernes indflydelse gennem finansielle færdigheder</w:t>
            </w:r>
          </w:p>
          <w:p>
            <w:pPr>
              <w:jc w:val="both"/>
              <w:rPr>
                <w:rFonts w:ascii="Times New Roman" w:hAnsi="Times New Roman" w:cs="Times New Roman"/>
                <w:bCs/>
                <w:i/>
                <w:noProof/>
                <w:color w:val="000000"/>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bCs/>
                <w:i/>
                <w:noProof/>
                <w:color w:val="000000"/>
              </w:rPr>
              <w:t>For at fremme en fælles forståelse af finansiel kompetence blandt offentlige myndigheder og private organer og for at skabe et grundlag for udvikling af finansiel kompetence i forskellige sammenhænge vil Kommissionen senest i andet kvartal af 2021 foretage en gennemførlighedsvurdering af udviklingen af en særlig EU-ramme for finansiel kompetence, som bygger på relevante eksisterende rammer</w:t>
            </w:r>
            <w:r>
              <w:rPr>
                <w:rFonts w:ascii="Times New Roman" w:hAnsi="Times New Roman"/>
                <w:i/>
                <w:noProof/>
              </w:rPr>
              <w:t>.</w:t>
            </w:r>
          </w:p>
          <w:p>
            <w:pPr>
              <w:pStyle w:val="ListParagraph"/>
              <w:spacing w:after="0" w:line="240" w:lineRule="auto"/>
              <w:jc w:val="both"/>
              <w:rPr>
                <w:rFonts w:ascii="Times New Roman" w:hAnsi="Times New Roman" w:cs="Times New Roman"/>
                <w:i/>
                <w:noProof/>
              </w:rPr>
            </w:pPr>
          </w:p>
          <w:p>
            <w:pPr>
              <w:jc w:val="both"/>
              <w:rPr>
                <w:rFonts w:ascii="Times New Roman" w:hAnsi="Times New Roman" w:cs="Times New Roman"/>
                <w:i/>
                <w:noProof/>
              </w:rPr>
            </w:pPr>
          </w:p>
        </w:tc>
        <w:tc>
          <w:tcPr>
            <w:tcW w:w="1196" w:type="dxa"/>
            <w:tcBorders>
              <w:top w:val="single" w:sz="4" w:space="0" w:color="auto"/>
            </w:tcBorders>
            <w:vAlign w:val="center"/>
          </w:tcPr>
          <w:p>
            <w:pPr>
              <w:jc w:val="both"/>
              <w:rPr>
                <w:rFonts w:ascii="Times New Roman" w:hAnsi="Times New Roman" w:cs="Times New Roman"/>
                <w:b/>
                <w:noProof/>
              </w:rPr>
            </w:pPr>
            <w:r>
              <w:rPr>
                <w:rFonts w:ascii="Times New Roman" w:hAnsi="Times New Roman"/>
                <w:b/>
                <w:noProof/>
              </w:rPr>
              <w:t>Andet kvartal 2021</w:t>
            </w:r>
          </w:p>
          <w:p>
            <w:pPr>
              <w:jc w:val="both"/>
              <w:rPr>
                <w:rFonts w:ascii="Times New Roman" w:hAnsi="Times New Roman" w:cs="Times New Roman"/>
                <w:noProof/>
              </w:rPr>
            </w:pP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Denne foranstaltning har til formål at skabe et fælles begrebsmæssigt grundlag for EU's offentlige myndigheder og private organer med henblik på at udvikle politikker og undervisningsapplikationer og -materiale, der har til formål at øge den enkeltes finansielle kompetence. Den vil bygge på relevante eksisterende rammer og respektere nærhedsprincippet.</w:t>
            </w:r>
          </w:p>
          <w:p>
            <w:pPr>
              <w:jc w:val="both"/>
              <w:rPr>
                <w:rFonts w:ascii="Times New Roman" w:hAnsi="Times New Roman" w:cs="Times New Roman"/>
                <w:noProof/>
              </w:rPr>
            </w:pPr>
          </w:p>
        </w:tc>
      </w:tr>
      <w:tr>
        <w:tc>
          <w:tcPr>
            <w:tcW w:w="7893" w:type="dxa"/>
            <w:vAlign w:val="center"/>
          </w:tcPr>
          <w:p>
            <w:pPr>
              <w:pStyle w:val="ListParagraph"/>
              <w:jc w:val="both"/>
              <w:rPr>
                <w:rFonts w:ascii="Times New Roman" w:hAnsi="Times New Roman" w:cs="Times New Roman"/>
                <w:i/>
                <w:noProof/>
              </w:rPr>
            </w:pPr>
          </w:p>
          <w:p>
            <w:pPr>
              <w:pStyle w:val="ListParagraph"/>
              <w:numPr>
                <w:ilvl w:val="0"/>
                <w:numId w:val="3"/>
              </w:numPr>
              <w:spacing w:after="0" w:line="240" w:lineRule="auto"/>
              <w:jc w:val="both"/>
              <w:rPr>
                <w:rFonts w:ascii="Times New Roman" w:hAnsi="Times New Roman" w:cs="Times New Roman"/>
                <w:i/>
                <w:noProof/>
              </w:rPr>
            </w:pPr>
            <w:r>
              <w:rPr>
                <w:rFonts w:ascii="Times New Roman" w:hAnsi="Times New Roman"/>
                <w:i/>
                <w:noProof/>
                <w:color w:val="000000"/>
              </w:rPr>
              <w:t xml:space="preserve">Kommissionen vil vurdere, om det er hensigtsmæssigt at </w:t>
            </w:r>
            <w:r>
              <w:rPr>
                <w:rFonts w:ascii="Times New Roman" w:hAnsi="Times New Roman"/>
                <w:bCs/>
                <w:i/>
                <w:noProof/>
                <w:color w:val="000000"/>
              </w:rPr>
              <w:t>udvide princippet i artikel 6 i realkreditdirektivet</w:t>
            </w:r>
            <w:r>
              <w:rPr>
                <w:rStyle w:val="FootnoteReference"/>
                <w:rFonts w:ascii="Times New Roman" w:hAnsi="Times New Roman" w:cs="Times New Roman"/>
                <w:bCs/>
                <w:i/>
                <w:noProof/>
                <w:color w:val="000000"/>
                <w:lang w:val="en-US"/>
              </w:rPr>
              <w:footnoteReference w:id="12"/>
            </w:r>
            <w:r>
              <w:rPr>
                <w:rFonts w:ascii="Times New Roman" w:hAnsi="Times New Roman"/>
                <w:bCs/>
                <w:i/>
                <w:noProof/>
                <w:color w:val="000000"/>
              </w:rPr>
              <w:t xml:space="preserve"> til at gælde </w:t>
            </w:r>
            <w:r>
              <w:rPr>
                <w:rFonts w:ascii="Times New Roman" w:hAnsi="Times New Roman"/>
                <w:i/>
                <w:noProof/>
                <w:color w:val="000000"/>
              </w:rPr>
              <w:t>relevant sektorlovgivning</w:t>
            </w:r>
            <w:r>
              <w:rPr>
                <w:rFonts w:ascii="Times New Roman" w:hAnsi="Times New Roman"/>
                <w:bCs/>
                <w:i/>
                <w:noProof/>
                <w:color w:val="000000"/>
              </w:rPr>
              <w:t xml:space="preserve"> — direktivet om markeder for finansielle instrumenter</w:t>
            </w:r>
            <w:r>
              <w:rPr>
                <w:rStyle w:val="FootnoteReference"/>
                <w:rFonts w:ascii="Times New Roman" w:hAnsi="Times New Roman" w:cs="Times New Roman"/>
                <w:bCs/>
                <w:i/>
                <w:noProof/>
                <w:color w:val="000000"/>
                <w:lang w:val="en-US"/>
              </w:rPr>
              <w:footnoteReference w:id="13"/>
            </w:r>
            <w:r>
              <w:rPr>
                <w:rFonts w:ascii="Times New Roman" w:hAnsi="Times New Roman"/>
                <w:bCs/>
                <w:i/>
                <w:noProof/>
                <w:color w:val="000000"/>
              </w:rPr>
              <w:t xml:space="preserve"> (MiFID), direktivet om forsikringsdistribution</w:t>
            </w:r>
            <w:r>
              <w:rPr>
                <w:rStyle w:val="FootnoteReference"/>
                <w:rFonts w:ascii="Times New Roman" w:hAnsi="Times New Roman" w:cs="Times New Roman"/>
                <w:bCs/>
                <w:i/>
                <w:noProof/>
                <w:color w:val="000000"/>
                <w:lang w:val="en-US"/>
              </w:rPr>
              <w:footnoteReference w:id="14"/>
            </w:r>
            <w:r>
              <w:rPr>
                <w:rFonts w:ascii="Times New Roman" w:hAnsi="Times New Roman"/>
                <w:bCs/>
                <w:i/>
                <w:noProof/>
                <w:color w:val="000000"/>
              </w:rPr>
              <w:t xml:space="preserve"> (IDD), forordningen om et paneuropæisk personligt pensionsprodukt</w:t>
            </w:r>
            <w:r>
              <w:rPr>
                <w:rStyle w:val="FootnoteReference"/>
                <w:rFonts w:ascii="Times New Roman" w:hAnsi="Times New Roman" w:cs="Times New Roman"/>
                <w:bCs/>
                <w:i/>
                <w:noProof/>
                <w:color w:val="000000"/>
                <w:lang w:val="en-US"/>
              </w:rPr>
              <w:footnoteReference w:id="15"/>
            </w:r>
            <w:r>
              <w:rPr>
                <w:rFonts w:ascii="Times New Roman" w:hAnsi="Times New Roman"/>
                <w:bCs/>
                <w:i/>
                <w:noProof/>
                <w:color w:val="000000"/>
              </w:rPr>
              <w:t xml:space="preserve"> (PEPP), direktivet om visse institutter for kollektiv investering i værdipapirer</w:t>
            </w:r>
            <w:r>
              <w:rPr>
                <w:rStyle w:val="FootnoteReference"/>
                <w:rFonts w:ascii="Times New Roman" w:hAnsi="Times New Roman" w:cs="Times New Roman"/>
                <w:bCs/>
                <w:i/>
                <w:noProof/>
                <w:color w:val="000000"/>
                <w:lang w:val="en-US"/>
              </w:rPr>
              <w:footnoteReference w:id="16"/>
            </w:r>
            <w:r>
              <w:rPr>
                <w:rFonts w:ascii="Times New Roman" w:hAnsi="Times New Roman"/>
                <w:bCs/>
                <w:i/>
                <w:noProof/>
                <w:color w:val="000000"/>
              </w:rPr>
              <w:t xml:space="preserve"> (UCITS) og forordningen om sammensatte og forsikringsbaserede investeringsprodukter til detailinvestorer</w:t>
            </w:r>
            <w:r>
              <w:rPr>
                <w:rStyle w:val="FootnoteReference"/>
                <w:rFonts w:ascii="Times New Roman" w:hAnsi="Times New Roman" w:cs="Times New Roman"/>
                <w:i/>
                <w:noProof/>
                <w:color w:val="000000"/>
                <w:lang w:val="en-US"/>
              </w:rPr>
              <w:footnoteReference w:id="17"/>
            </w:r>
            <w:r>
              <w:rPr>
                <w:rFonts w:ascii="Times New Roman" w:hAnsi="Times New Roman"/>
                <w:bCs/>
                <w:i/>
                <w:noProof/>
                <w:color w:val="000000"/>
              </w:rPr>
              <w:t xml:space="preserve"> (PRIIP'er</w:t>
            </w:r>
            <w:r>
              <w:rPr>
                <w:rFonts w:ascii="Times New Roman" w:hAnsi="Times New Roman"/>
                <w:i/>
                <w:noProof/>
                <w:color w:val="000000"/>
              </w:rPr>
              <w:t>). Den vil, såfremt det understøttes af en positiv konsekvensanalyse, gøre dette med henblik på at foreslå en horisontal omnibus-lovgivning, der pålægger medlemsstaterne at fremme formelle, ikke-formelle og/eller uformelle læringsforanstaltninger, der støtter forbrugernes uddannelse i finansiel forståelse, navnlig i forbindelse med ansvarlig investering.</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highlight w:val="yellow"/>
              </w:rPr>
            </w:pPr>
            <w:r>
              <w:rPr>
                <w:rFonts w:ascii="Times New Roman" w:hAnsi="Times New Roman"/>
                <w:b/>
                <w:noProof/>
              </w:rPr>
              <w:t>Første kvartal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Formålet med denne foranstaltning er at bygge videre på den juridiske præcedens, der er fastsat i realkreditdirektivet, ved at pålægge medlemsstaterne at fremme læringsforanstaltninger, der støtter forbrugernes uddannelse i finansiel forståelse med hensyn til ansvarlig investering i andre sektorspecifikke retsakter (MiFID II, IDD, PEPP, UCITS, PRIIP'er), hvor dette understøttes af en positiv konsekvensanalyse og er under fuld overholdelse af nærhedsprincippet.</w:t>
            </w:r>
          </w:p>
          <w:p>
            <w:pPr>
              <w:jc w:val="both"/>
              <w:rPr>
                <w:rFonts w:ascii="Times New Roman" w:hAnsi="Times New Roman" w:cs="Times New Roman"/>
                <w:noProof/>
              </w:rPr>
            </w:pPr>
            <w:r>
              <w:rPr>
                <w:rFonts w:ascii="Times New Roman" w:hAnsi="Times New Roman"/>
                <w:noProof/>
              </w:rPr>
              <w:t xml:space="preserve"> </w:t>
            </w: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Foranstaltning nr. 8: Opbygning af detailinvestorers tillid til kapitalmarkederne</w:t>
            </w:r>
          </w:p>
          <w:p>
            <w:pPr>
              <w:jc w:val="both"/>
              <w:rPr>
                <w:rFonts w:ascii="Times New Roman" w:hAnsi="Times New Roman" w:cs="Times New Roman"/>
                <w:b/>
                <w:i/>
                <w:noProof/>
                <w:u w:val="single"/>
              </w:rPr>
            </w:pPr>
            <w:r>
              <w:rPr>
                <w:rFonts w:ascii="Times New Roman" w:hAnsi="Times New Roman"/>
                <w:b/>
                <w:i/>
                <w:noProof/>
                <w:u w:val="single"/>
              </w:rPr>
              <w:t xml:space="preserve"> </w:t>
            </w: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 xml:space="preserve">Kommissionen vil vurdere de gældende regler for tilskyndelser og videregivelse af oplysninger og om nødvendigt foreslå en ændring af de eksisterende retlige rammer for at sikre, at detailinvestorer modtager rimelig og passende rådgivning samt klare og sammenlignelige produktoplysninger.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Første kvartal 2022</w:t>
            </w:r>
          </w:p>
        </w:tc>
      </w:tr>
      <w:tr>
        <w:tc>
          <w:tcPr>
            <w:tcW w:w="9089" w:type="dxa"/>
            <w:gridSpan w:val="2"/>
            <w:vAlign w:val="center"/>
          </w:tcPr>
          <w:p>
            <w:pPr>
              <w:jc w:val="both"/>
              <w:rPr>
                <w:rFonts w:ascii="Times New Roman" w:hAnsi="Times New Roman" w:cs="Times New Roman"/>
                <w:noProof/>
                <w:highlight w:val="yellow"/>
              </w:rPr>
            </w:pPr>
          </w:p>
          <w:p>
            <w:pPr>
              <w:jc w:val="both"/>
              <w:rPr>
                <w:rFonts w:ascii="Times New Roman" w:hAnsi="Times New Roman" w:cs="Times New Roman"/>
                <w:noProof/>
              </w:rPr>
            </w:pPr>
            <w:r>
              <w:rPr>
                <w:rFonts w:ascii="Times New Roman" w:hAnsi="Times New Roman"/>
                <w:noProof/>
              </w:rPr>
              <w:t xml:space="preserve">For så vidt angår distribution vil vurderingen bl.a. omfatte mulige foranstaltninger til: i) at bringe standarder for investorbeskyttelse i IDD i overensstemmelse med dem, der gælder i henhold til MiFID II, ii) at anmode distributører om at oplyse kunderne om, at der findes tredjepartsprodukter, iii) at øge gennemsigtigheden af tilskyndelser for kunder og iv) at indføre særlige rapporteringskrav for distributører af detailprodukter for at give mulighed for tilsyn. Med hensyn til videregivelse af oplysninger vil der blive lagt særlig vægt på at forbedre forbrugerengagement, digital levering og interaktion med vigtige oplysninger, der gør det muligt at sammenligne, interagere og tilpasse. Denne foranstaltning bør omfatte forbedringer af videregivelsen af bæredygtighedsrelaterede oplysninger, hvilket vil fremskynde detailinvestorernes udbredelse af bæredygtige produkter. Kommissionen vil afslutte vurderingen senest i første kvartal af 2022. </w:t>
            </w:r>
          </w:p>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Kommissionen vil derefter fremlægge de nødvendige lovgivningsmæssige ændringer for at imødegå eventuelle interessekonflikter, der udspringer fra betaling af tilskyndelser til distributører samt svagheder i den nuværende oplysningsramme, navnlig for at søge bedre overensstemmelse mellem IDD, MiFID II og PRIIP'er. Hvis disse ændringer understøttes af en positiv konsekvensanalyse, vil de blive medtaget i IDD, MiFID II og PRIIP'er.</w:t>
            </w:r>
          </w:p>
          <w:p>
            <w:pPr>
              <w:jc w:val="both"/>
              <w:rPr>
                <w:rFonts w:ascii="Times New Roman" w:hAnsi="Times New Roman" w:cs="Times New Roman"/>
                <w:i/>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i/>
                <w:noProof/>
              </w:rPr>
              <w:t>Kommissionen vil fremsætte et lovgivningsforslag om ændring af MiFID II senest i fjerde kvartal af 2021/første kvartal af 2022 for at mindske den administrative byrde og oplysningskravene for en undergruppe af detailinvestorer. Dette vil indebære en revision af den eksisterende kategorisering af detailinvestorer i forhold til professionelle investorer eller indførelsen af en ny kategori af kvalificerede investorer.</w:t>
            </w:r>
          </w:p>
          <w:p>
            <w:pPr>
              <w:ind w:left="360"/>
              <w:jc w:val="bot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Fjerde kvartal 2021/første kvartal 2022</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bCs/>
                <w:noProof/>
              </w:rPr>
            </w:pPr>
            <w:r>
              <w:rPr>
                <w:rFonts w:ascii="Times New Roman" w:hAnsi="Times New Roman"/>
                <w:noProof/>
              </w:rPr>
              <w:t>Formålet med denne foranstaltning er at forbedre kategoriseringen af investorer i MiFID II-regelsættet med henblik på at mindske den administrative byrde for virksomhederne og at lette unødvendige krav til garantier og oplysninger for en undergruppe af investorer, der i øjeblikket klassificeres som detailinvestorer, selv om de har et godt kendskab til finansielle markeder og produkter.</w:t>
            </w:r>
            <w:r>
              <w:rPr>
                <w:rFonts w:ascii="Times New Roman" w:hAnsi="Times New Roman"/>
                <w:bCs/>
                <w:noProof/>
              </w:rPr>
              <w:t xml:space="preserve"> Denne foranstaltning vil blive genstand for en konsekvensanalyse.</w:t>
            </w:r>
          </w:p>
          <w:p>
            <w:pPr>
              <w:jc w:val="both"/>
              <w:rPr>
                <w:rFonts w:ascii="Times New Roman" w:hAnsi="Times New Roman" w:cs="Times New Roman"/>
                <w:bCs/>
                <w:noProof/>
              </w:rPr>
            </w:pPr>
          </w:p>
        </w:tc>
      </w:tr>
      <w:tr>
        <w:tc>
          <w:tcPr>
            <w:tcW w:w="7893" w:type="dxa"/>
            <w:vAlign w:val="center"/>
          </w:tcPr>
          <w:p>
            <w:pPr>
              <w:rPr>
                <w:rFonts w:ascii="Times New Roman" w:hAnsi="Times New Roman" w:cs="Times New Roman"/>
                <w:noProof/>
              </w:rPr>
            </w:pPr>
          </w:p>
          <w:p>
            <w:pPr>
              <w:pStyle w:val="ListParagraph"/>
              <w:numPr>
                <w:ilvl w:val="0"/>
                <w:numId w:val="4"/>
              </w:numPr>
              <w:spacing w:after="0" w:line="240" w:lineRule="auto"/>
              <w:jc w:val="both"/>
              <w:rPr>
                <w:rFonts w:ascii="Times New Roman" w:hAnsi="Times New Roman" w:cs="Times New Roman"/>
                <w:i/>
                <w:noProof/>
              </w:rPr>
            </w:pPr>
            <w:r>
              <w:rPr>
                <w:rFonts w:ascii="Times New Roman" w:hAnsi="Times New Roman"/>
                <w:i/>
                <w:noProof/>
              </w:rPr>
              <w:t>Med forbehold af en positiv konsekvensanalyse foretaget i forbindelse med revisionen af IDD senest i første kvartal af 2023 og MiFID II senest i fjerde kvartal af 2021 vil Kommissionen indføre et krav om, at rådgivere skal indhente et certifikat, der godtgør, at deres viden og kvalifikationer er tilstrækkelig til at få adgang til erhvervet, og viser, at de deltager i videreuddannelse i et passende omfang. Formålet med dette er at opretholde et tilfredsstillende præstationsniveau for rådgiveren.</w:t>
            </w:r>
          </w:p>
          <w:p>
            <w:pPr>
              <w:jc w:val="both"/>
              <w:rPr>
                <w:rFonts w:ascii="Times New Roman" w:eastAsia="Times New Roman" w:hAnsi="Times New Roman" w:cs="Times New Roman"/>
                <w:bCs/>
                <w:i/>
                <w:noProof/>
                <w:lang w:eastAsia="en-GB"/>
              </w:rPr>
            </w:pPr>
          </w:p>
          <w:p>
            <w:pPr>
              <w:ind w:left="720"/>
              <w:jc w:val="both"/>
              <w:rPr>
                <w:rFonts w:ascii="Times New Roman" w:hAnsi="Times New Roman" w:cs="Times New Roman"/>
                <w:b/>
                <w:i/>
                <w:noProof/>
              </w:rPr>
            </w:pPr>
            <w:r>
              <w:rPr>
                <w:rFonts w:ascii="Times New Roman" w:hAnsi="Times New Roman"/>
                <w:i/>
                <w:noProof/>
              </w:rPr>
              <w:t>Desuden vil Kommissionen senest i første kvartal af 2022 vurdere, om det er muligt at indføre et EU-dækkende mærke for finansielle rådgivere, som kan anvendes til at opfylde kravet om at få udstedt et certifikat.</w:t>
            </w:r>
          </w:p>
          <w:p>
            <w:pPr>
              <w:jc w:val="both"/>
              <w:rPr>
                <w:rFonts w:ascii="Times New Roman" w:hAnsi="Times New Roman" w:cs="Times New Roman"/>
                <w:b/>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Første kvartal 2023</w:t>
            </w:r>
          </w:p>
          <w:p>
            <w:pPr>
              <w:jc w:val="both"/>
              <w:rPr>
                <w:rFonts w:ascii="Times New Roman" w:hAnsi="Times New Roman" w:cs="Times New Roman"/>
                <w:b/>
                <w:noProof/>
              </w:rPr>
            </w:pPr>
            <w:r>
              <w:rPr>
                <w:rFonts w:ascii="Times New Roman" w:hAnsi="Times New Roman"/>
                <w:b/>
                <w:noProof/>
              </w:rPr>
              <w:t>Fjerde kvartal 2021</w:t>
            </w:r>
          </w:p>
          <w:p>
            <w:pPr>
              <w:jc w:val="both"/>
              <w:rPr>
                <w:rFonts w:ascii="Times New Roman" w:hAnsi="Times New Roman" w:cs="Times New Roman"/>
                <w:b/>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Første kvartal 2022</w:t>
            </w:r>
          </w:p>
        </w:tc>
      </w:tr>
      <w:tr>
        <w:tc>
          <w:tcPr>
            <w:tcW w:w="9089" w:type="dxa"/>
            <w:gridSpan w:val="2"/>
            <w:vAlign w:val="center"/>
          </w:tcPr>
          <w:p>
            <w:pPr>
              <w:jc w:val="both"/>
              <w:rPr>
                <w:rFonts w:ascii="Times New Roman" w:eastAsia="Times New Roman" w:hAnsi="Times New Roman" w:cs="Times New Roman"/>
                <w:bCs/>
                <w:noProof/>
                <w:lang w:eastAsia="en-GB"/>
              </w:rPr>
            </w:pPr>
          </w:p>
          <w:p>
            <w:pPr>
              <w:jc w:val="both"/>
              <w:rPr>
                <w:rFonts w:ascii="Times New Roman" w:hAnsi="Times New Roman" w:cs="Times New Roman"/>
                <w:b/>
                <w:noProof/>
                <w:u w:val="single"/>
              </w:rPr>
            </w:pPr>
            <w:r>
              <w:rPr>
                <w:rFonts w:ascii="Times New Roman" w:hAnsi="Times New Roman"/>
                <w:bCs/>
                <w:noProof/>
              </w:rPr>
              <w:t>Disse foranstaltninger vil sikre lige konkurrencevilkår blandt rådgivere og yderligere forbedre kvaliteten af den finansielle rådgivning i EU, herunder med hensyn til bæredygtighed.</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noProof/>
                <w:u w:val="single"/>
              </w:rPr>
            </w:pPr>
            <w:r>
              <w:rPr>
                <w:rFonts w:ascii="Times New Roman" w:hAnsi="Times New Roman"/>
                <w:b/>
                <w:noProof/>
                <w:u w:val="single"/>
              </w:rPr>
              <w:t>Foranstaltning nr. 9: Støtte til personer, der går på pension</w:t>
            </w:r>
          </w:p>
          <w:p>
            <w:pPr>
              <w:jc w:val="both"/>
              <w:rPr>
                <w:rFonts w:ascii="Times New Roman" w:hAnsi="Times New Roman" w:cs="Times New Roman"/>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For at styrke overvågningen af status for pensionernes tilstrækkelighed i medlemsstaterne vil Kommissionen søge at identificere de relevante data og metoder til udvikling af pensionsdashboards med indikatorer. </w:t>
            </w:r>
          </w:p>
          <w:p>
            <w:pPr>
              <w:pStyle w:val="ListParagraph"/>
              <w:jc w:val="both"/>
              <w:rPr>
                <w:rFonts w:ascii="Times New Roman" w:hAnsi="Times New Roman" w:cs="Times New Roman"/>
                <w:i/>
                <w:noProof/>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 xml:space="preserve">For at lette adgangen til individualiserede pensionsoplysninger og øge folks bevidsthed om deres fremtidige pensionsindtægter vil Kommissionen søge at udvikle bedste praksis for etablering af nationale sporingssystemer.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Fjerde kvartal 2021</w:t>
            </w:r>
          </w:p>
          <w:p>
            <w:pPr>
              <w:jc w:val="both"/>
              <w:rPr>
                <w:rFonts w:ascii="Times New Roman" w:hAnsi="Times New Roman" w:cs="Times New Roman"/>
                <w:noProof/>
              </w:rPr>
            </w:pP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Fjerde kvartal 2021</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Kommissionen vil senest i fjerde kvartal af 2020 sende en anmodning om rådgivning til Den Europæiske Tilsynsmyndighed for Forsikrings- og Arbejdsmarkedspensionsordninger (EIOPA) for i) at udpege de data, som udbydere af arbejdsmarkedspensioner skal indberette for at gøre det muligt at udvikle pensionsdashboards med indikatorer, og ii) søge at få input til udviklingen af bedste praksis for etablering af nationale sporingssystemer. Fristen for at modtage EIOPA's tekniske rådgivning vil blive fastsat til fjerde kvartal af 2021.</w:t>
            </w:r>
          </w:p>
          <w:p>
            <w:pPr>
              <w:jc w:val="both"/>
              <w:rPr>
                <w:rFonts w:ascii="Times New Roman" w:hAnsi="Times New Roman" w:cs="Times New Roman"/>
                <w:noProof/>
              </w:rPr>
            </w:pPr>
          </w:p>
        </w:tc>
      </w:tr>
      <w:tr>
        <w:tc>
          <w:tcPr>
            <w:tcW w:w="7893" w:type="dxa"/>
            <w:vAlign w:val="center"/>
          </w:tcPr>
          <w:p>
            <w:pPr>
              <w:jc w:val="both"/>
              <w:rPr>
                <w:rFonts w:ascii="Times New Roman" w:hAnsi="Times New Roman" w:cs="Times New Roman"/>
                <w:b/>
                <w:i/>
                <w:noProof/>
                <w:u w:val="single"/>
              </w:rPr>
            </w:pPr>
          </w:p>
          <w:p>
            <w:pPr>
              <w:pStyle w:val="ListParagraph"/>
              <w:numPr>
                <w:ilvl w:val="0"/>
                <w:numId w:val="5"/>
              </w:numPr>
              <w:spacing w:after="0" w:line="240" w:lineRule="auto"/>
              <w:jc w:val="both"/>
              <w:rPr>
                <w:rFonts w:ascii="Times New Roman" w:hAnsi="Times New Roman" w:cs="Times New Roman"/>
                <w:i/>
                <w:noProof/>
              </w:rPr>
            </w:pPr>
            <w:r>
              <w:rPr>
                <w:rFonts w:ascii="Times New Roman" w:hAnsi="Times New Roman"/>
                <w:i/>
                <w:noProof/>
              </w:rPr>
              <w:t>Kommissionen vil iværksætte en undersøgelse med henblik på at analysere praksis for automatisk tilmelding og kan analysere andre former for praksis, der skal stimulere deltagelse i arbejdsmarkedsrelaterede pensionsordninger, med henblik på at udvikle bedste praksis for sådanne systemer på tværs af medlemsstaterne.</w:t>
            </w:r>
          </w:p>
          <w:p>
            <w:pPr>
              <w:ind w:left="360"/>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Tredje kvartal 2020</w:t>
            </w:r>
          </w:p>
        </w:tc>
      </w:tr>
      <w:tr>
        <w:tc>
          <w:tcPr>
            <w:tcW w:w="9089" w:type="dxa"/>
            <w:gridSpan w:val="2"/>
            <w:vAlign w:val="center"/>
          </w:tcPr>
          <w:p>
            <w:pPr>
              <w:jc w:val="both"/>
              <w:rPr>
                <w:rFonts w:ascii="Times New Roman" w:hAnsi="Times New Roman" w:cs="Times New Roman"/>
                <w:noProof/>
              </w:rPr>
            </w:pPr>
          </w:p>
          <w:p>
            <w:pPr>
              <w:jc w:val="both"/>
              <w:rPr>
                <w:rFonts w:ascii="Times New Roman" w:hAnsi="Times New Roman" w:cs="Times New Roman"/>
                <w:noProof/>
              </w:rPr>
            </w:pPr>
            <w:r>
              <w:rPr>
                <w:rFonts w:ascii="Times New Roman" w:hAnsi="Times New Roman"/>
                <w:noProof/>
              </w:rPr>
              <w:t>I tredje kvartal af 2020 vil Kommissionen iværksætte en ekstern undersøgelse for at analysere eksisterende praksis med automatisk tilmelding i forbindelse med arbejdsmarkedsrelaterede pensionsordninger med henblik på at udvikle bedste praksis i EU. Automatisk tilmelding er en mekanisme, hvorved opsparere automatisk tilmeldes en pensionsopsparingsordning, medmindre de aktivt fravælger det.</w:t>
            </w:r>
          </w:p>
          <w:p>
            <w:pPr>
              <w:jc w:val="both"/>
              <w:rPr>
                <w:rFonts w:ascii="Times New Roman" w:hAnsi="Times New Roman" w:cs="Times New Roman"/>
                <w:noProof/>
              </w:rPr>
            </w:pPr>
          </w:p>
        </w:tc>
      </w:tr>
    </w:tbl>
    <w:p>
      <w:pPr>
        <w:jc w:val="both"/>
        <w:rPr>
          <w:noProof/>
        </w:rPr>
      </w:pPr>
    </w:p>
    <w:p>
      <w:pPr>
        <w:pStyle w:val="ListParagraph"/>
        <w:numPr>
          <w:ilvl w:val="0"/>
          <w:numId w:val="1"/>
        </w:numPr>
        <w:jc w:val="both"/>
        <w:rPr>
          <w:noProof/>
        </w:rPr>
      </w:pPr>
      <w:r>
        <w:rPr>
          <w:rFonts w:ascii="Times New Roman Bold" w:hAnsi="Times New Roman Bold"/>
          <w:b/>
          <w:smallCaps/>
          <w:noProof/>
          <w:sz w:val="24"/>
          <w:szCs w:val="20"/>
          <w:u w:val="single"/>
        </w:rPr>
        <w:t>Integration af de nationale kapitalmarkeder i et ægte indre marked</w:t>
      </w:r>
    </w:p>
    <w:tbl>
      <w:tblPr>
        <w:tblStyle w:val="TableGrid"/>
        <w:tblW w:w="0" w:type="auto"/>
        <w:tblLook w:val="04A0" w:firstRow="1" w:lastRow="0" w:firstColumn="1" w:lastColumn="0" w:noHBand="0" w:noVBand="1"/>
      </w:tblPr>
      <w:tblGrid>
        <w:gridCol w:w="8046"/>
        <w:gridCol w:w="1196"/>
      </w:tblGrid>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Foranstaltning nr. 10: Lettelse af den skattebyrde, der er forbundet med grænseoverskridende investeringer</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For at mindske skatterelaterede omkostninger for grænseoverskridende investorer og forebygge skattesvig vil Kommissionen fremsætte et lovgivningsmæssigt initiativ senest i fjerde kvartal af 2022 med forbehold af en positiv konsekvensanalyse og i tæt samråd med medlemsstaterne samt undersøge yderligere måder, hvorpå der kan indføres et fælles, standardiseret EU-dækkende system for kildeskattelettelser. </w:t>
            </w:r>
          </w:p>
          <w:p>
            <w:pPr>
              <w:jc w:val="both"/>
              <w:rPr>
                <w:rFonts w:ascii="Times New Roman" w:hAnsi="Times New Roman" w:cs="Times New Roman"/>
                <w:i/>
                <w:noProof/>
              </w:rPr>
            </w:pPr>
          </w:p>
        </w:tc>
        <w:tc>
          <w:tcPr>
            <w:tcW w:w="1196" w:type="dxa"/>
            <w:vAlign w:val="center"/>
          </w:tcPr>
          <w:p>
            <w:pPr>
              <w:jc w:val="both"/>
              <w:rPr>
                <w:rFonts w:ascii="Times New Roman" w:hAnsi="Times New Roman" w:cs="Times New Roman"/>
                <w:b/>
                <w:noProof/>
              </w:rPr>
            </w:pPr>
            <w:r>
              <w:rPr>
                <w:rFonts w:ascii="Times New Roman" w:hAnsi="Times New Roman"/>
                <w:b/>
                <w:noProof/>
              </w:rPr>
              <w:t>Fjerde kvartal 2022</w:t>
            </w:r>
          </w:p>
        </w:tc>
      </w:tr>
      <w:tr>
        <w:trPr>
          <w:trHeight w:val="1160"/>
        </w:trPr>
        <w:tc>
          <w:tcPr>
            <w:tcW w:w="9242" w:type="dxa"/>
            <w:gridSpan w:val="2"/>
            <w:vAlign w:val="center"/>
          </w:tcPr>
          <w:p>
            <w:pPr>
              <w:jc w:val="both"/>
              <w:rPr>
                <w:rFonts w:ascii="Times New Roman" w:hAnsi="Times New Roman" w:cs="Times New Roman"/>
                <w:b/>
                <w:i/>
                <w:noProof/>
                <w:u w:val="single"/>
              </w:rPr>
            </w:pPr>
            <w:r>
              <w:rPr>
                <w:rFonts w:ascii="Times New Roman" w:hAnsi="Times New Roman"/>
                <w:noProof/>
              </w:rPr>
              <w:t>I dette arbejde vil der blive taget hensyn til OECD-projektet TRACE (Treaty Relief and Compliance Enhancement)</w:t>
            </w:r>
            <w:r>
              <w:rPr>
                <w:rStyle w:val="FootnoteReference"/>
                <w:rFonts w:ascii="Times New Roman" w:eastAsia="Times New Roman" w:hAnsi="Times New Roman" w:cs="Times New Roman"/>
                <w:noProof/>
                <w:lang w:val="en-US" w:eastAsia="en-GB"/>
              </w:rPr>
              <w:footnoteReference w:id="18"/>
            </w:r>
            <w:r>
              <w:rPr>
                <w:rFonts w:ascii="Times New Roman" w:hAnsi="Times New Roman"/>
                <w:noProof/>
              </w:rPr>
              <w:t xml:space="preserve"> og andre EU-initiativer, f.eks. adfærdskodeksen for kildebeskatning.</w:t>
            </w:r>
            <w:r>
              <w:rPr>
                <w:rStyle w:val="FootnoteReference"/>
                <w:rFonts w:ascii="Times New Roman" w:hAnsi="Times New Roman"/>
                <w:noProof/>
              </w:rPr>
              <w:t xml:space="preserve"> </w:t>
            </w:r>
            <w:r>
              <w:rPr>
                <w:rStyle w:val="FootnoteReference"/>
                <w:rFonts w:ascii="Times New Roman" w:eastAsia="Times New Roman" w:hAnsi="Times New Roman" w:cs="Times New Roman"/>
                <w:noProof/>
                <w:lang w:val="en-US" w:eastAsia="en-GB"/>
              </w:rPr>
              <w:footnoteReference w:id="19"/>
            </w:r>
          </w:p>
          <w:p>
            <w:pPr>
              <w:jc w:val="both"/>
              <w:rPr>
                <w:rFonts w:ascii="Times New Roman" w:hAnsi="Times New Roman" w:cs="Times New Roman"/>
                <w:b/>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Foranstaltning nr. 11: Resultatet af grænseoverskridende investeringer skal gøres mere forudsigeligt for så vidt angår insolvensbehandling</w:t>
            </w:r>
          </w:p>
          <w:p>
            <w:pPr>
              <w:jc w:val="both"/>
              <w:rPr>
                <w:rFonts w:ascii="Times New Roman" w:hAnsi="Times New Roman" w:cs="Times New Roman"/>
                <w:b/>
                <w:i/>
                <w:noProof/>
              </w:rPr>
            </w:pPr>
          </w:p>
          <w:p>
            <w:pPr>
              <w:pStyle w:val="ListParagraph"/>
              <w:numPr>
                <w:ilvl w:val="0"/>
                <w:numId w:val="6"/>
              </w:numPr>
              <w:spacing w:after="0" w:line="240" w:lineRule="auto"/>
              <w:jc w:val="both"/>
              <w:rPr>
                <w:rFonts w:ascii="Times New Roman" w:hAnsi="Times New Roman" w:cs="Times New Roman"/>
                <w:b/>
                <w:i/>
                <w:noProof/>
                <w:u w:val="single"/>
              </w:rPr>
            </w:pPr>
            <w:r>
              <w:rPr>
                <w:rFonts w:ascii="Times New Roman" w:hAnsi="Times New Roman"/>
                <w:i/>
                <w:noProof/>
              </w:rPr>
              <w:t xml:space="preserve">For at gøre resultaterne af insolvensbehandlinger mere forudsigelige vil Kommissionen tage et lovgivningsmæssigt eller ikke-lovgivningsmæssigt initiativ til minimumsharmonisering eller øget konvergens på målrettede områder af kerneinsolvens uden for banksektoren senest medio 2022. </w:t>
            </w:r>
          </w:p>
          <w:p>
            <w:pPr>
              <w:pStyle w:val="ListParagraph"/>
              <w:rPr>
                <w:rFonts w:ascii="Times New Roman" w:hAnsi="Times New Roman" w:cs="Times New Roman"/>
                <w:noProof/>
              </w:rPr>
            </w:pP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Andet kvartal 2022</w:t>
            </w:r>
          </w:p>
          <w:p>
            <w:pPr>
              <w:jc w:val="both"/>
              <w:rPr>
                <w:rFonts w:ascii="Times New Roman" w:hAnsi="Times New Roman" w:cs="Times New Roman"/>
                <w:b/>
                <w:noProof/>
              </w:rPr>
            </w:pPr>
          </w:p>
        </w:tc>
      </w:tr>
      <w:tr>
        <w:trPr>
          <w:trHeight w:val="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noProof/>
              </w:rPr>
              <w:t xml:space="preserve">Initiativet til et lovgivningsmæssigt eller ikke-lovgivningsmæssigt instrument kan omfatte en definition af udløsningsmekanismer for insolvensbehandling, rangordning af fordringer (afvejning af interesserne hos forskellige typer kreditorer, herunder sikrede/usikrede kreditorer ved insolvens) og yderligere centrale elementer såsom anfægtelsessøgsmål eller opsporing af aktiver. </w:t>
            </w:r>
            <w:r>
              <w:rPr>
                <w:rFonts w:ascii="Times New Roman" w:hAnsi="Times New Roman"/>
                <w:iCs/>
                <w:noProof/>
              </w:rPr>
              <w:t>I initiativet vil der blive taget hensyn til resultaterne af en offentlig høring samt rådgivning fra en ekspertgruppe og drøftelser med medlemsstaterne. Det vil også blive understøttet af en konsekvensanalyse.</w:t>
            </w:r>
          </w:p>
        </w:tc>
      </w:tr>
      <w:tr>
        <w:trPr>
          <w:trHeight w:val="1160"/>
        </w:trPr>
        <w:tc>
          <w:tcPr>
            <w:tcW w:w="8046" w:type="dxa"/>
            <w:vAlign w:val="center"/>
          </w:tcPr>
          <w:p>
            <w:pPr>
              <w:pStyle w:val="ListParagraph"/>
              <w:jc w:val="both"/>
              <w:rPr>
                <w:rFonts w:ascii="Times New Roman" w:hAnsi="Times New Roman" w:cs="Times New Roman"/>
                <w:i/>
                <w:noProof/>
                <w:u w:val="single"/>
              </w:rPr>
            </w:pPr>
          </w:p>
          <w:p>
            <w:pPr>
              <w:pStyle w:val="ListParagraph"/>
              <w:numPr>
                <w:ilvl w:val="0"/>
                <w:numId w:val="6"/>
              </w:numPr>
              <w:spacing w:after="0" w:line="240" w:lineRule="auto"/>
              <w:jc w:val="both"/>
              <w:rPr>
                <w:rFonts w:ascii="Times New Roman" w:hAnsi="Times New Roman" w:cs="Times New Roman"/>
                <w:i/>
                <w:noProof/>
                <w:u w:val="single"/>
              </w:rPr>
            </w:pPr>
            <w:r>
              <w:rPr>
                <w:rFonts w:ascii="Times New Roman" w:hAnsi="Times New Roman"/>
                <w:i/>
                <w:noProof/>
              </w:rPr>
              <w:t>For regelmæssigt at vurdere effektiviteten af de nationale låneinsolvenssystemer vil Kommissionen og EBA analysere muligheden for at foretage retlige ændringer af rapporteringsrammerne senest i første kvartal af 2021.</w:t>
            </w:r>
            <w:r>
              <w:rPr>
                <w:rFonts w:ascii="Times New Roman" w:hAnsi="Times New Roman"/>
                <w:i/>
                <w:iCs/>
                <w:noProof/>
              </w:rPr>
              <w:t xml:space="preserve"> Dette kunne føre til retlige ændringer i fjerde kvartal af 2022.</w:t>
            </w:r>
          </w:p>
          <w:p>
            <w:pPr>
              <w:pStyle w:val="ListParagraph"/>
              <w:spacing w:after="0" w:line="240" w:lineRule="auto"/>
              <w:jc w:val="both"/>
              <w:rPr>
                <w:rFonts w:ascii="Times New Roman" w:eastAsia="Times New Roman" w:hAnsi="Times New Roman" w:cs="Times New Roman"/>
                <w:iCs/>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Første kvartal 2021</w:t>
            </w:r>
          </w:p>
          <w:p>
            <w:pPr>
              <w:jc w:val="both"/>
              <w:rPr>
                <w:rFonts w:ascii="Times New Roman" w:hAnsi="Times New Roman" w:cs="Times New Roman"/>
                <w:b/>
                <w:noProof/>
              </w:rPr>
            </w:pPr>
          </w:p>
          <w:p>
            <w:pPr>
              <w:jc w:val="both"/>
              <w:rPr>
                <w:rFonts w:ascii="Times New Roman" w:eastAsia="Times New Roman" w:hAnsi="Times New Roman" w:cs="Times New Roman"/>
                <w:iCs/>
                <w:noProof/>
              </w:rPr>
            </w:pPr>
            <w:r>
              <w:rPr>
                <w:rFonts w:ascii="Times New Roman" w:hAnsi="Times New Roman"/>
                <w:b/>
                <w:noProof/>
              </w:rPr>
              <w:t>Fjerde kvartal 2022</w:t>
            </w:r>
          </w:p>
        </w:tc>
      </w:tr>
      <w:tr>
        <w:trPr>
          <w:trHeight w:val="1160"/>
        </w:trPr>
        <w:tc>
          <w:tcPr>
            <w:tcW w:w="9242" w:type="dxa"/>
            <w:gridSpan w:val="2"/>
            <w:vAlign w:val="center"/>
          </w:tcPr>
          <w:p>
            <w:pPr>
              <w:jc w:val="both"/>
              <w:rPr>
                <w:rFonts w:ascii="Times New Roman" w:eastAsia="Times New Roman" w:hAnsi="Times New Roman" w:cs="Times New Roman"/>
                <w:noProof/>
                <w:lang w:eastAsia="en-GB"/>
              </w:rPr>
            </w:pPr>
          </w:p>
          <w:p>
            <w:pPr>
              <w:jc w:val="both"/>
              <w:rPr>
                <w:rFonts w:ascii="Times New Roman" w:eastAsia="Times New Roman" w:hAnsi="Times New Roman" w:cs="Times New Roman"/>
                <w:iCs/>
                <w:noProof/>
              </w:rPr>
            </w:pPr>
            <w:r>
              <w:rPr>
                <w:rFonts w:ascii="Times New Roman" w:hAnsi="Times New Roman"/>
                <w:noProof/>
              </w:rPr>
              <w:t>Med udgangspunkt i erfaringerne fra benchmarkingen af de nationale rammer for lånehåndhævelse</w:t>
            </w:r>
            <w:r>
              <w:rPr>
                <w:rStyle w:val="FootnoteReference"/>
                <w:rFonts w:ascii="Times New Roman" w:eastAsia="Times New Roman" w:hAnsi="Times New Roman" w:cs="Times New Roman"/>
                <w:iCs/>
                <w:noProof/>
                <w:lang w:eastAsia="en-GB"/>
              </w:rPr>
              <w:footnoteReference w:id="20"/>
            </w:r>
            <w:r>
              <w:rPr>
                <w:rFonts w:ascii="Times New Roman" w:hAnsi="Times New Roman"/>
                <w:noProof/>
              </w:rPr>
              <w:t xml:space="preserve"> (herunder insolvens), der er iværksat i henhold til den første handlingsplan for kapitalmarkedsunionen, vil Kommissionen og EBA analysere muligheden for at foretage retlige ændringer af rapporteringsrammerne.</w:t>
            </w:r>
            <w:r>
              <w:rPr>
                <w:rFonts w:ascii="Times New Roman" w:hAnsi="Times New Roman"/>
                <w:iCs/>
                <w:noProof/>
              </w:rPr>
              <w:t xml:space="preserve"> Dette vil sætte EBA i stand til regelmæssigt at holde Kommissionen ajour med effektiviteten af håndhævelsen af låneaftaler i medlemsstaterne uden at øge indberetningsbyrden uforholdsmæssigt. Eventuelle lovgivningsmæssige ændringer vil i givet fald blive foreslået i fjerde kvartal af 2022.</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Foranstaltning nr. 12: Fremme af aktivt ejerskab</w:t>
            </w:r>
          </w:p>
          <w:p>
            <w:pPr>
              <w:jc w:val="both"/>
              <w:rPr>
                <w:rFonts w:ascii="Times New Roman" w:hAnsi="Times New Roman" w:cs="Times New Roman"/>
                <w:bCs/>
                <w:i/>
                <w:noProof/>
              </w:rPr>
            </w:pPr>
          </w:p>
          <w:p>
            <w:pPr>
              <w:jc w:val="both"/>
              <w:rPr>
                <w:rFonts w:ascii="Times New Roman" w:hAnsi="Times New Roman" w:cs="Times New Roman"/>
                <w:bCs/>
                <w:i/>
                <w:noProof/>
              </w:rPr>
            </w:pPr>
            <w:r>
              <w:rPr>
                <w:rFonts w:ascii="Times New Roman" w:hAnsi="Times New Roman"/>
                <w:bCs/>
                <w:i/>
                <w:noProof/>
              </w:rPr>
              <w:t>For at fremme investorernes engagement, navnlig på tværs af grænserne, vil Kommissionen vurdere: i) muligheden for at indføre en EU-dækkende, harmoniseret definition af "aktionær" og ii) om og hvordan reglerne om samspillet mellem investorer, formidlere og udstedere vedrørende udøvelse af stemmerettigheder og behandling af corporate actions kan præciseres og harmoniseres yderligere.</w:t>
            </w:r>
            <w:r>
              <w:rPr>
                <w:rFonts w:ascii="Times New Roman" w:hAnsi="Times New Roman"/>
                <w:i/>
                <w:noProof/>
                <w:color w:val="000000"/>
              </w:rPr>
              <w:t xml:space="preserve"> </w:t>
            </w:r>
            <w:r>
              <w:rPr>
                <w:rFonts w:ascii="Times New Roman" w:hAnsi="Times New Roman"/>
                <w:i/>
                <w:noProof/>
              </w:rPr>
              <w:t>Kommissionen vil også undersøge mulige nationale hindringer for anvendelsen af nye digitale teknologier på dette område.</w:t>
            </w:r>
          </w:p>
          <w:p>
            <w:pPr>
              <w:jc w:val="both"/>
              <w:rPr>
                <w:rFonts w:ascii="Times New Roman" w:hAnsi="Times New Roman" w:cs="Times New Roman"/>
                <w:noProof/>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Tredje kvartal 2023</w:t>
            </w:r>
          </w:p>
          <w:p>
            <w:pPr>
              <w:jc w:val="both"/>
              <w:rPr>
                <w:rFonts w:ascii="Times New Roman" w:hAnsi="Times New Roman" w:cs="Times New Roman"/>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Fjerde kvartal 2021</w:t>
            </w:r>
          </w:p>
        </w:tc>
      </w:tr>
      <w:tr>
        <w:trPr>
          <w:trHeight w:val="1160"/>
        </w:trPr>
        <w:tc>
          <w:tcPr>
            <w:tcW w:w="9242" w:type="dxa"/>
            <w:gridSpan w:val="2"/>
            <w:vAlign w:val="center"/>
          </w:tcPr>
          <w:p>
            <w:pPr>
              <w:jc w:val="both"/>
              <w:rPr>
                <w:rFonts w:ascii="Times New Roman" w:hAnsi="Times New Roman" w:cs="Times New Roman"/>
                <w:noProof/>
                <w:lang w:eastAsia="en-GB"/>
              </w:rPr>
            </w:pPr>
          </w:p>
          <w:p>
            <w:pPr>
              <w:jc w:val="both"/>
              <w:rPr>
                <w:rFonts w:ascii="Times New Roman" w:eastAsia="Times New Roman" w:hAnsi="Times New Roman" w:cs="Times New Roman"/>
                <w:noProof/>
                <w:color w:val="000000"/>
              </w:rPr>
            </w:pPr>
            <w:r>
              <w:rPr>
                <w:rFonts w:ascii="Times New Roman" w:hAnsi="Times New Roman"/>
                <w:noProof/>
              </w:rPr>
              <w:t>Denne vurdering vil blive foretaget som led i Kommissionens evaluering af gennemførelsen af direktivet om aktionærrettigheder 2</w:t>
            </w:r>
            <w:r>
              <w:rPr>
                <w:rStyle w:val="FootnoteReference"/>
                <w:rFonts w:ascii="Times New Roman" w:hAnsi="Times New Roman" w:cs="Times New Roman"/>
                <w:noProof/>
                <w:lang w:eastAsia="en-GB"/>
              </w:rPr>
              <w:footnoteReference w:id="21"/>
            </w:r>
            <w:r>
              <w:rPr>
                <w:rFonts w:ascii="Times New Roman" w:hAnsi="Times New Roman"/>
                <w:noProof/>
              </w:rPr>
              <w:t xml:space="preserve"> (SRD 2), der skal offentliggøres senest i tredje kvartal af 2023. </w:t>
            </w:r>
            <w:r>
              <w:rPr>
                <w:rFonts w:ascii="Times New Roman" w:hAnsi="Times New Roman"/>
                <w:noProof/>
                <w:color w:val="000000"/>
              </w:rPr>
              <w:t xml:space="preserve"> På nuværende tidspunkt og efter behørig hensyntagen til markedsudviklingen efter SRD 2 og dets gennemførelsesforordnings</w:t>
            </w:r>
            <w:r>
              <w:rPr>
                <w:rStyle w:val="FootnoteReference"/>
                <w:rFonts w:ascii="Times New Roman" w:eastAsia="Times New Roman" w:hAnsi="Times New Roman" w:cs="Times New Roman"/>
                <w:noProof/>
                <w:color w:val="000000"/>
                <w:lang w:eastAsia="en-GB"/>
              </w:rPr>
              <w:footnoteReference w:id="22"/>
            </w:r>
            <w:r>
              <w:rPr>
                <w:rFonts w:ascii="Times New Roman" w:hAnsi="Times New Roman"/>
                <w:noProof/>
                <w:color w:val="000000"/>
              </w:rPr>
              <w:t xml:space="preserve"> ikrafttrædelse i september 2020 agter Kommissionen navnlig at undersøge følgende:</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tildeling af og dokumentation for rettigheder og registreringsdatoen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bekræftelse af rettigheden og afstemningsforpligtelsen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rækkefølge af datoer og frister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eventuelle yderligere nationale krav (navnlig krav om fuldmagt til at udøve stemmeret) og </w:t>
            </w:r>
          </w:p>
          <w:p>
            <w:pPr>
              <w:pStyle w:val="ListParagraph"/>
              <w:numPr>
                <w:ilvl w:val="0"/>
                <w:numId w:val="8"/>
              </w:numPr>
              <w:spacing w:after="0" w:line="240" w:lineRule="auto"/>
              <w:jc w:val="both"/>
              <w:rPr>
                <w:rFonts w:ascii="Times New Roman" w:eastAsia="Times New Roman" w:hAnsi="Times New Roman" w:cs="Times New Roman"/>
                <w:noProof/>
                <w:color w:val="000000"/>
              </w:rPr>
            </w:pPr>
            <w:r>
              <w:rPr>
                <w:rFonts w:ascii="Times New Roman" w:hAnsi="Times New Roman"/>
                <w:noProof/>
                <w:color w:val="000000"/>
              </w:rPr>
              <w:t xml:space="preserve">kommunikation mellem udstedere og værdipapircentraler (CSD'er) for så vidt angår tidsplan, indhold og format. </w:t>
            </w:r>
          </w:p>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noProof/>
                <w:color w:val="000000"/>
              </w:rPr>
            </w:pPr>
            <w:r>
              <w:rPr>
                <w:rFonts w:ascii="Times New Roman" w:hAnsi="Times New Roman"/>
                <w:noProof/>
                <w:color w:val="000000"/>
              </w:rPr>
              <w:t>Der vil blive lagt særlig vægt på effektivitetsmæssige overvejelser samt aspekter vedrørende retssikkerhed.</w:t>
            </w:r>
          </w:p>
          <w:p>
            <w:pPr>
              <w:jc w:val="both"/>
              <w:rPr>
                <w:rFonts w:ascii="Times New Roman" w:eastAsia="Times New Roman" w:hAnsi="Times New Roman" w:cs="Times New Roman"/>
                <w:noProof/>
                <w:color w:val="000000"/>
                <w:lang w:eastAsia="en-GB"/>
              </w:rPr>
            </w:pPr>
          </w:p>
          <w:p>
            <w:pPr>
              <w:jc w:val="both"/>
              <w:rPr>
                <w:rFonts w:ascii="Times New Roman" w:hAnsi="Times New Roman" w:cs="Times New Roman"/>
                <w:b/>
                <w:i/>
                <w:noProof/>
                <w:u w:val="single"/>
              </w:rPr>
            </w:pPr>
            <w:r>
              <w:rPr>
                <w:rFonts w:ascii="Times New Roman" w:hAnsi="Times New Roman"/>
                <w:noProof/>
              </w:rPr>
              <w:t>Kommissionen vil også senest i fjerde kvartal af 2021 undersøge, om der findes nationale lovgivningsmæssige hindringer for anvendelse af nye digitale teknologier, som kan gøre kommunikationen mellem udstedere og aktionærer mere effektiv og lette udstederes identifikation af aktionærer eller aktionærers deltagelse og stemmeafgivelse på generalforsamlinger.</w:t>
            </w:r>
          </w:p>
          <w:p>
            <w:pPr>
              <w:jc w:val="both"/>
              <w:rPr>
                <w:rFonts w:ascii="Times New Roman" w:hAnsi="Times New Roman" w:cs="Times New Roman"/>
                <w:noProof/>
              </w:rPr>
            </w:pPr>
          </w:p>
        </w:tc>
      </w:tr>
      <w:tr>
        <w:trPr>
          <w:trHeight w:val="841"/>
        </w:trPr>
        <w:tc>
          <w:tcPr>
            <w:tcW w:w="8046" w:type="dxa"/>
            <w:vAlign w:val="center"/>
          </w:tcPr>
          <w:p>
            <w:pPr>
              <w:jc w:val="both"/>
              <w:rPr>
                <w:rFonts w:ascii="Times New Roman" w:hAnsi="Times New Roman" w:cs="Times New Roman"/>
                <w:b/>
                <w:bCs/>
                <w:noProof/>
                <w:u w:val="single"/>
              </w:rPr>
            </w:pPr>
            <w:r>
              <w:rPr>
                <w:rFonts w:ascii="Times New Roman" w:hAnsi="Times New Roman"/>
                <w:b/>
                <w:bCs/>
                <w:noProof/>
                <w:u w:val="single"/>
              </w:rPr>
              <w:t xml:space="preserve">Foranstaltning nr. 13: Udvikling af grænseoverskridende afviklingsydelser </w:t>
            </w:r>
          </w:p>
          <w:p>
            <w:pPr>
              <w:jc w:val="both"/>
              <w:rPr>
                <w:rFonts w:ascii="Times New Roman" w:hAnsi="Times New Roman" w:cs="Times New Roman"/>
                <w:i/>
                <w:iCs/>
                <w:noProof/>
                <w:color w:val="212121"/>
                <w:shd w:val="clear" w:color="auto" w:fill="FFFFFF"/>
              </w:rPr>
            </w:pPr>
          </w:p>
          <w:p>
            <w:pPr>
              <w:jc w:val="both"/>
              <w:rPr>
                <w:rFonts w:ascii="Times New Roman" w:hAnsi="Times New Roman" w:cs="Times New Roman"/>
                <w:i/>
                <w:iCs/>
                <w:noProof/>
                <w:color w:val="212121"/>
                <w:shd w:val="clear" w:color="auto" w:fill="FFFFFF"/>
              </w:rPr>
            </w:pPr>
            <w:r>
              <w:rPr>
                <w:rFonts w:ascii="Times New Roman" w:hAnsi="Times New Roman"/>
                <w:i/>
                <w:noProof/>
                <w:color w:val="212121"/>
                <w:shd w:val="clear" w:color="auto" w:fill="FFFFFF"/>
              </w:rPr>
              <w:t xml:space="preserve">Med henblik på at forbedre leveringen af grænseoverskridende afviklingsydelser i EU uden at indvirke negativt på den finansielle stabilitet </w:t>
            </w:r>
            <w:r>
              <w:rPr>
                <w:rFonts w:ascii="Times New Roman" w:hAnsi="Times New Roman"/>
                <w:i/>
                <w:iCs/>
                <w:noProof/>
                <w:color w:val="212121"/>
                <w:shd w:val="clear" w:color="auto" w:fill="FFFFFF"/>
              </w:rPr>
              <w:t xml:space="preserve">vil Kommissionen revidere regler, der dækker en lang række emner, herunder: </w:t>
            </w:r>
            <w:r>
              <w:rPr>
                <w:rFonts w:ascii="Times New Roman" w:hAnsi="Times New Roman"/>
                <w:i/>
                <w:noProof/>
                <w:color w:val="212121"/>
                <w:shd w:val="clear" w:color="auto" w:fill="FFFFFF"/>
              </w:rPr>
              <w:t>i) grænseoverskridende ydelser leveret af CSD'er på grundlag af et CSD-pas og ii) procedurer og betingelser for CSD'ers bemyndigelse til at udpege kreditinstitutter eller dem selv til at levere bankmæssige accessoriske tjenesteydelser.</w:t>
            </w:r>
          </w:p>
          <w:p>
            <w:pPr>
              <w:jc w:val="both"/>
              <w:rPr>
                <w:rFonts w:ascii="Times New Roman" w:eastAsia="Times New Roman" w:hAnsi="Times New Roman" w:cs="Times New Roman"/>
                <w:noProof/>
                <w:color w:val="000000"/>
                <w:lang w:eastAsia="en-GB"/>
              </w:rPr>
            </w:pPr>
          </w:p>
        </w:tc>
        <w:tc>
          <w:tcPr>
            <w:tcW w:w="1196" w:type="dxa"/>
            <w:vAlign w:val="center"/>
          </w:tcPr>
          <w:p>
            <w:pPr>
              <w:jc w:val="both"/>
              <w:rPr>
                <w:rFonts w:ascii="Times New Roman" w:hAnsi="Times New Roman" w:cs="Times New Roman"/>
                <w:b/>
                <w:noProof/>
              </w:rPr>
            </w:pPr>
            <w:r>
              <w:rPr>
                <w:rFonts w:ascii="Times New Roman" w:hAnsi="Times New Roman"/>
                <w:b/>
                <w:noProof/>
              </w:rPr>
              <w:t>Fjerde kvartal 2021</w:t>
            </w:r>
          </w:p>
        </w:tc>
      </w:tr>
      <w:tr>
        <w:trPr>
          <w:trHeight w:val="699"/>
        </w:trPr>
        <w:tc>
          <w:tcPr>
            <w:tcW w:w="9242" w:type="dxa"/>
            <w:gridSpan w:val="2"/>
            <w:vAlign w:val="center"/>
          </w:tcPr>
          <w:p>
            <w:pPr>
              <w:jc w:val="both"/>
              <w:rPr>
                <w:rFonts w:ascii="Times New Roman" w:eastAsia="Times New Roman" w:hAnsi="Times New Roman" w:cs="Times New Roman"/>
                <w:noProof/>
                <w:color w:val="000000"/>
                <w:lang w:eastAsia="en-GB"/>
              </w:rPr>
            </w:pPr>
          </w:p>
          <w:p>
            <w:pPr>
              <w:jc w:val="both"/>
              <w:rPr>
                <w:rFonts w:ascii="Times New Roman" w:eastAsia="Times New Roman" w:hAnsi="Times New Roman" w:cs="Times New Roman"/>
                <w:iCs/>
                <w:noProof/>
                <w:color w:val="212121"/>
                <w:shd w:val="clear" w:color="auto" w:fill="FFFFFF"/>
              </w:rPr>
            </w:pPr>
            <w:r>
              <w:rPr>
                <w:rFonts w:ascii="Times New Roman" w:hAnsi="Times New Roman"/>
                <w:noProof/>
                <w:color w:val="000000"/>
              </w:rPr>
              <w:t>Dette vil blive opnået gennem en målrettet revision af forordningen om værdipapircentraler</w:t>
            </w:r>
            <w:r>
              <w:rPr>
                <w:rStyle w:val="FootnoteReference"/>
                <w:rFonts w:ascii="Times New Roman" w:eastAsia="Times New Roman" w:hAnsi="Times New Roman" w:cs="Times New Roman"/>
                <w:noProof/>
                <w:color w:val="000000"/>
                <w:lang w:eastAsia="en-GB"/>
              </w:rPr>
              <w:footnoteReference w:id="23"/>
            </w:r>
            <w:r>
              <w:rPr>
                <w:rFonts w:ascii="Times New Roman" w:hAnsi="Times New Roman"/>
                <w:noProof/>
                <w:color w:val="000000"/>
              </w:rPr>
              <w:t xml:space="preserve">, som skal gennemføres senest i fjerde kvartal af </w:t>
            </w:r>
            <w:r>
              <w:rPr>
                <w:rFonts w:ascii="Times New Roman" w:hAnsi="Times New Roman"/>
                <w:iCs/>
                <w:noProof/>
                <w:color w:val="212121"/>
                <w:shd w:val="clear" w:color="auto" w:fill="FFFFFF"/>
              </w:rPr>
              <w:t>2021. En sådan revision er påkrævet i henhold til forordningen og vil blive understøttet af en konsekvensanalyse.</w:t>
            </w:r>
          </w:p>
          <w:p>
            <w:pPr>
              <w:jc w:val="both"/>
              <w:rPr>
                <w:rFonts w:ascii="Times New Roman" w:eastAsia="Times New Roman" w:hAnsi="Times New Roman" w:cs="Times New Roman"/>
                <w:iCs/>
                <w:noProof/>
                <w:color w:val="212121"/>
                <w:shd w:val="clear" w:color="auto" w:fill="FFFFFF"/>
                <w:lang w:eastAsia="en-GB"/>
              </w:rPr>
            </w:pPr>
          </w:p>
          <w:p>
            <w:pPr>
              <w:jc w:val="both"/>
              <w:rPr>
                <w:rFonts w:ascii="Times New Roman" w:hAnsi="Times New Roman" w:cs="Times New Roman"/>
                <w:noProof/>
              </w:rPr>
            </w:pPr>
            <w:r>
              <w:rPr>
                <w:rFonts w:ascii="Times New Roman" w:hAnsi="Times New Roman"/>
                <w:iCs/>
                <w:noProof/>
                <w:color w:val="212121"/>
                <w:shd w:val="clear" w:color="auto" w:fill="FFFFFF"/>
              </w:rPr>
              <w:t>Inden Kommissionen vedtager lovgivningsforslaget senest i fjerde kvartal af 2020, vil den forelægge en rapport om forordningen for Europa-Parlamentet og Rådet. Denne rapport vil afspejle en bred høring af alle interessenter, herunder medlemsstaterne og Den Europæiske Værdipapir- og Markedstilsynsmyndighed (ESMA)</w:t>
            </w:r>
            <w:r>
              <w:rPr>
                <w:rFonts w:ascii="Times New Roman" w:hAnsi="Times New Roman"/>
                <w:noProof/>
              </w:rPr>
              <w:t>.</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Foranstaltning nr. 14: Konsolideret løbende handelsinformation</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For at skabe et integreret handelssystem i hele EU og forbedre konkurrencen mellem handelspladser vil Kommissionen foreslå lovgivningsmæssige ændringer, der vil støtte etableringen af effektive og omfattende konsoliderede efterhandelsoplysninger for egenkapital og egenkapitallignende finansielle instrumenter.</w:t>
            </w:r>
          </w:p>
          <w:p>
            <w:pPr>
              <w:jc w:val="both"/>
              <w:rPr>
                <w:rFonts w:ascii="Times New Roman" w:hAnsi="Times New Roman" w:cs="Times New Roman"/>
                <w:b/>
                <w:i/>
                <w:noProof/>
                <w:u w:val="single"/>
              </w:rPr>
            </w:pPr>
            <w:r>
              <w:rPr>
                <w:rFonts w:ascii="Times New Roman" w:hAnsi="Times New Roman"/>
                <w:i/>
                <w:noProof/>
              </w:rPr>
              <w:t xml:space="preserve"> </w:t>
            </w:r>
          </w:p>
        </w:tc>
        <w:tc>
          <w:tcPr>
            <w:tcW w:w="1196" w:type="dxa"/>
            <w:vAlign w:val="center"/>
          </w:tcPr>
          <w:p>
            <w:pPr>
              <w:jc w:val="both"/>
              <w:rPr>
                <w:rFonts w:ascii="Times New Roman" w:hAnsi="Times New Roman" w:cs="Times New Roman"/>
                <w:b/>
                <w:noProof/>
              </w:rPr>
            </w:pPr>
            <w:r>
              <w:rPr>
                <w:rFonts w:ascii="Times New Roman" w:hAnsi="Times New Roman"/>
                <w:b/>
                <w:noProof/>
              </w:rPr>
              <w:t>Fjerde kvartal 2021</w:t>
            </w:r>
          </w:p>
        </w:tc>
      </w:tr>
      <w:tr>
        <w:trPr>
          <w:trHeight w:val="1160"/>
        </w:trPr>
        <w:tc>
          <w:tcPr>
            <w:tcW w:w="9242" w:type="dxa"/>
            <w:gridSpan w:val="2"/>
            <w:vAlign w:val="center"/>
          </w:tcPr>
          <w:p>
            <w:pPr>
              <w:jc w:val="both"/>
              <w:rPr>
                <w:rFonts w:ascii="Times New Roman" w:hAnsi="Times New Roman" w:cs="Times New Roman"/>
                <w:noProof/>
              </w:rPr>
            </w:pPr>
          </w:p>
          <w:p>
            <w:pPr>
              <w:jc w:val="both"/>
              <w:rPr>
                <w:rFonts w:ascii="Times New Roman" w:hAnsi="Times New Roman" w:cs="Times New Roman"/>
                <w:i/>
                <w:noProof/>
              </w:rPr>
            </w:pPr>
            <w:r>
              <w:rPr>
                <w:rFonts w:ascii="Times New Roman" w:hAnsi="Times New Roman"/>
                <w:noProof/>
              </w:rPr>
              <w:t>Kommissionen vil sikre, at handelsinformationens dækning er omfattende, og at dataenes kvalitet er tilstrækkelig til, at handelsinformationen kan skabe en merværdi for markedsdeltagere, samtidig med at der tages hensyn til omkostningerne ved oprettelse og anvendelse.</w:t>
            </w:r>
          </w:p>
          <w:p>
            <w:pPr>
              <w:jc w:val="both"/>
              <w:rPr>
                <w:rFonts w:ascii="Times New Roman" w:hAnsi="Times New Roman" w:cs="Times New Roman"/>
                <w:noProof/>
              </w:rPr>
            </w:pPr>
          </w:p>
        </w:tc>
      </w:tr>
      <w:tr>
        <w:trPr>
          <w:trHeight w:val="1160"/>
        </w:trPr>
        <w:tc>
          <w:tcPr>
            <w:tcW w:w="8046" w:type="dxa"/>
            <w:vAlign w:val="center"/>
          </w:tcPr>
          <w:p>
            <w:pPr>
              <w:jc w:val="both"/>
              <w:rPr>
                <w:rFonts w:ascii="Times New Roman" w:hAnsi="Times New Roman" w:cs="Times New Roman"/>
                <w:b/>
                <w:noProof/>
                <w:u w:val="single"/>
              </w:rPr>
            </w:pPr>
            <w:r>
              <w:rPr>
                <w:rFonts w:ascii="Times New Roman" w:hAnsi="Times New Roman"/>
                <w:b/>
                <w:noProof/>
                <w:u w:val="single"/>
              </w:rPr>
              <w:t>Foranstaltning nr. 15: Investeringsbeskyttelse og -fremme</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 xml:space="preserve">Kommissionen vil foreslå en styrkelse af rammerne for investeringsbeskyttelse og -fremme i EU. </w:t>
            </w:r>
          </w:p>
          <w:p>
            <w:pPr>
              <w:jc w:val="both"/>
              <w:rPr>
                <w:rFonts w:ascii="Times New Roman" w:hAnsi="Times New Roman" w:cs="Times New Roman"/>
                <w:b/>
                <w:noProof/>
                <w:u w:val="single"/>
              </w:rPr>
            </w:pPr>
          </w:p>
        </w:tc>
        <w:tc>
          <w:tcPr>
            <w:tcW w:w="1196" w:type="dxa"/>
            <w:vAlign w:val="center"/>
          </w:tcPr>
          <w:p>
            <w:pPr>
              <w:jc w:val="both"/>
              <w:rPr>
                <w:rFonts w:ascii="Times New Roman" w:hAnsi="Times New Roman" w:cs="Times New Roman"/>
                <w:b/>
                <w:noProof/>
              </w:rPr>
            </w:pPr>
            <w:r>
              <w:rPr>
                <w:rFonts w:ascii="Times New Roman" w:hAnsi="Times New Roman"/>
                <w:b/>
                <w:noProof/>
              </w:rPr>
              <w:t>Andet kvartal 2021</w:t>
            </w: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Foranstaltningen vil bygge på tre søjler: </w:t>
            </w:r>
          </w:p>
          <w:p>
            <w:pPr>
              <w:pStyle w:val="ListParagraph"/>
              <w:numPr>
                <w:ilvl w:val="0"/>
                <w:numId w:val="9"/>
              </w:numPr>
              <w:spacing w:after="0" w:line="240" w:lineRule="auto"/>
              <w:jc w:val="both"/>
              <w:rPr>
                <w:rFonts w:ascii="Times New Roman" w:eastAsia="Times New Roman" w:hAnsi="Times New Roman" w:cs="Times New Roman"/>
                <w:noProof/>
              </w:rPr>
            </w:pPr>
            <w:r>
              <w:rPr>
                <w:rFonts w:ascii="Times New Roman" w:hAnsi="Times New Roman"/>
                <w:noProof/>
              </w:rPr>
              <w:t xml:space="preserve">materielle regler for at sikre en konsekvent og forudsigelig beskyttelse af EU-interne investeringer </w:t>
            </w:r>
          </w:p>
          <w:p>
            <w:pPr>
              <w:pStyle w:val="ListParagraph"/>
              <w:numPr>
                <w:ilvl w:val="0"/>
                <w:numId w:val="9"/>
              </w:numPr>
              <w:spacing w:after="0" w:line="240" w:lineRule="auto"/>
              <w:jc w:val="both"/>
              <w:rPr>
                <w:rFonts w:ascii="Times New Roman" w:eastAsia="Times New Roman" w:hAnsi="Times New Roman" w:cs="Times New Roman"/>
                <w:noProof/>
              </w:rPr>
            </w:pPr>
            <w:r>
              <w:rPr>
                <w:rFonts w:ascii="Times New Roman" w:hAnsi="Times New Roman"/>
                <w:noProof/>
              </w:rPr>
              <w:t xml:space="preserve">bedre håndhævelse af disse regler, der skal sikres ved at forbedre effektiviteten af tvistbilæggelsesmekanismerne på nationalt plan og/eller EU-plan, samtidig med at der sikres adgang til de nationale domstole </w:t>
            </w:r>
          </w:p>
          <w:p>
            <w:pPr>
              <w:pStyle w:val="ListParagraph"/>
              <w:numPr>
                <w:ilvl w:val="0"/>
                <w:numId w:val="9"/>
              </w:numPr>
              <w:spacing w:after="0" w:line="240" w:lineRule="auto"/>
              <w:jc w:val="both"/>
              <w:rPr>
                <w:rFonts w:ascii="Times New Roman" w:eastAsia="Times New Roman" w:hAnsi="Times New Roman" w:cs="Times New Roman"/>
                <w:noProof/>
              </w:rPr>
            </w:pPr>
            <w:r>
              <w:rPr>
                <w:rFonts w:ascii="Times New Roman" w:hAnsi="Times New Roman"/>
                <w:noProof/>
              </w:rPr>
              <w:t>specifikke foranstaltninger til investeringsfremme, f.eks. konsolidering af oplysninger om rettigheder og muligheder for investorer i et fælles adgangspunkt (f.eks. på InvestEU-portalen</w:t>
            </w:r>
            <w:r>
              <w:rPr>
                <w:rStyle w:val="FootnoteReference"/>
                <w:rFonts w:ascii="Times New Roman" w:eastAsia="Times New Roman" w:hAnsi="Times New Roman" w:cs="Times New Roman"/>
                <w:noProof/>
                <w:lang w:eastAsia="en-GB"/>
              </w:rPr>
              <w:footnoteReference w:id="24"/>
            </w:r>
            <w:r>
              <w:rPr>
                <w:rFonts w:ascii="Times New Roman" w:hAnsi="Times New Roman"/>
                <w:noProof/>
              </w:rPr>
              <w:t>) og fremme af mekanismer til interessenters forebyggende problemopløsning samt mindelig tvistbilæggelse.</w:t>
            </w:r>
          </w:p>
          <w:p>
            <w:pPr>
              <w:jc w:val="both"/>
              <w:rPr>
                <w:rFonts w:ascii="Times New Roman" w:hAnsi="Times New Roman" w:cs="Times New Roman"/>
                <w:i/>
                <w:noProof/>
              </w:rPr>
            </w:pPr>
          </w:p>
        </w:tc>
      </w:tr>
      <w:tr>
        <w:tc>
          <w:tcPr>
            <w:tcW w:w="8046" w:type="dxa"/>
            <w:tcBorders>
              <w:top w:val="single" w:sz="4" w:space="0" w:color="auto"/>
              <w:bottom w:val="nil"/>
            </w:tcBorders>
            <w:vAlign w:val="center"/>
          </w:tcPr>
          <w:p>
            <w:pPr>
              <w:jc w:val="both"/>
              <w:rPr>
                <w:rFonts w:ascii="Times New Roman" w:hAnsi="Times New Roman" w:cs="Times New Roman"/>
                <w:b/>
                <w:noProof/>
                <w:u w:val="single"/>
              </w:rPr>
            </w:pPr>
            <w:r>
              <w:rPr>
                <w:rFonts w:ascii="Times New Roman" w:hAnsi="Times New Roman"/>
                <w:b/>
                <w:noProof/>
                <w:u w:val="single"/>
              </w:rPr>
              <w:t>Foranstaltning nr. 16: Tilsyn</w:t>
            </w:r>
          </w:p>
          <w:p>
            <w:pPr>
              <w:jc w:val="both"/>
              <w:rPr>
                <w:rFonts w:ascii="Times New Roman" w:hAnsi="Times New Roman" w:cs="Times New Roman"/>
                <w:i/>
                <w:noProof/>
              </w:rPr>
            </w:pPr>
          </w:p>
          <w:p>
            <w:pPr>
              <w:jc w:val="both"/>
              <w:rPr>
                <w:rFonts w:ascii="Times New Roman" w:hAnsi="Times New Roman" w:cs="Times New Roman"/>
                <w:i/>
                <w:noProof/>
              </w:rPr>
            </w:pPr>
            <w:r>
              <w:rPr>
                <w:rFonts w:ascii="Times New Roman" w:hAnsi="Times New Roman"/>
                <w:i/>
                <w:noProof/>
              </w:rPr>
              <w:t>Kommissionen vil arbejde hen imod et styrket fælles regelsæt for kapitalmarkederne ved at vurdere behovet for yderligere harmonisering af EU's regler og overvåge fremskridtene hen imod tilsynsmæssig konvergens. Den vil gøre status over, hvad der er opnået i fjerde kvartal af 2021, og overveje at foreslå foranstaltninger til styrket tilsynskoordinering eller direkte tilsyn foretaget af de europæiske tilsynsmyndigheder (ESA'er).</w:t>
            </w:r>
          </w:p>
          <w:p>
            <w:pPr>
              <w:jc w:val="both"/>
              <w:rPr>
                <w:rFonts w:ascii="Times New Roman" w:hAnsi="Times New Roman" w:cs="Times New Roman"/>
                <w:i/>
                <w:noProof/>
              </w:rPr>
            </w:pPr>
          </w:p>
          <w:p>
            <w:pPr>
              <w:pBdr>
                <w:left w:val="single" w:sz="4" w:space="4" w:color="auto"/>
                <w:right w:val="single" w:sz="4" w:space="4" w:color="auto"/>
              </w:pBdr>
              <w:jc w:val="both"/>
              <w:rPr>
                <w:rFonts w:ascii="Times New Roman" w:hAnsi="Times New Roman" w:cs="Times New Roman"/>
                <w:i/>
                <w:noProof/>
              </w:rPr>
            </w:pPr>
            <w:r>
              <w:rPr>
                <w:rFonts w:ascii="Times New Roman" w:hAnsi="Times New Roman"/>
                <w:i/>
                <w:noProof/>
              </w:rPr>
              <w:t>Kommissionen vurderer også nøje konsekvenserne af Wirecard-sagen for regulering og overvågning af EU's kapitalmarkeder og vil handle hurtigt og beslutsomt for at afhjælpe eventuelle mangler, der er konstateret i EU's retlige ramme.</w:t>
            </w:r>
          </w:p>
        </w:tc>
        <w:tc>
          <w:tcPr>
            <w:tcW w:w="1196" w:type="dxa"/>
            <w:vAlign w:val="center"/>
          </w:tcPr>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Fjerde kvartal 2021</w:t>
            </w:r>
          </w:p>
          <w:p>
            <w:pPr>
              <w:jc w:val="both"/>
              <w:rPr>
                <w:rFonts w:ascii="Times New Roman" w:hAnsi="Times New Roman" w:cs="Times New Roman"/>
                <w:b/>
                <w:noProof/>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lang w:eastAsia="en-GB"/>
              </w:rPr>
            </w:pPr>
          </w:p>
        </w:tc>
      </w:tr>
      <w:tr>
        <w:tc>
          <w:tcPr>
            <w:tcW w:w="9242" w:type="dxa"/>
            <w:gridSpan w:val="2"/>
            <w:vAlign w:val="center"/>
          </w:tcPr>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Under fuld overholdelse af nærhedsprincippet vil Kommissionen foretage en systematisk vurdering af, om en yderligere harmonisering af EU-reglerne er berettiget. Et styrket fælles regelsæt og effektivt tilsyn vil skabe lige vilkår for markedsaktørerne og bidrage til fair konkurrence mellem dem. </w:t>
            </w:r>
          </w:p>
          <w:p>
            <w:pPr>
              <w:jc w:val="both"/>
              <w:rPr>
                <w:rFonts w:ascii="Times New Roman" w:eastAsia="Times New Roman" w:hAnsi="Times New Roman" w:cs="Times New Roman"/>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I kommende sektorspecifikke lovgivningsmæssige revisioner vil Kommissionen også overveje effektiviteten af ESA'ernes konvergensbeføjelser for at kortlægge mulige mangler eller områder, hvor styrkede beføjelser vil bidrage til at fremme kapitalmarkedsunionen. Den vil også overveje, om konvergensbeføjelserne anvendes effektivt under den eksisterende forvaltning. Endelig vil Kommissionen nøje overvåge, om der er gjort tilstrækkelige fremskridt med hensyn til konvergens i tilsynsprocessen til gavn for kapitalmarkedsunionen. Hvis der er tegn på, at de tilsynsmæssige rammer er utilstrækkelige til at sikre den ønskede grad af markedsintegration, vil der blive taget hensyn til en styrket tilsynsmæssig koordinering eller direkte tilsyn foretaget af ESA'erne i forbindelse med fremtidige revisioner, og den næste skal være foretaget ved udgangen af 2021.</w:t>
            </w:r>
          </w:p>
          <w:p>
            <w:pPr>
              <w:jc w:val="both"/>
              <w:rPr>
                <w:rFonts w:ascii="Times New Roman" w:eastAsia="Times New Roman" w:hAnsi="Times New Roman" w:cs="Times New Roman"/>
                <w:b/>
                <w:noProof/>
                <w:color w:val="000000" w:themeColor="text1"/>
                <w:lang w:eastAsia="en-GB"/>
              </w:rPr>
            </w:pPr>
          </w:p>
          <w:p>
            <w:pPr>
              <w:jc w:val="both"/>
              <w:rPr>
                <w:rFonts w:ascii="Times New Roman" w:eastAsia="Times New Roman" w:hAnsi="Times New Roman" w:cs="Times New Roman"/>
                <w:noProof/>
                <w:color w:val="000000" w:themeColor="text1"/>
              </w:rPr>
            </w:pPr>
            <w:r>
              <w:rPr>
                <w:rFonts w:ascii="Times New Roman" w:hAnsi="Times New Roman"/>
                <w:noProof/>
                <w:color w:val="000000" w:themeColor="text1"/>
              </w:rPr>
              <w:t xml:space="preserve">Kommissionen vurderer også nøje konsekvenserne af Wirecard-sagen for regulering af og tilsyn med EU's kapitalmarked. Den vil tage hensyn til konklusionerne af igangværende undersøgelser. På baggrund af de oplysninger, som Kommissionen har til rådighed på nuværende tidspunkt, rejser Wirecards sammenbrud spørgsmål om effektiviteten af Wirecards virksomhedsledelse, eksterne lovpligtige revision og tilsyn med finansielle oplysninger. </w:t>
            </w:r>
          </w:p>
          <w:p>
            <w:pPr>
              <w:jc w:val="both"/>
              <w:rPr>
                <w:rFonts w:ascii="Times New Roman" w:eastAsia="Times New Roman" w:hAnsi="Times New Roman" w:cs="Times New Roman"/>
                <w:noProof/>
                <w:color w:val="000000" w:themeColor="text1"/>
                <w:lang w:eastAsia="en-GB"/>
              </w:rPr>
            </w:pPr>
          </w:p>
        </w:tc>
      </w:tr>
    </w:tbl>
    <w:p>
      <w:pPr>
        <w:jc w:val="both"/>
        <w:rPr>
          <w:noProof/>
        </w:rPr>
      </w:pPr>
    </w:p>
    <w:p>
      <w:pPr>
        <w:jc w:val="both"/>
        <w:rPr>
          <w:noProof/>
        </w:rPr>
      </w:pPr>
    </w:p>
    <w:p>
      <w:pPr>
        <w:jc w:val="both"/>
        <w:rPr>
          <w:noProof/>
        </w:rPr>
      </w:pPr>
    </w:p>
    <w:p>
      <w:pPr>
        <w:jc w:val="both"/>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3910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rPr>
        <w:t>Meddelelse fra Kommissionen til Europa-Parlamentet, Det Europæiske Råd, Rådet, Det Europæiske Økonomiske og Sociale Udvalg og Regionsudvalget, "Den europæiske grønne pagt" (COM(2019) 640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https://eftg.eu/</w:t>
        </w:r>
      </w:hyperlink>
      <w:r>
        <w:t>.</w:t>
      </w:r>
    </w:p>
  </w:footnote>
  <w:footnote w:id="4">
    <w:p>
      <w:pPr>
        <w:pStyle w:val="FootnoteText"/>
        <w:rPr>
          <w:sz w:val="19"/>
          <w:szCs w:val="19"/>
        </w:rPr>
      </w:pPr>
      <w:r>
        <w:rPr>
          <w:rStyle w:val="FootnoteReference"/>
          <w:rFonts w:ascii="Times New Roman" w:hAnsi="Times New Roman" w:cs="Times New Roman"/>
        </w:rPr>
        <w:footnoteRef/>
      </w:r>
      <w:r>
        <w:rPr>
          <w:rFonts w:ascii="Times New Roman" w:hAnsi="Times New Roman"/>
        </w:rPr>
        <w:t xml:space="preserve"> https://e-justice.europa.eu/content_business_registers_at_european_level-105-en.do</w:t>
      </w:r>
      <w:r>
        <w:t>.</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Navnlig gennemsigtighedsdirektivet (</w:t>
      </w:r>
      <w:r>
        <w:rPr>
          <w:rFonts w:ascii="Times New Roman" w:hAnsi="Times New Roman"/>
          <w:color w:val="444444"/>
          <w:shd w:val="clear" w:color="auto" w:fill="FFFFFF"/>
        </w:rPr>
        <w:t xml:space="preserve">Europa-Parlamentets og Rådets direktiv 2004/109/EF af 15. december 2004 om harmonisering af gennemsigtighedskrav i forbindelse med oplysninger om udstedere, hvis værdipapirer er optaget til handel på et reguleret marked og om ændring af direktiv 2001/34/EF) </w:t>
      </w:r>
      <w:r>
        <w:rPr>
          <w:rFonts w:ascii="Times New Roman" w:hAnsi="Times New Roman"/>
        </w:rPr>
        <w:t>og direktivet om ikke-finansiel rapportering (</w:t>
      </w:r>
      <w:r>
        <w:rPr>
          <w:rFonts w:ascii="Times New Roman" w:hAnsi="Times New Roman"/>
          <w:color w:val="444444"/>
          <w:shd w:val="clear" w:color="auto" w:fill="FFFFFF"/>
        </w:rPr>
        <w:t>Europa-Parlamentets og Rådets direktiv 2014/95/EU af 22. oktober 2014 om ændring af direktiv 2013/34/EU for så vidt angår offentliggørelse af ikke-finansielle oplysninger og oplysninger om mangfoldighed for visse store virksomheder og koncerner).</w:t>
      </w:r>
    </w:p>
  </w:footnote>
  <w:footnote w:id="6">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rPr>
        <w:t>Europa-Parlamentets og Rådets forordning 2015/760/EU af 29. april 2015 om europæiske langsigtede investeringsfonde.</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direktiv 2009/138/EF af 25. november 2009 om adgang til og udøvelse af forsikrings- og genforsikringsvirksomhed.</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forordning (EU) nr. 575/2013 af 26. juni 2013 om tilsynsmæssige krav til kreditinstitutter og investeringsselskaber og om ændring af forordning (EU) nr. 648/2012 (EØS-relevant tekst).</w:t>
      </w:r>
    </w:p>
  </w:footnote>
  <w:footnote w:id="9">
    <w:p>
      <w:pPr>
        <w:pStyle w:val="FootnoteText"/>
        <w:jc w:val="both"/>
      </w:pPr>
      <w:r>
        <w:rPr>
          <w:rStyle w:val="FootnoteReference"/>
          <w:rFonts w:ascii="Times New Roman" w:hAnsi="Times New Roman" w:cs="Times New Roman"/>
        </w:rPr>
        <w:footnoteRef/>
      </w:r>
      <w:r>
        <w:rPr>
          <w:rFonts w:ascii="Times New Roman" w:hAnsi="Times New Roman"/>
        </w:rPr>
        <w:t xml:space="preserve"> Europa-Parlamentets og Rådets direktiv 2013/36/EU af 26. juni 2013 om adgang til at udøve virksomhed som kreditinstitut og om tilsyn med kreditinstitutter og investeringsselskaber, om ændring af direktiv 2002/87/EF og om ophævelse af direktiv 2006/48/EF og 2006/49/EF.</w:t>
      </w:r>
    </w:p>
  </w:footnote>
  <w:footnote w:id="1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rPr>
        <w:t xml:space="preserve"> Europa-Parlamentets og Rådets forordning (EU) 2017/2402 af 12. december 2017 om en generel ramme for securitisering og om oprettelse af en specifik ramme for simpel, transparent og standardiseret securitisering og om ændring af direktiv 2009/65/EF, 2009/138/EF og 2011/61/EU samt forordning (EF) nr. 1060/2009 og (EU) nr. 648/2012.</w:t>
      </w:r>
    </w:p>
  </w:footnote>
  <w:footnote w:id="11">
    <w:p>
      <w:pPr>
        <w:pStyle w:val="FootnoteText"/>
      </w:pPr>
      <w:r>
        <w:rPr>
          <w:rStyle w:val="FootnoteReference"/>
        </w:rPr>
        <w:footnoteRef/>
      </w:r>
      <w:r>
        <w:t xml:space="preserve"> </w:t>
      </w:r>
      <w:r>
        <w:rPr>
          <w:rFonts w:ascii="Times New Roman" w:hAnsi="Times New Roman"/>
        </w:rPr>
        <w:t>Ud over at styrke securitiseringsmarkedet vil Kommissionen fortsætte med at vurdere muligheden for at indføre et "dual recourse"-instrument kaldet European Secured Notes. Som fastsat i Europa-Parlamentets og Rådets direktiv (EU) 2019/2162 af 27. november 2019 om udstedelse af dækkede obligationer og offentligt tilsyn med dækkede obligationer skal den forelægge Europa-Parlamentet og Rådet en rapport senest den 8. juli 2024.</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rPr>
        <w:t xml:space="preserve"> Europa-Parlamentets og Rådets direktiv 2014/17/ЕU af 4. februar 2014 om forbrugerkreditaftaler i forbindelse med fast ejendom til beboelse og om ændring af direktiv 2008/48/EF og 2013/36/EU og forordning (EU) nr. 1093/2010.</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direktiv 2014/65/EU af 15. maj 2014 om markeder for finansielle instrumenter og om ændring af direktiv 2002/92/EF og direktiv 2011/61/EU.</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 og Rådets direktiv (EU) 2016/97 af 20. januar 2016 om forsikringsdistribution.</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forordning (EU) 2019/1238 af 20. juni 2019 om et paneuropæisk personligt pensionsprodukt.</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direktiv 2009/65/EF af 13. juli 2009 om samordning af love og administrative bestemmelser om visse institutter for kollektiv investering i værdipapirer.</w:t>
      </w:r>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Europa-Parlamentets og Rådets forordning (EU) nr. 1286/2014 af 26. november 2014 om dokumenter med central information om sammensatte og forsikringsbaserede investeringsprodukter til detailinvestorer.</w:t>
      </w:r>
    </w:p>
  </w:footnote>
  <w:footnote w:id="18">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http://www.oecd.org/ctp/exchange-of-tax-information/treaty-relief-and-compliance-enhancement-trace.htm</w:t>
      </w:r>
      <w:r>
        <w:t>.</w:t>
      </w:r>
    </w:p>
  </w:footnote>
  <w:footnote w:id="19">
    <w:p>
      <w:pPr>
        <w:pStyle w:val="FootnoteText"/>
        <w:jc w:val="both"/>
      </w:pPr>
      <w:r>
        <w:rPr>
          <w:rStyle w:val="FootnoteReference"/>
          <w:rFonts w:ascii="Times New Roman" w:hAnsi="Times New Roman" w:cs="Times New Roman"/>
        </w:rPr>
        <w:footnoteRef/>
      </w:r>
      <w:r>
        <w:rPr>
          <w:rFonts w:ascii="Times New Roman" w:hAnsi="Times New Roman"/>
        </w:rPr>
        <w:t xml:space="preserve"> https://ec.europa.eu/taxation_customs/sites/taxation/files/code_of_conduct_on_witholding_tax.pdf</w:t>
      </w:r>
      <w:r>
        <w:t>.</w:t>
      </w:r>
    </w:p>
  </w:footnote>
  <w:footnote w:id="20">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https://ec.europa.eu/info/publications/191203-study-loan-enforcement-laws_en</w:t>
      </w:r>
      <w: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Europa-Parlamentets og Rådets direktiv (EU) 2017/828 af 17. maj 2017 om ændring af direktiv 2007/36/EF, for så vidt angår tilskyndelse til langsigtet aktivt ejerskab.</w:t>
      </w:r>
    </w:p>
  </w:footnote>
  <w:footnote w:id="22">
    <w:p>
      <w:pPr>
        <w:pStyle w:val="FootnoteText"/>
        <w:jc w:val="both"/>
      </w:pPr>
      <w:r>
        <w:rPr>
          <w:rStyle w:val="FootnoteReference"/>
          <w:rFonts w:ascii="Times New Roman" w:hAnsi="Times New Roman" w:cs="Times New Roman"/>
        </w:rPr>
        <w:footnoteRef/>
      </w:r>
      <w:r>
        <w:rPr>
          <w:rFonts w:ascii="Times New Roman" w:hAnsi="Times New Roman"/>
        </w:rPr>
        <w:t xml:space="preserve"> Kommissionens gennemførelsesforordning (EU) 2018/1212 af 3. september 2018.</w:t>
      </w:r>
    </w:p>
  </w:footnote>
  <w:footnote w:id="2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rPr>
        <w:t xml:space="preserve"> Europa-Parlamentets og Rådets forordning (EU) nr. 909/2014 af 23. juli 2014 om forbedring af værdipapirafviklingen i Den Europæiske Union og om værdipapircentraler samt om ændring af direktiv 98/26/EF og 2014/65/EU samt forordning (EU) nr. 236/2012.</w:t>
      </w:r>
    </w:p>
  </w:footnote>
  <w:footnote w:id="24">
    <w:p>
      <w:pPr>
        <w:pStyle w:val="FootnoteText"/>
        <w:jc w:val="both"/>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https://ec.europa.eu/eipp/desktop/en/index.html?2nd-language=en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C7"/>
    <w:multiLevelType w:val="hybridMultilevel"/>
    <w:tmpl w:val="5232BF4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D0BDE"/>
    <w:multiLevelType w:val="hybridMultilevel"/>
    <w:tmpl w:val="035EAEEC"/>
    <w:lvl w:ilvl="0" w:tplc="CDA4B02A">
      <w:start w:val="1"/>
      <w:numFmt w:val="lowerRoman"/>
      <w:lvlText w:val="%1)"/>
      <w:lvlJc w:val="righ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da-DK" w:vendorID="64" w:dllVersion="131078" w:nlCheck="1" w:checkStyle="0"/>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0"/>
    <w:docVar w:name="LW_CORRIGENDUM" w:val="&lt;UNUSED&gt;"/>
    <w:docVar w:name="LW_COVERPAGE_EXISTS" w:val="True"/>
    <w:docVar w:name="LW_COVERPAGE_GUID" w:val="AE00929E-3D88-4F4F-97DD-017C30E2DB53"/>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En kapitalmarkedsunion for mennesker og virksomheder \u8212? ny handlingsplan"/>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16Point">
    <w:name w:val="16 Point"/>
    <w:aliases w:val="Superscript 6 Point,Footnote reference number,Odwołanie przypisu,number,2001+ Fußnotenzeichen"/>
    <w:basedOn w:val="Normal"/>
    <w:link w:val="FootnoteReference"/>
    <w:uiPriority w:val="99"/>
    <w:pPr>
      <w:spacing w:after="160" w:line="240" w:lineRule="exact"/>
    </w:pPr>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94">
      <w:bodyDiv w:val="1"/>
      <w:marLeft w:val="0"/>
      <w:marRight w:val="0"/>
      <w:marTop w:val="0"/>
      <w:marBottom w:val="0"/>
      <w:divBdr>
        <w:top w:val="none" w:sz="0" w:space="0" w:color="auto"/>
        <w:left w:val="none" w:sz="0" w:space="0" w:color="auto"/>
        <w:bottom w:val="none" w:sz="0" w:space="0" w:color="auto"/>
        <w:right w:val="none" w:sz="0" w:space="0" w:color="auto"/>
      </w:divBdr>
    </w:div>
    <w:div w:id="41828033">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63373561">
      <w:bodyDiv w:val="1"/>
      <w:marLeft w:val="0"/>
      <w:marRight w:val="0"/>
      <w:marTop w:val="0"/>
      <w:marBottom w:val="0"/>
      <w:divBdr>
        <w:top w:val="none" w:sz="0" w:space="0" w:color="auto"/>
        <w:left w:val="none" w:sz="0" w:space="0" w:color="auto"/>
        <w:bottom w:val="none" w:sz="0" w:space="0" w:color="auto"/>
        <w:right w:val="none" w:sz="0" w:space="0" w:color="auto"/>
      </w:divBdr>
    </w:div>
    <w:div w:id="1103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t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962514-279A-4586-8938-6FD5937E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20709</Characters>
  <Application>Microsoft Office Word</Application>
  <DocSecurity>0</DocSecurity>
  <Lines>531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2020-09-18T14:29:00Z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