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4A16EAF6-4E21-49AB-94BB-E92B5FA5BE02" style="width:450.5pt;height:354.0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szCs w:val="28"/>
        </w:rPr>
        <w:lastRenderedPageBreak/>
        <w:t>Prilog 1.: Popis mjera i okvirni vremenski raspored</w:t>
      </w:r>
    </w:p>
    <w:p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 Bold" w:eastAsia="Times New Roman" w:hAnsi="Times New Roman Bold" w:cs="Times New Roman"/>
          <w:b/>
          <w:smallCaps/>
          <w:noProof/>
          <w:sz w:val="24"/>
          <w:szCs w:val="20"/>
          <w:u w:val="single"/>
        </w:rPr>
      </w:pPr>
      <w:r>
        <w:rPr>
          <w:rFonts w:ascii="Times New Roman Bold" w:hAnsi="Times New Roman Bold"/>
          <w:b/>
          <w:smallCaps/>
          <w:noProof/>
          <w:sz w:val="24"/>
          <w:szCs w:val="20"/>
          <w:u w:val="single"/>
        </w:rPr>
        <w:t>Mjere za potporu zelenom, digitalnim, uključivom i otpornom gospodarskom oporavku na temelju poboljšanog pristupa financiranju za poduzeća</w:t>
      </w:r>
    </w:p>
    <w:p>
      <w:pPr>
        <w:pStyle w:val="ListParagraph"/>
        <w:ind w:left="360"/>
        <w:jc w:val="both"/>
        <w:rPr>
          <w:noProof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7786"/>
        <w:gridCol w:w="1303"/>
      </w:tblGrid>
      <w:tr>
        <w:trPr>
          <w:trHeight w:val="1160"/>
        </w:trPr>
        <w:tc>
          <w:tcPr>
            <w:tcW w:w="789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1.: Povećanje vidljivosti poduzeća prekograničnim ulagateljima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Komisija će u trećem tromjesečju 2021. donijeti zakonodavni prijedlog o uspostavi jedinstvene europske pristupne točke. Tom platformom omogućit će se neometan pristup svim relevantnim informacijama na razini EU-a (uključujući financijske informacije i informacije povezane s održivosti) koje poduzeća, uključujući financijska društva, javno objavljuju.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Treće tromjesečje 2021.</w:t>
            </w:r>
          </w:p>
        </w:tc>
      </w:tr>
      <w:tr>
        <w:trPr>
          <w:trHeight w:val="1520"/>
        </w:trP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Informacije koje je potrebno uključiti trebale bi odražavati potrebe ulagatelja i interese šireg kruga korisnika, među ostalim financijskih posrednika i civilnog društva. Stoga bi ta platforma trebala poboljšati dostupnost i pristupačnost podataka povezanih s održivosti, povećati opseg ulaganja u održive djelatnosti i doprinijeti ostvarenju ciljeva europskog zelenog plana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lang w:eastAsia="en-GB"/>
              </w:rPr>
              <w:footnoteReference w:id="2"/>
            </w:r>
            <w:r>
              <w:rPr>
                <w:rFonts w:ascii="Times New Roman" w:hAnsi="Times New Roman"/>
                <w:noProof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Platforma će se temeljiti na pilot-projektu europskog portala za financijsku transparentnost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lang w:eastAsia="en-GB"/>
              </w:rPr>
              <w:footnoteReference w:id="3"/>
            </w:r>
            <w:r>
              <w:rPr>
                <w:rFonts w:ascii="Times New Roman" w:hAnsi="Times New Roman"/>
                <w:noProof/>
              </w:rPr>
              <w:t xml:space="preserve"> (EFTG) i nadopunjavat će sustav za povezivanje poslovnih registara</w:t>
            </w:r>
            <w:r>
              <w:rPr>
                <w:rStyle w:val="FootnoteReference"/>
                <w:rFonts w:ascii="Times New Roman" w:hAnsi="Times New Roman" w:cs="Times New Roman"/>
                <w:noProof/>
              </w:rPr>
              <w:footnoteReference w:id="4"/>
            </w:r>
            <w:r>
              <w:rPr>
                <w:rFonts w:ascii="Times New Roman" w:hAnsi="Times New Roman"/>
                <w:noProof/>
              </w:rPr>
              <w:t xml:space="preserve"> (BRIS), ali neće mijenjati njegove funkcije. Zakonodavnim prijedlogom pojednostavnjuju se propisi EU-a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lang w:eastAsia="en-GB"/>
              </w:rPr>
              <w:footnoteReference w:id="5"/>
            </w:r>
            <w:r>
              <w:rPr>
                <w:rFonts w:ascii="Times New Roman" w:hAnsi="Times New Roman"/>
                <w:noProof/>
              </w:rPr>
              <w:t xml:space="preserve"> o javnoj objavi poslovnih podataka poduzeća. Platforma će se u najvećoj mogućoj mjeri temeljiti na postojećoj IT infrastrukturi na razini EU-a i na nacionalnoj razini (baze podataka, registri) kako bi se izbjeglo dodatno opterećenje poduzeća u pogledu izvješćivanja. Sve će se informacije pružati u usporedivim digitalnim formatima. Još nije odlučeno o pojedinostima u vezi s opsegom informacija, upravljanjem i poslovnim modelom platforme.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7893" w:type="dxa"/>
            <w:vAlign w:val="center"/>
          </w:tcPr>
          <w:p>
            <w:pPr>
              <w:spacing w:after="160" w:line="252" w:lineRule="auto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 xml:space="preserve">Mjera 2.: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 xml:space="preserve">Potpora pristupu javnim tržištima </w:t>
            </w:r>
          </w:p>
          <w:p>
            <w:pPr>
              <w:jc w:val="both"/>
              <w:rPr>
                <w:rFonts w:ascii="Times New Roman" w:hAnsi="Times New Roman"/>
                <w:i/>
                <w:noProof/>
                <w:u w:val="single"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Kako bi se promicao i diversificirao pristup malih i inovativnih poduzeća financiranju, Komisija će do četvrtog tromjesečja 2021. procijeniti mogućnost dodatnog pojednostavnjenja </w:t>
            </w:r>
            <w:r>
              <w:rPr>
                <w:rFonts w:ascii="Times New Roman" w:hAnsi="Times New Roman"/>
                <w:bCs/>
                <w:i/>
                <w:noProof/>
              </w:rPr>
              <w:t>propisa o uvrštavanju</w:t>
            </w:r>
            <w:r>
              <w:rPr>
                <w:rFonts w:ascii="Times New Roman" w:hAnsi="Times New Roman"/>
                <w:i/>
                <w:noProof/>
              </w:rPr>
              <w:t xml:space="preserve"> na javna tržišta (rastuća tržišta MSP-ova i uređena tržišta).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  <w:u w:val="singl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</w:tc>
      </w:tr>
      <w:tr>
        <w:trPr>
          <w:trHeight w:val="1520"/>
        </w:trPr>
        <w:tc>
          <w:tcPr>
            <w:tcW w:w="908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Procjena će se posebno usredotočiti na: i. primjerenost i dosljednost definicije MSP-ova u cjelokupnom zakonodavstvu EU-a o financijama, ii. moguće pojednostavnjenje sustava za sprječavanje zlouporabe tržišta i iii. prednosti uvođenja prijelaznih odredbi za izdavatelje koji prvi put izdaju vrijednosne papire na uređenim tržištima i rastućim tržištima MSP-ova.</w:t>
            </w:r>
          </w:p>
        </w:tc>
      </w:tr>
      <w:tr>
        <w:trPr>
          <w:trHeight w:val="1160"/>
        </w:trPr>
        <w:tc>
          <w:tcPr>
            <w:tcW w:w="789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3.: Potpora instrumentima za dugoročna ulaganja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Komisija će do trećeg tromjesečja 2021. donijeti prijedlog revizije Uredbe o europskim fondovima za dugoročna ulaganja</w:t>
            </w:r>
            <w:r>
              <w:rPr>
                <w:rStyle w:val="FootnoteReference"/>
                <w:rFonts w:ascii="Times New Roman" w:hAnsi="Times New Roman" w:cs="Times New Roman"/>
                <w:i/>
                <w:noProof/>
              </w:rPr>
              <w:footnoteReference w:id="6"/>
            </w:r>
            <w:r>
              <w:rPr>
                <w:rFonts w:ascii="Times New Roman" w:hAnsi="Times New Roman"/>
                <w:i/>
                <w:noProof/>
              </w:rPr>
              <w:t xml:space="preserve"> na temelju rezultata javnog savjetovanja pokrenutog 2020. i procjene učinka.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Treće tromjesečje 2021.</w:t>
            </w:r>
          </w:p>
        </w:tc>
      </w:tr>
      <w:tr>
        <w:trPr>
          <w:trHeight w:val="60"/>
        </w:trPr>
        <w:tc>
          <w:tcPr>
            <w:tcW w:w="9089" w:type="dxa"/>
            <w:gridSpan w:val="2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Preispitivanjem će se, među ostalim, razmotriti: i. </w:t>
            </w:r>
            <w:r>
              <w:rPr>
                <w:rFonts w:ascii="Times New Roman" w:hAnsi="Times New Roman"/>
                <w:bCs/>
                <w:noProof/>
              </w:rPr>
              <w:t>politika otkupa i trajanje ELTIF-a; ii. u kojoj se mjeri ELTIF-i stavljaju na tržište u EU-u; iii. primjerenost ograničenja ulaganja za male ulagatelje i; iv. u kojoj je mjeri potrebno ažurirati popis prihvatljive imovine i ulaganja te pravila o diversifikaciji, sastav portfelja i ograničenja u vezi s posuđivanjem novčanih sredstava.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789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i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4.: Poticanje institucionalnih ulagatelja da povećaju dugoročno financiranje i financiranje vlasničkim kapitalom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Cs w:val="24"/>
              </w:rPr>
            </w:pPr>
            <w:r>
              <w:rPr>
                <w:rFonts w:ascii="Times New Roman" w:hAnsi="Times New Roman"/>
                <w:i/>
                <w:noProof/>
                <w:szCs w:val="24"/>
              </w:rPr>
              <w:t>U okviru preispitivanja Direktive Solventnost II</w:t>
            </w:r>
            <w:r>
              <w:rPr>
                <w:rStyle w:val="FootnoteReference"/>
                <w:rFonts w:ascii="Times New Roman" w:hAnsi="Times New Roman" w:cs="Times New Roman"/>
                <w:i/>
                <w:noProof/>
                <w:szCs w:val="24"/>
              </w:rPr>
              <w:footnoteReference w:id="7"/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Komisija će do trećeg tromjesečja 2021. procijeniti je li potrebno izmijeniti pravni okvir radi dodatnog promicanja dugoročnih ulaganja osiguravajućih društava, a da se pritom ne ugrozi financijska stabilnost i zaštita ugovaratelja osiguranja.</w:t>
            </w:r>
            <w:r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>
            <w:pPr>
              <w:ind w:left="360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Treće tromjesečje 2021.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U okviru preispitivanja Direktive Solventnost II posebno će se ocijeniti primjerenost kriterija prihvatljivosti za kategoriju imovine dugoročnih vlasničkih instrumenata, izračun dodatka za rizik i vrednovanje obveza osiguravatelja kako bi se izbjeglo nepotrebno procikličko ponašanje i bolje odrazila dugoročna priroda osiguravateljskog poslovanja.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7893" w:type="dxa"/>
            <w:vAlign w:val="center"/>
          </w:tcPr>
          <w:p>
            <w:pPr>
              <w:pStyle w:val="ListParagraph"/>
              <w:rPr>
                <w:rFonts w:ascii="Times New Roman" w:hAnsi="Times New Roman" w:cs="Times New Roman"/>
                <w:noProof/>
                <w:u w:val="single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/>
                <w:i/>
                <w:noProof/>
                <w:szCs w:val="24"/>
              </w:rPr>
              <w:t>Komisija će u radu na provedbi Basela III pri reviziji Uredbe o kapitalnim zahtjevima</w:t>
            </w:r>
            <w:r>
              <w:rPr>
                <w:rStyle w:val="FootnoteReference"/>
                <w:rFonts w:ascii="Times New Roman" w:hAnsi="Times New Roman" w:cs="Times New Roman"/>
                <w:i/>
                <w:noProof/>
                <w:szCs w:val="24"/>
              </w:rPr>
              <w:footnoteReference w:id="8"/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i Direktive o kapitalnim zahtjevima</w:t>
            </w:r>
            <w:r>
              <w:rPr>
                <w:rStyle w:val="FootnoteReference"/>
                <w:rFonts w:ascii="Times New Roman" w:hAnsi="Times New Roman" w:cs="Times New Roman"/>
                <w:i/>
                <w:noProof/>
                <w:szCs w:val="24"/>
              </w:rPr>
              <w:footnoteReference w:id="9"/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(predviđeno donošenje do prvog tromjesečja 2021.) primijeniti fleksibilnost ugrađenu u Basel III kako bi osigurala odgovarajući bonitetni tretman dugoročnih vlasničkih ulaganja banaka u MSP-ove.</w:t>
            </w:r>
          </w:p>
          <w:p>
            <w:pPr>
              <w:ind w:left="360"/>
              <w:rPr>
                <w:rFonts w:ascii="Times New Roman" w:hAnsi="Times New Roman" w:cs="Times New Roman"/>
                <w:noProof/>
                <w:u w:val="singl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Prvo tromjesečje 2021.</w:t>
            </w:r>
          </w:p>
        </w:tc>
      </w:tr>
      <w:tr>
        <w:trPr>
          <w:trHeight w:val="488"/>
        </w:trP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Revizijom CRR-a/CRD-a nastoji se izbjeći da provedba Basela III ima negativne posljedice na dugoročna ulaganja banaka u vlasnički kapital MSP-ova, kao i na aktivnosti banaka i investicijskih društava u održavanju tržišta.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789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5.: Usmjeravanje MSP-ova na alternativne pružatelje financiranja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Cs w:val="24"/>
              </w:rPr>
              <w:t xml:space="preserve">Kako bi se MSP-ovima olakšao pristup financiranju, Komisija će do četvrtog tromjesečja 2021. analizirati prednosti i izvedivost uspostave sustava upućivanja u kojem bi banke imale obvezu da MSP-ove kojima su odbili zahtjev za kreditiranje upute na pružatelje alternativnog financiranja.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</w:tc>
      </w:tr>
      <w:tr>
        <w:trPr>
          <w:trHeight w:val="389"/>
        </w:trP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 procjeni izvedivosti analizirat će se učinkovitost postojećih sustava upućivanja kojima se banke koriste. Komisija će istražiti i prednosti recipročnog zahtjeva da alternativne platforme za financiranje upućuju MSP-ove kojima su odbili zahtjev na banke te potrebu da se područje primjene sustava upućivanja proširi na pružatelje financiranja vlasničkim kapitalom, platforme za pronalaženje poslovnih partnera i specijalizirane savjetodavne centre.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</w:tc>
      </w:tr>
      <w:tr>
        <w:trPr>
          <w:trHeight w:val="1160"/>
        </w:trPr>
        <w:tc>
          <w:tcPr>
            <w:tcW w:w="7893" w:type="dxa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 xml:space="preserve">Mjera 6.: </w:t>
            </w:r>
            <w:r>
              <w:rPr>
                <w:rFonts w:ascii="Times New Roman" w:hAnsi="Times New Roman"/>
                <w:b/>
                <w:noProof/>
                <w:szCs w:val="24"/>
                <w:u w:val="single"/>
              </w:rPr>
              <w:t>Pomoć bankama da povećaju kreditiranje realnog gospodarstva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  <w:szCs w:val="24"/>
              </w:rPr>
            </w:pPr>
            <w:r>
              <w:rPr>
                <w:rFonts w:ascii="Times New Roman" w:hAnsi="Times New Roman"/>
                <w:i/>
                <w:noProof/>
                <w:szCs w:val="24"/>
              </w:rPr>
              <w:t>Kako bi se tržište sekuritizacije u EU-u povećalo, Komisija će do četvrtog tromjesečja 2021. provesti sveobuhvatnu reviziju sekuritizacijskog okvira EU-a</w:t>
            </w:r>
            <w:r>
              <w:rPr>
                <w:rStyle w:val="FootnoteReference"/>
                <w:rFonts w:ascii="Times New Roman" w:hAnsi="Times New Roman" w:cs="Times New Roman"/>
                <w:i/>
                <w:noProof/>
                <w:szCs w:val="24"/>
              </w:rPr>
              <w:footnoteReference w:id="10"/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za jednostavnu transparentnu i standardiziranu (STS) i ne-standardiziranu sekuritizaciju</w:t>
            </w:r>
            <w:r>
              <w:rPr>
                <w:rStyle w:val="FootnoteReference"/>
                <w:rFonts w:ascii="Times New Roman" w:hAnsi="Times New Roman" w:cs="Times New Roman"/>
                <w:i/>
                <w:noProof/>
                <w:szCs w:val="24"/>
              </w:rPr>
              <w:footnoteReference w:id="11"/>
            </w:r>
            <w:r>
              <w:rPr>
                <w:noProof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  <w:u w:val="single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</w:tc>
      </w:tr>
      <w:tr>
        <w:trPr>
          <w:trHeight w:val="1881"/>
        </w:trPr>
        <w:tc>
          <w:tcPr>
            <w:tcW w:w="908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Cilj je preispitivanja jačanje uloge sekuritizacije kao instrumenta koji bankama može pomoći da osiguraju održivo i stabilno financiranje realnog gospodarstva u okruženju nakon pandemije bolesti COVID-19, s posebnim naglaskom na MSP-ove i zelenu tranziciju. </w:t>
            </w:r>
            <w:r>
              <w:rPr>
                <w:rFonts w:ascii="Times New Roman" w:hAnsi="Times New Roman"/>
                <w:noProof/>
              </w:rPr>
              <w:t xml:space="preserve">Posebna pozornost posvetit će se kapacitetu postojećeg okvira da na odgovarajući način prikazuje stvarnu rizičnost sekuritizacijskih instrumenata za standardiziranu (STS) i ne-standardiziranu sekuritizaciju, uključujući prikladnost zahtjeva za objavljivanje, postupak priznavanja prijenosa značajnog rizika i bonitetni tretman gotovinske i sintetske sekuritizacije, uz </w:t>
            </w:r>
            <w:r>
              <w:rPr>
                <w:rFonts w:ascii="Times New Roman" w:hAnsi="Times New Roman"/>
                <w:noProof/>
                <w:szCs w:val="24"/>
              </w:rPr>
              <w:t>očuvanje financijske stabilnosti EU-a.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both"/>
              <w:rPr>
                <w:b/>
                <w:i/>
                <w:noProof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noProof/>
              </w:rPr>
            </w:pPr>
            <w:r>
              <w:rPr>
                <w:rFonts w:ascii="Times New Roman Bold" w:hAnsi="Times New Roman Bold"/>
                <w:b/>
                <w:smallCaps/>
                <w:noProof/>
                <w:sz w:val="24"/>
                <w:szCs w:val="20"/>
                <w:u w:val="single"/>
              </w:rPr>
              <w:t>Učiniti EU još sigurnijim mjestom za dugoročnu osobnu štednju i ulaganja</w:t>
            </w:r>
          </w:p>
          <w:p>
            <w:pPr>
              <w:jc w:val="both"/>
              <w:rPr>
                <w:noProof/>
              </w:rPr>
            </w:pPr>
          </w:p>
        </w:tc>
      </w:tr>
      <w:tr>
        <w:tc>
          <w:tcPr>
            <w:tcW w:w="7893" w:type="dxa"/>
            <w:tcBorders>
              <w:top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7.: Osnaživanje građana s pomoću financijske pismenosti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>Kako bi promicala zajedničko razumijevanje financijskih kompetencija među javnim i privatnim tijelima te pružila osnovu za razvoj financijskih kompetencija u različitim primjenama i okruženjima, Komisija će, na temelju relevantnih postojećih okvira, do drugog tromjesečja 2021. provesti procjenu izvedivosti izrade posebnog okvira EU-a za financijske kompetencije</w:t>
            </w:r>
            <w:r>
              <w:rPr>
                <w:rFonts w:ascii="Times New Roman" w:hAnsi="Times New Roman"/>
                <w:i/>
                <w:noProof/>
              </w:rPr>
              <w:t>.</w:t>
            </w:r>
          </w:p>
          <w:p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Drugo tromjesečje 2021.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Ovom se mjerom nastoji osigurati zajednička konceptualna osnova kojom bi se javna tijela EU-a i privatna tijela koristila za izradu politika i aplikacija za učenje te materijala za jačanje financijskih kompetencija pojedinaca. Temeljit će se na relevantnim postojećim okvirima i poštovat će načelo supsidijarnosti.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893" w:type="dxa"/>
            <w:vAlign w:val="center"/>
          </w:tcPr>
          <w:p>
            <w:pPr>
              <w:pStyle w:val="ListParagraph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Komisija će procijeniti je li primjereno </w:t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>proširiti načelo iz članka 6. Direktive o hipotekarnim kreditima</w:t>
            </w:r>
            <w:r>
              <w:rPr>
                <w:rStyle w:val="FootnoteReference"/>
                <w:rFonts w:ascii="Times New Roman" w:hAnsi="Times New Roman" w:cs="Times New Roman"/>
                <w:bCs/>
                <w:i/>
                <w:noProof/>
                <w:color w:val="000000"/>
                <w:lang w:val="en-US"/>
              </w:rPr>
              <w:footnoteReference w:id="12"/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 xml:space="preserve"> na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relevantno sektorsko zakonodavstvo</w:t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 xml:space="preserve"> (Direktiva o tržištima financijskih instrumenata</w:t>
            </w:r>
            <w:r>
              <w:rPr>
                <w:rStyle w:val="FootnoteReference"/>
                <w:rFonts w:ascii="Times New Roman" w:hAnsi="Times New Roman" w:cs="Times New Roman"/>
                <w:bCs/>
                <w:i/>
                <w:noProof/>
                <w:color w:val="000000"/>
                <w:lang w:val="en-US"/>
              </w:rPr>
              <w:footnoteReference w:id="13"/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 xml:space="preserve"> (MiFID), Direktiva o distribuciji osiguranja</w:t>
            </w:r>
            <w:r>
              <w:rPr>
                <w:rStyle w:val="FootnoteReference"/>
                <w:rFonts w:ascii="Times New Roman" w:hAnsi="Times New Roman" w:cs="Times New Roman"/>
                <w:bCs/>
                <w:i/>
                <w:noProof/>
                <w:color w:val="000000"/>
                <w:lang w:val="en-US"/>
              </w:rPr>
              <w:footnoteReference w:id="14"/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 xml:space="preserve"> (IDD), Uredba o paneuropskom osobnom mirovinskom proizvodu</w:t>
            </w:r>
            <w:r>
              <w:rPr>
                <w:rStyle w:val="FootnoteReference"/>
                <w:rFonts w:ascii="Times New Roman" w:hAnsi="Times New Roman" w:cs="Times New Roman"/>
                <w:bCs/>
                <w:i/>
                <w:noProof/>
                <w:color w:val="000000"/>
                <w:lang w:val="en-US"/>
              </w:rPr>
              <w:footnoteReference w:id="15"/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 xml:space="preserve"> (PEPP), Direktiva o subjektima za zajednička ulaganja u prenosive vrijednosne papire</w:t>
            </w:r>
            <w:r>
              <w:rPr>
                <w:rStyle w:val="FootnoteReference"/>
                <w:rFonts w:ascii="Times New Roman" w:hAnsi="Times New Roman" w:cs="Times New Roman"/>
                <w:bCs/>
                <w:i/>
                <w:noProof/>
                <w:color w:val="000000"/>
                <w:lang w:val="en-US"/>
              </w:rPr>
              <w:footnoteReference w:id="16"/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 xml:space="preserve"> (UCITS), Uredba o upakiranim investicijskim proizvodima za male ulagatelje i investicijskim osigurateljnim proizvodima</w:t>
            </w:r>
            <w:r>
              <w:rPr>
                <w:rStyle w:val="FootnoteReference"/>
                <w:rFonts w:ascii="Times New Roman" w:hAnsi="Times New Roman" w:cs="Times New Roman"/>
                <w:i/>
                <w:noProof/>
                <w:color w:val="000000"/>
                <w:lang w:val="en-US"/>
              </w:rPr>
              <w:footnoteReference w:id="17"/>
            </w:r>
            <w:r>
              <w:rPr>
                <w:rFonts w:ascii="Times New Roman" w:hAnsi="Times New Roman"/>
                <w:bCs/>
                <w:i/>
                <w:noProof/>
                <w:color w:val="000000"/>
              </w:rPr>
              <w:t xml:space="preserve"> (PRIIP-ovi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). Komisija će nakon toga (u slučaju pozitivne procjene učinka) dostaviti prijedlog horizontalnog zakonodavstva za više područja kojim se od država članica zahtijeva promicanje mjera potpore formalnom, neformalnom i/ili informalnom učenju radi financijskog obrazovanja potrošača, posebno u vezi s odgovornim ulaganjem.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highlight w:val="yellow"/>
              </w:rPr>
            </w:pPr>
            <w:r>
              <w:rPr>
                <w:rFonts w:ascii="Times New Roman" w:hAnsi="Times New Roman"/>
                <w:b/>
                <w:noProof/>
              </w:rPr>
              <w:t>Prvo tromjesečje 2022.</w:t>
            </w:r>
          </w:p>
        </w:tc>
      </w:tr>
      <w:t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Ova se mjera temelji na pravnom presedanu iz Direktive o hipotekarnim kreditima i njome bi se države članice obvezale da promiču mjere učenja za potporu financijskom obrazovanju potrošača u pogledu odgovornog ulaganja iz drugih sektorskih zakonodavnih akata (MiFID II, IDD, PEPP, UCITS, PRIIP) ako bude potkrijepljeno pozitivnom procjenom učinka i uz potpuno poštovanje načela supsidijarnosti.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>
        <w:tc>
          <w:tcPr>
            <w:tcW w:w="789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8.: Izgradnja povjerenja malih ulagatelja u tržišta kapitala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Komisija će ocijeniti primjenjiva pravila u području poticaja i objavljivanja i, prema potrebi, predložiti izmjenu postojećeg pravnog okvira kako bi osigurala da mali ulagatelji dobiju objektivan i primjeren savjet te jasne i usporedive informacije o proizvodu.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Prvo tromjesečje 2022.</w:t>
            </w:r>
          </w:p>
        </w:tc>
      </w:tr>
      <w:t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highlight w:val="yellow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Kad je riječ o distribuciji, u procjeni će se, među ostalim, razmotriti moguće mjere za: i. usklađivanje standarda zaštite ulagatelja iz Direktive o distribuciji osiguranja s onima koji se primjenjuju na temelju MiFID-a II; ii. utvrđivanje zahtjeva distributerima da obavještavaju klijente o postojanju proizvoda trećih strana; iii. poboljšanje transparentnosti poticaja za klijente; i iv. uvođenje posebnih zahtjeva u pogledu izvješćivanja za distributere proizvoda namijenjenih malim ulagateljima kako bi se omogućila nadzorna kontrola. Kad je riječ o objavljivanju, posebna pozornost posvetit će se većem sudjelovanju potrošača, digitalnoj dostavi i interakciji s ključnim informacijama koje omogućuju usporedbe, interakciju i prilagodbu. Tom bi se mjerom trebalo poboljšati objavljivanje informacija povezanih s održivosti, što bi ubrzalo prihvaćanje održivih proizvoda od strane malih ulagatelja. Komisija će dovršiti procjenu do prvog tromjesečja 2022. 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Komisija će zatim predložiti potrebne zakonodavne izmjene kako bi se razriješili mogući sukobi interesa koji proizlaze iz plaćanja poticaja distributerima, kao i slabosti postojećeg okvira za objavljivanje, a posebno radi bolje usklađenosti IDD-a, MiFID-a II i PRIIP-a. U slučajevima kada to bude potkrijepljeno pozitivnom procjenom učinka, te će se izmjene uključiti u IDD, MiFID II i PRIIP.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tr>
        <w:tc>
          <w:tcPr>
            <w:tcW w:w="7893" w:type="dxa"/>
            <w:vAlign w:val="center"/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Komisija će predstaviti zakonodavni prijedlog za izmjenu MiFID-a II do četvrtog tromjesečja 2021./prvog tromjesečja 2022. kako bi se smanjilo administrativno opterećenje i zahtjevi u pogledu pružanja informacija za podskup malih ulagatelja, a pritom će se preispitati postojeće kategorizacije malih ulagatelja u odnosu na profesionalne ulagatelje ili uvođenje nove kategorije kvalificiranih ulagatelja.</w:t>
            </w:r>
          </w:p>
          <w:p>
            <w:pPr>
              <w:ind w:left="36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 / prvo tromjesečje 2022.</w:t>
            </w:r>
          </w:p>
        </w:tc>
      </w:tr>
      <w:t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Ovom se mjerom </w:t>
            </w:r>
            <w:r>
              <w:rPr>
                <w:rFonts w:ascii="Times New Roman" w:hAnsi="Times New Roman"/>
                <w:bCs/>
                <w:noProof/>
              </w:rPr>
              <w:t>nastoji poboljšati kategorizacija ulagatelja u okviru MiFID-a II kako bi se smanjilo administrativno opterećenje za poduzeća i ublažili nepotrebni zaštitni mehanizmi i zahtjevi u pogledu pružanja informacija za podskupinu ulagatelja koji su trenutačno kategorizirani kao mali ulagatelji iako dobro poznaju financijska tržišta i proizvode. Za to će se provesti procjena učinka.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>
        <w:tc>
          <w:tcPr>
            <w:tcW w:w="7893" w:type="dxa"/>
            <w:vAlign w:val="center"/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U slučaju pozitivne procjene učinka koja će se u okviru preispitivanja IDD-a provesti do prvog tromjesečja 2023., odnosno do četvrtog tromjesečja 2021. kad je riječ o preispitivanju MiFID-a II, Komisija će uvesti zahtjev da savjetnici moraju steći certifikat kojim se potvrđuje dovoljna razina znanja i kvalifikacija za obavljanje te profesije te da se kontinuirano obrazuju na odgovarajućoj razini. Svrha je tog prijedloga održati zadovoljavajuću razinu osposobljenosti savjetnika.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lang w:val="en-US" w:eastAsia="en-GB"/>
              </w:rPr>
            </w:pPr>
          </w:p>
          <w:p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 xml:space="preserve">Osim toga, Komisija će do prvog tromjesečja 2022. procijeniti izvedivost uvođenja oznake na razini EU-a za financijske savjetnike, koja </w:t>
            </w:r>
            <w:r>
              <w:rPr>
                <w:rFonts w:ascii="Times New Roman" w:hAnsi="Times New Roman"/>
                <w:i/>
                <w:noProof/>
              </w:rPr>
              <w:t>može poslužiti za ispunjavanje obveze stjecanja certifikata</w:t>
            </w:r>
            <w:r>
              <w:rPr>
                <w:rFonts w:ascii="Times New Roman" w:hAnsi="Times New Roman"/>
                <w:bCs/>
                <w:i/>
                <w:noProof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Prvo tromjesečje 2023.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Prvo tromjesečje 2022.</w:t>
            </w:r>
          </w:p>
        </w:tc>
      </w:tr>
      <w:t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Cs/>
                <w:noProof/>
              </w:rPr>
              <w:t>Tim će se mjerama osigurati jednaki uvjeti za savjetnike i dodatno poboljšati kvaliteta financijskog savjetovanja u EU-u, među ostalim u pogledu održivosti.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89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9.: Potpora mirovinskim prihodima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  <w:u w:val="single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Kako bi se poboljšalo praćenje primjerenosti mirovina u državama članicama, Komisija će nastojati utvrditi relevantne podatke i metodologiju za izradu pregleda mirovina s pokazateljima. </w:t>
            </w:r>
          </w:p>
          <w:p>
            <w:pPr>
              <w:pStyle w:val="ListParagraph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Radi lakšeg pristupa individualiziranim mirovinskim informacijama i bolje informiranosti građana o njihovim budućim mirovinskim prihodima, Komisija će nastojati razviti najbolje prakse za uspostavu nacionalnih sustava praćenja.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</w:tc>
      </w:tr>
      <w:t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Komisija će do četvrtog tromjesečja 2020. zatražiti savjet od Europskog nadzornog tijela za osiguranje i strukovno mirovinsko osiguranje (EIOPA) kako bi i. utvrdila koje bi podatke pružatelji strukovnih mirovina trebali pružati da bi se omogućila izrada pregleda mirovina s pokazateljima i ii. dobila njezino mišljenje o razvoju najboljih praksi za uspostavu nacionalnih sustava praćenja. Rok za tehnički savjet EIOPA-e je četvrto tromjesečje 2021.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89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Komisija će pokrenuti studiju za analizu praksi samouključivanja i analizirati druge prakse za poticanje sudjelovanja u programima strukovnog mirovinskog osiguranja s ciljem razvoja najboljih praksi za takve sustave u državama članicama.</w:t>
            </w:r>
          </w:p>
          <w:p>
            <w:pPr>
              <w:ind w:left="360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Treće tromjesečje 2020.</w:t>
            </w:r>
          </w:p>
        </w:tc>
      </w:tr>
      <w:tr>
        <w:tc>
          <w:tcPr>
            <w:tcW w:w="9089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 trećem tromjesečju 2020. Komisija će naručiti vanjsku studiju za analizu postojećih praksi samouključivanja u sustave strukovnog mirovinskog osiguranja u cilju razvoja najboljih praksi na razini EU-a. Samouključivanje je mehanizam kojim štediše automatski ulaze u sustav mirovinske štednje, osim ako to izričito odbiju.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>
      <w:pPr>
        <w:jc w:val="both"/>
        <w:rPr>
          <w:noProof/>
        </w:rPr>
      </w:pPr>
    </w:p>
    <w:p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rFonts w:ascii="Times New Roman Bold" w:hAnsi="Times New Roman Bold"/>
          <w:b/>
          <w:smallCaps/>
          <w:noProof/>
          <w:sz w:val="24"/>
          <w:szCs w:val="20"/>
          <w:u w:val="single"/>
        </w:rPr>
        <w:t>Integracija nacionalnih tržišta kapitala u istinski jedinstveno tržište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9"/>
        <w:gridCol w:w="1303"/>
      </w:tblGrid>
      <w:tr>
        <w:trPr>
          <w:trHeight w:val="1160"/>
        </w:trPr>
        <w:tc>
          <w:tcPr>
            <w:tcW w:w="804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10.: Smanjenje poreznog opterećenja za prekogranična ulaganja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Kako bi se smanjili troškovi povezani s oporezivanjem prekograničnih ulagatelja i spriječile porezne prijevare, Komisija će do četvrtog tromjesečja 2022., ovisno o pozitivnoj procjeni učinka i uz blisko savjetovanje s državama članicama, predložiti zakonodavnu inicijativu i istražiti dodatne načine za uvođenje zajedničkog, standardiziranog sustava EU-a za oslobađanje od poreza po odbitku na izvoru.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2022.</w:t>
            </w:r>
          </w:p>
        </w:tc>
      </w:tr>
      <w:tr>
        <w:trPr>
          <w:trHeight w:val="1160"/>
        </w:trP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>Komisija će uzeti u obzir projekt OECD-a za ugovorna oslobođenja i poboljšanje usklađenosti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lang w:val="en-US" w:eastAsia="en-GB"/>
              </w:rPr>
              <w:footnoteReference w:id="18"/>
            </w:r>
            <w:r>
              <w:rPr>
                <w:rFonts w:ascii="Times New Roman" w:hAnsi="Times New Roman"/>
                <w:noProof/>
              </w:rPr>
              <w:t xml:space="preserve"> (TRACE) i druge inicijative EU-a, kao što je Kodeks o postupanju u pogledu poreza po odbitku.</w:t>
            </w:r>
            <w:r>
              <w:rPr>
                <w:rStyle w:val="FootnoteReference"/>
                <w:rFonts w:ascii="Times New Roman" w:hAnsi="Times New Roman"/>
                <w:noProof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lang w:val="en-US" w:eastAsia="en-GB"/>
              </w:rPr>
              <w:footnoteReference w:id="19"/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>
        <w:trPr>
          <w:trHeight w:val="1160"/>
        </w:trPr>
        <w:tc>
          <w:tcPr>
            <w:tcW w:w="804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11.: Veća predvidljivost ishoda prekograničnih ulaganja kad je riječ o postupcima u slučaju nesolventnosti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Kako bi se povećala predvidljivost ishoda postupaka u slučaju nesolventnosti, Komisija će do sredine 2022. pokrenuti zakonodavnu ili nezakonodavnu inicijativu za minimalno usklađivanje ili veću konvergenciju u ciljanim područjima nesolventnosti izvan bankarskog sektora. </w:t>
            </w:r>
          </w:p>
          <w:p>
            <w:pPr>
              <w:pStyle w:val="ListParagrap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Drugo tromjesečje 2022.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>
        <w:trPr>
          <w:trHeight w:val="60"/>
        </w:trP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Inicijativa za donošenje zakonodavnog ili nezakonodavnog instrumenta mogla bi uključivati definiciju uvjeta za pokretanje postupka u slučaju nesolventnosti, rangiranje tražbina (uravnoteživanje interesa raznih vrsta vjerovnika, uključujući osigurane/neosigurane vjerovnike u slučaju nesolventnosti) i dodatne bitne elemente, kao što su tužbe radi pobijanja dužnikovih radnji ili praćenje imovine. </w:t>
            </w:r>
            <w:r>
              <w:rPr>
                <w:rFonts w:ascii="Times New Roman" w:hAnsi="Times New Roman"/>
                <w:iCs/>
                <w:noProof/>
              </w:rPr>
              <w:t>U obzir će se uzeti rezultati javnog savjetovanja, savjeti skupine stručnjaka i rasprave s državama članicama. Potkrijepit će se i procjenom učinka.</w:t>
            </w:r>
          </w:p>
        </w:tc>
      </w:tr>
      <w:tr>
        <w:trPr>
          <w:trHeight w:val="1160"/>
        </w:trPr>
        <w:tc>
          <w:tcPr>
            <w:tcW w:w="8046" w:type="dxa"/>
            <w:vAlign w:val="center"/>
          </w:tcPr>
          <w:p>
            <w:pPr>
              <w:pStyle w:val="ListParagraph"/>
              <w:jc w:val="both"/>
              <w:rPr>
                <w:rFonts w:ascii="Times New Roman" w:hAnsi="Times New Roman" w:cs="Times New Roman"/>
                <w:i/>
                <w:noProof/>
                <w:u w:val="single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u w:val="single"/>
              </w:rPr>
            </w:pPr>
            <w:r>
              <w:rPr>
                <w:rFonts w:ascii="Times New Roman" w:hAnsi="Times New Roman"/>
                <w:i/>
                <w:noProof/>
              </w:rPr>
              <w:t>Komisija i EBA će u svrhu redovite procjene djelotvornosti nacionalnih sustava za naplatu kredita analizirati mogućnost pravnih izmjena okvira za izvješćivanje do prvog tromjesečja 2021.</w:t>
            </w:r>
            <w:r>
              <w:rPr>
                <w:rFonts w:ascii="Times New Roman" w:hAnsi="Times New Roman"/>
                <w:i/>
                <w:iCs/>
                <w:noProof/>
              </w:rPr>
              <w:t xml:space="preserve"> To bi moglo rezultirati pravnim izmjenama u četvrtom tromjesečju 2022.</w:t>
            </w:r>
          </w:p>
          <w:p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en-GB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Prvo tromjesečje 2021.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2022.</w:t>
            </w:r>
          </w:p>
        </w:tc>
      </w:tr>
      <w:tr>
        <w:trPr>
          <w:trHeight w:val="1160"/>
        </w:trP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w:t>Na temelju iskustva iz komparativne analize nacionalnih okvira za naplatu kredita</w:t>
            </w:r>
            <w:r>
              <w:rPr>
                <w:rStyle w:val="FootnoteReference"/>
                <w:rFonts w:ascii="Times New Roman" w:eastAsia="Times New Roman" w:hAnsi="Times New Roman" w:cs="Times New Roman"/>
                <w:iCs/>
                <w:noProof/>
                <w:lang w:eastAsia="en-GB"/>
              </w:rPr>
              <w:footnoteReference w:id="20"/>
            </w:r>
            <w:r>
              <w:rPr>
                <w:rFonts w:ascii="Times New Roman" w:hAnsi="Times New Roman"/>
                <w:noProof/>
              </w:rPr>
              <w:t xml:space="preserve"> (uključujući nesolventnost) provedene u okviru prvog akcijskog plana o uniji tržišta kapitala, Komisija i EBA analizirat će mogućnost pravnih izmjena okvira za izvješćivanje.</w:t>
            </w:r>
            <w:r>
              <w:rPr>
                <w:rFonts w:ascii="Times New Roman" w:hAnsi="Times New Roman"/>
                <w:iCs/>
                <w:noProof/>
              </w:rPr>
              <w:t xml:space="preserve"> Na taj bi način EBA mogla redovito izvješćivati Komisiju o učinkovitosti naplate kredita u državama članicama, bez nerazmjernog povećanja tereta izvješćivanja. Moguće zakonodavne izmjene predložile bi se prema potrebi u četvrtom tromjesečju 2022.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804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u w:val="single"/>
              </w:rPr>
              <w:t>Mjera 12.: Poticanje sudjelovanja dioničara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Kako bi se olakšalo sudjelovanje ulagatelja, posebno prekogranično, Komisija će procijeniti: i. mogućnost uvođenja usklađene definicije „dioničara” na razini EU-a i ii. mogu li se i na koji način dodatno pojasniti i uskladiti propisi kojima se uređuje interakcija između ulagatelja, posrednika i izdavatelja u pogledu ostvarivanja glasačkih prava i korporativne akcije.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</w:rPr>
              <w:t>Komisija će ispitati i moguće nacionalne prepreke upotrebi novih digitalnih tehnologija u tom području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lang w:eastAsia="en-GB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Treće tromjesečje 2023.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</w:tc>
      </w:tr>
      <w:tr>
        <w:trPr>
          <w:trHeight w:val="1160"/>
        </w:trP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Ta će se procjena provesti u okviru Komisijine evaluacije provedbe Direktive o pravima dioničara 2</w:t>
            </w:r>
            <w:r>
              <w:rPr>
                <w:rStyle w:val="FootnoteReference"/>
                <w:rFonts w:ascii="Times New Roman" w:hAnsi="Times New Roman" w:cs="Times New Roman"/>
                <w:noProof/>
                <w:lang w:eastAsia="en-GB"/>
              </w:rPr>
              <w:footnoteReference w:id="21"/>
            </w:r>
            <w:r>
              <w:rPr>
                <w:rFonts w:ascii="Times New Roman" w:hAnsi="Times New Roman"/>
                <w:noProof/>
              </w:rPr>
              <w:t xml:space="preserve"> (SRD 2), koja će biti objavljena do trećeg tromjesečja 2023. </w:t>
            </w:r>
            <w:r>
              <w:rPr>
                <w:rFonts w:ascii="Times New Roman" w:hAnsi="Times New Roman"/>
                <w:noProof/>
                <w:color w:val="000000"/>
              </w:rPr>
              <w:t>U ovoj fazi i nakon uzimanja u obzir tržišnih kretanja nakon što Direktiva SRD 2 i njezina provedbena uredba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footnoteReference w:id="22"/>
            </w:r>
            <w:r>
              <w:rPr>
                <w:rFonts w:ascii="Times New Roman" w:hAnsi="Times New Roman"/>
                <w:noProof/>
                <w:color w:val="000000"/>
              </w:rPr>
              <w:t xml:space="preserve"> stupe na snagu u rujnu 2020., Komisija namjerava posebno istražiti sljedeće: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dodjelu i dokaze o pravima i datum evidentiranja,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potvrdu prava i obvezu usklađivanja,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redoslijed datuma i rokova,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sve dodatne nacionalne zahtjeve (posebno zahtjeve u pogledu punomoći za ostvarivanje glasačkih prava) i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komunikaciju između izdavatelja i središnjih depozitorija vrijednosnih papira (CSD-ova) u pogledu rasporeda, sadržaja i oblika.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Posebna pozornost posvetit će se pitanjima djelotvornosti i učinkovitosti, kao i aspektima pravne sigurnosti.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Komisija će do četvrtog tromjesečja 2021. istražiti i postoje li nacionalne regulatorne prepreke za upotrebu novih digitalnih tehnologija </w:t>
            </w:r>
            <w:r>
              <w:rPr>
                <w:rFonts w:ascii="Times New Roman" w:hAnsi="Times New Roman"/>
                <w:noProof/>
                <w:color w:val="000000"/>
              </w:rPr>
              <w:t>kojima bi se povećala učinkovitost komunikacije između izdavatelja i dioničara, izdavateljima olakšalo utvrđivanje identiteta dioničara, a dioničarima sudjelovanje i glasovanje na glavnim skupštinama.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841"/>
        </w:trPr>
        <w:tc>
          <w:tcPr>
            <w:tcW w:w="804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u w:val="single"/>
              </w:rPr>
              <w:t xml:space="preserve">Mjera 13.: Razvoj prekograničnih usluga namire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iCs/>
                <w:noProof/>
                <w:color w:val="212121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iCs/>
                <w:noProof/>
                <w:color w:val="2121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noProof/>
                <w:color w:val="212121"/>
                <w:shd w:val="clear" w:color="auto" w:fill="FFFFFF"/>
              </w:rPr>
              <w:t>Kako bi se poboljšalo</w:t>
            </w:r>
            <w:r>
              <w:rPr>
                <w:rFonts w:ascii="Times New Roman" w:hAnsi="Times New Roman"/>
                <w:i/>
                <w:noProof/>
                <w:color w:val="212121"/>
                <w:shd w:val="clear" w:color="auto" w:fill="FFFFFF"/>
              </w:rPr>
              <w:t xml:space="preserve"> prekogranično pružanje usluga namire u Uniji</w:t>
            </w:r>
            <w:r>
              <w:rPr>
                <w:rFonts w:ascii="Times New Roman" w:hAnsi="Times New Roman"/>
                <w:i/>
                <w:iCs/>
                <w:noProof/>
                <w:color w:val="212121"/>
                <w:shd w:val="clear" w:color="auto" w:fill="FFFFFF"/>
              </w:rPr>
              <w:t xml:space="preserve"> bez negativnog utjecaja na financijsku stabilnost,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</w:rPr>
              <w:t>Komisija</w:t>
            </w:r>
            <w:r>
              <w:rPr>
                <w:rFonts w:ascii="Times New Roman" w:hAnsi="Times New Roman"/>
                <w:i/>
                <w:iCs/>
                <w:noProof/>
                <w:color w:val="212121"/>
                <w:shd w:val="clear" w:color="auto" w:fill="FFFFFF"/>
              </w:rPr>
              <w:t xml:space="preserve"> će preispitati propise iz niza područja, među ostalim sljedeće: i. prekogranične usluge </w:t>
            </w:r>
            <w:r>
              <w:rPr>
                <w:rFonts w:ascii="Times New Roman" w:hAnsi="Times New Roman"/>
                <w:i/>
                <w:noProof/>
                <w:color w:val="212121"/>
                <w:shd w:val="clear" w:color="auto" w:fill="FFFFFF"/>
              </w:rPr>
              <w:t xml:space="preserve">koje pružaju </w:t>
            </w:r>
            <w:r>
              <w:rPr>
                <w:rFonts w:ascii="Times New Roman" w:hAnsi="Times New Roman"/>
                <w:i/>
                <w:iCs/>
                <w:noProof/>
                <w:color w:val="212121"/>
                <w:shd w:val="clear" w:color="auto" w:fill="FFFFFF"/>
              </w:rPr>
              <w:t>CSD-i na temelju</w:t>
            </w:r>
            <w:r>
              <w:rPr>
                <w:rFonts w:ascii="Times New Roman" w:hAnsi="Times New Roman"/>
                <w:i/>
                <w:noProof/>
                <w:color w:val="212121"/>
                <w:shd w:val="clear" w:color="auto" w:fill="FFFFFF"/>
              </w:rPr>
              <w:t xml:space="preserve"> putovnice središnjih depozitorija vrijednosnih papira i ii.</w:t>
            </w:r>
            <w:r>
              <w:rPr>
                <w:rFonts w:ascii="Times New Roman" w:hAnsi="Times New Roman"/>
                <w:i/>
                <w:iCs/>
                <w:noProof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color w:val="212121"/>
                <w:shd w:val="clear" w:color="auto" w:fill="FFFFFF"/>
              </w:rPr>
              <w:t>postupke i uvjete pod kojima se CSD-ima izdaje odobrenje za imenovanje kreditnih institucija ili da sami pružaju pomoćne usluge bankovnog tipa</w:t>
            </w:r>
            <w:r>
              <w:rPr>
                <w:rFonts w:ascii="Times New Roman" w:hAnsi="Times New Roman"/>
                <w:i/>
                <w:iCs/>
                <w:noProof/>
                <w:color w:val="212121"/>
                <w:shd w:val="clear" w:color="auto" w:fill="FFFFFF"/>
              </w:rPr>
              <w:t>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</w:tc>
      </w:tr>
      <w:tr>
        <w:trPr>
          <w:trHeight w:val="699"/>
        </w:trP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color w:val="212121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To će se postići ciljanom revizijom Uredbe o središnjim depozitorijima vrijednosnih papira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footnoteReference w:id="23"/>
            </w:r>
            <w:r>
              <w:rPr>
                <w:rFonts w:ascii="Times New Roman" w:hAnsi="Times New Roman"/>
                <w:noProof/>
                <w:color w:val="000000"/>
              </w:rPr>
              <w:t xml:space="preserve">, koja će se provesti do četvrtog tromjesečja </w:t>
            </w:r>
            <w:r>
              <w:rPr>
                <w:rFonts w:ascii="Times New Roman" w:hAnsi="Times New Roman"/>
                <w:iCs/>
                <w:noProof/>
                <w:color w:val="212121"/>
                <w:shd w:val="clear" w:color="auto" w:fill="FFFFFF"/>
              </w:rPr>
              <w:t>2021. Takvo preispitivanje propisano je Uredbom i potkrijepit će se procjenom učinka.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color w:val="212121"/>
                <w:shd w:val="clear" w:color="auto" w:fill="FFFFFF"/>
                <w:lang w:eastAsia="en-GB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  <w:color w:val="212121"/>
                <w:shd w:val="clear" w:color="auto" w:fill="FFFFFF"/>
              </w:rPr>
              <w:t>Komisija će prije donošenja zakonodavnog prijedloga (do četvrtog tromjesečja 2020.) Europskom parlamentu i Vijeću podnijeti izvješće o Uredbi. To će izvješće uključivati rezultate opsežnog savjetovanja sa svim dionicima, uključujući države članice i Europsko nadzorno tijelo za vrijednosne papire i tržišta kapitala (ESMA)</w:t>
            </w:r>
            <w:r>
              <w:rPr>
                <w:rFonts w:ascii="Times New Roman" w:hAnsi="Times New Roman"/>
                <w:noProof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804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14.: Konsolidirani sustav objave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U svrhu stvaranja integriranog pregleda trgovanja u cijeloj Uniji i poboljšanja tržišnog natjecanja među mjestima trgovanja, Komisija će predložiti zakonodavne izmjene za potporu uspostavi učinkovitog i sveobuhvatnog konsolidiranog sustava objave podataka nakon trgovanja za vlasničke financijske instrumente i njima slične instrumente.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 </w:t>
            </w: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</w:tc>
      </w:tr>
      <w:tr>
        <w:trPr>
          <w:trHeight w:val="1160"/>
        </w:trP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>Komisija će se pobrinuti da konsolidirani podaci budu sveobuhvatni i dostatne kvalitete kako bi sudionicima na tržištu pružili dodanu vrijednost, uzimajući pritom u obzir troškove uspostave i upotrebe</w:t>
            </w:r>
            <w:r>
              <w:rPr>
                <w:rFonts w:ascii="Times New Roman" w:hAnsi="Times New Roman"/>
                <w:i/>
                <w:noProof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1160"/>
        </w:trPr>
        <w:tc>
          <w:tcPr>
            <w:tcW w:w="804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15: Zaštita i olakšavanje ulaganja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Komisija će predložiti jačanje okvira za zaštitu i olakšavanje ulaganja u EU-u.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Drugo tromjesečje 2021.</w:t>
            </w:r>
          </w:p>
        </w:tc>
      </w:tr>
      <w:t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t xml:space="preserve">To će se djelovanje temeljiti na tri stupa: 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materijalnim propisima za osiguravanje dosljedne i predvidljive zaštite ulaganja unutar EU-a; 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boljoj provedbi tih propisa, koja će se osigurati većom učinkovitošću mehanizama za rješavanje sporova na nacionalnoj razini i/ili razini EU-a, uz istodobno zajamčen pristup nacionalnim sudovima; 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posebnim mjerama za olakšavanje ulaganja, na primjer objedinjavanjem informacija o pravima ulagatelja i mogućnostima ulaganja u jedinstvenoj pristupnoj točki (na primjer na portalu InvestEU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lang w:eastAsia="en-GB"/>
              </w:rPr>
              <w:footnoteReference w:id="24"/>
            </w:r>
            <w:r>
              <w:rPr>
                <w:rFonts w:ascii="Times New Roman" w:hAnsi="Times New Roman"/>
                <w:noProof/>
              </w:rPr>
              <w:t>) i promicanjem mehanizama za preventivno rješavanje problema među dionicima, kao i sporazumno rješavanje sporova.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tr>
        <w:tc>
          <w:tcPr>
            <w:tcW w:w="8046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Mjera 16.: Nadzor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Komisija će pridonijeti radu na poboljšanju jedinstvenih pravila za tržišta kapitala procjenom potrebe za daljnjim usklađivanjem propisa EU-a i praćenjem napretka prema konvergenciji nadzora. U četvrtom tromjesečju 2021. razmotrit će postignute rezultate i eventualno predložiti mjere za bolju koordinaciju nadzora ili izravan nadzor europskih nadzornih tijela.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Komisija pažljivo ocjenjuje i posljedice slučaja Wirecard na regulaciju i nadzor tržišta kapitala EU-a te će brzo i odlučno djelovati kako bi se uklonili svi utvrđeni nedostaci u pravnom okviru EU-a.</w:t>
            </w:r>
          </w:p>
        </w:tc>
        <w:tc>
          <w:tcPr>
            <w:tcW w:w="119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Četvrto tromjesečje 2021.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</w:tc>
      </w:tr>
      <w:tr>
        <w:tc>
          <w:tcPr>
            <w:tcW w:w="9242" w:type="dxa"/>
            <w:gridSpan w:val="2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t>Komisija će uz potpuno poštovanje načela supsidijarnosti sustavno ocjenjivati potrebu daljnjeg usklađivanja propisa EU-a. Poboljšanim jedinstvenim pravilima i učinkovitim nadzorom osigurali bi se jednaki uvjeti za sudionike na tržištu i pridonijelo poštenom tržišnom natjecanju. 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t>Komisija će u predstojećim preispitivanjima sektorskog zakonodavstva razmotriti i djelotvornost konvergencijskih ovlasti europskih nadzornih tijela kako bi identificirala moguće nedostatke ili područja u kojima bi se širim ovlastima pridonijelo promicanju unije tržišta kapitala. Osim toga, razmotrit će i učinkovitost primjene konvergencijskih ovlasti u okviru postojećeg upravljanja. Naposljetku, Komisija će pažljivo pratiti je li postignut dovoljan napredak u pogledu konvergencije nadzora za jačanje unije tržišta kapitala. Ako postoje naznake da je nadzorni ustroj neprikladan za traženu razinu integracije tržišta, u budućim će se preispitivanjima razmotriti snažnija koordinacija nadzora ili izravni nadzor europskih nadzornih tijela, pri čemu je sljedeće preispitivanje predviđeno do kraja 2021.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en-GB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t xml:space="preserve">Komisija pažljivo ocjenjuje i posljedice slučaja Wirecard na regulaciju i nadzor tržišta kapitala EU-a i uzet će u obzir zaključke istražnih postupaka u tijeku. S obzirom na informacije koje su Komisiji dostupne u ovoj fazi, propast društva Wirecard otvara pitanja o učinkovitosti korporativnog upravljanja tim poduzećem, zakonske vanjske revizije i nadzora financijskih informacija.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</w:pPr>
          </w:p>
        </w:tc>
      </w:tr>
    </w:tbl>
    <w:p>
      <w:pPr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63910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</w:rPr>
        <w:t>Komunikacija Komisije Europskom parlamentu, Europskom Vijeću, Vijeću, Europskom gospodarskom i socijalnom odboru i Odboru regija „Europski zeleni plan”, COM(2019) 640 final.</w:t>
      </w:r>
    </w:p>
  </w:footnote>
  <w:footnote w:id="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</w:rPr>
          <w:t>https://eftg.eu/</w:t>
        </w:r>
      </w:hyperlink>
    </w:p>
  </w:footnote>
  <w:footnote w:id="4">
    <w:p>
      <w:pPr>
        <w:pStyle w:val="FootnoteText"/>
        <w:rPr>
          <w:sz w:val="19"/>
          <w:szCs w:val="19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https://e-justice.europa.eu/content_business_registers_at_european_level-105-hr.do?init=true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Posebno Direktiva o transparentnosti (</w:t>
      </w:r>
      <w:r>
        <w:rPr>
          <w:rFonts w:ascii="Times New Roman" w:hAnsi="Times New Roman"/>
          <w:color w:val="444444"/>
          <w:shd w:val="clear" w:color="auto" w:fill="FFFFFF"/>
        </w:rPr>
        <w:t>Direktiva 2004/109/EZ Europskog parlamenta i Vijeća od 15. prosinca 2004. o usklađivanju zahtjeva za transparentnošću u vezi s informacijama o izdavateljima čiji su vrijednosni papiri uvršteni za trgovanje na uređenom tržištu i o izmjeni Direktive 2001/34/EZ)</w:t>
      </w:r>
      <w:r>
        <w:rPr>
          <w:rFonts w:ascii="Times New Roman" w:hAnsi="Times New Roman"/>
        </w:rPr>
        <w:t xml:space="preserve"> i Direktiva o nefinancijskom izvješćivanju (</w:t>
      </w:r>
      <w:r>
        <w:rPr>
          <w:rFonts w:ascii="Times New Roman" w:hAnsi="Times New Roman"/>
          <w:color w:val="444444"/>
          <w:shd w:val="clear" w:color="auto" w:fill="FFFFFF"/>
        </w:rPr>
        <w:t>Direktiva 2014/95/EU Europskog parlamenta i Vijeća od 22. listopada 2014. o izmjeni Direktive 2013/34/EU u pogledu objavljivanja nefinancijskih informacija i informacija o raznolikosti određenih velikih poduzeća i grupa).</w:t>
      </w:r>
    </w:p>
  </w:footnote>
  <w:footnote w:id="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Uredba (EU) 2015/760 Europskog parlamenta i Vijeća od 29. travnja 2015. o europskim fondovima za dugoročna ulaganja.</w:t>
      </w:r>
    </w:p>
  </w:footnote>
  <w:footnote w:id="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Direktiva 2009/138/EZ Europskog parlamenta i Vijeća od 25. studenoga 2009. o osnivanju i obavljanju djelatnosti osiguranja i reosiguranja (Solventnost II).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Uredba (EU) br. 575/2013 Europskog parlamenta i Vijeća od 26. lipnja 2013. o bonitetnim zahtjevima za kreditne institucije i investicijska društva i o izmjeni Uredbe (EU) br. 648/2012 Tekst značajan za EGP.</w:t>
      </w:r>
    </w:p>
  </w:footnote>
  <w:footnote w:id="9">
    <w:p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Direktiva 2013/36/EU Europskog parlamenta i Vijeća od 26. lipnja 2013. o pristupanju djelatnosti kreditnih institucija i bonitetnom nadzoru nad kreditnim institucijama i investicijskim društvima, izmjeni Direktive 2002/87/EZ te stavljanju izvan snage direktiva 2006/48/EZ i 2006/49/EZ.</w:t>
      </w:r>
    </w:p>
  </w:footnote>
  <w:footnote w:id="1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Uredba (EU) 2017/2402 Europskog parlamenta i Vijeća od 12. prosinca 2017. o utvrđivanju općeg okvira za sekuritizaciju i o uspostavi specifičnog okvira za jednostavnu, transparentnu i standardiziranu sekuritizaciju te o izmjeni direktiva 2009/65/EZ, 2009/138/EZ i 2011/61/EU te uredaba (EZ) br. 1060/2009 i (EU) br. 648/2012.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Osim jačanja sekuritizacijskog tržišta, Komisija će nastaviti preispitivati mogućnost uvođenja instrumenta dvostruke zaštite pod nazivom europske osigurane obveznice. Kako je utvrđeno u Direktivi (EU) 2019/2162 Europskog parlamenta i Vijeća od 27. studenoga 2019. o izdavanju pokrivenih obveznica i javnom nadzoru pokrivenih obveznica, Komisija će podnijeti izvješće Europskom parlamentu i Vijeću do 8. srpnja 2024.</w:t>
      </w:r>
    </w:p>
  </w:footnote>
  <w:footnote w:id="1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Direktiva 2014/17/ЕU Europskog parlamenta i Vijeća od 4. veljače 2014. o ugovorima o potrošačkim kreditima koji se odnose na stambene nekretnine i o izmjeni direktiva 2008/48/EZ i 2013/36/EU i Uredbe (EU) br. 1093/2010.</w:t>
      </w:r>
    </w:p>
  </w:footnote>
  <w:footnote w:id="1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Direktiva 2014/65/EU Europskog parlamenta i Vijeća od 15. svibnja 2014. o tržištu financijskih instrumenata i izmjeni Direktive 2002/92/EZ i Direktive 2011/61/EU.</w:t>
      </w:r>
    </w:p>
  </w:footnote>
  <w:footnote w:id="1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Direktiva (EU) 2016/97 Europskog parlamenta i Vijeća od 20. siječnja 2016. o distribuciji osiguranja.</w:t>
      </w:r>
    </w:p>
  </w:footnote>
  <w:footnote w:id="1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Uredba (EU) 2019/1238 Europskog parlamenta i Vijeća od 20. lipnja 2019. o paneuropskom osobnom mirovinskom proizvodu.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Direktiva 2009/65/EZ Europskog parlamenta i Vijeća od 13. srpnja 2009. o usklađivanju zakona i drugih propisa u odnosu na subjekte za zajednička ulaganja u prenosive vrijednosne papire.</w:t>
      </w:r>
    </w:p>
  </w:footnote>
  <w:footnote w:id="17">
    <w:p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Uredba (EU) br. 1286/2014 Europskog parlamenta i Vijeća od 26. studenoga 2014. o dokumentima s ključnim informacijama za upakirane investicijske proizvode za male ulagatelje i investicijske osigurateljne proizvode.</w:t>
      </w:r>
    </w:p>
  </w:footnote>
  <w:footnote w:id="1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http://www.oecd.org/ctp/exchange-of-tax-information/treaty-relief-and-compliance-enhancement-trace.htm</w:t>
      </w:r>
    </w:p>
  </w:footnote>
  <w:footnote w:id="19">
    <w:p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https://ec.europa.eu/taxation_customs/sites/taxation/files/code_of_conduct_on_witholding_tax.pdf</w:t>
      </w:r>
    </w:p>
  </w:footnote>
  <w:footnote w:id="2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https://ec.europa.eu/info/publications/191203-study-loan-enforcement-laws_hr</w:t>
      </w:r>
    </w:p>
  </w:footnote>
  <w:footnote w:id="2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Direktiva (EU) 2017/828 Europskog parlamenta i Vijeća od 17. svibnja 2017. o izmjeni Direktive 2007/36/EZ u pogledu poticanja dugoročnog sudjelovanja dioničara.</w:t>
      </w:r>
    </w:p>
  </w:footnote>
  <w:footnote w:id="22">
    <w:p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Provedbena uredba Komisije (EU) 2018/1212 od 3. rujna 2018.</w:t>
      </w:r>
    </w:p>
  </w:footnote>
  <w:footnote w:id="23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Uredba (EU) br. 909/2014 Europskog parlamenta i Vijeća od 23. srpnja 2014. o poboljšanju namire vrijednosnih papira u Europskoj uniji i o središnjim depozitorijima vrijednosnih papira te izmjeni direktiva 98/26/EZ i 2014/65/EU te Uredbe (EU) br. 236/2012.</w:t>
      </w:r>
    </w:p>
  </w:footnote>
  <w:footnote w:id="24">
    <w:p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https://ec.europa.eu/eipp/desktop/hr/index.html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C7"/>
    <w:multiLevelType w:val="hybridMultilevel"/>
    <w:tmpl w:val="5232BF46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E3C27D2"/>
    <w:multiLevelType w:val="hybridMultilevel"/>
    <w:tmpl w:val="92287CBC"/>
    <w:lvl w:ilvl="0" w:tplc="958A6E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4EA1"/>
    <w:multiLevelType w:val="hybridMultilevel"/>
    <w:tmpl w:val="F03E0D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E90"/>
    <w:multiLevelType w:val="hybridMultilevel"/>
    <w:tmpl w:val="FD68191E"/>
    <w:lvl w:ilvl="0" w:tplc="5DF28A9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5F90"/>
    <w:multiLevelType w:val="hybridMultilevel"/>
    <w:tmpl w:val="0AEEB2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7A6"/>
    <w:multiLevelType w:val="hybridMultilevel"/>
    <w:tmpl w:val="129E98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5258"/>
    <w:multiLevelType w:val="hybridMultilevel"/>
    <w:tmpl w:val="9D1CC120"/>
    <w:lvl w:ilvl="0" w:tplc="47E2285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3FF"/>
    <w:multiLevelType w:val="hybridMultilevel"/>
    <w:tmpl w:val="0CEAD0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&lt;UNUSED&gt;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4A16EAF6-4E21-49AB-94BB-E92B5FA5BE02"/>
    <w:docVar w:name="LW_COVERPAGE_TYPE" w:val="1"/>
    <w:docVar w:name="LW_CROSSREFERENCE" w:val="&lt;UNUSED&gt;"/>
    <w:docVar w:name="LW_DocType" w:val="NORMAL"/>
    <w:docVar w:name="LW_EMISSION" w:val="24.9.2020."/>
    <w:docVar w:name="LW_EMISSION_ISODATE" w:val="2020-09-24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Unija tr\u382?i\u353?ta kapitala za gra\u273?ane i poduze\u263?a \u8211? novi akcijski plan"/>
    <w:docVar w:name="LW_PART_NBR" w:val="1"/>
    <w:docVar w:name="LW_PART_NBR_TOTAL" w:val="1"/>
    <w:docVar w:name="LW_REF.INST.NEW" w:val="COM"/>
    <w:docVar w:name="LW_REF.INST.NEW_ADOPTED" w:val="final"/>
    <w:docVar w:name="LW_REF.INST.NEW_TEXT" w:val="(2020) 59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KOMUNIKACIJI KOMISIJE EUROPSKOM PARLAMENTU, VIJE\u262?U, EUROPSKOM GOSPODARSKOM I SOCIJALNOM ODBORU I ODBORU REGIJ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Ref,de nota al pie,ftref,Footnote Refernece,Footnote Reference Superscript,Footnote Reference text,Footnote symbol,Voetnootverwijzing,footnote ref,FR,Fußnotenzeichen diss neu,Times 10 Point,Exposant 3 Point, Exposant 3 Point,Re,SUPERS"/>
    <w:basedOn w:val="DefaultParagraphFont"/>
    <w:link w:val="16Poi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16Point">
    <w:name w:val="16 Point"/>
    <w:aliases w:val="Superscript 6 Point,Footnote reference number,Odwołanie przypisu,number,2001+ Fußnotenzeichen"/>
    <w:basedOn w:val="Normal"/>
    <w:link w:val="FootnoteReference"/>
    <w:uiPriority w:val="99"/>
    <w:pPr>
      <w:spacing w:after="160" w:line="240" w:lineRule="exact"/>
    </w:pPr>
    <w:rPr>
      <w:vertAlign w:val="superscript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Ref,de nota al pie,ftref,Footnote Refernece,Footnote Reference Superscript,Footnote Reference text,Footnote symbol,Voetnootverwijzing,footnote ref,FR,Fußnotenzeichen diss neu,Times 10 Point,Exposant 3 Point, Exposant 3 Point,Re,SUPERS"/>
    <w:basedOn w:val="DefaultParagraphFont"/>
    <w:link w:val="16Poi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16Point">
    <w:name w:val="16 Point"/>
    <w:aliases w:val="Superscript 6 Point,Footnote reference number,Odwołanie przypisu,number,2001+ Fußnotenzeichen"/>
    <w:basedOn w:val="Normal"/>
    <w:link w:val="FootnoteReference"/>
    <w:uiPriority w:val="99"/>
    <w:pPr>
      <w:spacing w:after="160" w:line="240" w:lineRule="exact"/>
    </w:pPr>
    <w:rPr>
      <w:vertAlign w:val="superscript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ft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3F44AD-C231-40E0-A53C-693927E3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2938</Words>
  <Characters>19393</Characters>
  <Application>Microsoft Office Word</Application>
  <DocSecurity>0</DocSecurity>
  <Lines>510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2020-09-18T14:29:00Z</dcterms:created>
  <dcterms:modified xsi:type="dcterms:W3CDTF">2020-10-01T07:30:00Z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</Properties>
</file>