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084AB17-88B0-4ED5-94BA-3C5B3460952E" style="width:450.35pt;height:406.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8"/>
          <w:szCs w:val="28"/>
        </w:rPr>
      </w:pPr>
      <w:bookmarkStart w:id="1" w:name="_GoBack"/>
      <w:bookmarkEnd w:id="1"/>
      <w:r>
        <w:rPr>
          <w:rFonts w:ascii="Times New Roman" w:hAnsi="Times New Roman"/>
          <w:b/>
          <w:noProof/>
          <w:sz w:val="28"/>
        </w:rPr>
        <w:lastRenderedPageBreak/>
        <w:t>Παράρτημα 1: Κατάλογος των δράσεων και ενδεικτικό χρονοδιάγραμμα</w:t>
      </w:r>
    </w:p>
    <w:p>
      <w:pPr>
        <w:pStyle w:val="ListParagraph"/>
        <w:numPr>
          <w:ilvl w:val="0"/>
          <w:numId w:val="1"/>
        </w:numPr>
        <w:spacing w:after="240" w:line="240" w:lineRule="auto"/>
        <w:jc w:val="both"/>
        <w:rPr>
          <w:rFonts w:ascii="Times New Roman Bold" w:eastAsia="Times New Roman" w:hAnsi="Times New Roman Bold" w:cs="Times New Roman"/>
          <w:b/>
          <w:smallCaps/>
          <w:noProof/>
          <w:sz w:val="24"/>
          <w:szCs w:val="20"/>
          <w:u w:val="single"/>
        </w:rPr>
      </w:pPr>
      <w:r>
        <w:rPr>
          <w:rFonts w:ascii="Times New Roman Bold" w:hAnsi="Times New Roman Bold"/>
          <w:b/>
          <w:smallCaps/>
          <w:noProof/>
          <w:sz w:val="24"/>
          <w:u w:val="single"/>
        </w:rPr>
        <w:t>Μέτρα για τη στήριξη πράσινης, ψηφιακής, χωρίς αποκλεισμούς και ανθεκτικής οικονομικής ανάκαμψης με την αύξηση της δυνατότητας πρόσβασης των επιχειρήσεων σε χρηματοδότηση</w:t>
      </w:r>
    </w:p>
    <w:p>
      <w:pPr>
        <w:pStyle w:val="ListParagraph"/>
        <w:ind w:left="360"/>
        <w:jc w:val="both"/>
        <w:rPr>
          <w:noProof/>
        </w:rPr>
      </w:pPr>
    </w:p>
    <w:tbl>
      <w:tblPr>
        <w:tblStyle w:val="TableGrid"/>
        <w:tblW w:w="9089" w:type="dxa"/>
        <w:tblLook w:val="04A0" w:firstRow="1" w:lastRow="0" w:firstColumn="1" w:lastColumn="0" w:noHBand="0" w:noVBand="1"/>
      </w:tblPr>
      <w:tblGrid>
        <w:gridCol w:w="7893"/>
        <w:gridCol w:w="1196"/>
      </w:tblGrid>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Δράση 1: Μεγαλύτερη προβολή των επιχειρήσεων στους διασυνοριακούς επενδυτές</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Το τρίτο τρίμηνο του 2021 η Επιτροπή θα εκδώσει νομοθετική πρόταση για τη δημιουργία ενός ευρωπαϊκού ενιαίου σημείου πρόσβασης. Η πλατφόρμα αυτή πρέπει να παρέχει απρόσκοπτη πρόσβαση, σε επίπεδο ΕΕ, σε όλες τις συναφείς πληροφορίες (συμπεριλαμβανομένων των χρηματοοικονομικών πληροφοριών και των πληροφοριών σχετικά με τη βιωσιμότητα) που δημοσιοποιούνται από τις επιχειρήσεις, μεταξύ των οποίων και οι χρηματοπιστωτικές επιχειρήσεις.</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i/>
                <w:noProof/>
              </w:rPr>
              <w:t>Τ3/2021</w:t>
            </w:r>
          </w:p>
        </w:tc>
      </w:tr>
      <w:tr>
        <w:trPr>
          <w:trHeight w:val="1520"/>
        </w:trPr>
        <w:tc>
          <w:tcPr>
            <w:tcW w:w="9089" w:type="dxa"/>
            <w:gridSpan w:val="2"/>
            <w:vAlign w:val="center"/>
          </w:tcPr>
          <w:p>
            <w:pPr>
              <w:jc w:val="both"/>
              <w:rPr>
                <w:rFonts w:ascii="Times New Roman" w:eastAsia="Times New Roman" w:hAnsi="Times New Roman" w:cs="Times New Roman"/>
                <w:noProof/>
              </w:rPr>
            </w:pPr>
          </w:p>
          <w:p>
            <w:pPr>
              <w:jc w:val="both"/>
              <w:rPr>
                <w:rFonts w:ascii="Times New Roman" w:hAnsi="Times New Roman" w:cs="Times New Roman"/>
                <w:noProof/>
              </w:rPr>
            </w:pPr>
            <w:r>
              <w:rPr>
                <w:rFonts w:ascii="Times New Roman" w:hAnsi="Times New Roman"/>
                <w:noProof/>
              </w:rPr>
              <w:t>Οι πληροφορίες που πρέπει να παρέχονται θα πρέπει να αντικατοπτρίζουν τις ανάγκες των επενδυτών και τα συμφέροντα ευρύτερου φάσματος χρηστών, συμπεριλαμβανομένων των ενδιάμεσων χρηματοπιστωτικών οργανισμών και της κοινωνίας των πολιτών. Επομένως, μέσω της πλατφόρμας αυτής θα πρέπει να βελτιωθεί η διαθεσιμότητα και η προσβασιμότητα των δεδομένων που αφορούν τη βιωσιμότητα, να αυξηθεί ο αριθμός των επενδύσεων που προσανατολίζονται σε βιώσιμες δραστηριότητες και να διευκολυνθεί η επίτευξη των στόχων της Ευρωπαϊκής Πράσινης Συμφωνίας</w:t>
            </w:r>
            <w:r>
              <w:rPr>
                <w:rStyle w:val="FootnoteReference"/>
                <w:rFonts w:ascii="Times New Roman" w:hAnsi="Times New Roman"/>
                <w:noProof/>
              </w:rPr>
              <w:footnoteReference w:id="2"/>
            </w:r>
            <w:r>
              <w:rPr>
                <w:rFonts w:ascii="Times New Roman" w:hAnsi="Times New Roman"/>
                <w:noProof/>
              </w:rPr>
              <w:t>.</w:t>
            </w:r>
          </w:p>
          <w:p>
            <w:pPr>
              <w:jc w:val="both"/>
              <w:rPr>
                <w:rFonts w:ascii="Times New Roman" w:hAnsi="Times New Roman" w:cs="Times New Roman"/>
                <w:noProof/>
              </w:rPr>
            </w:pPr>
          </w:p>
          <w:p>
            <w:pPr>
              <w:jc w:val="both"/>
              <w:rPr>
                <w:rFonts w:ascii="Times New Roman" w:eastAsia="Times New Roman" w:hAnsi="Times New Roman" w:cs="Times New Roman"/>
                <w:noProof/>
              </w:rPr>
            </w:pPr>
            <w:r>
              <w:rPr>
                <w:rFonts w:ascii="Times New Roman" w:hAnsi="Times New Roman"/>
                <w:noProof/>
              </w:rPr>
              <w:t>Η πλατφόρμα θα βασιστεί στο πιλοτικό σχέδιο της Ευρωπαϊκής Πύλης Χρηματοπιστωτικής Διαφάνειας</w:t>
            </w:r>
            <w:r>
              <w:rPr>
                <w:rStyle w:val="FootnoteReference"/>
                <w:rFonts w:ascii="Times New Roman" w:hAnsi="Times New Roman"/>
                <w:noProof/>
              </w:rPr>
              <w:footnoteReference w:id="3"/>
            </w:r>
            <w:r>
              <w:rPr>
                <w:rFonts w:ascii="Times New Roman" w:hAnsi="Times New Roman"/>
                <w:noProof/>
              </w:rPr>
              <w:t xml:space="preserve"> (EFTG) και θα είναι συμπληρωματική προς το σύστημα διασύνδεσης μητρώων επιχειρήσεων</w:t>
            </w:r>
            <w:r>
              <w:rPr>
                <w:rStyle w:val="FootnoteReference"/>
                <w:rFonts w:ascii="Times New Roman" w:hAnsi="Times New Roman"/>
                <w:noProof/>
              </w:rPr>
              <w:footnoteReference w:id="4"/>
            </w:r>
            <w:r>
              <w:rPr>
                <w:rFonts w:ascii="Times New Roman" w:hAnsi="Times New Roman"/>
                <w:noProof/>
              </w:rPr>
              <w:t xml:space="preserve"> (BRIS), αλλά δεν θα μεταβάλει τις λειτουργίες της. Η νομοθετική πρόταση θα περιλαμβάνει τον εξορθολογισμό της νομοθεσίας της ΕΕ</w:t>
            </w:r>
            <w:r>
              <w:rPr>
                <w:rStyle w:val="FootnoteReference"/>
                <w:rFonts w:ascii="Times New Roman" w:hAnsi="Times New Roman"/>
                <w:noProof/>
              </w:rPr>
              <w:footnoteReference w:id="5"/>
            </w:r>
            <w:r>
              <w:rPr>
                <w:rFonts w:ascii="Times New Roman" w:hAnsi="Times New Roman"/>
                <w:noProof/>
              </w:rPr>
              <w:t xml:space="preserve"> σχετικά με τη δημοσιοποίηση εταιρικών δεδομένων. Η πλατφόρμα θα αξιοποιήσει, στον μέγιστο δυνατό βαθμό, τις υφιστάμενες ενωσιακές και εθνικές υποδομές ΤΠ (βάσεις δεδομένων, μητρώα) προκειμένου να αποφευχθεί η αύξηση της επιβάρυνσης των επιχειρήσεων όσον αφορά την υποβολή στοιχείων. Όλες οι πληροφορίες θα παρέχονται σε συγκρίσιμες ψηφιακές μορφές. Οι λεπτομέρειες σχετικά με την κάλυψη των πληροφοριών, τη διακυβέρνηση και το επιχειρηματικό μοντέλο της πλατφόρμας δεν έχουν ακόμη αποφασιστεί.</w:t>
            </w:r>
          </w:p>
          <w:p>
            <w:pPr>
              <w:jc w:val="both"/>
              <w:rPr>
                <w:rFonts w:ascii="Times New Roman" w:hAnsi="Times New Roman" w:cs="Times New Roman"/>
                <w:noProof/>
              </w:rPr>
            </w:pPr>
          </w:p>
        </w:tc>
      </w:tr>
      <w:tr>
        <w:trPr>
          <w:trHeight w:val="1160"/>
        </w:trPr>
        <w:tc>
          <w:tcPr>
            <w:tcW w:w="7893" w:type="dxa"/>
            <w:vAlign w:val="center"/>
          </w:tcPr>
          <w:p>
            <w:pPr>
              <w:spacing w:after="160" w:line="252" w:lineRule="auto"/>
              <w:rPr>
                <w:rFonts w:ascii="Times New Roman" w:hAnsi="Times New Roman" w:cs="Times New Roman"/>
                <w:b/>
                <w:noProof/>
                <w:u w:val="single"/>
              </w:rPr>
            </w:pPr>
            <w:r>
              <w:rPr>
                <w:rFonts w:ascii="Times New Roman" w:hAnsi="Times New Roman"/>
                <w:b/>
                <w:noProof/>
                <w:u w:val="single"/>
              </w:rPr>
              <w:t xml:space="preserve">Δράση 2: Στήριξη της πρόσβασης σε δημόσιες αγορές </w:t>
            </w:r>
          </w:p>
          <w:p>
            <w:pPr>
              <w:jc w:val="both"/>
              <w:rPr>
                <w:rFonts w:ascii="Times New Roman" w:hAnsi="Times New Roman"/>
                <w:i/>
                <w:noProof/>
                <w:u w:val="single"/>
              </w:rPr>
            </w:pPr>
            <w:r>
              <w:rPr>
                <w:rFonts w:ascii="Times New Roman" w:hAnsi="Times New Roman"/>
                <w:i/>
                <w:noProof/>
              </w:rPr>
              <w:t>Για τους σκοπούς της προώθησης και της διαφοροποίησης της πρόσβασης μικρών και καινοτόμων επιχειρήσεων σε χρηματοδότηση, έως το τέταρτο τρίμηνο του 2021 η Επιτροπή θα αξιολογήσει αν οι κανόνες εισαγωγής στο χρηματιστήριο για τις δημόσιες αγορές (τόσο για τις αγορές ανάπτυξης ΜΜΕ όσο και για τις ρυθμιζόμενες αγορές) θα μπορούσαν να απλουστευθούν περαιτέρω.</w:t>
            </w:r>
          </w:p>
          <w:p>
            <w:pPr>
              <w:jc w:val="both"/>
              <w:rPr>
                <w:rFonts w:ascii="Times New Roman" w:hAnsi="Times New Roman" w:cs="Times New Roman"/>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Q4 2021</w:t>
            </w:r>
          </w:p>
        </w:tc>
      </w:tr>
      <w:tr>
        <w:trPr>
          <w:trHeight w:val="1520"/>
        </w:trPr>
        <w:tc>
          <w:tcPr>
            <w:tcW w:w="9089" w:type="dxa"/>
            <w:gridSpan w:val="2"/>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Η αξιολόγηση θα επικεντρωθεί ειδικότερα στα εξής: i) η καταλληλότητα και συνέπεια του ορισμοί των ΜΜΕ σε ολόκληρη τη χρηματοοικονομική νομοθεσία, ii) πιθανή απλούστευση του καθεστώτος κατάχρησης της αγοράς και iii) πλεονεκτήματα της θέσπισης μεταβατικών διατάξεων για τους εκδότες για πρώτη φορά σε ρυθμιζόμενες αγορές και αγορές ανάπτυξης ΜΜΕ.</w:t>
            </w: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Δράση 3: Φορείς υποστήριξης για μακροπρόθεσμες επενδύσεις</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Έως το πρώτο τρίμηνο του 2021 η Επιτροπή θα εγκρίνει πρόταση επανεξέτασης του κανονισμού ΕΜΕΚ</w:t>
            </w:r>
            <w:r>
              <w:rPr>
                <w:rStyle w:val="FootnoteReference"/>
                <w:rFonts w:ascii="Times New Roman" w:hAnsi="Times New Roman"/>
                <w:i/>
                <w:noProof/>
              </w:rPr>
              <w:footnoteReference w:id="6"/>
            </w:r>
            <w:r>
              <w:rPr>
                <w:rFonts w:ascii="Times New Roman" w:hAnsi="Times New Roman"/>
                <w:i/>
                <w:noProof/>
              </w:rPr>
              <w:t>, βάσει των αποτελεσμάτων δημόσιας διαβούλευσης, η οποία ξεκίνησε το 2020, και σχετικής εκτίμησης επιπτώσεων.</w:t>
            </w:r>
          </w:p>
          <w:p>
            <w:pPr>
              <w:jc w:val="both"/>
              <w:rPr>
                <w:rFonts w:ascii="Times New Roman" w:hAnsi="Times New Roman" w:cs="Times New Roman"/>
                <w:b/>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Q3 2021</w:t>
            </w:r>
          </w:p>
        </w:tc>
      </w:tr>
      <w:tr>
        <w:trPr>
          <w:trHeight w:val="60"/>
        </w:trPr>
        <w:tc>
          <w:tcPr>
            <w:tcW w:w="9089" w:type="dxa"/>
            <w:gridSpan w:val="2"/>
          </w:tcPr>
          <w:p>
            <w:pPr>
              <w:jc w:val="both"/>
              <w:rPr>
                <w:rFonts w:ascii="Times New Roman" w:eastAsia="Times New Roman" w:hAnsi="Times New Roman" w:cs="Times New Roman"/>
                <w:noProof/>
              </w:rPr>
            </w:pPr>
          </w:p>
          <w:p>
            <w:pPr>
              <w:jc w:val="both"/>
              <w:rPr>
                <w:rFonts w:ascii="Times New Roman" w:eastAsia="Times New Roman" w:hAnsi="Times New Roman" w:cs="Times New Roman"/>
                <w:bCs/>
                <w:noProof/>
              </w:rPr>
            </w:pPr>
            <w:r>
              <w:rPr>
                <w:rFonts w:ascii="Times New Roman" w:hAnsi="Times New Roman"/>
                <w:noProof/>
              </w:rPr>
              <w:t>Η επανεξέταση θα καλύπτει, μεταξύ άλλων,</w:t>
            </w:r>
            <w:r>
              <w:rPr>
                <w:rFonts w:ascii="Times New Roman" w:hAnsi="Times New Roman"/>
                <w:i/>
                <w:noProof/>
                <w:u w:val="single"/>
              </w:rPr>
              <w:t xml:space="preserve"> </w:t>
            </w:r>
            <w:r>
              <w:rPr>
                <w:rFonts w:ascii="Times New Roman" w:hAnsi="Times New Roman"/>
                <w:noProof/>
              </w:rPr>
              <w:t>τα εξής: i) την πολιτική εξόφλησης και τη διάρκεια ζωής των ΕΜΕΚ· ii) τον βαθμό στον οποίο τα ΕΜΕΚ διατίθενται στην αγορά της ΕΕ· iii) την καταλληλότητα των επενδυτικών περιορισμών για τους μικροεπενδυτές· και iv) τον βαθμό στον οποίο θα πρέπει να επικαιροποιηθούν ο κατάλογος των επιλέξιμων περιουσιακών στοιχείων και επενδύσεων και οι κανόνες διαφοροποίησης, η σύνθεση του χαρτοφυλακίου, καθώς και τα όρια δανεισμού σε μετρητά.</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i/>
                <w:noProof/>
                <w:u w:val="single"/>
              </w:rPr>
            </w:pPr>
            <w:r>
              <w:rPr>
                <w:rFonts w:ascii="Times New Roman" w:hAnsi="Times New Roman"/>
                <w:b/>
                <w:noProof/>
                <w:u w:val="single"/>
              </w:rPr>
              <w:t>Δράση 4: Ενθάρρυνση πιο μακροπρόθεσμης χρηματοδότησης και χρηματοδότησης μετοχικού κεφαλαίου από θεσμικούς επενδυτές</w:t>
            </w:r>
          </w:p>
          <w:p>
            <w:pPr>
              <w:jc w:val="both"/>
              <w:rPr>
                <w:rFonts w:ascii="Times New Roman" w:hAnsi="Times New Roman" w:cs="Times New Roman"/>
                <w:i/>
                <w:noProof/>
              </w:rPr>
            </w:pPr>
          </w:p>
          <w:p>
            <w:pPr>
              <w:pStyle w:val="ListParagraph"/>
              <w:numPr>
                <w:ilvl w:val="0"/>
                <w:numId w:val="2"/>
              </w:numPr>
              <w:spacing w:after="0" w:line="240" w:lineRule="auto"/>
              <w:jc w:val="both"/>
              <w:rPr>
                <w:rFonts w:ascii="Times New Roman" w:hAnsi="Times New Roman" w:cs="Times New Roman"/>
                <w:i/>
                <w:noProof/>
                <w:szCs w:val="24"/>
              </w:rPr>
            </w:pPr>
            <w:r>
              <w:rPr>
                <w:rFonts w:ascii="Times New Roman" w:hAnsi="Times New Roman"/>
                <w:i/>
                <w:noProof/>
              </w:rPr>
              <w:t>Στο πλαίσιο της επανεξέτασης της οδηγίας Φερεγγυότητα ΙΙ</w:t>
            </w:r>
            <w:r>
              <w:rPr>
                <w:rStyle w:val="FootnoteReference"/>
                <w:rFonts w:ascii="Times New Roman" w:hAnsi="Times New Roman"/>
                <w:i/>
                <w:noProof/>
              </w:rPr>
              <w:footnoteReference w:id="7"/>
            </w:r>
            <w:r>
              <w:rPr>
                <w:rFonts w:ascii="Times New Roman" w:hAnsi="Times New Roman"/>
                <w:i/>
                <w:noProof/>
              </w:rPr>
              <w:t>, έως το τρίτο τρίμηνο του 2021 η Επιτροπή θα αξιολογήσει αν το νομικό πλαίσιο θα μπορούσε να τροποποιηθεί ώστε να προωθηθούν περαιτέρω οι μακροπρόθεσμες επενδύσεις των ασφαλιστικών επιχειρήσεων, χωρίς ωστόσο να βλάπτεται η χρηματοπιστωτική σταθερότητα και η προστασία των ασφαλισμένων.</w:t>
            </w:r>
            <w:r>
              <w:rPr>
                <w:rFonts w:ascii="Times New Roman" w:hAnsi="Times New Roman"/>
                <w:noProof/>
              </w:rPr>
              <w:t xml:space="preserve"> </w:t>
            </w:r>
          </w:p>
          <w:p>
            <w:pPr>
              <w:ind w:left="360"/>
              <w:rPr>
                <w:rFonts w:ascii="Times New Roman" w:hAnsi="Times New Roman" w:cs="Times New Roman"/>
                <w:b/>
                <w:i/>
                <w:noProof/>
                <w:u w:val="single"/>
              </w:rPr>
            </w:pPr>
          </w:p>
        </w:tc>
        <w:tc>
          <w:tcPr>
            <w:tcW w:w="1196" w:type="dxa"/>
            <w:vAlign w:val="center"/>
          </w:tcPr>
          <w:p>
            <w:pPr>
              <w:jc w:val="both"/>
              <w:rPr>
                <w:rFonts w:ascii="Times New Roman" w:hAnsi="Times New Roman" w:cs="Times New Roman"/>
                <w:i/>
                <w:noProof/>
              </w:rPr>
            </w:pPr>
            <w:r>
              <w:rPr>
                <w:rFonts w:ascii="Times New Roman" w:hAnsi="Times New Roman"/>
                <w:b/>
                <w:noProof/>
              </w:rPr>
              <w:t>Q3 2021</w:t>
            </w: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noProof/>
              </w:rPr>
            </w:pPr>
          </w:p>
        </w:tc>
      </w:tr>
      <w:tr>
        <w:trPr>
          <w:trHeight w:val="1160"/>
        </w:trPr>
        <w:tc>
          <w:tcPr>
            <w:tcW w:w="9089" w:type="dxa"/>
            <w:gridSpan w:val="2"/>
            <w:vAlign w:val="center"/>
          </w:tcPr>
          <w:p>
            <w:pPr>
              <w:jc w:val="both"/>
              <w:rPr>
                <w:rFonts w:ascii="Times New Roman" w:hAnsi="Times New Roman" w:cs="Times New Roman"/>
                <w:b/>
                <w:noProof/>
                <w:u w:val="single"/>
              </w:rPr>
            </w:pPr>
          </w:p>
          <w:p>
            <w:pPr>
              <w:jc w:val="both"/>
              <w:rPr>
                <w:rFonts w:ascii="Times New Roman" w:hAnsi="Times New Roman" w:cs="Times New Roman"/>
                <w:noProof/>
                <w:szCs w:val="24"/>
              </w:rPr>
            </w:pPr>
            <w:r>
              <w:rPr>
                <w:rFonts w:ascii="Times New Roman" w:hAnsi="Times New Roman"/>
                <w:noProof/>
              </w:rPr>
              <w:t>Κατά την επανεξέταση της οδηγίας Φερεγγυότητα ΙΙ θα αξιολογηθούν κυρίως η καταλληλότητα των κριτηρίων επιλεξιμότητας για την κατηγορία των μακροπρόθεσμων μετοχικών στοιχείων ενεργητικού, ο υπολογισμός του περιθωρίου κινδύνου και η αποτίμηση των υποχρεώσεων των ασφαλιστικών επιχειρήσεων, με σκοπό τόσο την αποφυγή αδικαιολόγητων φιλοκυκλικών συμπεριφορών όσο και την καλύτερη αποτύπωση του μακροπρόθεσμου χαρακτήρα των ασφαλιστικών δραστηριοτήτων.</w:t>
            </w:r>
          </w:p>
          <w:p>
            <w:pPr>
              <w:jc w:val="both"/>
              <w:rPr>
                <w:rFonts w:ascii="Times New Roman" w:hAnsi="Times New Roman" w:cs="Times New Roman"/>
                <w:noProof/>
              </w:rPr>
            </w:pPr>
          </w:p>
        </w:tc>
      </w:tr>
      <w:tr>
        <w:trPr>
          <w:trHeight w:val="1160"/>
        </w:trPr>
        <w:tc>
          <w:tcPr>
            <w:tcW w:w="7893" w:type="dxa"/>
            <w:vAlign w:val="center"/>
          </w:tcPr>
          <w:p>
            <w:pPr>
              <w:pStyle w:val="ListParagraph"/>
              <w:rPr>
                <w:rFonts w:ascii="Times New Roman" w:hAnsi="Times New Roman" w:cs="Times New Roman"/>
                <w:noProof/>
                <w:u w:val="single"/>
              </w:rPr>
            </w:pPr>
          </w:p>
          <w:p>
            <w:pPr>
              <w:pStyle w:val="ListParagraph"/>
              <w:numPr>
                <w:ilvl w:val="0"/>
                <w:numId w:val="2"/>
              </w:numPr>
              <w:spacing w:after="0" w:line="240" w:lineRule="auto"/>
              <w:jc w:val="both"/>
              <w:rPr>
                <w:rFonts w:ascii="Times New Roman" w:hAnsi="Times New Roman" w:cs="Times New Roman"/>
                <w:noProof/>
                <w:u w:val="single"/>
              </w:rPr>
            </w:pPr>
            <w:r>
              <w:rPr>
                <w:rFonts w:ascii="Times New Roman" w:hAnsi="Times New Roman"/>
                <w:i/>
                <w:noProof/>
              </w:rPr>
              <w:t>Στο πλαίσιο των εργασιών της για την εφαρμογή της Βασιλείας ΙΙΙ, κατά την επανεξέταση του κανονισμού για τις κεφαλαιακές απαιτήσεις (ΚΚΑ)</w:t>
            </w:r>
            <w:r>
              <w:rPr>
                <w:rStyle w:val="FootnoteReference"/>
                <w:rFonts w:ascii="Times New Roman" w:hAnsi="Times New Roman"/>
                <w:i/>
                <w:noProof/>
              </w:rPr>
              <w:footnoteReference w:id="8"/>
            </w:r>
            <w:r>
              <w:rPr>
                <w:rFonts w:ascii="Times New Roman" w:hAnsi="Times New Roman"/>
                <w:i/>
                <w:noProof/>
              </w:rPr>
              <w:t>/της οδηγίας για τις κεφαλαιακές απαιτήσεις</w:t>
            </w:r>
            <w:r>
              <w:rPr>
                <w:rStyle w:val="FootnoteReference"/>
                <w:rFonts w:ascii="Times New Roman" w:hAnsi="Times New Roman"/>
                <w:i/>
                <w:noProof/>
              </w:rPr>
              <w:footnoteReference w:id="9"/>
            </w:r>
            <w:r>
              <w:rPr>
                <w:rFonts w:ascii="Times New Roman" w:hAnsi="Times New Roman"/>
                <w:i/>
                <w:noProof/>
              </w:rPr>
              <w:t xml:space="preserve"> (οδηγία CRD) (που προβλέπεται να εκδοθεί έως το δεύτερο τρίμηνο του 2021), η Επιτροπή θα εφαρμόσει την ευελιξία που εμπεριέχεται στη Βασιλεία ΙΙΙ προκειμένου να διασφαλιστεί το κατάλληλο καθεστώς προληπτικής εποπτείας για τις μακροπρόθεσμες επενδύσεις των τραπεζών σε μετοχές ΜΜΕ.</w:t>
            </w:r>
          </w:p>
          <w:p>
            <w:pPr>
              <w:ind w:left="360"/>
              <w:rPr>
                <w:rFonts w:ascii="Times New Roman" w:hAnsi="Times New Roman" w:cs="Times New Roman"/>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Q1 2021</w:t>
            </w:r>
          </w:p>
        </w:tc>
      </w:tr>
      <w:tr>
        <w:trPr>
          <w:trHeight w:val="488"/>
        </w:trPr>
        <w:tc>
          <w:tcPr>
            <w:tcW w:w="9089" w:type="dxa"/>
            <w:gridSpan w:val="2"/>
            <w:vAlign w:val="center"/>
          </w:tcPr>
          <w:p>
            <w:pPr>
              <w:jc w:val="both"/>
              <w:rPr>
                <w:rFonts w:ascii="Times New Roman" w:eastAsia="Times New Roman" w:hAnsi="Times New Roman" w:cs="Times New Roman"/>
                <w:noProof/>
              </w:rPr>
            </w:pPr>
          </w:p>
          <w:p>
            <w:pPr>
              <w:jc w:val="both"/>
              <w:rPr>
                <w:rFonts w:ascii="Times New Roman" w:eastAsia="Times New Roman" w:hAnsi="Times New Roman" w:cs="Times New Roman"/>
                <w:noProof/>
              </w:rPr>
            </w:pPr>
            <w:r>
              <w:rPr>
                <w:rFonts w:ascii="Times New Roman" w:hAnsi="Times New Roman"/>
                <w:noProof/>
              </w:rPr>
              <w:t>Με την επανεξέταση του ΚΚΑ/της οδηγίας CRD επιδιώκεται να αποφευχθεί το ενδεχόμενο η εφαρμογή της Βασιλείας ΙΙΙ να έχει αδικαιολόγητο αντίκτυπο στις επενδύσεις των τραπεζών σε μακροπρόθεσμα μετοχικά κεφάλαια ΜΜΕ, καθώς και στη δραστηριότητα διαμόρφωσης αγορών των τραπεζών και των επιχειρήσεων επενδύσεων.</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Δράση 5: Παραπομπή των ΜΜΕ σε εναλλακτικούς παρόχους χρηματοδότησης</w:t>
            </w:r>
          </w:p>
          <w:p>
            <w:pPr>
              <w:jc w:val="both"/>
              <w:rPr>
                <w:rFonts w:ascii="Times New Roman" w:hAnsi="Times New Roman" w:cs="Times New Roman"/>
                <w:b/>
                <w:noProof/>
                <w:u w:val="single"/>
              </w:rPr>
            </w:pPr>
          </w:p>
          <w:p>
            <w:pPr>
              <w:jc w:val="both"/>
              <w:rPr>
                <w:rFonts w:ascii="Times New Roman" w:hAnsi="Times New Roman" w:cs="Times New Roman"/>
                <w:i/>
                <w:noProof/>
                <w:color w:val="000000"/>
                <w:szCs w:val="24"/>
              </w:rPr>
            </w:pPr>
            <w:r>
              <w:rPr>
                <w:rFonts w:ascii="Times New Roman" w:hAnsi="Times New Roman"/>
                <w:i/>
                <w:noProof/>
                <w:color w:val="000000"/>
              </w:rPr>
              <w:t xml:space="preserve">Για  τη διευκόλυνση της πρόσβασης των ΜΜΕ σε χρηματοδότηση, έως το τέταρτο τρίμηνο του 2021 η Επιτροπή θα αναλύσει τα πλεονεκτήματα και τη σκοπιμότητα της θέσπισης ενός συστήματος παραπομπής, στο πλαίσιο του οποίου οι τράπεζες θα οφείλουν να παραπέμπουν σε παρόχους εναλλακτικής χρηματοδότησης τις ΜΜΕ των οποίων η αίτηση πίστωσης έχει απορριφθεί.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noProof/>
              </w:rPr>
              <w:t>Q4 2021</w:t>
            </w:r>
          </w:p>
        </w:tc>
      </w:tr>
      <w:tr>
        <w:trPr>
          <w:trHeight w:val="389"/>
        </w:trPr>
        <w:tc>
          <w:tcPr>
            <w:tcW w:w="9089" w:type="dxa"/>
            <w:gridSpan w:val="2"/>
            <w:vAlign w:val="center"/>
          </w:tcPr>
          <w:p>
            <w:pPr>
              <w:jc w:val="both"/>
              <w:rPr>
                <w:rFonts w:ascii="Times New Roman" w:eastAsia="Times New Roman" w:hAnsi="Times New Roman" w:cs="Times New Roman"/>
                <w:noProof/>
              </w:rPr>
            </w:pPr>
          </w:p>
          <w:p>
            <w:pPr>
              <w:jc w:val="both"/>
              <w:rPr>
                <w:rFonts w:ascii="Times New Roman" w:eastAsia="Times New Roman" w:hAnsi="Times New Roman" w:cs="Times New Roman"/>
                <w:noProof/>
              </w:rPr>
            </w:pPr>
            <w:r>
              <w:rPr>
                <w:rFonts w:ascii="Times New Roman" w:hAnsi="Times New Roman"/>
                <w:noProof/>
              </w:rPr>
              <w:t>Η μελέτη σκοπιμότητας θα περιλαμβάνει ανάλυση της αποτελεσματικότητας των υφιστάμενων συστημάτων παραπομπής των τραπεζών. Η Επιτροπή θα διερευνήσει επίσης τα πλεονεκτήματα που θα είχε η επιβολή αμοιβαίας υποχρέωσης στις πλατφόρμες εναλλακτικής χρηματοδότησης να παραπέμπουν απορριφθείσες ΜΜΕ σε τράπεζες, καθώς και την πιθανή ανάγκη επέκτασης του πεδίου εφαρμογής ενός καθεστώτος παραπομπής ώστε να συμπεριλαμβάνονται πάροχοι χρηματοδότησης μετοχικού κεφαλαίου, πλατφόρμες αντιστοίχισης και εξειδικευμένοι συμβουλευτικοί κόμβοι.</w:t>
            </w:r>
          </w:p>
          <w:p>
            <w:pPr>
              <w:jc w:val="both"/>
              <w:rPr>
                <w:rFonts w:ascii="Times New Roman" w:eastAsia="Times New Roman" w:hAnsi="Times New Roman" w:cs="Times New Roman"/>
                <w:noProof/>
              </w:rPr>
            </w:pPr>
          </w:p>
        </w:tc>
      </w:tr>
      <w:tr>
        <w:trPr>
          <w:trHeight w:val="1160"/>
        </w:trPr>
        <w:tc>
          <w:tcPr>
            <w:tcW w:w="7893" w:type="dxa"/>
            <w:tcBorders>
              <w:bottom w:val="single" w:sz="4" w:space="0" w:color="auto"/>
            </w:tcBorders>
            <w:vAlign w:val="center"/>
          </w:tcPr>
          <w:p>
            <w:pPr>
              <w:jc w:val="both"/>
              <w:rPr>
                <w:rFonts w:ascii="Times New Roman" w:hAnsi="Times New Roman" w:cs="Times New Roman"/>
                <w:b/>
                <w:noProof/>
                <w:szCs w:val="24"/>
                <w:u w:val="single"/>
              </w:rPr>
            </w:pPr>
            <w:r>
              <w:rPr>
                <w:rFonts w:ascii="Times New Roman" w:hAnsi="Times New Roman"/>
                <w:b/>
                <w:noProof/>
                <w:u w:val="single"/>
              </w:rPr>
              <w:t>Δράση 6: Παροχή συνδρομής στις τράπεζες ώστε να δανειοδοτούν περισσότερο την πραγματική οικονομία</w:t>
            </w:r>
          </w:p>
          <w:p>
            <w:pPr>
              <w:jc w:val="both"/>
              <w:rPr>
                <w:rFonts w:ascii="Times New Roman" w:hAnsi="Times New Roman" w:cs="Times New Roman"/>
                <w:b/>
                <w:noProof/>
                <w:u w:val="single"/>
              </w:rPr>
            </w:pPr>
          </w:p>
          <w:p>
            <w:pPr>
              <w:jc w:val="both"/>
              <w:rPr>
                <w:rFonts w:ascii="Times New Roman" w:hAnsi="Times New Roman" w:cs="Times New Roman"/>
                <w:i/>
                <w:noProof/>
                <w:szCs w:val="24"/>
              </w:rPr>
            </w:pPr>
            <w:r>
              <w:rPr>
                <w:rFonts w:ascii="Times New Roman" w:hAnsi="Times New Roman"/>
                <w:i/>
                <w:noProof/>
              </w:rPr>
              <w:t>Με σκοπό την επέκταση της αγοράς τιτλοποιήσεων στην ΕΕ, η Επιτροπή θα προβεί, έως το τέταρτο τρίμηνο του 2021, σε συνολική επανεξέταση του πλαισίου της ΕΕ για την τιτλοποίηση</w:t>
            </w:r>
            <w:r>
              <w:rPr>
                <w:rStyle w:val="FootnoteReference"/>
                <w:rFonts w:ascii="Times New Roman" w:hAnsi="Times New Roman"/>
                <w:i/>
                <w:noProof/>
              </w:rPr>
              <w:footnoteReference w:id="10"/>
            </w:r>
            <w:r>
              <w:rPr>
                <w:rFonts w:ascii="Times New Roman" w:hAnsi="Times New Roman"/>
                <w:i/>
                <w:noProof/>
              </w:rPr>
              <w:t>, τόσο όσον αφορά την απλή, διαφανή και τυποποιημένη τιτλοποίηση (STS) όσο και την τιτλοποίηση μη STS</w:t>
            </w:r>
            <w:r>
              <w:rPr>
                <w:rStyle w:val="FootnoteReference"/>
                <w:rFonts w:ascii="Times New Roman" w:hAnsi="Times New Roman"/>
                <w:i/>
                <w:noProof/>
              </w:rPr>
              <w:footnoteReference w:id="11"/>
            </w:r>
            <w:r>
              <w:rPr>
                <w:noProof/>
              </w:rPr>
              <w:t>.</w:t>
            </w:r>
          </w:p>
          <w:p>
            <w:pPr>
              <w:jc w:val="both"/>
              <w:rPr>
                <w:rFonts w:ascii="Times New Roman" w:hAnsi="Times New Roman" w:cs="Times New Roman"/>
                <w:i/>
                <w:noProof/>
                <w:u w:val="single"/>
              </w:rPr>
            </w:pPr>
          </w:p>
        </w:tc>
        <w:tc>
          <w:tcPr>
            <w:tcW w:w="1196" w:type="dxa"/>
            <w:tcBorders>
              <w:bottom w:val="single" w:sz="4" w:space="0" w:color="auto"/>
            </w:tcBorders>
            <w:vAlign w:val="center"/>
          </w:tcPr>
          <w:p>
            <w:pPr>
              <w:jc w:val="both"/>
              <w:rPr>
                <w:rFonts w:ascii="Times New Roman" w:hAnsi="Times New Roman" w:cs="Times New Roman"/>
                <w:b/>
                <w:i/>
                <w:noProof/>
              </w:rPr>
            </w:pPr>
            <w:r>
              <w:rPr>
                <w:rFonts w:ascii="Times New Roman" w:hAnsi="Times New Roman"/>
                <w:b/>
                <w:noProof/>
              </w:rPr>
              <w:t>Q4 2021</w:t>
            </w:r>
          </w:p>
        </w:tc>
      </w:tr>
      <w:tr>
        <w:trPr>
          <w:trHeight w:val="1881"/>
        </w:trPr>
        <w:tc>
          <w:tcPr>
            <w:tcW w:w="9089" w:type="dxa"/>
            <w:gridSpan w:val="2"/>
            <w:tcBorders>
              <w:bottom w:val="single" w:sz="4" w:space="0" w:color="auto"/>
            </w:tcBorders>
            <w:vAlign w:val="center"/>
          </w:tcPr>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Σκοπός της επανεξέτασης θα είναι η ενίσχυση του ρόλου της τιτλοποίησης ως μέσου που τίθεται στη διάθεση των τραπεζών για τη διευκόλυνση της παροχής βιώσιμης και σταθερής χρηματοδότησης στην πραγματική οικονομία στο περιβάλλον που θα διαμορφωθεί μετά τη νόσο COVID-19, με την απόδοση ιδιαίτερης έμφασης στις ΜΜΕ και την πράσινη μετάβαση. Ιδιαίτερη προσοχή θα δοθεί στην ικανότητα του ισχύοντος πλαισίου να αντικατοπτρίζει επαρκώς την πραγματική επικινδυνότητα τόσο των μέσων τιτλοποίησης STS όσο και των μέσων τιτλοποίησης μη STS, συμπεριλαμβανομένης της καταλληλότητας των απαιτήσεων δημοσιοποίησης, της διαδικασίας αναγνώρισης της σημαντικής μεταφοράς κινδύνου και του καθεστώτος προληπτικής εποπτείας για την τιτλοποίηση με μετρητά και τη συνθετική τιτλοποίηση, ενώ θα διαφυλάσσεται παράλληλα η χρηματοπιστωτική σταθερότητα της ΕΕ.</w:t>
            </w:r>
          </w:p>
          <w:p>
            <w:pPr>
              <w:jc w:val="both"/>
              <w:rPr>
                <w:rFonts w:ascii="Times New Roman" w:hAnsi="Times New Roman" w:cs="Times New Roman"/>
                <w:noProof/>
              </w:rPr>
            </w:pPr>
          </w:p>
        </w:tc>
      </w:tr>
      <w:tr>
        <w:tc>
          <w:tcPr>
            <w:tcW w:w="9089" w:type="dxa"/>
            <w:gridSpan w:val="2"/>
            <w:tcBorders>
              <w:top w:val="single" w:sz="4" w:space="0" w:color="auto"/>
              <w:left w:val="nil"/>
              <w:bottom w:val="single" w:sz="4" w:space="0" w:color="auto"/>
              <w:right w:val="nil"/>
            </w:tcBorders>
            <w:vAlign w:val="center"/>
          </w:tcPr>
          <w:p>
            <w:pPr>
              <w:jc w:val="both"/>
              <w:rPr>
                <w:b/>
                <w:i/>
                <w:noProof/>
              </w:rPr>
            </w:pPr>
          </w:p>
          <w:p>
            <w:pPr>
              <w:pStyle w:val="ListParagraph"/>
              <w:numPr>
                <w:ilvl w:val="0"/>
                <w:numId w:val="1"/>
              </w:numPr>
              <w:spacing w:after="0" w:line="240" w:lineRule="auto"/>
              <w:jc w:val="both"/>
              <w:rPr>
                <w:b/>
                <w:i/>
                <w:noProof/>
              </w:rPr>
            </w:pPr>
            <w:r>
              <w:rPr>
                <w:rFonts w:ascii="Times New Roman Bold" w:hAnsi="Times New Roman Bold"/>
                <w:b/>
                <w:smallCaps/>
                <w:noProof/>
                <w:sz w:val="24"/>
                <w:u w:val="single"/>
              </w:rPr>
              <w:t>Εδραίωση της ΕΕ ως ακόμη πιο ασφαλούς τόπου για ιδιωτικές αποταμιεύσεις και επενδύσεις σε μακροπρόθεσμο ορίζοντα</w:t>
            </w:r>
          </w:p>
          <w:p>
            <w:pPr>
              <w:jc w:val="both"/>
              <w:rPr>
                <w:noProof/>
              </w:rPr>
            </w:pPr>
          </w:p>
        </w:tc>
      </w:tr>
      <w:tr>
        <w:tc>
          <w:tcPr>
            <w:tcW w:w="7893" w:type="dxa"/>
            <w:tcBorders>
              <w:top w:val="single" w:sz="4" w:space="0" w:color="auto"/>
            </w:tcBorders>
            <w:vAlign w:val="center"/>
          </w:tcPr>
          <w:p>
            <w:pPr>
              <w:jc w:val="both"/>
              <w:rPr>
                <w:rFonts w:ascii="Times New Roman" w:hAnsi="Times New Roman" w:cs="Times New Roman"/>
                <w:b/>
                <w:noProof/>
                <w:u w:val="single"/>
              </w:rPr>
            </w:pPr>
            <w:r>
              <w:rPr>
                <w:rFonts w:ascii="Times New Roman" w:hAnsi="Times New Roman"/>
                <w:b/>
                <w:noProof/>
                <w:u w:val="single"/>
              </w:rPr>
              <w:t>Δράση 7: Ενίσχυση της θέσης των πολιτών μέσω των χρηματοοικονομικών γνώσεων</w:t>
            </w:r>
          </w:p>
          <w:p>
            <w:pPr>
              <w:jc w:val="both"/>
              <w:rPr>
                <w:rFonts w:ascii="Times New Roman" w:hAnsi="Times New Roman" w:cs="Times New Roman"/>
                <w:bCs/>
                <w:i/>
                <w:noProof/>
                <w:color w:val="000000"/>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i/>
                <w:noProof/>
                <w:color w:val="000000"/>
              </w:rPr>
              <w:t>Για  την προώθηση κοινής αντίληψης όσον αφορά τις χρηματοοικονομικές ικανότητες των δημόσιων αρχών και των φορέων του ιδιωτικού τομέα, και προκειμένου να διαμορφωθεί μια βάση για την ανάπτυξη χρηματοοικονομικών ικανοτήτων σε διάφορες εφαρμογές και περιβάλλοντα, έως το δεύτερο τρίμηνο του 2021 η Επιτροπή θα εκπονήσει μελέτη σκοπιμότητας όσον αφορά την ανάπτυξη ενός ειδικού πλαισίου της ΕΕ χρηματοοικονομικών ικανοτήτων, το οποίο θα βασίζεται στα σχετικά υφιστάμενα πλαίσια</w:t>
            </w:r>
            <w:r>
              <w:rPr>
                <w:rFonts w:ascii="Times New Roman" w:hAnsi="Times New Roman"/>
                <w:i/>
                <w:noProof/>
              </w:rPr>
              <w:t>.</w:t>
            </w:r>
          </w:p>
          <w:p>
            <w:pPr>
              <w:pStyle w:val="ListParagraph"/>
              <w:spacing w:after="0" w:line="240" w:lineRule="auto"/>
              <w:jc w:val="both"/>
              <w:rPr>
                <w:rFonts w:ascii="Times New Roman" w:hAnsi="Times New Roman" w:cs="Times New Roman"/>
                <w:i/>
                <w:noProof/>
              </w:rPr>
            </w:pPr>
          </w:p>
          <w:p>
            <w:pPr>
              <w:jc w:val="both"/>
              <w:rPr>
                <w:rFonts w:ascii="Times New Roman" w:hAnsi="Times New Roman" w:cs="Times New Roman"/>
                <w:i/>
                <w:noProof/>
              </w:rPr>
            </w:pPr>
          </w:p>
        </w:tc>
        <w:tc>
          <w:tcPr>
            <w:tcW w:w="1196" w:type="dxa"/>
            <w:tcBorders>
              <w:top w:val="single" w:sz="4" w:space="0" w:color="auto"/>
            </w:tcBorders>
            <w:vAlign w:val="center"/>
          </w:tcPr>
          <w:p>
            <w:pPr>
              <w:jc w:val="both"/>
              <w:rPr>
                <w:rFonts w:ascii="Times New Roman" w:hAnsi="Times New Roman" w:cs="Times New Roman"/>
                <w:b/>
                <w:noProof/>
              </w:rPr>
            </w:pPr>
            <w:r>
              <w:rPr>
                <w:rFonts w:ascii="Times New Roman" w:hAnsi="Times New Roman"/>
                <w:b/>
                <w:noProof/>
              </w:rPr>
              <w:t>Q2 2021</w:t>
            </w:r>
          </w:p>
          <w:p>
            <w:pPr>
              <w:jc w:val="both"/>
              <w:rPr>
                <w:rFonts w:ascii="Times New Roman" w:hAnsi="Times New Roman" w:cs="Times New Roman"/>
                <w:noProof/>
              </w:rPr>
            </w:pP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Με το μέτρο αυτό επιδιώκεται να παρασχεθεί στις δημόσιες αρχές και τους φορείς του ιδιωτικού τομέα της ΕΕ κοινή εννοιολογική βάση για την ανάπτυξη πολιτικών και μαθησιακών εφαρμογών και σχετικού υλικού που αποσκοπούν στην ενίσχυση των ατομικών χρηματοοικονομικών ικανοτήτων. Το εν λόγω μέτρο θα βασιστεί στα σχετικά υφιστάμενα πλαίσια και θα τηρεί την αρχή της επικουρικότητας.</w:t>
            </w:r>
          </w:p>
          <w:p>
            <w:pPr>
              <w:jc w:val="both"/>
              <w:rPr>
                <w:rFonts w:ascii="Times New Roman" w:hAnsi="Times New Roman" w:cs="Times New Roman"/>
                <w:noProof/>
              </w:rPr>
            </w:pPr>
          </w:p>
        </w:tc>
      </w:tr>
      <w:tr>
        <w:tc>
          <w:tcPr>
            <w:tcW w:w="7893" w:type="dxa"/>
            <w:vAlign w:val="center"/>
          </w:tcPr>
          <w:p>
            <w:pPr>
              <w:pStyle w:val="ListParagraph"/>
              <w:jc w:val="both"/>
              <w:rPr>
                <w:rFonts w:ascii="Times New Roman" w:hAnsi="Times New Roman" w:cs="Times New Roman"/>
                <w:i/>
                <w:noProof/>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i/>
                <w:noProof/>
                <w:color w:val="000000"/>
              </w:rPr>
              <w:t>Η Επιτροπή θα αξιολογήσει αν είναι σκόπιμο να επεκταθεί η αρχή που κατοχυρώνεται στο άρθρο 6 της οδηγίας για την ενυπόθηκη πίστη</w:t>
            </w:r>
            <w:r>
              <w:rPr>
                <w:rStyle w:val="FootnoteReference"/>
                <w:rFonts w:ascii="Times New Roman" w:hAnsi="Times New Roman"/>
                <w:i/>
                <w:noProof/>
                <w:color w:val="000000"/>
              </w:rPr>
              <w:footnoteReference w:id="12"/>
            </w:r>
            <w:r>
              <w:rPr>
                <w:rFonts w:ascii="Times New Roman" w:hAnsi="Times New Roman"/>
                <w:i/>
                <w:noProof/>
                <w:color w:val="000000"/>
              </w:rPr>
              <w:t xml:space="preserve"> στη σχετική τομεακή νομοθεσία — οδηγία για τις αγορές χρηματοπιστωτικών μέσων</w:t>
            </w:r>
            <w:r>
              <w:rPr>
                <w:rStyle w:val="FootnoteReference"/>
                <w:rFonts w:ascii="Times New Roman" w:hAnsi="Times New Roman"/>
                <w:i/>
                <w:noProof/>
                <w:color w:val="000000"/>
              </w:rPr>
              <w:footnoteReference w:id="13"/>
            </w:r>
            <w:r>
              <w:rPr>
                <w:rFonts w:ascii="Times New Roman" w:hAnsi="Times New Roman"/>
                <w:i/>
                <w:noProof/>
                <w:color w:val="000000"/>
              </w:rPr>
              <w:t xml:space="preserve"> (MiFID), οδηγία για τη διανομή ασφαλιστικών προϊόντων</w:t>
            </w:r>
            <w:r>
              <w:rPr>
                <w:rStyle w:val="FootnoteReference"/>
                <w:rFonts w:ascii="Times New Roman" w:hAnsi="Times New Roman"/>
                <w:i/>
                <w:noProof/>
                <w:color w:val="000000"/>
              </w:rPr>
              <w:footnoteReference w:id="14"/>
            </w:r>
            <w:r>
              <w:rPr>
                <w:rFonts w:ascii="Times New Roman" w:hAnsi="Times New Roman"/>
                <w:i/>
                <w:noProof/>
                <w:color w:val="000000"/>
              </w:rPr>
              <w:t xml:space="preserve"> (IDD), κανονισμός για το πανευρωπαϊκό ατομικό συνταξιοδοτικό προϊόν</w:t>
            </w:r>
            <w:r>
              <w:rPr>
                <w:rStyle w:val="FootnoteReference"/>
                <w:rFonts w:ascii="Times New Roman" w:hAnsi="Times New Roman"/>
                <w:i/>
                <w:noProof/>
                <w:color w:val="000000"/>
              </w:rPr>
              <w:footnoteReference w:id="15"/>
            </w:r>
            <w:r>
              <w:rPr>
                <w:rFonts w:ascii="Times New Roman" w:hAnsi="Times New Roman"/>
                <w:i/>
                <w:noProof/>
                <w:color w:val="000000"/>
              </w:rPr>
              <w:t xml:space="preserve"> (PEPP), οδηγία για τους οργανισμούς συλλογικών επενδύσεων σε κινητές αξίες</w:t>
            </w:r>
            <w:r>
              <w:rPr>
                <w:rStyle w:val="FootnoteReference"/>
                <w:rFonts w:ascii="Times New Roman" w:hAnsi="Times New Roman"/>
                <w:i/>
                <w:noProof/>
                <w:color w:val="000000"/>
              </w:rPr>
              <w:footnoteReference w:id="16"/>
            </w:r>
            <w:r>
              <w:rPr>
                <w:rFonts w:ascii="Times New Roman" w:hAnsi="Times New Roman"/>
                <w:i/>
                <w:noProof/>
                <w:color w:val="000000"/>
              </w:rPr>
              <w:t xml:space="preserve"> (ΟΣΕΚΑ), κανονισμός για τα επενδυτικά προϊόντα βασιζόμενα σε ασφάλιση</w:t>
            </w:r>
            <w:r>
              <w:rPr>
                <w:rStyle w:val="FootnoteReference"/>
                <w:rFonts w:ascii="Times New Roman" w:hAnsi="Times New Roman"/>
                <w:i/>
                <w:noProof/>
                <w:color w:val="000000"/>
              </w:rPr>
              <w:footnoteReference w:id="17"/>
            </w:r>
            <w:r>
              <w:rPr>
                <w:rFonts w:ascii="Times New Roman" w:hAnsi="Times New Roman"/>
                <w:i/>
                <w:noProof/>
                <w:color w:val="000000"/>
              </w:rPr>
              <w:t xml:space="preserve"> (PRIIPS). Αυτό θα το πράξει με σκοπό να προτείνει, εφόσον υποστηρίζεται από θετική εκτίμηση επιπτώσεων, οριζόντια γενική νομοθεσία, η οποία θα επιβάλλει στα κράτη μέλη την υποχρέωση να προωθούν μέτρα τυπικής, μη τυπικής και/ή άτυπης μάθησης που υποστηρίζουν τη χρηματοοικονομική εκπαίδευση των καταναλωτών, ιδίως σε σχέση με τις υπεύθυνες επενδύσεις.</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highlight w:val="yellow"/>
              </w:rPr>
            </w:pPr>
            <w:r>
              <w:rPr>
                <w:rFonts w:ascii="Times New Roman" w:hAnsi="Times New Roman"/>
                <w:b/>
                <w:noProof/>
              </w:rPr>
              <w:t>Q1 2022</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 xml:space="preserve">Με το μέτρο αυτό επιδιώκεται να αξιοποιηθεί το νομικό προηγούμενο που ορίζεται στην οδηγία για την ενυπόθηκη πίστη με την επιβολή της υποχρέωσης στα κράτη μέλη να προωθήσουν μέτρα μάθησης τα οποία στηρίζουν τη χρηματοοικονομική εκπαίδευση των καταναλωτών όσον αφορά τις υπεύθυνες επενδύσεις σε άλλες τομεακές νομοθετικές πράξεις (οδηγία MiFID II, οδηγία IDD, κανονισμός PEPP, οδηγία ΟΣΕΚΑ, κανονισμός PRIIPS), </w:t>
            </w:r>
            <w:r>
              <w:rPr>
                <w:rFonts w:ascii="Times New Roman" w:hAnsi="Times New Roman"/>
                <w:noProof/>
                <w:color w:val="000000"/>
              </w:rPr>
              <w:t>όταν αυτό υποστηρίζεται από θετική εκτίμηση επιπτώσεων και τηρουμένης πλήρως της αρχής της επικουρικότητας.</w:t>
            </w:r>
          </w:p>
          <w:p>
            <w:pPr>
              <w:jc w:val="both"/>
              <w:rPr>
                <w:rFonts w:ascii="Times New Roman" w:hAnsi="Times New Roman" w:cs="Times New Roman"/>
                <w:noProof/>
              </w:rPr>
            </w:pPr>
            <w:r>
              <w:rPr>
                <w:rFonts w:ascii="Times New Roman" w:hAnsi="Times New Roman"/>
                <w:noProof/>
              </w:rPr>
              <w:t xml:space="preserve"> </w:t>
            </w: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Δράση 8: Οικοδόμηση της εμπιστοσύνης των μικροεπενδυτών στις κεφαλαιαγορές</w:t>
            </w:r>
          </w:p>
          <w:p>
            <w:pPr>
              <w:jc w:val="both"/>
              <w:rPr>
                <w:rFonts w:ascii="Times New Roman" w:hAnsi="Times New Roman" w:cs="Times New Roman"/>
                <w:b/>
                <w:i/>
                <w:noProof/>
                <w:u w:val="single"/>
              </w:rPr>
            </w:pPr>
            <w:r>
              <w:rPr>
                <w:rFonts w:ascii="Times New Roman" w:hAnsi="Times New Roman"/>
                <w:b/>
                <w:i/>
                <w:noProof/>
                <w:u w:val="single"/>
              </w:rPr>
              <w:t xml:space="preserve"> </w:t>
            </w: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Η Επιτροπή θα αξιολογήσει τους εφαρμοστέους κανόνες στον τομέα των αντιπαροχών και της γνωστοποίησης και, όπου απαιτείται, θα προτείνει την τροποποίηση του υφιστάμενου νομικού πλαισίου προκειμένου να διασφαλιστεί ότι οι μικροεπενδυτές λαμβάνουν δίκαιες και επαρκείς συμβουλές, καθώς και σαφείς και συγκρίσιμες πληροφορίες για τα προϊόντα.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Q1 2022</w:t>
            </w:r>
          </w:p>
        </w:tc>
      </w:tr>
      <w:tr>
        <w:tc>
          <w:tcPr>
            <w:tcW w:w="9089" w:type="dxa"/>
            <w:gridSpan w:val="2"/>
            <w:vAlign w:val="center"/>
          </w:tcPr>
          <w:p>
            <w:pPr>
              <w:jc w:val="both"/>
              <w:rPr>
                <w:rFonts w:ascii="Times New Roman" w:hAnsi="Times New Roman" w:cs="Times New Roman"/>
                <w:noProof/>
                <w:highlight w:val="yellow"/>
              </w:rPr>
            </w:pPr>
          </w:p>
          <w:p>
            <w:pPr>
              <w:jc w:val="both"/>
              <w:rPr>
                <w:rFonts w:ascii="Times New Roman" w:hAnsi="Times New Roman" w:cs="Times New Roman"/>
                <w:noProof/>
              </w:rPr>
            </w:pPr>
            <w:r>
              <w:rPr>
                <w:rFonts w:ascii="Times New Roman" w:hAnsi="Times New Roman"/>
                <w:noProof/>
              </w:rPr>
              <w:t xml:space="preserve">Στον τομέα της διανομής, κατά την αξιολόγηση θα εξεταστούν, μεταξύ άλλων, πιθανά μέτρα προκειμένου να διασφαλιστεί: i) η εναρμόνιση των προτύπων προστασίας των επενδυτών όσον αφορά τη διανομή ασφαλιστικών προϊόντων με τα αντίστοιχα πρότυπα που εφαρμόζονται δυνάμει της οδηγίας MiFID II· ii) ότι ζητείται από τους διανομείς να ενημερώνουν τους πελάτες σχετικά με την ύπαρξη προϊόντων τρίτων· iii) η βελτίωση της διαφάνειας των αντιπαροχών για τους πελάτες· και iv) η θέσπιση ειδικών απαιτήσεων υποβολής στοιχείων για τους διανομείς προϊόντων λιανικής, ώστε να είναι δυνατή η άσκηση εποπτικού ελέγχου. Στον τομέα της γνωστοποίησης, θα δοθεί ιδιαίτερη προσοχή στη βελτίωση της ενεργού συμμετοχής των καταναλωτών, της ψηφιακής παράδοσης και της αλληλεπίδρασης με βασικές πληροφορίες που παρέχουν τη δυνατότητα συγκρίσεων, αλληλεπίδρασης και εξατομίκευσης. Η δράση αυτή θα πρέπει να περιλαμβάνει βελτιώσεις στη γνωστοποίηση πληροφοριών σχετικά με τη βιωσιμότητα, οι οποίες θα επιταχύνουν την υιοθέτηση βιώσιμων προϊόντων από τους μικροεπενδυτές. Η Επιτροπή θα ολοκληρώσει την αξιολόγηση έως το πρώτο τρίμηνο του 2022. </w:t>
            </w:r>
          </w:p>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Στη συνέχεια, η Επιτροπή θα υποβάλει τις αναγκαίες νομοθετικές τροποποιήσεις για την αντιμετώπιση τυχόν συγκρούσεων συμφερόντων που προκύπτουν από την καταβολή αντιπαροχών στους διανομείς, καθώς και των αδυναμιών του ισχύοντος πλαισίου γνωστοποίησης, με στόχο ειδικότερα την καλύτερη ευθυγράμμιση των διατάξεων της οδηγίας IDD, της οδηγίας MiFID II και του κανονισμού PRIIPS. Εφόσον υποστηρίζονται από θετική εκτίμηση επιπτώσεων, οι τροποποιήσεις αυτές θα συμπεριληφθούν στην οδηγία IDD, στην οδηγία MiFID II και στον κανονισμό PRIIPS.</w:t>
            </w:r>
          </w:p>
          <w:p>
            <w:pPr>
              <w:jc w:val="both"/>
              <w:rPr>
                <w:rFonts w:ascii="Times New Roman" w:hAnsi="Times New Roman" w:cs="Times New Roman"/>
                <w:i/>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noProof/>
              </w:rPr>
            </w:pPr>
            <w:r>
              <w:rPr>
                <w:rFonts w:ascii="Times New Roman" w:hAnsi="Times New Roman"/>
                <w:i/>
                <w:noProof/>
              </w:rPr>
              <w:t>Μεταξύ τετάρτου τριμήνου του 2021 και πρώτου τριμήνου του 2022 η Επιτροπή θα υποβάλει νομοθετική πρόταση για την τροποποίηση της οδηγίας MiFID II, με σκοπό τη μείωση της διοικητικής επιβάρυνσης και των απαιτήσεων παροχής πληροφοριών για ένα υποσύνολο μικροεπενδυτών. Αυτό συνεπάγεται την επανεξέταση της υφιστάμενης κατηγοριοποίησης των μικροεπενδυτών έναντι των επαγγελματιών επενδυτών ή τη θέσπιση νέας κατηγορίας ειδικών επενδυτών.</w:t>
            </w:r>
          </w:p>
          <w:p>
            <w:pPr>
              <w:ind w:left="360"/>
              <w:jc w:val="bot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Q4 2021 / Q1 2022</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bCs/>
                <w:noProof/>
              </w:rPr>
            </w:pPr>
            <w:r>
              <w:rPr>
                <w:rFonts w:ascii="Times New Roman" w:hAnsi="Times New Roman"/>
                <w:noProof/>
              </w:rPr>
              <w:t>Με το μέτρο αυτό επιδιώκεται η βελτίωση της κατηγοριοποίησης των επενδυτών στο πλαίσιο της οδηγίας MiFID II, με σκοπό τη μείωση της διοικητικής επιβάρυνσης για τις επιχειρήσεις, καθώς και την ελάφρυνση των περιττών διασφαλίσεων και απαιτήσεων παροχής πληροφοριών για ένα υποσύνολο επενδυτών που χαρακτηρίζονται επί του παρόντος ως μικροεπενδυτές, μολονότι διαθέτουν άρτιες γνώσεις για τις χρηματοπιστωτικές αγορές και τα χρηματοπιστωτικά προϊόντα. Το συγκεκριμένο μέτρο υπόκειται σε εκτίμηση επιπτώσεων.</w:t>
            </w:r>
          </w:p>
          <w:p>
            <w:pPr>
              <w:jc w:val="both"/>
              <w:rPr>
                <w:rFonts w:ascii="Times New Roman" w:hAnsi="Times New Roman" w:cs="Times New Roman"/>
                <w:bCs/>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Με την επιφύλαξη θετικής εκτίμησης επιπτώσεων που θα διενεργηθεί στο πλαίσιο της επανεξέτασης της οδηγίας IDD έως το πρώτο τρίμηνο του 2023 και της οδηγίας MiFID II έως το τέταρτο τρίμηνο του 2021, η Επιτροπή θα θεσπίσει απαίτηση σύμφωνα με την οποία οι σύμβουλοι θα υποχρεούνται να αποκτήσουν πιστοποιητικό που να αποδεικνύει, αφενός, ότι το επίπεδο των γνώσεων και των προσόντων τους είναι επαρκές για την πρόσβαση στο επάγγελμα και, αφετέρου, ότι συμμετέχουν σε επαρκές επίπεδο συνεχούς εκπαίδευσης. Στόχος είναι να διασφαλιστεί ότι οι σύμβουλοι διατηρούν ικανοποιητικό επίπεδο επιδόσεων.</w:t>
            </w:r>
          </w:p>
          <w:p>
            <w:pPr>
              <w:jc w:val="both"/>
              <w:rPr>
                <w:rFonts w:ascii="Times New Roman" w:eastAsia="Times New Roman" w:hAnsi="Times New Roman" w:cs="Times New Roman"/>
                <w:bCs/>
                <w:i/>
                <w:noProof/>
              </w:rPr>
            </w:pPr>
          </w:p>
          <w:p>
            <w:pPr>
              <w:ind w:left="720"/>
              <w:jc w:val="both"/>
              <w:rPr>
                <w:rFonts w:ascii="Times New Roman" w:hAnsi="Times New Roman" w:cs="Times New Roman"/>
                <w:b/>
                <w:i/>
                <w:noProof/>
              </w:rPr>
            </w:pPr>
            <w:r>
              <w:rPr>
                <w:rFonts w:ascii="Times New Roman" w:hAnsi="Times New Roman"/>
                <w:i/>
                <w:noProof/>
              </w:rPr>
              <w:t>Επιπλέον, έως το πρώτο τρίμηνο του 2022 η Επιτροπή θα αξιολογήσει τη σκοπιμότητα της δημιουργίας σήματος της ΕΕ για τους χρηματοοικονομικούς συμβούλους, το οποίο να μπορεί να χρησιμοποιείται για τη συμμόρφωση με την απαίτηση απόκτησης πιστοποιητικού.</w:t>
            </w:r>
          </w:p>
          <w:p>
            <w:pPr>
              <w:jc w:val="both"/>
              <w:rPr>
                <w:rFonts w:ascii="Times New Roman" w:hAnsi="Times New Roman" w:cs="Times New Roman"/>
                <w:b/>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Q1 2023</w:t>
            </w:r>
          </w:p>
          <w:p>
            <w:pPr>
              <w:jc w:val="both"/>
              <w:rPr>
                <w:rFonts w:ascii="Times New Roman" w:hAnsi="Times New Roman" w:cs="Times New Roman"/>
                <w:b/>
                <w:noProof/>
              </w:rPr>
            </w:pPr>
            <w:r>
              <w:rPr>
                <w:rFonts w:ascii="Times New Roman" w:hAnsi="Times New Roman"/>
                <w:b/>
                <w:noProof/>
              </w:rPr>
              <w:t>Q4 2021</w:t>
            </w:r>
          </w:p>
          <w:p>
            <w:pPr>
              <w:jc w:val="both"/>
              <w:rPr>
                <w:rFonts w:ascii="Times New Roman" w:hAnsi="Times New Roman" w:cs="Times New Roman"/>
                <w:b/>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Q1 2022</w:t>
            </w:r>
          </w:p>
        </w:tc>
      </w:tr>
      <w:tr>
        <w:tc>
          <w:tcPr>
            <w:tcW w:w="9089" w:type="dxa"/>
            <w:gridSpan w:val="2"/>
            <w:vAlign w:val="center"/>
          </w:tcPr>
          <w:p>
            <w:pPr>
              <w:jc w:val="both"/>
              <w:rPr>
                <w:rFonts w:ascii="Times New Roman" w:eastAsia="Times New Roman" w:hAnsi="Times New Roman" w:cs="Times New Roman"/>
                <w:bCs/>
                <w:noProof/>
              </w:rPr>
            </w:pPr>
          </w:p>
          <w:p>
            <w:pPr>
              <w:jc w:val="both"/>
              <w:rPr>
                <w:rFonts w:ascii="Times New Roman" w:hAnsi="Times New Roman" w:cs="Times New Roman"/>
                <w:b/>
                <w:noProof/>
                <w:u w:val="single"/>
              </w:rPr>
            </w:pPr>
            <w:r>
              <w:rPr>
                <w:rFonts w:ascii="Times New Roman" w:hAnsi="Times New Roman"/>
                <w:noProof/>
              </w:rPr>
              <w:t>Με τα μέτρα αυτά θα διασφαλιστούν ισότιμοι όροι ανταγωνισμού μεταξύ των συμβούλων και θα βελτιωθεί περαιτέρω η ποιότητα των χρηματοοικονομικών συμβουλών στην ΕΕ, μεταξύ άλλων σε σχέση με τη βιωσιμότητα.</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Δράση 9: Στήριξη των ιδιωτών κατά τη συνταξιοδότησή τους</w:t>
            </w:r>
          </w:p>
          <w:p>
            <w:pPr>
              <w:jc w:val="both"/>
              <w:rPr>
                <w:rFonts w:ascii="Times New Roman" w:hAnsi="Times New Roman" w:cs="Times New Roman"/>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 xml:space="preserve">Για να ενισχυθεί η παρακολούθηση της κατάστασης όσον αφορά την επάρκεια των συντάξεων στα κράτη μέλη, η Επιτροπή θα επιδιώξει να προσδιορίσει τα σχετικά δεδομένα και τη μεθοδολογία για την κατάρτιση πινάκων συντάξεων με τη χρήση δεικτών. </w:t>
            </w:r>
          </w:p>
          <w:p>
            <w:pPr>
              <w:pStyle w:val="ListParagraph"/>
              <w:jc w:val="both"/>
              <w:rPr>
                <w:rFonts w:ascii="Times New Roman" w:hAnsi="Times New Roman" w:cs="Times New Roman"/>
                <w:i/>
                <w:noProof/>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 xml:space="preserve">Προκειμένου να διευκολυνθεί η πρόσβαση σε εξατομικευμένες συνταξιοδοτικές πληροφορίες και να αυξηθεί η ευαισθητοποίηση των πολιτών όσον αφορά το μελλοντικό συνταξιοδοτικό τους εισόδημα, η Επιτροπή θα επιδιώξει να αναπτύξει βέλτιστες πρακτικές για τη δημιουργία εθνικών συστημάτων παρακολούθησης.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Q4 2021</w:t>
            </w:r>
          </w:p>
          <w:p>
            <w:pPr>
              <w:jc w:val="both"/>
              <w:rPr>
                <w:rFonts w:ascii="Times New Roman" w:hAnsi="Times New Roman" w:cs="Times New Roman"/>
                <w:noProof/>
              </w:rPr>
            </w:pP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Q4 2021</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Έως το τέταρτο τρίμηνο του 2020 η Επιτροπή θα αποστείλει πρόσκληση παροχής συμβουλών στην Ευρωπαϊκή Αρχή Ασφαλίσεων και Επαγγελματικών Συντάξεων (EIOPA) προκειμένου i) να προσδιορίσει τα δεδομένα που θα πρέπει να υποβάλουν οι πάροχοι επαγγελματικών συντάξεων ώστε να είναι δυνατή η κατάρτιση πινάκων συντάξεων με τη χρήση δεικτών και ii) να ζητήσει τη συμβολή της για την ανάπτυξη βέλτιστων πρακτικών όσον αφορά τη δημιουργία εθνικών συστημάτων παρακολούθησης. Ως προθεσμία για την παραλαβή των τεχνικών συμβουλών της EIOPA ορίζεται το τέταρτο τρίμηνο του 2021.</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Η Επιτροπή θα δρομολογήσει την εκπόνηση μελέτης για την ανάλυση πρακτικών αυτόματης ένταξης και μπορεί να προβεί σε ανάλυση άλλων πρακτικών προώθησης της συμμετοχής σε επαγγελματικά συνταξιοδοτικά συστήματα, με σκοπό την ανάπτυξη βέλτιστων πρακτικών για τα εν λόγω συστήματα σε όλα τα κράτη μέλη.</w:t>
            </w:r>
          </w:p>
          <w:p>
            <w:pPr>
              <w:ind w:left="360"/>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Q3 2020</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Κατά το τρίτο τρίμηνο του 2020 η Επιτροπή θα δρομολογήσει την εξωτερική ανάθεση μελέτης για την ανάλυση των υφιστάμενων πρακτικών αυτόματης ένταξης σε επαγγελματικά συνταξιοδοτικά συστήματα, με σκοπό την ανάπτυξη βέλτιστων πρακτικών της ΕΕ. Η αυτόματη ένταξη είναι ένας μηχανισμός μέσω του οποίου οι αποταμιευτές εντάσσονται αυτομάτως σε προγράμματα συνταξιοδοτικής αποταμίευσης, εκτός εάν επιλέξουν να εξαιρεθούν.</w:t>
            </w:r>
          </w:p>
          <w:p>
            <w:pPr>
              <w:jc w:val="both"/>
              <w:rPr>
                <w:rFonts w:ascii="Times New Roman" w:hAnsi="Times New Roman" w:cs="Times New Roman"/>
                <w:noProof/>
              </w:rPr>
            </w:pPr>
          </w:p>
        </w:tc>
      </w:tr>
    </w:tbl>
    <w:p>
      <w:pPr>
        <w:jc w:val="both"/>
        <w:rPr>
          <w:noProof/>
        </w:rPr>
      </w:pPr>
    </w:p>
    <w:p>
      <w:pPr>
        <w:pStyle w:val="ListParagraph"/>
        <w:numPr>
          <w:ilvl w:val="0"/>
          <w:numId w:val="1"/>
        </w:numPr>
        <w:jc w:val="both"/>
        <w:rPr>
          <w:noProof/>
        </w:rPr>
      </w:pPr>
      <w:r>
        <w:rPr>
          <w:rFonts w:ascii="Times New Roman Bold" w:hAnsi="Times New Roman Bold"/>
          <w:b/>
          <w:smallCaps/>
          <w:noProof/>
          <w:sz w:val="24"/>
          <w:u w:val="single"/>
        </w:rPr>
        <w:t>Ενοποίηση των εθνικών κεφαλαιαγορών σε μια πραγματικά ενιαία αγορά</w:t>
      </w:r>
    </w:p>
    <w:tbl>
      <w:tblPr>
        <w:tblStyle w:val="TableGrid"/>
        <w:tblW w:w="0" w:type="auto"/>
        <w:tblLook w:val="04A0" w:firstRow="1" w:lastRow="0" w:firstColumn="1" w:lastColumn="0" w:noHBand="0" w:noVBand="1"/>
      </w:tblPr>
      <w:tblGrid>
        <w:gridCol w:w="8046"/>
        <w:gridCol w:w="1196"/>
      </w:tblGrid>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Δράση 10: Ελάφρυνση της φορολογικής επιβάρυνσης των διασυνοριακών επενδύσεων</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 xml:space="preserve">Για τους σκοπούς τόσο της μείωσης του φορολογικού κόστους για τους διασυνοριακούς επενδυτές όσο και της πρόληψης της φορολογικής απάτης, έως το τέταρτο τρίμηνο του 2022 η Επιτροπή θα παρουσιάσει νομοθετική πρωτοβουλία, με την επιφύλαξη θετικής εκτίμησης επιπτώσεων και σε στενή διαβούλευση με τα κράτη μέλη, ενώ θα διερευνήσει παράλληλα πρόσθετες δυνατότητες για τη θέσπιση κοινού, τυποποιημένου συστήματος σε επίπεδο ΕΕ για την ελάφρυνση της παρακράτησης φόρου στην πηγή.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Q4 2022</w:t>
            </w:r>
          </w:p>
        </w:tc>
      </w:tr>
      <w:tr>
        <w:trPr>
          <w:trHeight w:val="1160"/>
        </w:trPr>
        <w:tc>
          <w:tcPr>
            <w:tcW w:w="9242" w:type="dxa"/>
            <w:gridSpan w:val="2"/>
            <w:vAlign w:val="center"/>
          </w:tcPr>
          <w:p>
            <w:pPr>
              <w:jc w:val="both"/>
              <w:rPr>
                <w:rFonts w:ascii="Times New Roman" w:hAnsi="Times New Roman" w:cs="Times New Roman"/>
                <w:b/>
                <w:i/>
                <w:noProof/>
                <w:u w:val="single"/>
              </w:rPr>
            </w:pPr>
            <w:r>
              <w:rPr>
                <w:rFonts w:ascii="Times New Roman" w:hAnsi="Times New Roman"/>
                <w:noProof/>
              </w:rPr>
              <w:t>Στο πλαίσιο των εργασιών αυτών θα ληφθούν υπόψη το έργο του ΟΟΣΑ με τίτλο «Ελαφρύνσεις βάσει Συνθηκών και Βελτίωση της Συμμόρφωσης»</w:t>
            </w:r>
            <w:r>
              <w:rPr>
                <w:rStyle w:val="FootnoteReference"/>
                <w:rFonts w:ascii="Times New Roman" w:hAnsi="Times New Roman"/>
                <w:noProof/>
              </w:rPr>
              <w:footnoteReference w:id="18"/>
            </w:r>
            <w:r>
              <w:rPr>
                <w:rFonts w:ascii="Times New Roman" w:hAnsi="Times New Roman"/>
                <w:noProof/>
              </w:rPr>
              <w:t xml:space="preserve"> (TRACE) και άλλες πρωτοβουλίες της ΕΕ, όπως ο κώδικας δεοντολογίας για την παρακράτηση φόρου.</w:t>
            </w:r>
            <w:r>
              <w:rPr>
                <w:rStyle w:val="FootnoteReference"/>
                <w:rFonts w:ascii="Times New Roman" w:hAnsi="Times New Roman"/>
                <w:noProof/>
              </w:rPr>
              <w:t xml:space="preserve"> </w:t>
            </w:r>
            <w:r>
              <w:rPr>
                <w:rStyle w:val="FootnoteReference"/>
                <w:rFonts w:ascii="Times New Roman" w:hAnsi="Times New Roman"/>
                <w:noProof/>
              </w:rPr>
              <w:footnoteReference w:id="19"/>
            </w:r>
          </w:p>
          <w:p>
            <w:pPr>
              <w:jc w:val="both"/>
              <w:rPr>
                <w:rFonts w:ascii="Times New Roman" w:hAnsi="Times New Roman" w:cs="Times New Roman"/>
                <w:b/>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Δράση 11: Ενίσχυση της προβλεψιμότητας των αποτελεσμάτων των διασυνοριακών επενδύσεων όσον αφορά τις διαδικασίες αφερεγγυότητας</w:t>
            </w:r>
          </w:p>
          <w:p>
            <w:pPr>
              <w:jc w:val="both"/>
              <w:rPr>
                <w:rFonts w:ascii="Times New Roman" w:hAnsi="Times New Roman" w:cs="Times New Roman"/>
                <w:b/>
                <w:i/>
                <w:noProof/>
              </w:rPr>
            </w:pPr>
          </w:p>
          <w:p>
            <w:pPr>
              <w:pStyle w:val="ListParagraph"/>
              <w:numPr>
                <w:ilvl w:val="0"/>
                <w:numId w:val="6"/>
              </w:numPr>
              <w:spacing w:after="0" w:line="240" w:lineRule="auto"/>
              <w:jc w:val="both"/>
              <w:rPr>
                <w:rFonts w:ascii="Times New Roman" w:hAnsi="Times New Roman" w:cs="Times New Roman"/>
                <w:b/>
                <w:i/>
                <w:noProof/>
                <w:u w:val="single"/>
              </w:rPr>
            </w:pPr>
            <w:r>
              <w:rPr>
                <w:rFonts w:ascii="Times New Roman" w:hAnsi="Times New Roman"/>
                <w:i/>
                <w:noProof/>
              </w:rPr>
              <w:t xml:space="preserve">Για τους σκοπούς της ενίσχυσης της προβλεψιμότητας των αποτελεσμάτων των διαδικασιών αφερεγγυότητας, η Επιτροπή, έως τα μέσα του 2022, θα αναλάβει νομοθετική ή μη νομοθετική πρωτοβουλία για την ελάχιστη εναρμόνιση ή την αύξηση της σύγκλισης σε στοχευμένους τομείς της βασικής νομοθεσίας για την αφερεγγυότητα μη τραπεζικών ιδρυμάτων. </w:t>
            </w:r>
          </w:p>
          <w:p>
            <w:pPr>
              <w:pStyle w:val="ListParagrap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Q2 2022</w:t>
            </w:r>
          </w:p>
          <w:p>
            <w:pPr>
              <w:jc w:val="both"/>
              <w:rPr>
                <w:rFonts w:ascii="Times New Roman" w:hAnsi="Times New Roman" w:cs="Times New Roman"/>
                <w:b/>
                <w:noProof/>
              </w:rPr>
            </w:pPr>
          </w:p>
        </w:tc>
      </w:tr>
      <w:tr>
        <w:trPr>
          <w:trHeight w:val="60"/>
        </w:trPr>
        <w:tc>
          <w:tcPr>
            <w:tcW w:w="9242" w:type="dxa"/>
            <w:gridSpan w:val="2"/>
            <w:vAlign w:val="center"/>
          </w:tcPr>
          <w:p>
            <w:pPr>
              <w:jc w:val="both"/>
              <w:rPr>
                <w:rFonts w:ascii="Times New Roman" w:eastAsia="Times New Roman" w:hAnsi="Times New Roman" w:cs="Times New Roman"/>
                <w:noProof/>
              </w:rPr>
            </w:pPr>
          </w:p>
          <w:p>
            <w:pPr>
              <w:jc w:val="both"/>
              <w:rPr>
                <w:rFonts w:ascii="Times New Roman" w:eastAsia="Times New Roman" w:hAnsi="Times New Roman" w:cs="Times New Roman"/>
                <w:iCs/>
                <w:noProof/>
              </w:rPr>
            </w:pPr>
            <w:r>
              <w:rPr>
                <w:rFonts w:ascii="Times New Roman" w:hAnsi="Times New Roman"/>
                <w:noProof/>
              </w:rPr>
              <w:t>Η πρωτοβουλία για την έκδοση νομοθετικής ή μη νομοθετικής πράξης θα μπορούσε να περιλαμβάνει ορισμό των σημείων ενεργοποίησης των διαδικασιών αφερεγγυότητας, την κατάταξη των απαιτήσεων (στάθμιση των συμφερόντων διαφόρων κατηγοριών πιστωτών, συμπεριλαμβανομένων των εξασφαλισμένων/μη εξασφαλισμένων πιστωτών σε περίπτωση αφερεγγυότητας) και περαιτέρω βασικά στοιχεία, όπως οι ανακλητικές αγωγές ή η ανίχνευση περιουσιακών στοιχείων. Θα ληφθούν υπόψη τα αποτελέσματα δημόσιας διαβούλευσης, καθώς και συμβουλές από ομάδα εμπειρογνωμόνων και συζητήσεις με τα κράτη μέλη. Θα υποστηρίζεται επίσης από εκτίμηση επιπτώσεων.</w:t>
            </w:r>
          </w:p>
        </w:tc>
      </w:tr>
      <w:tr>
        <w:trPr>
          <w:trHeight w:val="1160"/>
        </w:trPr>
        <w:tc>
          <w:tcPr>
            <w:tcW w:w="8046" w:type="dxa"/>
            <w:vAlign w:val="center"/>
          </w:tcPr>
          <w:p>
            <w:pPr>
              <w:pStyle w:val="ListParagraph"/>
              <w:jc w:val="both"/>
              <w:rPr>
                <w:rFonts w:ascii="Times New Roman" w:hAnsi="Times New Roman" w:cs="Times New Roman"/>
                <w:i/>
                <w:noProof/>
                <w:u w:val="single"/>
              </w:rPr>
            </w:pPr>
          </w:p>
          <w:p>
            <w:pPr>
              <w:pStyle w:val="ListParagraph"/>
              <w:numPr>
                <w:ilvl w:val="0"/>
                <w:numId w:val="6"/>
              </w:numPr>
              <w:spacing w:after="0" w:line="240" w:lineRule="auto"/>
              <w:jc w:val="both"/>
              <w:rPr>
                <w:rFonts w:ascii="Times New Roman" w:hAnsi="Times New Roman" w:cs="Times New Roman"/>
                <w:i/>
                <w:noProof/>
                <w:u w:val="single"/>
              </w:rPr>
            </w:pPr>
            <w:r>
              <w:rPr>
                <w:rFonts w:ascii="Times New Roman" w:hAnsi="Times New Roman"/>
                <w:i/>
                <w:noProof/>
              </w:rPr>
              <w:t>Για τους σκοπούς της τακτικής αξιολόγησης της αποτελεσματικότητας των εθνικών συστημάτων αφερεγγυότητας όσον αφορά την εξόφληση δανείων, έως το πρώτο τρίμηνο του 2021 η Επιτροπή και η EBA θα αναλύσουν τη δυνατότητα νομοθετικών τροποποιήσεων των πλαισίων υποβολής εκθέσεων. Η ανάλυση αυτή ενδέχεται να οδηγήσει σε νομοθετικές τροποποιήσεις κατά το τέταρτο τρίμηνο του 2022.</w:t>
            </w:r>
          </w:p>
          <w:p>
            <w:pPr>
              <w:pStyle w:val="ListParagraph"/>
              <w:spacing w:after="0" w:line="240" w:lineRule="auto"/>
              <w:jc w:val="both"/>
              <w:rPr>
                <w:rFonts w:ascii="Times New Roman" w:eastAsia="Times New Roman" w:hAnsi="Times New Roman" w:cs="Times New Roman"/>
                <w:iCs/>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Q1 2021</w:t>
            </w:r>
          </w:p>
          <w:p>
            <w:pPr>
              <w:jc w:val="both"/>
              <w:rPr>
                <w:rFonts w:ascii="Times New Roman" w:hAnsi="Times New Roman" w:cs="Times New Roman"/>
                <w:b/>
                <w:noProof/>
              </w:rPr>
            </w:pPr>
          </w:p>
          <w:p>
            <w:pPr>
              <w:jc w:val="both"/>
              <w:rPr>
                <w:rFonts w:ascii="Times New Roman" w:eastAsia="Times New Roman" w:hAnsi="Times New Roman" w:cs="Times New Roman"/>
                <w:iCs/>
                <w:noProof/>
              </w:rPr>
            </w:pPr>
            <w:r>
              <w:rPr>
                <w:rFonts w:ascii="Times New Roman" w:hAnsi="Times New Roman"/>
                <w:b/>
                <w:noProof/>
              </w:rPr>
              <w:t>Q4 2022</w:t>
            </w:r>
          </w:p>
        </w:tc>
      </w:tr>
      <w:tr>
        <w:trPr>
          <w:trHeight w:val="1160"/>
        </w:trPr>
        <w:tc>
          <w:tcPr>
            <w:tcW w:w="9242" w:type="dxa"/>
            <w:gridSpan w:val="2"/>
            <w:vAlign w:val="center"/>
          </w:tcPr>
          <w:p>
            <w:pPr>
              <w:jc w:val="both"/>
              <w:rPr>
                <w:rFonts w:ascii="Times New Roman" w:eastAsia="Times New Roman" w:hAnsi="Times New Roman" w:cs="Times New Roman"/>
                <w:noProof/>
              </w:rPr>
            </w:pPr>
          </w:p>
          <w:p>
            <w:pPr>
              <w:jc w:val="both"/>
              <w:rPr>
                <w:rFonts w:ascii="Times New Roman" w:eastAsia="Times New Roman" w:hAnsi="Times New Roman" w:cs="Times New Roman"/>
                <w:iCs/>
                <w:noProof/>
              </w:rPr>
            </w:pPr>
            <w:r>
              <w:rPr>
                <w:rFonts w:ascii="Times New Roman" w:hAnsi="Times New Roman"/>
                <w:noProof/>
              </w:rPr>
              <w:t>Με βάση την πείρα που έχει αποκτηθεί από τη συγκριτική αξιολόγηση των εθνικών πλαισίων αναγκαστικής εκτέλεσης όσον αφορά την είσπραξη δανείων</w:t>
            </w:r>
            <w:r>
              <w:rPr>
                <w:rStyle w:val="FootnoteReference"/>
                <w:rFonts w:ascii="Times New Roman" w:hAnsi="Times New Roman"/>
                <w:noProof/>
              </w:rPr>
              <w:footnoteReference w:id="20"/>
            </w:r>
            <w:r>
              <w:rPr>
                <w:rFonts w:ascii="Times New Roman" w:hAnsi="Times New Roman"/>
                <w:noProof/>
              </w:rPr>
              <w:t xml:space="preserve"> (συμπεριλαμβανομένης της αφερεγγυότητας), η οποία πραγματοποιήθηκε στο πλαίσιο του πρώτου σχεδίου δράσης για την Ένωση Κεφαλαιαγορών, η Επιτροπή και η EBA θα αναλύσουν τη δυνατότητα νομοθετικών τροποποιήσεων των πλαισίων υποβολής εκθέσεων. Με αυτόν τον τρόπο αναμένεται να διασφαλιστεί ότι η ΕΑΤ θα είναι σε θέση να ενημερώνει τακτικά την Επιτροπή για την αποτελεσματικότητα της αναγκαστικής εκτέλεσης όσον αφορά την είσπραξη δανείων στα κράτη μέλη, χωρίς δυσανάλογη αύξηση της επιβάρυνσης όσον αφορά την υποβολή εκθέσεων. Κατά το τέταρτο τρίμηνο του 2022 αναμένεται να προταθούν, κατά περίπτωση, πιθανές νομοθετικές τροποποιήσεις.</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bCs/>
                <w:noProof/>
                <w:u w:val="single"/>
              </w:rPr>
            </w:pPr>
            <w:r>
              <w:rPr>
                <w:rFonts w:ascii="Times New Roman" w:hAnsi="Times New Roman"/>
                <w:b/>
                <w:noProof/>
                <w:u w:val="single"/>
              </w:rPr>
              <w:t>Δράση 12: Διευκόλυνση της ενεργού συμμετοχής των μετόχων</w:t>
            </w:r>
          </w:p>
          <w:p>
            <w:pPr>
              <w:jc w:val="both"/>
              <w:rPr>
                <w:rFonts w:ascii="Times New Roman" w:hAnsi="Times New Roman" w:cs="Times New Roman"/>
                <w:bCs/>
                <w:i/>
                <w:noProof/>
              </w:rPr>
            </w:pPr>
          </w:p>
          <w:p>
            <w:pPr>
              <w:jc w:val="both"/>
              <w:rPr>
                <w:rFonts w:ascii="Times New Roman" w:hAnsi="Times New Roman" w:cs="Times New Roman"/>
                <w:bCs/>
                <w:i/>
                <w:noProof/>
              </w:rPr>
            </w:pPr>
            <w:r>
              <w:rPr>
                <w:rFonts w:ascii="Times New Roman" w:hAnsi="Times New Roman"/>
                <w:i/>
                <w:noProof/>
              </w:rPr>
              <w:t>Για τη διευκόλυνση της ενεργού συμμετοχής των επενδυτών, ιδίως σε διασυνοριακό επίπεδο, η Επιτροπή θα αξιολογήσει: i) τη δυνατότητα θέσπισης εναρμονισμένου ορισμού του «μετόχου» σε επίπεδο ΕΕ και ii) αν και με ποιον τρόπο μπορούν να αποσαφηνιστούν και να εναρμονιστούν περαιτέρω οι κανόνες που διέπουν την αλληλεπίδραση μεταξύ των επενδυτών, των διαμεσολαβητών και των εκδοτών όσον αφορά την άσκηση των δικαιωμάτων ψήφου και την επεξεργασία εταιρικών δράσεων.</w:t>
            </w:r>
            <w:r>
              <w:rPr>
                <w:rFonts w:ascii="Times New Roman" w:hAnsi="Times New Roman"/>
                <w:i/>
                <w:noProof/>
                <w:color w:val="000000"/>
              </w:rPr>
              <w:t xml:space="preserve"> </w:t>
            </w:r>
            <w:r>
              <w:rPr>
                <w:rFonts w:ascii="Times New Roman" w:hAnsi="Times New Roman"/>
                <w:i/>
                <w:noProof/>
              </w:rPr>
              <w:t>Η Επιτροπή θα εξετάσει επίσης την ύπαρξη πιθανών εθνικών φραγμών όσον αφορά τη χρήση νέων ψηφιακών τεχνολογιών στον εν λόγω τομέα</w:t>
            </w:r>
            <w:r>
              <w:rPr>
                <w:rFonts w:ascii="Times New Roman" w:hAnsi="Times New Roman"/>
                <w:i/>
                <w:noProof/>
                <w:color w:val="000000"/>
              </w:rPr>
              <w:t>.</w:t>
            </w:r>
          </w:p>
          <w:p>
            <w:pPr>
              <w:jc w:val="bot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Q3 2023</w:t>
            </w: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Q4 2021</w:t>
            </w:r>
          </w:p>
        </w:tc>
      </w:tr>
      <w:tr>
        <w:trPr>
          <w:trHeight w:val="1160"/>
        </w:trPr>
        <w:tc>
          <w:tcPr>
            <w:tcW w:w="9242" w:type="dxa"/>
            <w:gridSpan w:val="2"/>
            <w:vAlign w:val="center"/>
          </w:tcPr>
          <w:p>
            <w:pPr>
              <w:jc w:val="both"/>
              <w:rPr>
                <w:rFonts w:ascii="Times New Roman" w:hAnsi="Times New Roman" w:cs="Times New Roman"/>
                <w:noProof/>
              </w:rPr>
            </w:pPr>
          </w:p>
          <w:p>
            <w:pPr>
              <w:jc w:val="both"/>
              <w:rPr>
                <w:rFonts w:ascii="Times New Roman" w:eastAsia="Times New Roman" w:hAnsi="Times New Roman" w:cs="Times New Roman"/>
                <w:noProof/>
                <w:color w:val="000000"/>
              </w:rPr>
            </w:pPr>
            <w:r>
              <w:rPr>
                <w:rFonts w:ascii="Times New Roman" w:hAnsi="Times New Roman"/>
                <w:noProof/>
              </w:rPr>
              <w:t>Η εξέταση αυτή θα διενεργηθεί στο πλαίσιο της αξιολόγησης της Επιτροπής όσον αφορά την εφαρμογή της δεύτερης οδηγίας για τα δικαιώματα των μετόχων</w:t>
            </w:r>
            <w:r>
              <w:rPr>
                <w:rStyle w:val="FootnoteReference"/>
                <w:rFonts w:ascii="Times New Roman" w:hAnsi="Times New Roman"/>
                <w:noProof/>
              </w:rPr>
              <w:footnoteReference w:id="21"/>
            </w:r>
            <w:r>
              <w:rPr>
                <w:rFonts w:ascii="Times New Roman" w:hAnsi="Times New Roman"/>
                <w:noProof/>
              </w:rPr>
              <w:t xml:space="preserve"> (SRD 2), η οποία προβλέπεται να δημοσιευτεί έως το τρίτο τρίμηνο του 2023. </w:t>
            </w:r>
            <w:r>
              <w:rPr>
                <w:rFonts w:ascii="Times New Roman" w:hAnsi="Times New Roman"/>
                <w:noProof/>
                <w:color w:val="000000"/>
              </w:rPr>
              <w:t xml:space="preserve"> Στο στάδιο αυτό, και αφού ληφθούν δεόντως υπόψη οι εξελίξεις της αγοράς μετά την έναρξη ισχύος της οδηγίας SRD 2 και του εκτελεστικού της κανονισμού</w:t>
            </w:r>
            <w:r>
              <w:rPr>
                <w:rStyle w:val="FootnoteReference"/>
                <w:rFonts w:ascii="Times New Roman" w:hAnsi="Times New Roman"/>
                <w:noProof/>
                <w:color w:val="000000"/>
              </w:rPr>
              <w:footnoteReference w:id="22"/>
            </w:r>
            <w:r>
              <w:rPr>
                <w:rFonts w:ascii="Times New Roman" w:hAnsi="Times New Roman"/>
                <w:noProof/>
                <w:color w:val="000000"/>
              </w:rPr>
              <w:t xml:space="preserve"> τον Σεπτέμβριο του 2020, η Επιτροπή σχεδιάζει να διερευνήσει ειδικότερα τα εξής:</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την εκχώρηση και την απόδειξη των δικαιωμάτων και την ημερομηνία καταγραφής,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την επιβεβαίωση του δικαιώματος και την υποχρέωση αντιπαραβολής,·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την ακολουθία των ημερομηνιών και των προθεσμιών,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τυχόν πρόσθετες εθνικές απαιτήσεις (ιδίως απαιτήσεις εξουσιοδότησης για την άσκηση δικαιωμάτων ψήφου)· και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επικοινωνία μεταξύ των εκδοτών και των κεντρικών αποθετηρίων τίτλων (ΚΑΤ) όσον αφορά το χρονοδιάγραμμα, το περιεχόμενο και τη μορφή. </w:t>
            </w:r>
          </w:p>
          <w:p>
            <w:pPr>
              <w:jc w:val="both"/>
              <w:rPr>
                <w:rFonts w:ascii="Times New Roman" w:eastAsia="Times New Roman" w:hAnsi="Times New Roman" w:cs="Times New Roman"/>
                <w:noProof/>
                <w:color w:val="000000"/>
              </w:rPr>
            </w:pPr>
          </w:p>
          <w:p>
            <w:pPr>
              <w:jc w:val="both"/>
              <w:rPr>
                <w:rFonts w:ascii="Times New Roman" w:eastAsia="Times New Roman" w:hAnsi="Times New Roman" w:cs="Times New Roman"/>
                <w:noProof/>
                <w:color w:val="000000"/>
              </w:rPr>
            </w:pPr>
            <w:r>
              <w:rPr>
                <w:rFonts w:ascii="Times New Roman" w:hAnsi="Times New Roman"/>
                <w:noProof/>
                <w:color w:val="000000"/>
              </w:rPr>
              <w:t>Ιδιαίτερη προσοχή θα δοθεί στις παραμέτρους αποτελεσματικότητας και αποδοτικότητας, καθώς και στις πτυχές της ασφάλειας δικαίου.</w:t>
            </w:r>
          </w:p>
          <w:p>
            <w:pPr>
              <w:jc w:val="both"/>
              <w:rPr>
                <w:rFonts w:ascii="Times New Roman" w:eastAsia="Times New Roman" w:hAnsi="Times New Roman" w:cs="Times New Roman"/>
                <w:noProof/>
                <w:color w:val="000000"/>
              </w:rPr>
            </w:pPr>
          </w:p>
          <w:p>
            <w:pPr>
              <w:jc w:val="both"/>
              <w:rPr>
                <w:rFonts w:ascii="Times New Roman" w:hAnsi="Times New Roman" w:cs="Times New Roman"/>
                <w:b/>
                <w:i/>
                <w:noProof/>
                <w:u w:val="single"/>
              </w:rPr>
            </w:pPr>
            <w:r>
              <w:rPr>
                <w:rFonts w:ascii="Times New Roman" w:hAnsi="Times New Roman"/>
                <w:noProof/>
              </w:rPr>
              <w:t xml:space="preserve">Έως το τέταρτο τρίμηνο του 2021 η Επιτροπή θα διερευνήσει επίσης αν υπάρχουν εθνικοί ρυθμιστικοί φραγμοί στη χρήση νέων ψηφιακών τεχνολογιών </w:t>
            </w:r>
            <w:r>
              <w:rPr>
                <w:rFonts w:ascii="Times New Roman" w:hAnsi="Times New Roman"/>
                <w:noProof/>
                <w:color w:val="000000"/>
              </w:rPr>
              <w:t>που θα μπορούσαν να βελτιώσουν την αποτελεσματικότητα της επικοινωνίας μεταξύ των εκδοτών και των μετόχων και να διευκολύνουν την ταυτοποίηση των μετόχων από τους εκδότες ή τη συμμετοχή και την ψήφο των μετόχων στις γενικές συνελεύσεις.</w:t>
            </w:r>
          </w:p>
          <w:p>
            <w:pPr>
              <w:jc w:val="both"/>
              <w:rPr>
                <w:rFonts w:ascii="Times New Roman" w:hAnsi="Times New Roman" w:cs="Times New Roman"/>
                <w:noProof/>
              </w:rPr>
            </w:pPr>
          </w:p>
        </w:tc>
      </w:tr>
      <w:tr>
        <w:trPr>
          <w:trHeight w:val="841"/>
        </w:trPr>
        <w:tc>
          <w:tcPr>
            <w:tcW w:w="8046" w:type="dxa"/>
            <w:vAlign w:val="center"/>
          </w:tcPr>
          <w:p>
            <w:pPr>
              <w:jc w:val="both"/>
              <w:rPr>
                <w:rFonts w:ascii="Times New Roman" w:hAnsi="Times New Roman" w:cs="Times New Roman"/>
                <w:b/>
                <w:bCs/>
                <w:noProof/>
                <w:u w:val="single"/>
              </w:rPr>
            </w:pPr>
            <w:r>
              <w:rPr>
                <w:rFonts w:ascii="Times New Roman" w:hAnsi="Times New Roman"/>
                <w:b/>
                <w:noProof/>
                <w:u w:val="single"/>
              </w:rPr>
              <w:t xml:space="preserve">Δράση 13: Ανάπτυξη διασυνοριακών υπηρεσιών διακανονισμού </w:t>
            </w:r>
          </w:p>
          <w:p>
            <w:pPr>
              <w:jc w:val="both"/>
              <w:rPr>
                <w:rFonts w:ascii="Times New Roman" w:hAnsi="Times New Roman" w:cs="Times New Roman"/>
                <w:i/>
                <w:iCs/>
                <w:noProof/>
                <w:color w:val="212121"/>
                <w:shd w:val="clear" w:color="auto" w:fill="FFFFFF"/>
              </w:rPr>
            </w:pPr>
          </w:p>
          <w:p>
            <w:pPr>
              <w:jc w:val="both"/>
              <w:rPr>
                <w:rFonts w:ascii="Times New Roman" w:hAnsi="Times New Roman" w:cs="Times New Roman"/>
                <w:i/>
                <w:iCs/>
                <w:noProof/>
                <w:color w:val="212121"/>
                <w:shd w:val="clear" w:color="auto" w:fill="FFFFFF"/>
              </w:rPr>
            </w:pPr>
            <w:r>
              <w:rPr>
                <w:rFonts w:ascii="Times New Roman" w:hAnsi="Times New Roman"/>
                <w:b/>
                <w:noProof/>
              </w:rPr>
              <w:t>Για τη βελτίωσης της διασυνοριακής παροχής υπηρεσιών διακανονισμού στην ΕΕ</w:t>
            </w:r>
            <w:r>
              <w:rPr>
                <w:rFonts w:ascii="Times New Roman" w:hAnsi="Times New Roman"/>
                <w:i/>
                <w:noProof/>
                <w:color w:val="212121"/>
                <w:shd w:val="clear" w:color="auto" w:fill="FFFFFF"/>
              </w:rPr>
              <w:t xml:space="preserve"> χωρίς αρνητικές επιπτώσεις στη χρηματοπιστωτική σταθερότητα,</w:t>
            </w:r>
            <w:r>
              <w:rPr>
                <w:noProof/>
              </w:rPr>
              <w:t xml:space="preserve"> η </w:t>
            </w:r>
            <w:r>
              <w:rPr>
                <w:rFonts w:ascii="Times New Roman" w:hAnsi="Times New Roman"/>
                <w:i/>
                <w:noProof/>
                <w:color w:val="212121"/>
                <w:shd w:val="clear" w:color="auto" w:fill="FFFFFF"/>
              </w:rPr>
              <w:t>Επιτροπή θα επανεξετάσει τους κανόνες που καλύπτουν ευρύ φάσμα θεμάτων, μεταξύ των οποίων τα εξής: i) τη διασυνοριακή παροχή υπηρεσιών από ΚΑΤ βάσει διαβατηρίου ΚΑΤ και ii) τις διαδικασίες και τις προϋποθέσεις βάσει των οποίων τα ΚΑΤ έχουν λάβει την εξουσιοδότηση να ορίζουν πιστωτικά ιδρύματα ή τα ίδια για την παροχή βοηθητικών υπηρεσιών τραπεζικού τύπου.</w:t>
            </w:r>
          </w:p>
          <w:p>
            <w:pPr>
              <w:jc w:val="both"/>
              <w:rPr>
                <w:rFonts w:ascii="Times New Roman" w:eastAsia="Times New Roman" w:hAnsi="Times New Roman" w:cs="Times New Roman"/>
                <w:noProof/>
                <w:color w:val="000000"/>
              </w:rPr>
            </w:pPr>
          </w:p>
        </w:tc>
        <w:tc>
          <w:tcPr>
            <w:tcW w:w="1196" w:type="dxa"/>
            <w:vAlign w:val="center"/>
          </w:tcPr>
          <w:p>
            <w:pPr>
              <w:jc w:val="both"/>
              <w:rPr>
                <w:rFonts w:ascii="Times New Roman" w:hAnsi="Times New Roman" w:cs="Times New Roman"/>
                <w:b/>
                <w:noProof/>
              </w:rPr>
            </w:pPr>
            <w:r>
              <w:rPr>
                <w:rFonts w:ascii="Times New Roman" w:hAnsi="Times New Roman"/>
                <w:b/>
                <w:noProof/>
              </w:rPr>
              <w:t>Q4 2021</w:t>
            </w:r>
          </w:p>
        </w:tc>
      </w:tr>
      <w:tr>
        <w:trPr>
          <w:trHeight w:val="699"/>
        </w:trPr>
        <w:tc>
          <w:tcPr>
            <w:tcW w:w="9242" w:type="dxa"/>
            <w:gridSpan w:val="2"/>
            <w:vAlign w:val="center"/>
          </w:tcPr>
          <w:p>
            <w:pPr>
              <w:jc w:val="both"/>
              <w:rPr>
                <w:rFonts w:ascii="Times New Roman" w:eastAsia="Times New Roman" w:hAnsi="Times New Roman" w:cs="Times New Roman"/>
                <w:noProof/>
                <w:color w:val="000000"/>
              </w:rPr>
            </w:pPr>
          </w:p>
          <w:p>
            <w:pPr>
              <w:jc w:val="both"/>
              <w:rPr>
                <w:rFonts w:ascii="Times New Roman" w:eastAsia="Times New Roman" w:hAnsi="Times New Roman" w:cs="Times New Roman"/>
                <w:iCs/>
                <w:noProof/>
                <w:color w:val="212121"/>
                <w:shd w:val="clear" w:color="auto" w:fill="FFFFFF"/>
              </w:rPr>
            </w:pPr>
            <w:r>
              <w:rPr>
                <w:rFonts w:ascii="Times New Roman" w:hAnsi="Times New Roman"/>
                <w:noProof/>
                <w:color w:val="000000"/>
              </w:rPr>
              <w:t>Ο στόχος αυτός θα επιτευχθεί μέσω στοχευμένης επανεξέτασης του κανονισμού για τα κεντρικά αποθετήρια τίτλων</w:t>
            </w:r>
            <w:r>
              <w:rPr>
                <w:rStyle w:val="FootnoteReference"/>
                <w:rFonts w:ascii="Times New Roman" w:hAnsi="Times New Roman"/>
                <w:noProof/>
                <w:color w:val="000000"/>
              </w:rPr>
              <w:footnoteReference w:id="23"/>
            </w:r>
            <w:r>
              <w:rPr>
                <w:rFonts w:ascii="Times New Roman" w:hAnsi="Times New Roman"/>
                <w:noProof/>
                <w:color w:val="000000"/>
              </w:rPr>
              <w:t xml:space="preserve">, η οποία θα διενεργηθεί έως το τέταρτο τρίμηνο του </w:t>
            </w:r>
            <w:r>
              <w:rPr>
                <w:rFonts w:ascii="Times New Roman" w:hAnsi="Times New Roman"/>
                <w:noProof/>
                <w:color w:val="212121"/>
                <w:shd w:val="clear" w:color="auto" w:fill="FFFFFF"/>
              </w:rPr>
              <w:t>2021. Η εν λόγω επανεξέταση απαιτείται βάσει του κανονισμού και θα υποστηρίζεται από εκτίμηση επιπτώσεων.</w:t>
            </w:r>
          </w:p>
          <w:p>
            <w:pPr>
              <w:jc w:val="both"/>
              <w:rPr>
                <w:rFonts w:ascii="Times New Roman" w:eastAsia="Times New Roman" w:hAnsi="Times New Roman" w:cs="Times New Roman"/>
                <w:iCs/>
                <w:noProof/>
                <w:color w:val="212121"/>
                <w:shd w:val="clear" w:color="auto" w:fill="FFFFFF"/>
              </w:rPr>
            </w:pPr>
          </w:p>
          <w:p>
            <w:pPr>
              <w:jc w:val="both"/>
              <w:rPr>
                <w:rFonts w:ascii="Times New Roman" w:hAnsi="Times New Roman" w:cs="Times New Roman"/>
                <w:noProof/>
              </w:rPr>
            </w:pPr>
            <w:r>
              <w:rPr>
                <w:rFonts w:ascii="Times New Roman" w:hAnsi="Times New Roman"/>
                <w:noProof/>
                <w:color w:val="212121"/>
                <w:shd w:val="clear" w:color="auto" w:fill="FFFFFF"/>
              </w:rPr>
              <w:t>Πριν από την έγκριση της νομοθετικής πρότασης, έως το τέταρτο τρίμηνο του 2020 η Επιτροπή θα υποβάλει στο Ευρωπαϊκό Κοινοβούλιο και το Συμβούλιο έκθεση σχετικά με τον κανονισμό. Η έκθεση αυτή θα αντικατοπτρίζει ευρεία διαβούλευση με όλα τα ενδιαφερόμενα μέρη, συμπεριλαμβανομένων των κρατών μελών και της Ευρωπαϊκής Αρχής Κινητών Αξιών και Αγορών (ESMA)</w:t>
            </w:r>
            <w:r>
              <w:rPr>
                <w:rFonts w:ascii="Times New Roman" w:hAnsi="Times New Roman"/>
                <w:noProof/>
              </w:rPr>
              <w:t>.</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Δράση 14: Ενοποιημένο δελτίο παρακολούθησης</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Για τους σκοπούς της διαμόρφωσης ολοκληρωμένης εικόνας των συναλλαγών σε ολόκληρη την ΕΕ, και προκειμένου να βελτιωθεί ο ανταγωνισμός μεταξύ των τόπων διαπραγμάτευσης, η Επιτροπή θα προτείνει νομοθετικές αλλαγές οι οποίες θα υποστηρίζουν τη δημιουργία ενός αποτελεσματικού και ολοκληρωμένου μετασυναλλακτικού ενοποιημένου δελτίου παρακολούθησης για τις μετοχές και τα μετοχικά χρηματοπιστωτικά μέσα.</w:t>
            </w:r>
          </w:p>
          <w:p>
            <w:pPr>
              <w:jc w:val="both"/>
              <w:rPr>
                <w:rFonts w:ascii="Times New Roman" w:hAnsi="Times New Roman" w:cs="Times New Roman"/>
                <w:b/>
                <w:i/>
                <w:noProof/>
                <w:u w:val="single"/>
              </w:rPr>
            </w:pPr>
            <w:r>
              <w:rPr>
                <w:rFonts w:ascii="Times New Roman" w:hAnsi="Times New Roman"/>
                <w:i/>
                <w:noProof/>
              </w:rPr>
              <w:t xml:space="preserve"> </w:t>
            </w:r>
          </w:p>
        </w:tc>
        <w:tc>
          <w:tcPr>
            <w:tcW w:w="1196" w:type="dxa"/>
            <w:vAlign w:val="center"/>
          </w:tcPr>
          <w:p>
            <w:pPr>
              <w:jc w:val="both"/>
              <w:rPr>
                <w:rFonts w:ascii="Times New Roman" w:hAnsi="Times New Roman" w:cs="Times New Roman"/>
                <w:b/>
                <w:noProof/>
              </w:rPr>
            </w:pPr>
            <w:r>
              <w:rPr>
                <w:rFonts w:ascii="Times New Roman" w:hAnsi="Times New Roman"/>
                <w:b/>
                <w:noProof/>
              </w:rPr>
              <w:t>Q4 2021</w:t>
            </w:r>
          </w:p>
        </w:tc>
      </w:tr>
      <w:tr>
        <w:trPr>
          <w:trHeight w:val="1160"/>
        </w:trPr>
        <w:tc>
          <w:tcPr>
            <w:tcW w:w="9242" w:type="dxa"/>
            <w:gridSpan w:val="2"/>
            <w:vAlign w:val="center"/>
          </w:tcPr>
          <w:p>
            <w:pPr>
              <w:jc w:val="both"/>
              <w:rPr>
                <w:rFonts w:ascii="Times New Roman" w:hAnsi="Times New Roman" w:cs="Times New Roman"/>
                <w:noProof/>
              </w:rPr>
            </w:pPr>
          </w:p>
          <w:p>
            <w:pPr>
              <w:jc w:val="both"/>
              <w:rPr>
                <w:rFonts w:ascii="Times New Roman" w:hAnsi="Times New Roman" w:cs="Times New Roman"/>
                <w:i/>
                <w:noProof/>
              </w:rPr>
            </w:pPr>
            <w:r>
              <w:rPr>
                <w:rFonts w:ascii="Times New Roman" w:hAnsi="Times New Roman"/>
                <w:noProof/>
              </w:rPr>
              <w:t>Η Επιτροπή θα διασφαλίσει ότι η κάλυψη του δελτίου παρακολούθησης είναι πλήρης και ότι η ποιότητα των δεδομένων είναι επαρκής ώστε το δελτίο παρακολούθησης να παρέχει προστιθέμενη αξία στους συμμετέχοντες στην αγορά, λαμβάνοντας παράλληλα υπόψη το κόστος δημιουργίας του δελτίου και της περίπτωσης χρήσης</w:t>
            </w:r>
            <w:r>
              <w:rPr>
                <w:rFonts w:ascii="Times New Roman" w:hAnsi="Times New Roman"/>
                <w:i/>
                <w:noProof/>
              </w:rPr>
              <w:t>.</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Δράση 15: Προστασία και διευκόλυνση των επενδύσεων</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 xml:space="preserve">Η Επιτροπή θα προτείνει την ενίσχυση του πλαισίου προστασίας και διευκόλυνσης των επενδύσεων στην ΕΕ. </w:t>
            </w:r>
          </w:p>
          <w:p>
            <w:pPr>
              <w:jc w:val="both"/>
              <w:rPr>
                <w:rFonts w:ascii="Times New Roman" w:hAnsi="Times New Roman" w:cs="Times New Roman"/>
                <w:b/>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Q2 2021</w:t>
            </w:r>
          </w:p>
        </w:tc>
      </w:tr>
      <w:tr>
        <w:tc>
          <w:tcPr>
            <w:tcW w:w="9242" w:type="dxa"/>
            <w:gridSpan w:val="2"/>
            <w:vAlign w:val="center"/>
          </w:tcPr>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 xml:space="preserve">Η δράση θα διαρθρωθεί γύρω από τους ακόλουθους τρεις πυλώνες: </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 xml:space="preserve">ουσιαστικοί κανόνες για τη διασφάλιση της συνεπούς και προβλέψιμης προστασίας των ενδοενωσιακών επενδύσεων· </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 xml:space="preserve">καλύτερη επιβολή των κανόνων αυτών, η οποία θα διασφαλιστεί με τη βελτίωση της αποτελεσματικότητας των μηχανισμών επίλυσης διαφορών σε εθνικό και/ή ενωσιακό επίπεδο, ενώ θα διασφαλίζεται παράλληλα η πρόσβαση σε εθνικά δικαστήρια· </w:t>
            </w:r>
          </w:p>
          <w:p>
            <w:pPr>
              <w:pStyle w:val="ListParagraph"/>
              <w:numPr>
                <w:ilvl w:val="0"/>
                <w:numId w:val="7"/>
              </w:numPr>
              <w:spacing w:after="0" w:line="240" w:lineRule="auto"/>
              <w:jc w:val="both"/>
              <w:rPr>
                <w:rFonts w:ascii="Times New Roman" w:eastAsia="Times New Roman" w:hAnsi="Times New Roman" w:cs="Times New Roman"/>
                <w:noProof/>
              </w:rPr>
            </w:pPr>
            <w:r>
              <w:rPr>
                <w:rFonts w:ascii="Times New Roman" w:hAnsi="Times New Roman"/>
                <w:noProof/>
              </w:rPr>
              <w:t>ειδικά μέτρα διευκόλυνσης των επενδύσεων, για παράδειγμα, ενοποίηση των πληροφοριών σχετικά με τα δικαιώματα και τις ευκαιρίες για τους επενδυτές σε ένα ενιαίο σημείο πρόσβασης (π.χ. στην πύλη InvestEU</w:t>
            </w:r>
            <w:r>
              <w:rPr>
                <w:rStyle w:val="FootnoteReference"/>
                <w:rFonts w:ascii="Times New Roman" w:hAnsi="Times New Roman"/>
                <w:noProof/>
              </w:rPr>
              <w:footnoteReference w:id="24"/>
            </w:r>
            <w:r>
              <w:rPr>
                <w:rFonts w:ascii="Times New Roman" w:hAnsi="Times New Roman"/>
                <w:noProof/>
              </w:rPr>
              <w:t>) και προώθηση μηχανισμών για την προληπτική επίλυση προβλημάτων από τα ενδιαφερόμενα μέρη, καθώς και για τον φιλικό διακανονισμό των διαφορών.</w:t>
            </w:r>
          </w:p>
          <w:p>
            <w:pPr>
              <w:jc w:val="both"/>
              <w:rPr>
                <w:rFonts w:ascii="Times New Roman" w:hAnsi="Times New Roman" w:cs="Times New Roman"/>
                <w:i/>
                <w:noProof/>
              </w:rPr>
            </w:pPr>
          </w:p>
        </w:tc>
      </w:tr>
      <w:tr>
        <w:tc>
          <w:tcPr>
            <w:tcW w:w="8046" w:type="dxa"/>
            <w:tcBorders>
              <w:top w:val="single" w:sz="4" w:space="0" w:color="auto"/>
              <w:bottom w:val="nil"/>
            </w:tcBorders>
            <w:vAlign w:val="center"/>
          </w:tcPr>
          <w:p>
            <w:pPr>
              <w:jc w:val="both"/>
              <w:rPr>
                <w:rFonts w:ascii="Times New Roman" w:hAnsi="Times New Roman" w:cs="Times New Roman"/>
                <w:b/>
                <w:noProof/>
                <w:u w:val="single"/>
              </w:rPr>
            </w:pPr>
            <w:r>
              <w:rPr>
                <w:rFonts w:ascii="Times New Roman" w:hAnsi="Times New Roman"/>
                <w:b/>
                <w:noProof/>
                <w:u w:val="single"/>
              </w:rPr>
              <w:t>Δράση 16: Εποπτεία</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Η Επιτροπή θα εργαστεί προς την κατεύθυνση ενός ενισχυμένου ενιαίου εγχειριδίου κανόνων για τις κεφαλαιαγορές, αξιολογώντας την ανάγκη περαιτέρω εναρμόνισης των κανόνων της ΕΕ και παρακολουθώντας την πρόοδο που σημειώνεται όσον αφορά την εποπτική σύγκλιση. Θα προβεί σε απολογισμό των επιτευγμάτων του τέταρτου τριμήνου του 2021 και θα εξετάσει το ενδεχόμενο να προτείνει μέτρα για την ενίσχυση του εποπτικού συντονισμού ή της άμεσης εποπτείας από τις Ευρωπαϊκές Εποπτικές Αρχές (ΕΕΑ).</w:t>
            </w:r>
          </w:p>
          <w:p>
            <w:pPr>
              <w:jc w:val="both"/>
              <w:rPr>
                <w:rFonts w:ascii="Times New Roman" w:hAnsi="Times New Roman" w:cs="Times New Roman"/>
                <w:i/>
                <w:noProof/>
              </w:rPr>
            </w:pPr>
          </w:p>
          <w:p>
            <w:pPr>
              <w:pBdr>
                <w:left w:val="single" w:sz="4" w:space="4" w:color="auto"/>
                <w:right w:val="single" w:sz="4" w:space="4" w:color="auto"/>
              </w:pBdr>
              <w:jc w:val="both"/>
              <w:rPr>
                <w:rFonts w:ascii="Times New Roman" w:hAnsi="Times New Roman" w:cs="Times New Roman"/>
                <w:i/>
                <w:noProof/>
              </w:rPr>
            </w:pPr>
            <w:r>
              <w:rPr>
                <w:rFonts w:ascii="Times New Roman" w:hAnsi="Times New Roman"/>
                <w:i/>
                <w:noProof/>
              </w:rPr>
              <w:t>Η Επιτροπή αξιολογεί επίσης προσεκτικά επί του παρόντος τις επιπτώσεις της υπόθεσης Wirecard στη ρύθμιση και την εποπτεία των κεφαλαιαγορών της ΕΕ και θα αναλάβει άμεση και αποφασιστική δράση για την αντιμετώπιση τυχόν ελλείψεων που εντοπίζονται στο νομικό πλαίσιο της ΕΕ.</w:t>
            </w: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Q4 2021</w:t>
            </w:r>
          </w:p>
          <w:p>
            <w:pPr>
              <w:jc w:val="both"/>
              <w:rPr>
                <w:rFonts w:ascii="Times New Roman" w:hAnsi="Times New Roman" w:cs="Times New Roman"/>
                <w:b/>
                <w:noProof/>
              </w:rPr>
            </w:pP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p>
        </w:tc>
      </w:tr>
      <w:tr>
        <w:tc>
          <w:tcPr>
            <w:tcW w:w="9242" w:type="dxa"/>
            <w:gridSpan w:val="2"/>
            <w:vAlign w:val="center"/>
          </w:tcPr>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Τηρουμένης πλήρως της αρχής της επικουρικότητας, η Επιτροπή θα αξιολογεί συστηματικά αν δικαιολογείται η περαιτέρω εναρμόνιση των κανόνων της ΕΕ. Η καθιέρωση ενός ενισχυμένου ενιαίου εγχειριδίου κανόνων και η αποτελεσματική εποπτεία θα διασφαλίσουν ισότιμους όρους ανταγωνισμού για τους παράγοντες της αγοράς και θα συμβάλουν στον θεμιτό ανταγωνισμό μεταξύ τους. </w:t>
            </w:r>
          </w:p>
          <w:p>
            <w:pPr>
              <w:jc w:val="both"/>
              <w:rPr>
                <w:rFonts w:ascii="Times New Roman" w:eastAsia="Times New Roman" w:hAnsi="Times New Roman" w:cs="Times New Roman"/>
                <w:noProof/>
                <w:color w:val="000000" w:themeColor="text1"/>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Στο πλαίσιο της επικείμενης επανεξέτασης των τομεακών νομοθεσιών, η Επιτροπή θα εξετάσει επίσης την αποτελεσματικότητα των εξουσιών σύγκλισης των ΕΕΑ όσον αφορά τον εντοπισμό πιθανών κενών ή τομέων στους οποίους η ενίσχυση των εξουσιών θα μπορούσε να συμβάλει στην προώθηση της Ένωσης Κεφαλαιαγορών. Θα διερευνήσει επίσης κατά πόσον οι εξουσίες σύγκλισης χρησιμοποιούνται αποτελεσματικά στο πλαίσιο της υφιστάμενης διακυβέρνησης. Τέλος, η Επιτροπή θα παρακολουθεί προσεκτικά αν έχει σημειωθεί ικανοποιητική πρόοδος όσον αφορά την εποπτική σύγκλιση για την πλήρη ανάπτυξη της Ένωσης Κεφαλαιαγορών. Εάν υπάρχουν ενδείξεις ότι η εποπτική δομή είναι ανεπαρκής για το επιθυμητό επίπεδο ολοκλήρωσης της αγοράς, θα εξεταστεί το ενδεχόμενο ενίσχυσης του εποπτικού συντονισμού ή της άμεσης εποπτείας από τις ΕΕΑ στο πλαίσιο των μελλοντικών αξιολογήσεων. Επισημαίνεται ότι η επόμενη αξιολόγηση αναμένεται να πραγματοποιηθεί έως το τέλος του 2021.</w:t>
            </w:r>
          </w:p>
          <w:p>
            <w:pPr>
              <w:jc w:val="both"/>
              <w:rPr>
                <w:rFonts w:ascii="Times New Roman" w:eastAsia="Times New Roman" w:hAnsi="Times New Roman" w:cs="Times New Roman"/>
                <w:b/>
                <w:noProof/>
                <w:color w:val="000000" w:themeColor="text1"/>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 xml:space="preserve">Η Επιτροπή αξιολογεί επίσης προσεκτικά επί του παρόντος τις επιπτώσεις της υπόθεσης Wirecard στη ρύθμιση και την εποπτεία της κεφαλαιαγοράς της ΕΕ. Θα λάβει υπόψη τα συμπεράσματα των υπό εξέλιξη ερευνών. Βάσει των πληροφοριών που έχει στη διάθεσή της η Επιτροπή στο παρόν στάδιο, η κατάρρευση της Wirecard εγείρει ερωτήματα σχετικά με την αποτελεσματικότητα της εταιρικής διακυβέρνησης της Wirecard, του εξωτερικού θεσμοθετημένου ελέγχου και της εποπτείας των χρηματοοικονομικών πληροφοριών. </w:t>
            </w:r>
          </w:p>
          <w:p>
            <w:pPr>
              <w:jc w:val="both"/>
              <w:rPr>
                <w:rFonts w:ascii="Times New Roman" w:eastAsia="Times New Roman" w:hAnsi="Times New Roman" w:cs="Times New Roman"/>
                <w:noProof/>
                <w:color w:val="000000" w:themeColor="text1"/>
              </w:rPr>
            </w:pPr>
          </w:p>
        </w:tc>
      </w:tr>
    </w:tbl>
    <w:p>
      <w:pPr>
        <w:jc w:val="both"/>
        <w:rPr>
          <w:noProof/>
        </w:rPr>
      </w:pPr>
    </w:p>
    <w:p>
      <w:pPr>
        <w:jc w:val="both"/>
        <w:rPr>
          <w:noProof/>
        </w:rPr>
      </w:pPr>
    </w:p>
    <w:p>
      <w:pPr>
        <w:jc w:val="both"/>
        <w:rPr>
          <w:noProof/>
        </w:rPr>
      </w:pPr>
    </w:p>
    <w:p>
      <w:pPr>
        <w:jc w:val="both"/>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3910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Ανακοίνωση της Επιτροπής προς το Ευρωπαϊκό Κοινοβούλιο, το Ευρωπαϊκό Συμβούλιο, το Συμβούλιο, την Ευρωπαϊκή Οικονομική και Κοινωνική Επιτροπή και την Επιτροπή των Περιφερειών – Η Ευρωπαϊκή Πράσινη Συμφωνία, COM/2019/ 640 final.</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https://eftg.eu/</w:t>
        </w:r>
      </w:hyperlink>
    </w:p>
  </w:footnote>
  <w:footnote w:id="4">
    <w:p>
      <w:pPr>
        <w:pStyle w:val="FootnoteText"/>
        <w:rPr>
          <w:sz w:val="19"/>
          <w:szCs w:val="19"/>
        </w:rPr>
      </w:pPr>
      <w:r>
        <w:rPr>
          <w:rStyle w:val="FootnoteReference"/>
          <w:rFonts w:ascii="Times New Roman" w:hAnsi="Times New Roman"/>
        </w:rPr>
        <w:footnoteRef/>
      </w:r>
      <w:r>
        <w:rPr>
          <w:rFonts w:ascii="Times New Roman" w:hAnsi="Times New Roman"/>
        </w:rPr>
        <w:t xml:space="preserve"> https://e-justice.europa.eu/content_business_registers_at_european_level-105-en.do</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Ειδικότερα, πρόκειται για την οδηγία για τη διαφάνεια (</w:t>
      </w:r>
      <w:r>
        <w:rPr>
          <w:rFonts w:ascii="Times New Roman" w:hAnsi="Times New Roman"/>
          <w:color w:val="444444"/>
          <w:shd w:val="clear" w:color="auto" w:fill="FFFFFF"/>
        </w:rPr>
        <w:t>οδηγία 2004/109/ΕΚ του Ευρωπαϊκού Κοινοβουλίου και του Συμβουλίου, της 15ης Δεκεμβρίου 2004, για την εναρμόνιση των προϋποθέσεων διαφάνειας αναφορικά με την πληροφόρηση σχετικά με εκδότες των οποίων οι κινητές αξίες έχουν εισαχθεί προς διαπραγμάτευση σε ρυθμιζόμενη αγορά και για την τροποποίηση της οδηγίας 2001/34/ΕΚ</w:t>
      </w:r>
      <w:r>
        <w:rPr>
          <w:rFonts w:ascii="Times New Roman" w:hAnsi="Times New Roman"/>
        </w:rPr>
        <w:t>) και την οδηγία για τη δημοσιοποίηση μη χρηματοοικονομικών πληροφοριών (</w:t>
      </w:r>
      <w:r>
        <w:rPr>
          <w:rFonts w:ascii="Times New Roman" w:hAnsi="Times New Roman"/>
          <w:color w:val="444444"/>
          <w:shd w:val="clear" w:color="auto" w:fill="FFFFFF"/>
        </w:rPr>
        <w:t>οδηγία 2014/95/ΕΕ του Ευρωπαϊκού Κοινοβουλίου και του Συμβουλίου, της 22ας Οκτωβρίου 2014, για την τροποποίηση της οδηγίας 2013/34/ΕΕ όσον αφορά τη δημοσιοποίηση μη χρηματοοικονομικών πληροφοριών και πληροφοριών για την πολυμορφία από ορισμένες μεγάλες επιχειρήσεις και ομίλους</w:t>
      </w:r>
      <w:r>
        <w:rPr>
          <w:rFonts w:ascii="Times New Roman" w:hAnsi="Times New Roman"/>
        </w:rPr>
        <w:t>).</w:t>
      </w:r>
    </w:p>
  </w:footnote>
  <w:footnote w:id="6">
    <w:p>
      <w:pPr>
        <w:pStyle w:val="FootnoteText"/>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Κανονισμός (ΕΕ) 2015/760 του Ευρωπαϊκού Κοινοβουλίου και του Συμβουλίου, της 29ης Απριλίου 2015, σχετικά με τα ευρωπαϊκά μακροπρόθεσμα επενδυτικά κεφάλαια.</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(Κείμενο που παρουσιάζει ενδιαφέρον για τον ΕΟΧ).</w:t>
      </w:r>
    </w:p>
  </w:footnote>
  <w:footnote w:id="9">
    <w:p>
      <w:pPr>
        <w:pStyle w:val="FootnoteText"/>
        <w:jc w:val="both"/>
      </w:pPr>
      <w:r>
        <w:rPr>
          <w:rStyle w:val="FootnoteReference"/>
          <w:rFonts w:ascii="Times New Roman" w:hAnsi="Times New Roman"/>
        </w:rPr>
        <w:footnoteRef/>
      </w:r>
      <w:r>
        <w:rPr>
          <w:rFonts w:ascii="Times New Roman" w:hAnsi="Times New Roman"/>
        </w:rPr>
        <w:t xml:space="preserve"> 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2006/49/ΕΚ.</w:t>
      </w:r>
    </w:p>
  </w:footnote>
  <w:footnote w:id="10">
    <w:p>
      <w:pPr>
        <w:pStyle w:val="FootnoteText"/>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Κανονισμός (ΕΕ) 2017/2402 του Ευρωπαϊκού Κοινοβουλίου και του Συμβουλίου, της 12ης Δεκεμβρίου 2017, σχετικά με τη θέσπιση γενικού πλαισίου για την τιτλοποίηση και σχετικά με τη δημιουργία ειδικού πλαισίου για απλή, διαφανή και τυποποιημένη τιτλοποίηση και σχετικά με την τροποποίηση των οδηγιών 2009/65/ΕΚ, 2009/138/ΕΚ και 2011/61/ΕΕ και των κανονισμών (ΕΚ) αριθ. 1060/2009 και (ΕΕ) αριθ. 648/2012.</w:t>
      </w:r>
    </w:p>
  </w:footnote>
  <w:footnote w:id="11">
    <w:p>
      <w:pPr>
        <w:pStyle w:val="FootnoteText"/>
      </w:pPr>
      <w:r>
        <w:rPr>
          <w:rStyle w:val="FootnoteReference"/>
        </w:rPr>
        <w:footnoteRef/>
      </w:r>
      <w:r>
        <w:t xml:space="preserve"> </w:t>
      </w:r>
      <w:r>
        <w:rPr>
          <w:rFonts w:ascii="Times New Roman" w:hAnsi="Times New Roman"/>
        </w:rPr>
        <w:t>Εκτός από την ενίσχυση της αγοράς τιτλοποιήσεων, η Επιτροπή θα συνεχίσει να αξιολογεί τη δυνατότητα εισαγωγής ενός μέσου διπλής προσφυγής με την ονομασία «ευρωπαϊκοί εξασφαλισμένοι τίτλοι» (European Secured Notes). Όπως ορίζεται στην οδηγία (ΕΕ) 2019/2162 του Ευρωπαϊκού Κοινοβουλίου και του Συμβουλίου, της 27ης Νοεμβρίου 2019, σχετικά με την έκδοση καλυμμένων ομολόγων και τη δημόσια εποπτεία καλυμμένων ομολόγων, θα υποβάλει έκθεση στο Ευρωπαϊκό Κοινοβούλιο και το Συμβούλιο έως τις 8 Ιουλίου 2024.</w:t>
      </w:r>
    </w:p>
  </w:footnote>
  <w:footnote w:id="12">
    <w:p>
      <w:pPr>
        <w:pStyle w:val="FootnoteText"/>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Οδηγία 2014/17/ΕΕ του Ευρωπαϊκού Κοινοβουλίου και του Συμβουλίου, της 4ης Φεβρουαρίου 2014, σχετικά με τις συμβάσεις πίστωσης για καταναλωτές για ακίνητα που προορίζονται για κατοικία και την τροποποίηση των οδηγιών 2008/48/ΕΚ και 2013/36/EE και του κανονισμού (ΕΕ) αριθ. 1093/2010.</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Οδηγία (ΕΕ) 2016/97 του Ευρωπαϊκού Κοινοβουλίου και του Συμβουλίου, της 20ής Ιανουαρίου 2016, σχετικά με τη διανομή ασφαλιστικών προϊόντων.</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Κανονισμός (EE) 2019/1238 του Ευρωπαϊκού Κοινοβουλίου και του Συμβουλίου, της 20ής Ιουνίου 2019, σχετικά με τη θέσπιση πανευρωπαϊκού ατομικού συνταξιοδοτικού προϊόντος.</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συλλογικών επενδύσεων σε κινητές αξίες.</w:t>
      </w:r>
    </w:p>
  </w:footnote>
  <w:footnote w:id="17">
    <w:p>
      <w:pPr>
        <w:pStyle w:val="FootnoteText"/>
        <w:jc w:val="both"/>
      </w:pPr>
      <w:r>
        <w:rPr>
          <w:rStyle w:val="FootnoteReference"/>
          <w:rFonts w:ascii="Times New Roman" w:hAnsi="Times New Roman"/>
        </w:rPr>
        <w:footnoteRef/>
      </w:r>
      <w:r>
        <w:rPr>
          <w:rFonts w:ascii="Times New Roman" w:hAnsi="Times New Roman"/>
        </w:rPr>
        <w:t xml:space="preserve"> Κανονισμός (ΕΕ) αριθ. 1286/2014 του Ευρωπαϊκού Κοινοβουλίου και του Συμβουλίου, της 26ης Νοεμβρίου 2014, σχετικά με τα έγγραφα βασικών πληροφοριών που αφορούν συσκευασμένα επενδυτικά προϊόντα για ιδιώτες επενδυτές και επενδυτικά προϊόντα βασιζόμενα σε ασφάλιση.</w:t>
      </w:r>
    </w:p>
  </w:footnote>
  <w:footnote w:id="18">
    <w:p>
      <w:pPr>
        <w:pStyle w:val="FootnoteText"/>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http://www.oecd.org/ctp/exchange-of-tax-information/treaty-relief-and-compliance-enhancement-trace.htm</w:t>
      </w:r>
    </w:p>
  </w:footnote>
  <w:footnote w:id="19">
    <w:p>
      <w:pPr>
        <w:pStyle w:val="FootnoteText"/>
        <w:jc w:val="both"/>
      </w:pPr>
      <w:r>
        <w:rPr>
          <w:rStyle w:val="FootnoteReference"/>
          <w:rFonts w:ascii="Times New Roman" w:hAnsi="Times New Roman"/>
        </w:rPr>
        <w:footnoteRef/>
      </w:r>
      <w:r>
        <w:rPr>
          <w:rFonts w:ascii="Times New Roman" w:hAnsi="Times New Roman"/>
        </w:rPr>
        <w:t xml:space="preserve"> https://ec.europa.eu/taxation_customs/sites/taxation/files/code_of_conduct_on_witholding_tax.pdf</w:t>
      </w:r>
    </w:p>
  </w:footnote>
  <w:footnote w:id="20">
    <w:p>
      <w:pPr>
        <w:pStyle w:val="FootnoteText"/>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https://ec.europa.eu/info/publications/191203-study-loan-enforcement-laws_en</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Οδηγία (ΕΕ) 2017/828 του Ευρωπαϊκού Κοινοβουλίου και του Συμβουλίου, της 17ης Μαΐου 2017, για την τροποποίηση της οδηγίας 2007/36/ΕΚ όσον αφορά την ενθάρρυνση της μακροπρόθεσμης ενεργού συμμετοχής των μετόχων.</w:t>
      </w:r>
    </w:p>
  </w:footnote>
  <w:footnote w:id="22">
    <w:p>
      <w:pPr>
        <w:pStyle w:val="FootnoteText"/>
        <w:jc w:val="both"/>
      </w:pPr>
      <w:r>
        <w:rPr>
          <w:rStyle w:val="FootnoteReference"/>
          <w:rFonts w:ascii="Times New Roman" w:hAnsi="Times New Roman"/>
        </w:rPr>
        <w:footnoteRef/>
      </w:r>
      <w:r>
        <w:rPr>
          <w:rFonts w:ascii="Times New Roman" w:hAnsi="Times New Roman"/>
        </w:rPr>
        <w:t xml:space="preserve"> Εκτελεστικός κανονισμός (ΕΕ) 2018/1212 της Επιτροπής της 3ης Σεπτεμβρίου 2018.</w:t>
      </w:r>
    </w:p>
  </w:footnote>
  <w:footnote w:id="23">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rPr>
        <w:t>Κανονισμός (ΕΕ) αριθ. 909/2014 του Ευρωπαϊκού Κοινοβουλίου και του Συμβουλίου της 23ης Ιουλίου 2014 σχετικά με τη βελτίωση του διακανονισμού αξιογράφων στην Ευρωπαϊκή Ένωση και τα κεντρικά αποθετήρια τίτλων και για την τροποποίηση των οδηγιών 98/26/ΕΚ και 2014/65/ΕΕ και του κανονισμού (ΕΕ) αριθ. 236/2012.</w:t>
      </w:r>
    </w:p>
  </w:footnote>
  <w:footnote w:id="24">
    <w:p>
      <w:pPr>
        <w:pStyle w:val="FootnoteText"/>
        <w:jc w:val="both"/>
      </w:pPr>
      <w:r>
        <w:rPr>
          <w:rStyle w:val="FootnoteReference"/>
          <w:rFonts w:ascii="Times New Roman" w:hAnsi="Times New Roman"/>
          <w:sz w:val="18"/>
        </w:rPr>
        <w:footnoteRef/>
      </w:r>
      <w:r>
        <w:rPr>
          <w:rFonts w:ascii="Times New Roman" w:hAnsi="Times New Roman"/>
          <w:sz w:val="18"/>
        </w:rPr>
        <w:t xml:space="preserve"> https://ec.europa.eu/eipp/desktop/en/index.html?2nd-language=en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2C7"/>
    <w:multiLevelType w:val="hybridMultilevel"/>
    <w:tmpl w:val="5232BF4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w:docVar w:name="LW_ANNEX_NBR_FIRST" w:val="1"/>
    <w:docVar w:name="LW_ANNEX_NBR_LAST" w:val="1"/>
    <w:docVar w:name="LW_ANNEX_UNIQUE" w:val="0"/>
    <w:docVar w:name="LW_CORRIGENDUM" w:val="&lt;UNUSED&gt;"/>
    <w:docVar w:name="LW_COVERPAGE_EXISTS" w:val="True"/>
    <w:docVar w:name="LW_COVERPAGE_GUID" w:val="7084AB17-88B0-4ED5-94BA-3C5B3460952E"/>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04?\u957?\u969?\u963?\u951? \u922?\u949?\u966?\u945?\u955?\u945?\u953?\u945?\u947?\u959?\u961?\u974?\u957? \u947?\u953?\u945? \u964?\u945? \u940?\u964?\u959?\u956?\u945? \u954?\u945?\u953? \u964?\u953?\u962? \u949?\u960?\u953?\u967?\u949?\u953?\u961?\u942?\u963?\u949?\u953?\u962? - \u957?\u941?\u959? \u963?\u967?\u941?\u948?\u953?\u959? \u948?\u961?\u940?\u963?\u951?\u962?_x000d__x000b_"/>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894">
      <w:bodyDiv w:val="1"/>
      <w:marLeft w:val="0"/>
      <w:marRight w:val="0"/>
      <w:marTop w:val="0"/>
      <w:marBottom w:val="0"/>
      <w:divBdr>
        <w:top w:val="none" w:sz="0" w:space="0" w:color="auto"/>
        <w:left w:val="none" w:sz="0" w:space="0" w:color="auto"/>
        <w:bottom w:val="none" w:sz="0" w:space="0" w:color="auto"/>
        <w:right w:val="none" w:sz="0" w:space="0" w:color="auto"/>
      </w:divBdr>
    </w:div>
    <w:div w:id="41828033">
      <w:bodyDiv w:val="1"/>
      <w:marLeft w:val="0"/>
      <w:marRight w:val="0"/>
      <w:marTop w:val="0"/>
      <w:marBottom w:val="0"/>
      <w:divBdr>
        <w:top w:val="none" w:sz="0" w:space="0" w:color="auto"/>
        <w:left w:val="none" w:sz="0" w:space="0" w:color="auto"/>
        <w:bottom w:val="none" w:sz="0" w:space="0" w:color="auto"/>
        <w:right w:val="none" w:sz="0" w:space="0" w:color="auto"/>
      </w:divBdr>
    </w:div>
    <w:div w:id="397286317">
      <w:bodyDiv w:val="1"/>
      <w:marLeft w:val="0"/>
      <w:marRight w:val="0"/>
      <w:marTop w:val="0"/>
      <w:marBottom w:val="0"/>
      <w:divBdr>
        <w:top w:val="none" w:sz="0" w:space="0" w:color="auto"/>
        <w:left w:val="none" w:sz="0" w:space="0" w:color="auto"/>
        <w:bottom w:val="none" w:sz="0" w:space="0" w:color="auto"/>
        <w:right w:val="none" w:sz="0" w:space="0" w:color="auto"/>
      </w:divBdr>
    </w:div>
    <w:div w:id="563373561">
      <w:bodyDiv w:val="1"/>
      <w:marLeft w:val="0"/>
      <w:marRight w:val="0"/>
      <w:marTop w:val="0"/>
      <w:marBottom w:val="0"/>
      <w:divBdr>
        <w:top w:val="none" w:sz="0" w:space="0" w:color="auto"/>
        <w:left w:val="none" w:sz="0" w:space="0" w:color="auto"/>
        <w:bottom w:val="none" w:sz="0" w:space="0" w:color="auto"/>
        <w:right w:val="none" w:sz="0" w:space="0" w:color="auto"/>
      </w:divBdr>
    </w:div>
    <w:div w:id="1103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t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E68AAE-B851-40DE-88D4-204B5C68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3770</Words>
  <Characters>22884</Characters>
  <Application>Microsoft Office Word</Application>
  <DocSecurity>0</DocSecurity>
  <Lines>532</Lines>
  <Paragraphs>127</Paragraphs>
  <ScaleCrop>false</ScaleCrop>
  <Company/>
  <LinksUpToDate>false</LinksUpToDate>
  <CharactersWithSpaces>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2020-09-18T14:29:00Z</dcterms:created>
  <dcterms:modified xsi:type="dcterms:W3CDTF">2020-10-01T07:30:00Z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