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0B2E471-83FB-4EFB-B8CD-FFB5D4F028DD" style="width:450.15pt;height:39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8"/>
          <w:szCs w:val="28"/>
        </w:rPr>
      </w:pPr>
      <w:bookmarkStart w:id="1" w:name="_GoBack"/>
      <w:bookmarkEnd w:id="1"/>
      <w:r>
        <w:rPr>
          <w:rFonts w:ascii="Times New Roman" w:hAnsi="Times New Roman"/>
          <w:b/>
          <w:noProof/>
          <w:sz w:val="28"/>
          <w:szCs w:val="28"/>
        </w:rPr>
        <w:lastRenderedPageBreak/>
        <w:t>1. melléklet: Az intézkedések felsorolása és indikatív ütemterve</w:t>
      </w:r>
    </w:p>
    <w:p>
      <w:pPr>
        <w:pStyle w:val="ListParagraph"/>
        <w:numPr>
          <w:ilvl w:val="0"/>
          <w:numId w:val="1"/>
        </w:numPr>
        <w:spacing w:after="240" w:line="240" w:lineRule="auto"/>
        <w:jc w:val="both"/>
        <w:rPr>
          <w:rFonts w:ascii="Times New Roman Bold" w:eastAsia="Times New Roman" w:hAnsi="Times New Roman Bold" w:cs="Times New Roman"/>
          <w:b/>
          <w:smallCaps/>
          <w:noProof/>
          <w:sz w:val="24"/>
          <w:szCs w:val="20"/>
          <w:u w:val="single"/>
        </w:rPr>
      </w:pPr>
      <w:r>
        <w:rPr>
          <w:rFonts w:ascii="Times New Roman Bold" w:hAnsi="Times New Roman Bold"/>
          <w:b/>
          <w:smallCaps/>
          <w:noProof/>
          <w:sz w:val="24"/>
          <w:szCs w:val="20"/>
          <w:u w:val="single"/>
        </w:rPr>
        <w:t>Intézkedések, amelyek célja a zöld, digitális, inkluzív és reziliens gazdasági helyreállítás támogatása azáltal, hogy a finanszírozást hozzáférhetőbbé teszik a vállalkozások számára</w:t>
      </w:r>
    </w:p>
    <w:p>
      <w:pPr>
        <w:pStyle w:val="ListParagraph"/>
        <w:ind w:left="360"/>
        <w:jc w:val="both"/>
        <w:rPr>
          <w:noProof/>
        </w:rPr>
      </w:pPr>
    </w:p>
    <w:tbl>
      <w:tblPr>
        <w:tblStyle w:val="TableGrid"/>
        <w:tblW w:w="9089" w:type="dxa"/>
        <w:tblLook w:val="04A0" w:firstRow="1" w:lastRow="0" w:firstColumn="1" w:lastColumn="0" w:noHBand="0" w:noVBand="1"/>
      </w:tblPr>
      <w:tblGrid>
        <w:gridCol w:w="7893"/>
        <w:gridCol w:w="1196"/>
      </w:tblGrid>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1. intézkedés: A vállalkozások láthatóbbá tétele a határokon átnyúlóan tevékenykedő befektetők számára</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 Bizottság 2021 harmadik negyedévében az egységes európai hozzáférési pont létrehozására vonatkozó jogalkotási javaslatot fogad el. Ennek a platformnak zökkenőmentes, uniós szintű hozzáférést kell biztosítania a vállalkozások, köztük pénzügyi vállalkozások által nyilvánosságra hozott valamennyi releváns információhoz (beleértve a pénzügyi és a fenntarthatósággal kapcsolatos információkat).</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i/>
                <w:noProof/>
              </w:rPr>
              <w:t>2021. harmadik negyedév</w:t>
            </w:r>
          </w:p>
        </w:tc>
      </w:tr>
      <w:tr>
        <w:trPr>
          <w:trHeight w:val="1520"/>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hAnsi="Times New Roman" w:cs="Times New Roman"/>
                <w:noProof/>
              </w:rPr>
            </w:pPr>
            <w:r>
              <w:rPr>
                <w:rFonts w:ascii="Times New Roman" w:hAnsi="Times New Roman"/>
                <w:noProof/>
              </w:rPr>
              <w:t>Az így elérhető információknak tükrözniük kell a befektetők igényeit és a felhasználók szélesebb körének érdekeit, beleértve a pénzügyi közvetítőket és a civil társadalmat. Ezért ez a platform valószínűleg javítani fogja a fenntarthatósággal kapcsolatos adatok elérhetőségét és hozzáférhetőségét is, több befektetést irányít a fenntartható tevékenységek felé, és hozzájárul az európai zöld megállapodás</w:t>
            </w:r>
            <w:r>
              <w:rPr>
                <w:rStyle w:val="FootnoteReference"/>
                <w:rFonts w:ascii="Times New Roman" w:eastAsia="Times New Roman" w:hAnsi="Times New Roman" w:cs="Times New Roman"/>
                <w:noProof/>
                <w:lang w:eastAsia="en-GB"/>
              </w:rPr>
              <w:footnoteReference w:id="2"/>
            </w:r>
            <w:r>
              <w:rPr>
                <w:rFonts w:ascii="Times New Roman" w:hAnsi="Times New Roman"/>
                <w:noProof/>
              </w:rPr>
              <w:t xml:space="preserve"> célkitűzéseinek teljesítéséhez.</w:t>
            </w:r>
          </w:p>
          <w:p>
            <w:pPr>
              <w:jc w:val="both"/>
              <w:rPr>
                <w:rFonts w:ascii="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A platform az európai pénzügyi átláthatósági átjáró</w:t>
            </w:r>
            <w:r>
              <w:rPr>
                <w:rStyle w:val="FootnoteReference"/>
                <w:rFonts w:ascii="Times New Roman" w:eastAsia="Times New Roman" w:hAnsi="Times New Roman" w:cs="Times New Roman"/>
                <w:noProof/>
                <w:lang w:eastAsia="en-GB"/>
              </w:rPr>
              <w:footnoteReference w:id="3"/>
            </w:r>
            <w:r>
              <w:rPr>
                <w:rFonts w:ascii="Times New Roman" w:hAnsi="Times New Roman"/>
                <w:noProof/>
              </w:rPr>
              <w:t xml:space="preserve"> kísérleti projektre épül majd, és kiegészíti az üzleti nyilvántartások összekapcsolására szolgáló rendszert</w:t>
            </w:r>
            <w:r>
              <w:rPr>
                <w:rStyle w:val="FootnoteReference"/>
                <w:rFonts w:ascii="Times New Roman" w:hAnsi="Times New Roman" w:cs="Times New Roman"/>
                <w:noProof/>
              </w:rPr>
              <w:footnoteReference w:id="4"/>
            </w:r>
            <w:r>
              <w:rPr>
                <w:rFonts w:ascii="Times New Roman" w:hAnsi="Times New Roman"/>
                <w:noProof/>
              </w:rPr>
              <w:t xml:space="preserve"> (BRIS), de nem módosítja annak funkcióit. A jogalkotási javaslat magában foglalja a vállalati adatok nyilvánosságra hozatalára vonatkozó uniós jogszabályok</w:t>
            </w:r>
            <w:r>
              <w:rPr>
                <w:rStyle w:val="FootnoteReference"/>
                <w:rFonts w:ascii="Times New Roman" w:eastAsia="Times New Roman" w:hAnsi="Times New Roman" w:cs="Times New Roman"/>
                <w:noProof/>
                <w:lang w:eastAsia="en-GB"/>
              </w:rPr>
              <w:footnoteReference w:id="5"/>
            </w:r>
            <w:r>
              <w:rPr>
                <w:rFonts w:ascii="Times New Roman" w:hAnsi="Times New Roman"/>
                <w:noProof/>
              </w:rPr>
              <w:t xml:space="preserve"> egyszerűsítését. A platform a lehető legnagyobb mértékben a meglévő uniós és nemzeti informatikai infrastruktúrára (adatbázisokra, nyilvántartásokra) épül annak érdekében, hogy ne növekedjen a vállalkozások adatszolgáltatási terhe. Minden információt összehasonlítható digitális formátumban kell rendelkezésre bocsátani. A platform információs lefedettségére, irányítására és üzleti modelljére vonatkozó részletekről még nem született döntés.</w:t>
            </w:r>
          </w:p>
          <w:p>
            <w:pPr>
              <w:jc w:val="both"/>
              <w:rPr>
                <w:rFonts w:ascii="Times New Roman" w:hAnsi="Times New Roman" w:cs="Times New Roman"/>
                <w:noProof/>
              </w:rPr>
            </w:pPr>
          </w:p>
        </w:tc>
      </w:tr>
      <w:tr>
        <w:trPr>
          <w:trHeight w:val="1160"/>
        </w:trPr>
        <w:tc>
          <w:tcPr>
            <w:tcW w:w="7893" w:type="dxa"/>
            <w:vAlign w:val="center"/>
          </w:tcPr>
          <w:p>
            <w:pPr>
              <w:spacing w:after="160" w:line="252" w:lineRule="auto"/>
              <w:rPr>
                <w:rFonts w:ascii="Times New Roman" w:hAnsi="Times New Roman" w:cs="Times New Roman"/>
                <w:b/>
                <w:noProof/>
                <w:u w:val="single"/>
              </w:rPr>
            </w:pPr>
            <w:r>
              <w:rPr>
                <w:rFonts w:ascii="Times New Roman" w:hAnsi="Times New Roman"/>
                <w:b/>
                <w:noProof/>
                <w:u w:val="single"/>
              </w:rPr>
              <w:t xml:space="preserve">2. intézkedés: </w:t>
            </w:r>
            <w:r>
              <w:rPr>
                <w:rFonts w:ascii="Times New Roman" w:hAnsi="Times New Roman"/>
                <w:b/>
                <w:bCs/>
                <w:noProof/>
                <w:szCs w:val="24"/>
                <w:u w:val="single"/>
              </w:rPr>
              <w:t xml:space="preserve">A nyilvános piacokhoz való hozzáférés támogatása </w:t>
            </w:r>
          </w:p>
          <w:p>
            <w:pPr>
              <w:jc w:val="both"/>
              <w:rPr>
                <w:rFonts w:ascii="Times New Roman" w:hAnsi="Times New Roman"/>
                <w:i/>
                <w:noProof/>
                <w:u w:val="single"/>
              </w:rPr>
            </w:pPr>
            <w:r>
              <w:rPr>
                <w:rFonts w:ascii="Times New Roman" w:hAnsi="Times New Roman"/>
                <w:i/>
                <w:noProof/>
              </w:rPr>
              <w:t xml:space="preserve">A kis és innovatív vállalkozások forráshoz jutásának előmozdítása és diverzifikálása érdekében a Bizottság 2021 negyedik negyedévéig értékelni fogja, hogy a nyilvános piacokra (kkv-tőkefinanszírozási piacokra és szabályozott piacokra) vonatkozó </w:t>
            </w:r>
            <w:r>
              <w:rPr>
                <w:rFonts w:ascii="Times New Roman" w:hAnsi="Times New Roman"/>
                <w:bCs/>
                <w:i/>
                <w:noProof/>
              </w:rPr>
              <w:t>jegyzési szabályok</w:t>
            </w:r>
            <w:r>
              <w:rPr>
                <w:rFonts w:ascii="Times New Roman" w:hAnsi="Times New Roman"/>
                <w:i/>
                <w:noProof/>
              </w:rPr>
              <w:t xml:space="preserve"> tovább egyszerűsíthetők-e.</w:t>
            </w:r>
          </w:p>
          <w:p>
            <w:pPr>
              <w:jc w:val="both"/>
              <w:rPr>
                <w:rFonts w:ascii="Times New Roman" w:hAnsi="Times New Roman" w:cs="Times New Roman"/>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2021. negyedik negyedév</w:t>
            </w:r>
          </w:p>
        </w:tc>
      </w:tr>
      <w:tr>
        <w:trPr>
          <w:trHeight w:val="1520"/>
        </w:trPr>
        <w:tc>
          <w:tcPr>
            <w:tcW w:w="9089" w:type="dxa"/>
            <w:gridSpan w:val="2"/>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Az értékelés különösen a következőkre összpontosít: i. a kkv-k fogalommeghatározásának megfelelősége és következetessége a pénzügyi jogszabályokban; ii. a piaci visszaélésre vonatkozó rendszer lehetséges egyszerűsítése, valamint iii. a szabályozott piacokon és a kkv-tőkefinanszírozási piacokon első alkalommal kibocsátókra vonatkozó átmeneti rendelkezések bevezetésének előnyei.</w:t>
            </w: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3. intézkedés: A hosszú távú befektetési eszközök támogatása</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 Bizottság 2021 harmadik negyedévéig javaslatot fogad el az EHTBA-rendelet</w:t>
            </w:r>
            <w:r>
              <w:rPr>
                <w:rStyle w:val="FootnoteReference"/>
                <w:rFonts w:ascii="Times New Roman" w:hAnsi="Times New Roman" w:cs="Times New Roman"/>
                <w:i/>
                <w:noProof/>
              </w:rPr>
              <w:footnoteReference w:id="6"/>
            </w:r>
            <w:r>
              <w:rPr>
                <w:rFonts w:ascii="Times New Roman" w:hAnsi="Times New Roman"/>
                <w:i/>
                <w:noProof/>
              </w:rPr>
              <w:t xml:space="preserve"> felülvizsgálatáról, amely a 2020-ban elindított nyilvános konzultáció eredményeire és egy hatásvizsgálatra épül.</w:t>
            </w:r>
          </w:p>
          <w:p>
            <w:pPr>
              <w:jc w:val="both"/>
              <w:rPr>
                <w:rFonts w:ascii="Times New Roman" w:hAnsi="Times New Roman" w:cs="Times New Roman"/>
                <w:b/>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2021. harmadik negyedév</w:t>
            </w:r>
          </w:p>
        </w:tc>
      </w:tr>
      <w:tr>
        <w:trPr>
          <w:trHeight w:val="60"/>
        </w:trPr>
        <w:tc>
          <w:tcPr>
            <w:tcW w:w="9089" w:type="dxa"/>
            <w:gridSpan w:val="2"/>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bCs/>
                <w:noProof/>
              </w:rPr>
            </w:pPr>
            <w:r>
              <w:rPr>
                <w:rFonts w:ascii="Times New Roman" w:hAnsi="Times New Roman"/>
                <w:noProof/>
              </w:rPr>
              <w:t>A felülvizsgálat többek között a következőkre terjed ki: i. az EHTBA-k visszaváltási politikája és futamideje;</w:t>
            </w:r>
            <w:r>
              <w:rPr>
                <w:rFonts w:ascii="Times New Roman" w:hAnsi="Times New Roman"/>
                <w:bCs/>
                <w:noProof/>
              </w:rPr>
              <w:t xml:space="preserve"> ii. az EHTBA-k uniós forgalmazásának mértéke; iii. a lakossági befektetőkre vonatkozó befektetési korlátozások megfelelősége; valamint iv. az elfogadható eszközök és befektetések listája, valamint a diverzifikációra vonatkozó szabályok, a portfólió-összetétel és a készpénzkölcsön felvételére vonatkozó korlátok frissítésének szükséges mértéke.</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i/>
                <w:noProof/>
                <w:u w:val="single"/>
              </w:rPr>
            </w:pPr>
            <w:r>
              <w:rPr>
                <w:rFonts w:ascii="Times New Roman" w:hAnsi="Times New Roman"/>
                <w:b/>
                <w:noProof/>
                <w:u w:val="single"/>
              </w:rPr>
              <w:t>4. intézkedés: Az intézményi befektetőktől származó hosszú távú és tőkefinanszírozás növelésének ösztönzése</w:t>
            </w:r>
          </w:p>
          <w:p>
            <w:pPr>
              <w:jc w:val="both"/>
              <w:rPr>
                <w:rFonts w:ascii="Times New Roman" w:hAnsi="Times New Roman" w:cs="Times New Roman"/>
                <w:i/>
                <w:noProof/>
              </w:rPr>
            </w:pPr>
          </w:p>
          <w:p>
            <w:pPr>
              <w:pStyle w:val="ListParagraph"/>
              <w:numPr>
                <w:ilvl w:val="0"/>
                <w:numId w:val="2"/>
              </w:numPr>
              <w:spacing w:after="0" w:line="240" w:lineRule="auto"/>
              <w:jc w:val="both"/>
              <w:rPr>
                <w:rFonts w:ascii="Times New Roman" w:hAnsi="Times New Roman" w:cs="Times New Roman"/>
                <w:i/>
                <w:noProof/>
                <w:szCs w:val="24"/>
              </w:rPr>
            </w:pPr>
            <w:r>
              <w:rPr>
                <w:rFonts w:ascii="Times New Roman" w:hAnsi="Times New Roman"/>
                <w:i/>
                <w:noProof/>
                <w:szCs w:val="24"/>
              </w:rPr>
              <w:t>A Szolvencia II</w:t>
            </w:r>
            <w:r>
              <w:rPr>
                <w:rStyle w:val="FootnoteReference"/>
                <w:rFonts w:ascii="Times New Roman" w:hAnsi="Times New Roman" w:cs="Times New Roman"/>
                <w:i/>
                <w:noProof/>
                <w:szCs w:val="24"/>
              </w:rPr>
              <w:footnoteReference w:id="7"/>
            </w:r>
            <w:r>
              <w:rPr>
                <w:rFonts w:ascii="Times New Roman" w:hAnsi="Times New Roman"/>
                <w:i/>
                <w:noProof/>
                <w:szCs w:val="24"/>
              </w:rPr>
              <w:t xml:space="preserve"> felülvizsgálatának részeként a Bizottság 2021 harmadik negyedévéig értékelni fogja, hogy módosítható-e a jogi keret a biztosítók általi hosszú távú befektetések további előmozdítása érdekében anélkül, hogy sérülne a pénzügyi stabilitás és a szerződők védelme.</w:t>
            </w:r>
          </w:p>
          <w:p>
            <w:pPr>
              <w:ind w:left="360"/>
              <w:rPr>
                <w:rFonts w:ascii="Times New Roman" w:hAnsi="Times New Roman" w:cs="Times New Roman"/>
                <w:b/>
                <w:i/>
                <w:noProof/>
                <w:u w:val="single"/>
              </w:rPr>
            </w:pPr>
          </w:p>
        </w:tc>
        <w:tc>
          <w:tcPr>
            <w:tcW w:w="1196" w:type="dxa"/>
            <w:vAlign w:val="center"/>
          </w:tcPr>
          <w:p>
            <w:pPr>
              <w:jc w:val="both"/>
              <w:rPr>
                <w:rFonts w:ascii="Times New Roman" w:hAnsi="Times New Roman" w:cs="Times New Roman"/>
                <w:i/>
                <w:noProof/>
              </w:rPr>
            </w:pPr>
            <w:r>
              <w:rPr>
                <w:rFonts w:ascii="Times New Roman" w:hAnsi="Times New Roman"/>
                <w:b/>
                <w:noProof/>
              </w:rPr>
              <w:t>2021. harmadik negyedév</w:t>
            </w: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noProof/>
              </w:rPr>
            </w:pPr>
          </w:p>
        </w:tc>
      </w:tr>
      <w:tr>
        <w:trPr>
          <w:trHeight w:val="1160"/>
        </w:trPr>
        <w:tc>
          <w:tcPr>
            <w:tcW w:w="9089" w:type="dxa"/>
            <w:gridSpan w:val="2"/>
            <w:vAlign w:val="center"/>
          </w:tcPr>
          <w:p>
            <w:pPr>
              <w:jc w:val="both"/>
              <w:rPr>
                <w:rFonts w:ascii="Times New Roman" w:hAnsi="Times New Roman" w:cs="Times New Roman"/>
                <w:b/>
                <w:noProof/>
                <w:u w:val="single"/>
              </w:rPr>
            </w:pPr>
          </w:p>
          <w:p>
            <w:pPr>
              <w:jc w:val="both"/>
              <w:rPr>
                <w:rFonts w:ascii="Times New Roman" w:hAnsi="Times New Roman" w:cs="Times New Roman"/>
                <w:noProof/>
                <w:szCs w:val="24"/>
              </w:rPr>
            </w:pPr>
            <w:r>
              <w:rPr>
                <w:rFonts w:ascii="Times New Roman" w:hAnsi="Times New Roman"/>
                <w:noProof/>
                <w:szCs w:val="24"/>
              </w:rPr>
              <w:t>A Szolvencia II felülvizsgálata mindenekelőtt a hosszú távú részvény-eszközkategóriára vonatkozó elfogadhatósági kritériumok megfelelőségét, a kockázati ráhagyás számítását és a biztosítók kötelezettségeinek értékelését fogja vizsgálni azzal a céllal, hogy elkerülhető legyen az indokolatlan prociklikus magatartás, és jobban tükröződjön a biztosítási tevékenység hosszú távú jellege.</w:t>
            </w:r>
          </w:p>
          <w:p>
            <w:pPr>
              <w:jc w:val="both"/>
              <w:rPr>
                <w:rFonts w:ascii="Times New Roman" w:hAnsi="Times New Roman" w:cs="Times New Roman"/>
                <w:noProof/>
              </w:rPr>
            </w:pPr>
          </w:p>
        </w:tc>
      </w:tr>
      <w:tr>
        <w:trPr>
          <w:trHeight w:val="1160"/>
        </w:trPr>
        <w:tc>
          <w:tcPr>
            <w:tcW w:w="7893" w:type="dxa"/>
            <w:vAlign w:val="center"/>
          </w:tcPr>
          <w:p>
            <w:pPr>
              <w:pStyle w:val="ListParagraph"/>
              <w:rPr>
                <w:rFonts w:ascii="Times New Roman" w:hAnsi="Times New Roman" w:cs="Times New Roman"/>
                <w:noProof/>
                <w:u w:val="single"/>
              </w:rPr>
            </w:pPr>
          </w:p>
          <w:p>
            <w:pPr>
              <w:pStyle w:val="ListParagraph"/>
              <w:numPr>
                <w:ilvl w:val="0"/>
                <w:numId w:val="2"/>
              </w:numPr>
              <w:spacing w:after="0" w:line="240" w:lineRule="auto"/>
              <w:jc w:val="both"/>
              <w:rPr>
                <w:rFonts w:ascii="Times New Roman" w:hAnsi="Times New Roman" w:cs="Times New Roman"/>
                <w:noProof/>
                <w:u w:val="single"/>
              </w:rPr>
            </w:pPr>
            <w:r>
              <w:rPr>
                <w:rFonts w:ascii="Times New Roman" w:hAnsi="Times New Roman"/>
                <w:i/>
                <w:noProof/>
                <w:szCs w:val="24"/>
              </w:rPr>
              <w:t>A Bizottság a Bázel III végrehajtásával kapcsolatos munkája során a tőkekövetelmény-rendelet</w:t>
            </w:r>
            <w:r>
              <w:rPr>
                <w:rStyle w:val="FootnoteReference"/>
                <w:rFonts w:ascii="Times New Roman" w:hAnsi="Times New Roman" w:cs="Times New Roman"/>
                <w:i/>
                <w:noProof/>
                <w:szCs w:val="24"/>
              </w:rPr>
              <w:footnoteReference w:id="8"/>
            </w:r>
            <w:r>
              <w:rPr>
                <w:rFonts w:ascii="Times New Roman" w:hAnsi="Times New Roman"/>
                <w:i/>
                <w:noProof/>
                <w:szCs w:val="24"/>
              </w:rPr>
              <w:t>/-irányelv</w:t>
            </w:r>
            <w:r>
              <w:rPr>
                <w:rStyle w:val="FootnoteReference"/>
                <w:rFonts w:ascii="Times New Roman" w:hAnsi="Times New Roman" w:cs="Times New Roman"/>
                <w:i/>
                <w:noProof/>
                <w:szCs w:val="24"/>
              </w:rPr>
              <w:footnoteReference w:id="9"/>
            </w:r>
            <w:r>
              <w:rPr>
                <w:rFonts w:ascii="Times New Roman" w:hAnsi="Times New Roman"/>
                <w:i/>
                <w:noProof/>
                <w:szCs w:val="24"/>
              </w:rPr>
              <w:t xml:space="preserve"> felülvizsgálatakor (tervezett elfogadása 2021 első negyedévében) alkalmazni fogja a Bázel III-ban foglalt rugalmasságot annak érdekében, hogy biztosítsa a bankok hosszú távú kkv-tőkebefektetéseinek megfelelő prudenciális kezelését.</w:t>
            </w:r>
          </w:p>
          <w:p>
            <w:pPr>
              <w:ind w:left="360"/>
              <w:rPr>
                <w:rFonts w:ascii="Times New Roman" w:hAnsi="Times New Roman" w:cs="Times New Roman"/>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2021. első negyedév</w:t>
            </w:r>
          </w:p>
        </w:tc>
      </w:tr>
      <w:tr>
        <w:trPr>
          <w:trHeight w:val="488"/>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A CRR/CRD felülvizsgálatának célja annak elkerülése, hogy a Bázel III végrehajtása indokolatlan hatást fejtsen ki a bankok hosszú távú kkv-tőkebefektetéseire, valamint a bankok és befektetési vállalkozások árjegyzési tevékenységére.</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5. intézkedés: A kkv-k alternatív finanszírozási szolgáltatók felé irányítása</w:t>
            </w:r>
          </w:p>
          <w:p>
            <w:pPr>
              <w:jc w:val="both"/>
              <w:rPr>
                <w:rFonts w:ascii="Times New Roman" w:hAnsi="Times New Roman" w:cs="Times New Roman"/>
                <w:b/>
                <w:noProof/>
                <w:u w:val="single"/>
              </w:rPr>
            </w:pPr>
          </w:p>
          <w:p>
            <w:pPr>
              <w:jc w:val="both"/>
              <w:rPr>
                <w:rFonts w:ascii="Times New Roman" w:hAnsi="Times New Roman" w:cs="Times New Roman"/>
                <w:i/>
                <w:noProof/>
                <w:color w:val="000000"/>
                <w:szCs w:val="24"/>
              </w:rPr>
            </w:pPr>
            <w:r>
              <w:rPr>
                <w:rFonts w:ascii="Times New Roman" w:hAnsi="Times New Roman"/>
                <w:i/>
                <w:noProof/>
                <w:color w:val="000000"/>
                <w:szCs w:val="24"/>
              </w:rPr>
              <w:t>A kkv-k forráshoz jutásának elősegítése céljából a Bizottság 2021 negyedik negyedévéig meg fogja vizsgálni egy olyan továbbirányítási rendszer létrehozásának előnyeit és megvalósíthatóságát, amely alapján a bankoknak alternatív finanszírozási szolgáltatókhoz kell irányítaniuk azokat a kkv-kat, amelyeknek hitelkérelmét elutasították.</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noProof/>
              </w:rPr>
              <w:t>2021. negyedik negyedév</w:t>
            </w:r>
          </w:p>
        </w:tc>
      </w:tr>
      <w:tr>
        <w:trPr>
          <w:trHeight w:val="389"/>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A megvalósíthatósági értékelés elemezni fogja a meglévő banki továbbirányítási rendszerek hatékonyságát. A Bizottság azt is fel fogja tárni, hogy milyen előnyökkel járna, ha kölcsönösen előírnák az alternatív finanszírozási platformok számára, hogy küldjék az elutasított kkv-kat a bankokhoz, valamint hogy ki kell-e terjeszteni a továbbirányítási rendszer hatályát a tőkefinanszírozókra, a közvetítő platformokra és a szakosodott tanácsadó platformokra</w:t>
            </w:r>
          </w:p>
          <w:p>
            <w:pPr>
              <w:jc w:val="both"/>
              <w:rPr>
                <w:rFonts w:ascii="Times New Roman" w:eastAsia="Times New Roman" w:hAnsi="Times New Roman" w:cs="Times New Roman"/>
                <w:noProof/>
                <w:lang w:eastAsia="en-GB"/>
              </w:rPr>
            </w:pPr>
          </w:p>
        </w:tc>
      </w:tr>
      <w:tr>
        <w:trPr>
          <w:trHeight w:val="1160"/>
        </w:trPr>
        <w:tc>
          <w:tcPr>
            <w:tcW w:w="7893" w:type="dxa"/>
            <w:tcBorders>
              <w:bottom w:val="single" w:sz="4" w:space="0" w:color="auto"/>
            </w:tcBorders>
            <w:vAlign w:val="center"/>
          </w:tcPr>
          <w:p>
            <w:pPr>
              <w:jc w:val="both"/>
              <w:rPr>
                <w:rFonts w:ascii="Times New Roman" w:hAnsi="Times New Roman" w:cs="Times New Roman"/>
                <w:b/>
                <w:noProof/>
                <w:szCs w:val="24"/>
                <w:u w:val="single"/>
              </w:rPr>
            </w:pPr>
            <w:r>
              <w:rPr>
                <w:rFonts w:ascii="Times New Roman" w:hAnsi="Times New Roman"/>
                <w:b/>
                <w:noProof/>
                <w:u w:val="single"/>
              </w:rPr>
              <w:t xml:space="preserve">6. intézkedés: </w:t>
            </w:r>
            <w:r>
              <w:rPr>
                <w:rFonts w:ascii="Times New Roman" w:hAnsi="Times New Roman"/>
                <w:b/>
                <w:noProof/>
                <w:szCs w:val="24"/>
                <w:u w:val="single"/>
              </w:rPr>
              <w:t>A bankok támogatása abban, hogy több hitelt nyújtsanak a reálgazdaságnak</w:t>
            </w:r>
          </w:p>
          <w:p>
            <w:pPr>
              <w:jc w:val="both"/>
              <w:rPr>
                <w:rFonts w:ascii="Times New Roman" w:hAnsi="Times New Roman" w:cs="Times New Roman"/>
                <w:b/>
                <w:noProof/>
                <w:u w:val="single"/>
              </w:rPr>
            </w:pPr>
          </w:p>
          <w:p>
            <w:pPr>
              <w:jc w:val="both"/>
              <w:rPr>
                <w:rFonts w:ascii="Times New Roman" w:hAnsi="Times New Roman" w:cs="Times New Roman"/>
                <w:i/>
                <w:noProof/>
                <w:szCs w:val="24"/>
              </w:rPr>
            </w:pPr>
            <w:r>
              <w:rPr>
                <w:rFonts w:ascii="Times New Roman" w:hAnsi="Times New Roman"/>
                <w:i/>
                <w:noProof/>
              </w:rPr>
              <w:t xml:space="preserve">Az </w:t>
            </w:r>
            <w:r>
              <w:rPr>
                <w:rFonts w:ascii="Times New Roman" w:hAnsi="Times New Roman"/>
                <w:i/>
                <w:noProof/>
                <w:szCs w:val="24"/>
              </w:rPr>
              <w:t>uniós értékpapírosítási piac bővítése érdekében a Bizottság 2021 negyedik negyedévéig elvégzi az uniós értékpapírosítási keret</w:t>
            </w:r>
            <w:r>
              <w:rPr>
                <w:rStyle w:val="FootnoteReference"/>
                <w:rFonts w:ascii="Times New Roman" w:hAnsi="Times New Roman" w:cs="Times New Roman"/>
                <w:i/>
                <w:noProof/>
                <w:szCs w:val="24"/>
              </w:rPr>
              <w:footnoteReference w:id="10"/>
            </w:r>
            <w:r>
              <w:rPr>
                <w:rFonts w:ascii="Times New Roman" w:hAnsi="Times New Roman"/>
                <w:i/>
                <w:noProof/>
                <w:szCs w:val="24"/>
              </w:rPr>
              <w:t xml:space="preserve"> átfogó felülvizsgálatát mind az egyszerű, átlátható és egységesített (STS) értékpapírosítás, mind a nem STS értékpapírosítás tekintetében</w:t>
            </w:r>
            <w:r>
              <w:rPr>
                <w:rStyle w:val="FootnoteReference"/>
                <w:rFonts w:ascii="Times New Roman" w:hAnsi="Times New Roman" w:cs="Times New Roman"/>
                <w:i/>
                <w:noProof/>
                <w:szCs w:val="24"/>
              </w:rPr>
              <w:footnoteReference w:id="11"/>
            </w:r>
            <w:r>
              <w:rPr>
                <w:noProof/>
              </w:rPr>
              <w:t>.</w:t>
            </w:r>
          </w:p>
          <w:p>
            <w:pPr>
              <w:jc w:val="both"/>
              <w:rPr>
                <w:rFonts w:ascii="Times New Roman" w:hAnsi="Times New Roman" w:cs="Times New Roman"/>
                <w:i/>
                <w:noProof/>
                <w:u w:val="single"/>
              </w:rPr>
            </w:pPr>
          </w:p>
        </w:tc>
        <w:tc>
          <w:tcPr>
            <w:tcW w:w="1196" w:type="dxa"/>
            <w:tcBorders>
              <w:bottom w:val="single" w:sz="4" w:space="0" w:color="auto"/>
            </w:tcBorders>
            <w:vAlign w:val="center"/>
          </w:tcPr>
          <w:p>
            <w:pPr>
              <w:jc w:val="both"/>
              <w:rPr>
                <w:rFonts w:ascii="Times New Roman" w:hAnsi="Times New Roman" w:cs="Times New Roman"/>
                <w:b/>
                <w:i/>
                <w:noProof/>
              </w:rPr>
            </w:pPr>
            <w:r>
              <w:rPr>
                <w:rFonts w:ascii="Times New Roman" w:hAnsi="Times New Roman"/>
                <w:b/>
                <w:noProof/>
              </w:rPr>
              <w:t>2021. negyedik negyedév</w:t>
            </w:r>
          </w:p>
        </w:tc>
      </w:tr>
      <w:tr>
        <w:trPr>
          <w:trHeight w:val="1881"/>
        </w:trPr>
        <w:tc>
          <w:tcPr>
            <w:tcW w:w="9089" w:type="dxa"/>
            <w:gridSpan w:val="2"/>
            <w:tcBorders>
              <w:bottom w:val="single" w:sz="4" w:space="0" w:color="auto"/>
            </w:tcBorders>
            <w:vAlign w:val="center"/>
          </w:tcPr>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szCs w:val="24"/>
              </w:rPr>
              <w:t xml:space="preserve">A felülvizsgálat célja, hogy megerősítse az értékpapírosítás, mint a bankok rendelkezésére álló olyan eszköz szerepét, amelynek segítségével fenntartható és stabil finanszírozást tudnak nyújtani a reálgazdaságnak a Covid19 utáni környezetben, különös tekintettel a kkv-kra és a zöld átállásra. </w:t>
            </w:r>
            <w:r>
              <w:rPr>
                <w:rFonts w:ascii="Times New Roman" w:hAnsi="Times New Roman"/>
                <w:noProof/>
              </w:rPr>
              <w:t xml:space="preserve">Külön figyelmet fog fordítani a jelenlegi keret azon képességére, hogy megfelelően tükrözze mind az STS értékpapírosítás, mind a nem STS értékpapírosítás eszközeinek tényleges kockázatosságát, beleértve a közzétételi követelmények megfelelőségét, a jelentős kockázat átruházásának elismerésére vonatkozó folyamatot, valamint a készpénz- és szintetikus értékpapírosítás prudenciális kezelését, az </w:t>
            </w:r>
            <w:r>
              <w:rPr>
                <w:rFonts w:ascii="Times New Roman" w:hAnsi="Times New Roman"/>
                <w:noProof/>
                <w:szCs w:val="24"/>
              </w:rPr>
              <w:t>EU pénzügyi stabilitásának megőrzése mellett</w:t>
            </w:r>
            <w:r>
              <w:rPr>
                <w:rFonts w:ascii="Times New Roman" w:hAnsi="Times New Roman"/>
                <w:noProof/>
              </w:rPr>
              <w:t>.</w:t>
            </w:r>
          </w:p>
          <w:p>
            <w:pPr>
              <w:jc w:val="both"/>
              <w:rPr>
                <w:rFonts w:ascii="Times New Roman" w:hAnsi="Times New Roman" w:cs="Times New Roman"/>
                <w:noProof/>
              </w:rPr>
            </w:pPr>
          </w:p>
        </w:tc>
      </w:tr>
      <w:tr>
        <w:tc>
          <w:tcPr>
            <w:tcW w:w="9089" w:type="dxa"/>
            <w:gridSpan w:val="2"/>
            <w:tcBorders>
              <w:top w:val="single" w:sz="4" w:space="0" w:color="auto"/>
              <w:left w:val="nil"/>
              <w:bottom w:val="single" w:sz="4" w:space="0" w:color="auto"/>
              <w:right w:val="nil"/>
            </w:tcBorders>
            <w:vAlign w:val="center"/>
          </w:tcPr>
          <w:p>
            <w:pPr>
              <w:jc w:val="both"/>
              <w:rPr>
                <w:b/>
                <w:i/>
                <w:noProof/>
              </w:rPr>
            </w:pPr>
          </w:p>
          <w:p>
            <w:pPr>
              <w:pStyle w:val="ListParagraph"/>
              <w:numPr>
                <w:ilvl w:val="0"/>
                <w:numId w:val="1"/>
              </w:numPr>
              <w:spacing w:after="0" w:line="240" w:lineRule="auto"/>
              <w:jc w:val="both"/>
              <w:rPr>
                <w:b/>
                <w:i/>
                <w:noProof/>
              </w:rPr>
            </w:pPr>
            <w:r>
              <w:rPr>
                <w:rFonts w:ascii="Times New Roman Bold" w:hAnsi="Times New Roman Bold"/>
                <w:b/>
                <w:smallCaps/>
                <w:noProof/>
                <w:sz w:val="24"/>
                <w:szCs w:val="20"/>
                <w:u w:val="single"/>
              </w:rPr>
              <w:t>Az EU még biztonságosabb hellyé alakítása az egyének megtakarításai és hosszú távú befektetései számára</w:t>
            </w:r>
          </w:p>
          <w:p>
            <w:pPr>
              <w:jc w:val="both"/>
              <w:rPr>
                <w:noProof/>
              </w:rPr>
            </w:pPr>
          </w:p>
        </w:tc>
      </w:tr>
      <w:tr>
        <w:tc>
          <w:tcPr>
            <w:tcW w:w="7893" w:type="dxa"/>
            <w:tcBorders>
              <w:top w:val="single" w:sz="4" w:space="0" w:color="auto"/>
            </w:tcBorders>
            <w:vAlign w:val="center"/>
          </w:tcPr>
          <w:p>
            <w:pPr>
              <w:jc w:val="both"/>
              <w:rPr>
                <w:rFonts w:ascii="Times New Roman" w:hAnsi="Times New Roman" w:cs="Times New Roman"/>
                <w:b/>
                <w:noProof/>
                <w:u w:val="single"/>
              </w:rPr>
            </w:pPr>
            <w:r>
              <w:rPr>
                <w:rFonts w:ascii="Times New Roman" w:hAnsi="Times New Roman"/>
                <w:b/>
                <w:noProof/>
                <w:u w:val="single"/>
              </w:rPr>
              <w:t>7. intézkedés: A polgárok szerepvállalásának növelése a pénzügyi műveltség révén</w:t>
            </w:r>
          </w:p>
          <w:p>
            <w:pPr>
              <w:jc w:val="both"/>
              <w:rPr>
                <w:rFonts w:ascii="Times New Roman" w:hAnsi="Times New Roman" w:cs="Times New Roman"/>
                <w:bCs/>
                <w:i/>
                <w:noProof/>
                <w:color w:val="000000"/>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bCs/>
                <w:i/>
                <w:noProof/>
                <w:color w:val="000000"/>
              </w:rPr>
              <w:t>Annak érdekében, hogy előmozdítsa a hatóságok és a magánszervezetek körében a pénzügyi kompetencia közös értelmezését, továbbá hogy megteremtse a pénzügyi kompetencia különböző alkalmazások révén és keretek között történő fejlesztésének alapját, a Bizottság 2021 második negyedévéig elvégzi egy célzott uniós pénzügyi kompetenciakeret meglévő keretekre épülő kidolgozásának megvalósíthatósági értékelését.</w:t>
            </w:r>
          </w:p>
          <w:p>
            <w:pPr>
              <w:pStyle w:val="ListParagraph"/>
              <w:spacing w:after="0" w:line="240" w:lineRule="auto"/>
              <w:jc w:val="both"/>
              <w:rPr>
                <w:rFonts w:ascii="Times New Roman" w:hAnsi="Times New Roman" w:cs="Times New Roman"/>
                <w:i/>
                <w:noProof/>
              </w:rPr>
            </w:pPr>
          </w:p>
          <w:p>
            <w:pPr>
              <w:jc w:val="both"/>
              <w:rPr>
                <w:rFonts w:ascii="Times New Roman" w:hAnsi="Times New Roman" w:cs="Times New Roman"/>
                <w:i/>
                <w:noProof/>
              </w:rPr>
            </w:pPr>
          </w:p>
        </w:tc>
        <w:tc>
          <w:tcPr>
            <w:tcW w:w="1196" w:type="dxa"/>
            <w:tcBorders>
              <w:top w:val="single" w:sz="4" w:space="0" w:color="auto"/>
            </w:tcBorders>
            <w:vAlign w:val="center"/>
          </w:tcPr>
          <w:p>
            <w:pPr>
              <w:jc w:val="both"/>
              <w:rPr>
                <w:rFonts w:ascii="Times New Roman" w:hAnsi="Times New Roman" w:cs="Times New Roman"/>
                <w:b/>
                <w:noProof/>
              </w:rPr>
            </w:pPr>
            <w:r>
              <w:rPr>
                <w:rFonts w:ascii="Times New Roman" w:hAnsi="Times New Roman"/>
                <w:b/>
                <w:noProof/>
              </w:rPr>
              <w:t>2021. második negyedév</w:t>
            </w:r>
          </w:p>
          <w:p>
            <w:pPr>
              <w:jc w:val="both"/>
              <w:rPr>
                <w:rFonts w:ascii="Times New Roman" w:hAnsi="Times New Roman" w:cs="Times New Roman"/>
                <w:noProof/>
              </w:rPr>
            </w:pP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Ennek az intézkedésnek a célja közös fogalmi alap biztosítása az uniós hatóságok és magánszervezetek számára olyan szakpolitikák, valamint tanulási alkalmazások és anyagok kidolgozásához, amelyek az egyének pénzügyi kompetenciájának növelésére irányulnak. Az intézkedés a vonatkozó meglévő keretekre épül, és tiszteletben tartja a szubszidiaritás elvét.</w:t>
            </w:r>
          </w:p>
          <w:p>
            <w:pPr>
              <w:jc w:val="both"/>
              <w:rPr>
                <w:rFonts w:ascii="Times New Roman" w:hAnsi="Times New Roman" w:cs="Times New Roman"/>
                <w:noProof/>
              </w:rPr>
            </w:pPr>
          </w:p>
        </w:tc>
      </w:tr>
      <w:tr>
        <w:tc>
          <w:tcPr>
            <w:tcW w:w="7893" w:type="dxa"/>
            <w:vAlign w:val="center"/>
          </w:tcPr>
          <w:p>
            <w:pPr>
              <w:pStyle w:val="ListParagraph"/>
              <w:jc w:val="both"/>
              <w:rPr>
                <w:rFonts w:ascii="Times New Roman" w:hAnsi="Times New Roman" w:cs="Times New Roman"/>
                <w:i/>
                <w:noProof/>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i/>
                <w:noProof/>
                <w:color w:val="000000"/>
              </w:rPr>
              <w:t xml:space="preserve">A Bizottság fel fogja mérni, hogy indokolt-e </w:t>
            </w:r>
            <w:r>
              <w:rPr>
                <w:rFonts w:ascii="Times New Roman" w:hAnsi="Times New Roman"/>
                <w:bCs/>
                <w:i/>
                <w:noProof/>
                <w:color w:val="000000"/>
              </w:rPr>
              <w:t>a jelzáloghitel-irányelv</w:t>
            </w:r>
            <w:r>
              <w:rPr>
                <w:rStyle w:val="FootnoteReference"/>
                <w:rFonts w:ascii="Times New Roman" w:hAnsi="Times New Roman" w:cs="Times New Roman"/>
                <w:bCs/>
                <w:i/>
                <w:noProof/>
                <w:color w:val="000000"/>
                <w:lang w:val="en-US"/>
              </w:rPr>
              <w:footnoteReference w:id="12"/>
            </w:r>
            <w:r>
              <w:rPr>
                <w:rFonts w:ascii="Times New Roman" w:hAnsi="Times New Roman"/>
                <w:bCs/>
                <w:i/>
                <w:noProof/>
                <w:color w:val="000000"/>
              </w:rPr>
              <w:t xml:space="preserve"> 6. cikkében rögzített elv kiterjesztése</w:t>
            </w:r>
            <w:r>
              <w:rPr>
                <w:rFonts w:ascii="Times New Roman" w:hAnsi="Times New Roman"/>
                <w:i/>
                <w:noProof/>
                <w:color w:val="000000"/>
              </w:rPr>
              <w:t xml:space="preserve"> a releváns ágazati jogszabályokra – </w:t>
            </w:r>
            <w:r>
              <w:rPr>
                <w:rFonts w:ascii="Times New Roman" w:hAnsi="Times New Roman"/>
                <w:bCs/>
                <w:i/>
                <w:noProof/>
                <w:color w:val="000000"/>
              </w:rPr>
              <w:t>a pénzügyi eszközök piacairól szóló irányelvre</w:t>
            </w:r>
            <w:r>
              <w:rPr>
                <w:rStyle w:val="FootnoteReference"/>
                <w:rFonts w:ascii="Times New Roman" w:hAnsi="Times New Roman" w:cs="Times New Roman"/>
                <w:bCs/>
                <w:i/>
                <w:noProof/>
                <w:color w:val="000000"/>
                <w:lang w:val="en-US"/>
              </w:rPr>
              <w:footnoteReference w:id="13"/>
            </w:r>
            <w:r>
              <w:rPr>
                <w:rFonts w:ascii="Times New Roman" w:hAnsi="Times New Roman"/>
                <w:bCs/>
                <w:i/>
                <w:noProof/>
                <w:color w:val="000000"/>
              </w:rPr>
              <w:t xml:space="preserve"> (MiFID), a biztosítási értékesítésről szóló irányelvre</w:t>
            </w:r>
            <w:r>
              <w:rPr>
                <w:rStyle w:val="FootnoteReference"/>
                <w:rFonts w:ascii="Times New Roman" w:hAnsi="Times New Roman" w:cs="Times New Roman"/>
                <w:bCs/>
                <w:i/>
                <w:noProof/>
                <w:color w:val="000000"/>
                <w:lang w:val="en-US"/>
              </w:rPr>
              <w:footnoteReference w:id="14"/>
            </w:r>
            <w:r>
              <w:rPr>
                <w:rFonts w:ascii="Times New Roman" w:hAnsi="Times New Roman"/>
                <w:bCs/>
                <w:i/>
                <w:noProof/>
                <w:color w:val="000000"/>
              </w:rPr>
              <w:t xml:space="preserve"> (IDD), a páneurópai egyéni nyugdíjtermékről szóló rendeletre</w:t>
            </w:r>
            <w:r>
              <w:rPr>
                <w:rStyle w:val="FootnoteReference"/>
                <w:rFonts w:ascii="Times New Roman" w:hAnsi="Times New Roman" w:cs="Times New Roman"/>
                <w:bCs/>
                <w:i/>
                <w:noProof/>
                <w:color w:val="000000"/>
                <w:lang w:val="en-US"/>
              </w:rPr>
              <w:footnoteReference w:id="15"/>
            </w:r>
            <w:r>
              <w:rPr>
                <w:rFonts w:ascii="Times New Roman" w:hAnsi="Times New Roman"/>
                <w:bCs/>
                <w:i/>
                <w:noProof/>
                <w:color w:val="000000"/>
              </w:rPr>
              <w:t xml:space="preserve"> (PEPP), az átruházható értékpapírokkal foglalkozó kollektív befektetési vállalkozásokról szóló irányelvre</w:t>
            </w:r>
            <w:r>
              <w:rPr>
                <w:rStyle w:val="FootnoteReference"/>
                <w:rFonts w:ascii="Times New Roman" w:hAnsi="Times New Roman" w:cs="Times New Roman"/>
                <w:bCs/>
                <w:i/>
                <w:noProof/>
                <w:color w:val="000000"/>
                <w:lang w:val="en-US"/>
              </w:rPr>
              <w:footnoteReference w:id="16"/>
            </w:r>
            <w:r>
              <w:rPr>
                <w:rFonts w:ascii="Times New Roman" w:hAnsi="Times New Roman"/>
                <w:bCs/>
                <w:i/>
                <w:noProof/>
                <w:color w:val="000000"/>
              </w:rPr>
              <w:t xml:space="preserve"> (ÁÉKBV), a lakossági befektetési csomagtermékekről, illetve biztosítási alapú befektetési termékekről szóló</w:t>
            </w:r>
            <w:r>
              <w:rPr>
                <w:rFonts w:ascii="Times New Roman" w:hAnsi="Times New Roman"/>
                <w:i/>
                <w:noProof/>
                <w:color w:val="000000"/>
              </w:rPr>
              <w:t xml:space="preserve"> rendeletre</w:t>
            </w:r>
            <w:r>
              <w:rPr>
                <w:rStyle w:val="FootnoteReference"/>
                <w:rFonts w:ascii="Times New Roman" w:hAnsi="Times New Roman" w:cs="Times New Roman"/>
                <w:i/>
                <w:noProof/>
                <w:color w:val="000000"/>
                <w:lang w:val="en-US"/>
              </w:rPr>
              <w:footnoteReference w:id="17"/>
            </w:r>
            <w:r>
              <w:rPr>
                <w:rFonts w:ascii="Times New Roman" w:hAnsi="Times New Roman"/>
                <w:i/>
                <w:noProof/>
                <w:color w:val="000000"/>
              </w:rPr>
              <w:t xml:space="preserve"> (</w:t>
            </w:r>
            <w:r>
              <w:rPr>
                <w:rFonts w:ascii="Times New Roman" w:hAnsi="Times New Roman"/>
                <w:bCs/>
                <w:i/>
                <w:noProof/>
                <w:color w:val="000000"/>
              </w:rPr>
              <w:t>PRIIP</w:t>
            </w:r>
            <w:r>
              <w:rPr>
                <w:rFonts w:ascii="Times New Roman" w:hAnsi="Times New Roman"/>
                <w:i/>
                <w:noProof/>
                <w:color w:val="000000"/>
              </w:rPr>
              <w:t>). Azzal a céllal teszi ezt, hogy – ha pozitív hatásvizsgálat támasztja alá – horizontális salátajogszabályt javasoljon, amely előírja a tagállamok számára olyan formális, nem formális és/vagy informális tanulási intézkedések előmozdítását, amelyek támogatják a fogyasztók pénzügyi képzését, különösen a felelős befektetéssel kapcsolatban.</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highlight w:val="yellow"/>
              </w:rPr>
            </w:pPr>
            <w:r>
              <w:rPr>
                <w:rFonts w:ascii="Times New Roman" w:hAnsi="Times New Roman"/>
                <w:b/>
                <w:noProof/>
              </w:rPr>
              <w:t>2022. első negyedév</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 xml:space="preserve">Ezen intézkedés célja, hogy a jelzáloghitel-irányelvben meghatározott jogi precedensre építve – </w:t>
            </w:r>
            <w:r>
              <w:rPr>
                <w:rFonts w:ascii="Times New Roman" w:hAnsi="Times New Roman"/>
                <w:noProof/>
                <w:color w:val="000000"/>
              </w:rPr>
              <w:t>a szubszidiaritás elvének teljes körű tiszteletben tartása mellett, és pozitív hatásvizsgálat esetén</w:t>
            </w:r>
            <w:r>
              <w:rPr>
                <w:rFonts w:ascii="Times New Roman" w:hAnsi="Times New Roman"/>
                <w:noProof/>
              </w:rPr>
              <w:t xml:space="preserve"> – más ágazati jogszabályokban (MiFID II, IDD, PEPP, UCITS, PRIIP) is előírja a tagállamok számára, hogy mozdítsák elő a fogyasztók felelős befektetés tekintetében történő pénzügyi képzését támogató tanulási intézkedéseket.</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8. intézkedés: A lakossági befektetők tőkepiacok iránti bizalmának kiépítése</w:t>
            </w:r>
          </w:p>
          <w:p>
            <w:pPr>
              <w:jc w:val="both"/>
              <w:rPr>
                <w:rFonts w:ascii="Times New Roman" w:hAnsi="Times New Roman" w:cs="Times New Roman"/>
                <w:b/>
                <w:i/>
                <w:noProof/>
                <w:u w:val="single"/>
              </w:rPr>
            </w:pPr>
            <w:r>
              <w:rPr>
                <w:rFonts w:ascii="Times New Roman" w:hAnsi="Times New Roman"/>
                <w:b/>
                <w:i/>
                <w:noProof/>
                <w:u w:val="single"/>
              </w:rPr>
              <w:t xml:space="preserve"> </w:t>
            </w: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A Bizottság értékelni fogja az ösztönzők és a közzététel területén alkalmazandó szabályokat, és ha szükséges, javasolni fogja a hatályos jogi keret módosítását annak biztosítása érdekében, hogy a lakossági befektetők tisztességes és megfelelő tanácsadásban részesüljenek, és világos és összehasonlítható termékinformációkat kapjanak.</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2022. első negyedév</w:t>
            </w:r>
          </w:p>
        </w:tc>
      </w:tr>
      <w:tr>
        <w:tc>
          <w:tcPr>
            <w:tcW w:w="9089" w:type="dxa"/>
            <w:gridSpan w:val="2"/>
            <w:vAlign w:val="center"/>
          </w:tcPr>
          <w:p>
            <w:pPr>
              <w:jc w:val="both"/>
              <w:rPr>
                <w:rFonts w:ascii="Times New Roman" w:hAnsi="Times New Roman" w:cs="Times New Roman"/>
                <w:noProof/>
                <w:highlight w:val="yellow"/>
              </w:rPr>
            </w:pPr>
          </w:p>
          <w:p>
            <w:pPr>
              <w:jc w:val="both"/>
              <w:rPr>
                <w:rFonts w:ascii="Times New Roman" w:hAnsi="Times New Roman" w:cs="Times New Roman"/>
                <w:noProof/>
              </w:rPr>
            </w:pPr>
            <w:r>
              <w:rPr>
                <w:rFonts w:ascii="Times New Roman" w:hAnsi="Times New Roman"/>
                <w:noProof/>
              </w:rPr>
              <w:t>A forgalmazás területén az értékelés többek között a következőkre irányuló lehetséges intézkedéseket veszi figyelembe: i. a biztosítási értékesítésről szóló irányelv befektetővédelmi standardjainak a MIFID II szerintiekkel való összehangolása; ii. a forgalmazók felkérése arra, hogy tájékoztassák ügyfeleiket a harmadik felektől származó termékek létezéséről; iii. az ösztönzők átláthatóságának javítása az ügyfelek számára; és iv. a lakossági termékek forgalmazói számára külön adatszolgáltatási követelmények bevezetése a felügyeleti ellenőrzés lehetővé tétele érdekében. A közzététel területén különös figyelmet kell fordítani a fogyasztói szerepvállalás javítására, a digitális megjelenítésre és a kiemelt információkkal való interakcióra, amely lehetővé teszi az összehasonlítást, az interakciót és a testreszabást. Ennek az intézkedésnek magában kell foglalnia a fenntarthatósággal kapcsolatos információk közzétételének javítását, ami fokozná a fenntartható termékek lakossági befektetők általi igénybevételét. A Bizottság 2022 első negyedévéig befejezi az értékelést.</w:t>
            </w:r>
          </w:p>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Ezt követően a Bizottság előterjeszti a szükséges jogszabály-módosításokat a forgalmazóknak fizetett ösztönzőkből eredő esetleges összeférhetetlenségek, valamint a jelenlegi közzétételi keret hiányosságainak kezelése érdekében, főként az IDD, a MiFID II és a PRIIP jobb összehangolására törekedve. Pozitív hatásvizsgálat esetén ezek a módosítások bevezetésre kerülnek a biztosítási értékesítésről szóló irányelvben, a MiFID II. irányelvben és a PRIIP-rendeletben.</w:t>
            </w:r>
          </w:p>
          <w:p>
            <w:pPr>
              <w:jc w:val="both"/>
              <w:rPr>
                <w:rFonts w:ascii="Times New Roman" w:hAnsi="Times New Roman" w:cs="Times New Roman"/>
                <w:i/>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i/>
                <w:noProof/>
              </w:rPr>
              <w:t>A Bizottság 2021 negyedik negyedévéig/2022 első negyedévéig a MiFID II módosítására irányuló jogalkotási javaslatot terjeszt elő a lakossági befektetők egy csoportjára vonatkozó adminisztratív terhek és tájékoztatási követelmények csökkentése érdekében. Ez magában foglalja vagy a lakossági, illetve szakmai befektetők meglévő kategorizálásának felülvizsgálatát, vagy a minősített befektető új kategóriájának bevezetését.</w:t>
            </w:r>
          </w:p>
          <w:p>
            <w:pPr>
              <w:ind w:left="360"/>
              <w:jc w:val="bot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2021. negyedik negyedév / 2022. első negyedév</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bCs/>
                <w:noProof/>
              </w:rPr>
            </w:pPr>
            <w:r>
              <w:rPr>
                <w:rFonts w:ascii="Times New Roman" w:hAnsi="Times New Roman"/>
                <w:noProof/>
              </w:rPr>
              <w:t xml:space="preserve">Ennek az intézkedésnek a </w:t>
            </w:r>
            <w:r>
              <w:rPr>
                <w:rFonts w:ascii="Times New Roman" w:hAnsi="Times New Roman"/>
                <w:bCs/>
                <w:noProof/>
              </w:rPr>
              <w:t>célja a befektetők MiFID II kereten belüli kategorizálásának javítása a vállalatok adminisztratív terheinek csökkentése érdekében, valamint azért, hogy enyhüljenek a biztosítékokra és a tájékoztatásra vonatkozó szükségtelen követelmények azon befektetői csoport esetében, akik jelenleg lakossági befektetőnek minősülnek, noha jól ismerik a pénzügyi piacokat és termékeket. Az említett javaslat hatásvizsgálat tárgyát fogja képezni.</w:t>
            </w:r>
          </w:p>
          <w:p>
            <w:pPr>
              <w:jc w:val="both"/>
              <w:rPr>
                <w:rFonts w:ascii="Times New Roman" w:hAnsi="Times New Roman" w:cs="Times New Roman"/>
                <w:bCs/>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A biztosítási értékesítésről szóló irányelv 2023 első negyedévéig, továbbá a MiFID II 2021 negyedik negyedévéig elvégzendő felülvizsgálata keretében készített pozitív hatásvizsgálat függvényében a Bizottság bevezeti a tanácsadók esetében azt a követelményt, hogy olyan tanúsítványt kell beszerezniük, amely igazolja, hogy a szakma gyakorlásához elegendő szintű tudással és képesítéssel rendelkeznek, és amelyből kiderül, hogy megfelelő szintű folyamatos oktatásban vesznek részt. Ennek célja a tanácsadói teljesítmény kielégítő szintjének fenntartása.</w:t>
            </w:r>
          </w:p>
          <w:p>
            <w:pPr>
              <w:jc w:val="both"/>
              <w:rPr>
                <w:rFonts w:ascii="Times New Roman" w:eastAsia="Times New Roman" w:hAnsi="Times New Roman" w:cs="Times New Roman"/>
                <w:bCs/>
                <w:i/>
                <w:noProof/>
                <w:lang w:val="en-US" w:eastAsia="en-GB"/>
              </w:rPr>
            </w:pPr>
          </w:p>
          <w:p>
            <w:pPr>
              <w:ind w:left="720"/>
              <w:jc w:val="both"/>
              <w:rPr>
                <w:rFonts w:ascii="Times New Roman" w:hAnsi="Times New Roman" w:cs="Times New Roman"/>
                <w:b/>
                <w:i/>
                <w:noProof/>
              </w:rPr>
            </w:pPr>
            <w:r>
              <w:rPr>
                <w:rFonts w:ascii="Times New Roman" w:hAnsi="Times New Roman"/>
                <w:i/>
                <w:noProof/>
              </w:rPr>
              <w:t>Emellett a Bizottság 2022 első negyedévéig értékelni fogja egy olyan páneurópai címke létrehozásának megvalósíthatóságát a pénzügyi tanácsadók esetében, amely a tanúsítvány megszerzésére vonatkozó követelménynek való megfeleléshez használható.</w:t>
            </w:r>
          </w:p>
          <w:p>
            <w:pPr>
              <w:jc w:val="both"/>
              <w:rPr>
                <w:rFonts w:ascii="Times New Roman" w:hAnsi="Times New Roman" w:cs="Times New Roman"/>
                <w:b/>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2023. első negyedév</w:t>
            </w:r>
          </w:p>
          <w:p>
            <w:pPr>
              <w:jc w:val="both"/>
              <w:rPr>
                <w:rFonts w:ascii="Times New Roman" w:hAnsi="Times New Roman" w:cs="Times New Roman"/>
                <w:b/>
                <w:noProof/>
              </w:rPr>
            </w:pPr>
            <w:r>
              <w:rPr>
                <w:rFonts w:ascii="Times New Roman" w:hAnsi="Times New Roman"/>
                <w:b/>
                <w:noProof/>
              </w:rPr>
              <w:t>2021. negyedik negyedév</w:t>
            </w:r>
          </w:p>
          <w:p>
            <w:pPr>
              <w:jc w:val="both"/>
              <w:rPr>
                <w:rFonts w:ascii="Times New Roman" w:hAnsi="Times New Roman" w:cs="Times New Roman"/>
                <w:b/>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2022. első negyedév</w:t>
            </w:r>
          </w:p>
        </w:tc>
      </w:tr>
      <w:tr>
        <w:tc>
          <w:tcPr>
            <w:tcW w:w="9089" w:type="dxa"/>
            <w:gridSpan w:val="2"/>
            <w:vAlign w:val="center"/>
          </w:tcPr>
          <w:p>
            <w:pPr>
              <w:jc w:val="both"/>
              <w:rPr>
                <w:rFonts w:ascii="Times New Roman" w:eastAsia="Times New Roman" w:hAnsi="Times New Roman" w:cs="Times New Roman"/>
                <w:bCs/>
                <w:noProof/>
                <w:lang w:eastAsia="en-GB"/>
              </w:rPr>
            </w:pPr>
          </w:p>
          <w:p>
            <w:pPr>
              <w:jc w:val="both"/>
              <w:rPr>
                <w:rFonts w:ascii="Times New Roman" w:hAnsi="Times New Roman" w:cs="Times New Roman"/>
                <w:b/>
                <w:noProof/>
                <w:u w:val="single"/>
              </w:rPr>
            </w:pPr>
            <w:r>
              <w:rPr>
                <w:rFonts w:ascii="Times New Roman" w:hAnsi="Times New Roman"/>
                <w:bCs/>
                <w:noProof/>
              </w:rPr>
              <w:t>Ezek az intézkedések egyenlő versenyfeltételeket biztosítanak a tanácsadók számára, és tovább javítják a pénzügyi tanácsadás minőségét az EU-ban, többek között a fenntarthatósággal kapcsolatban.</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9. intézkedés: Az emberek nyugdíjjal kapcsolatos támogatása</w:t>
            </w:r>
          </w:p>
          <w:p>
            <w:pPr>
              <w:jc w:val="both"/>
              <w:rPr>
                <w:rFonts w:ascii="Times New Roman" w:hAnsi="Times New Roman" w:cs="Times New Roman"/>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A tagállamokbeli nyugdíjak megfelelősége tekintetében a helyzet nyomon követésének megerősítése érdekében a Bizottság törekedni fog arra, hogy meghatározza egy mutatókkal ellátott nyugdíj-eredménytábla kidolgozásához szükséges releváns adatokat és módszertant.</w:t>
            </w:r>
          </w:p>
          <w:p>
            <w:pPr>
              <w:pStyle w:val="ListParagraph"/>
              <w:jc w:val="both"/>
              <w:rPr>
                <w:rFonts w:ascii="Times New Roman" w:hAnsi="Times New Roman" w:cs="Times New Roman"/>
                <w:i/>
                <w:noProof/>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Az egyénre szabott nyugdíj-információkhoz való hozzáférés megkönnyítése és az emberek jövőbeli nyugdíjjövedelemmel kapcsolatos tudatosságának növelése érdekében a Bizottság törekedni fog a nemzeti nyomonkövetési rendszerek létrehozására vonatkozó legjobb gyakorlatok kidolgozására.</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2021. negyedik negyedév</w:t>
            </w:r>
          </w:p>
          <w:p>
            <w:pPr>
              <w:jc w:val="both"/>
              <w:rPr>
                <w:rFonts w:ascii="Times New Roman" w:hAnsi="Times New Roman" w:cs="Times New Roman"/>
                <w:noProof/>
              </w:rPr>
            </w:pP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2021. negyedik negyedév</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A Bizottság 2020 negyedik negyedévéig szakvéleményt fog kérni az Európai Biztosítás- és Foglalkoztatóinyugdíj-hatóságtól (EIOPA), hogy i. azonosítsa azokat az adatokat, amelyeket a foglalkoztatóinyugdíj-szolgáltatóknak jelenteniük kellene a mutatókat tartalmazó nyugdíj-eredménytáblák kidolgozásának lehetővé tétele érdekében, valamint hogy ii. kikérje a hatóság véleményét a nemzeti nyomonkövetési rendszerek létrehozására vonatkozó legjobb gyakorlatok kidolgozásáról. A szakvélemény benyújtására az EIOPA számára kitűzött határidő 2021 negyedik negyedéve.</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A Bizottság tanulmányt készít az automatikus beléptetési gyakorlatokról és adott esetben más gyakorlatokat is megvizsgál, amelyekkel ösztönözhető a foglalkoztatói nyugdíjrendszerekben való részvétel, azzal a céllal, hogy kidolgozza az ilyen tagállami rendszerek tekintetében a legjobb módszereket.</w:t>
            </w:r>
          </w:p>
          <w:p>
            <w:pPr>
              <w:ind w:left="360"/>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2020. harmadik negyedév</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A Bizottság 2020 harmadik negyedévében külső tanulmányt indít a foglalkoztatói nyugdíjrendszerekbe való automatikus beléptetés meglévő gyakorlatainak elemzése céljából, az uniós legjobb gyakorlatok kidolgozása érdekében. Az automatikus beléptetés olyan mechanizmus, amelynek keretében a megtakarítókat automatikusan beléptetik egy nyugdíj-előtakarékossági rendszerbe, kivéve, ha saját akaratukból a kívülmaradás mellett döntenek.</w:t>
            </w:r>
          </w:p>
          <w:p>
            <w:pPr>
              <w:jc w:val="both"/>
              <w:rPr>
                <w:rFonts w:ascii="Times New Roman" w:hAnsi="Times New Roman" w:cs="Times New Roman"/>
                <w:noProof/>
              </w:rPr>
            </w:pPr>
          </w:p>
        </w:tc>
      </w:tr>
    </w:tbl>
    <w:p>
      <w:pPr>
        <w:jc w:val="both"/>
        <w:rPr>
          <w:noProof/>
        </w:rPr>
      </w:pPr>
    </w:p>
    <w:p>
      <w:pPr>
        <w:pStyle w:val="ListParagraph"/>
        <w:numPr>
          <w:ilvl w:val="0"/>
          <w:numId w:val="1"/>
        </w:numPr>
        <w:jc w:val="both"/>
        <w:rPr>
          <w:noProof/>
        </w:rPr>
      </w:pPr>
      <w:r>
        <w:rPr>
          <w:rFonts w:ascii="Times New Roman Bold" w:hAnsi="Times New Roman Bold"/>
          <w:b/>
          <w:smallCaps/>
          <w:noProof/>
          <w:sz w:val="24"/>
          <w:szCs w:val="20"/>
          <w:u w:val="single"/>
        </w:rPr>
        <w:t>A nemzeti tőkepiacok valódi egységes piacba való integrálása</w:t>
      </w:r>
    </w:p>
    <w:tbl>
      <w:tblPr>
        <w:tblStyle w:val="TableGrid"/>
        <w:tblW w:w="0" w:type="auto"/>
        <w:tblLook w:val="04A0" w:firstRow="1" w:lastRow="0" w:firstColumn="1" w:lastColumn="0" w:noHBand="0" w:noVBand="1"/>
      </w:tblPr>
      <w:tblGrid>
        <w:gridCol w:w="8046"/>
        <w:gridCol w:w="1196"/>
      </w:tblGrid>
      <w:tr>
        <w:trPr>
          <w:trHeight w:val="841"/>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10. intézkedés: A határokon átnyúló befektetésekre nehezedő, adókkal összefüggő teher enyhítése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 határokon átnyúlóan tevékenykedő befektetők adókkal kapcsolatos költségeinek csökkentése és az adócsalás megelőzése érdekében a Bizottság 2022 negyedik negyedévéig – pozitív hatásvizsgálat függvényében és a tagállamokkal szoros konzultációt folytatva – jogalkotási kezdeményezést fog előterjeszteni, valamint további lehetőségeket fog keresni a forrásadó-kedvezmény egész EU-ra kiterjedő, közös szabványosított rendszerének bevezetésére.</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2022. negyedik negyedév</w:t>
            </w:r>
          </w:p>
        </w:tc>
      </w:tr>
      <w:tr>
        <w:trPr>
          <w:trHeight w:val="1160"/>
        </w:trPr>
        <w:tc>
          <w:tcPr>
            <w:tcW w:w="9242" w:type="dxa"/>
            <w:gridSpan w:val="2"/>
            <w:vAlign w:val="center"/>
          </w:tcPr>
          <w:p>
            <w:pPr>
              <w:jc w:val="both"/>
              <w:rPr>
                <w:rFonts w:ascii="Times New Roman" w:hAnsi="Times New Roman" w:cs="Times New Roman"/>
                <w:b/>
                <w:i/>
                <w:noProof/>
                <w:u w:val="single"/>
              </w:rPr>
            </w:pPr>
            <w:r>
              <w:rPr>
                <w:rFonts w:ascii="Times New Roman" w:hAnsi="Times New Roman"/>
                <w:noProof/>
              </w:rPr>
              <w:t>Ez a munka figyelembe veszi majd az OECD „a kettős adóztatási egyezményekből eredő adókedvezményekkel és a betartatás fokozásával”</w:t>
            </w:r>
            <w:r>
              <w:rPr>
                <w:rStyle w:val="FootnoteReference"/>
                <w:rFonts w:ascii="Times New Roman" w:eastAsia="Times New Roman" w:hAnsi="Times New Roman" w:cs="Times New Roman"/>
                <w:noProof/>
                <w:lang w:val="en-US" w:eastAsia="en-GB"/>
              </w:rPr>
              <w:footnoteReference w:id="18"/>
            </w:r>
            <w:r>
              <w:rPr>
                <w:rFonts w:ascii="Times New Roman" w:hAnsi="Times New Roman"/>
                <w:noProof/>
              </w:rPr>
              <w:t xml:space="preserve"> foglalkozó projektjét (TRACE) és más uniós kezdeményezéseket ezen a területen, például a forrásadóra vonatkozó magatartási kódexet.</w:t>
            </w:r>
            <w:r>
              <w:rPr>
                <w:rStyle w:val="FootnoteReference"/>
                <w:rFonts w:ascii="Times New Roman" w:hAnsi="Times New Roman"/>
                <w:noProof/>
              </w:rPr>
              <w:t xml:space="preserve"> </w:t>
            </w:r>
            <w:r>
              <w:rPr>
                <w:rStyle w:val="FootnoteReference"/>
                <w:rFonts w:ascii="Times New Roman" w:eastAsia="Times New Roman" w:hAnsi="Times New Roman" w:cs="Times New Roman"/>
                <w:noProof/>
                <w:lang w:val="en-US" w:eastAsia="en-GB"/>
              </w:rPr>
              <w:footnoteReference w:id="19"/>
            </w:r>
          </w:p>
          <w:p>
            <w:pPr>
              <w:jc w:val="both"/>
              <w:rPr>
                <w:rFonts w:ascii="Times New Roman" w:hAnsi="Times New Roman" w:cs="Times New Roman"/>
                <w:b/>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11. intézkedés: A határokon átnyúló beruházások tekintetében a fizetésképtelenségi eljárások eredményeinek kiszámíthatóbbá tétele</w:t>
            </w:r>
          </w:p>
          <w:p>
            <w:pPr>
              <w:jc w:val="both"/>
              <w:rPr>
                <w:rFonts w:ascii="Times New Roman" w:hAnsi="Times New Roman" w:cs="Times New Roman"/>
                <w:b/>
                <w:i/>
                <w:noProof/>
              </w:rPr>
            </w:pPr>
          </w:p>
          <w:p>
            <w:pPr>
              <w:pStyle w:val="ListParagraph"/>
              <w:numPr>
                <w:ilvl w:val="0"/>
                <w:numId w:val="6"/>
              </w:numPr>
              <w:spacing w:after="0" w:line="240" w:lineRule="auto"/>
              <w:jc w:val="both"/>
              <w:rPr>
                <w:rFonts w:ascii="Times New Roman" w:hAnsi="Times New Roman" w:cs="Times New Roman"/>
                <w:b/>
                <w:i/>
                <w:noProof/>
                <w:u w:val="single"/>
              </w:rPr>
            </w:pPr>
            <w:r>
              <w:rPr>
                <w:rFonts w:ascii="Times New Roman" w:hAnsi="Times New Roman"/>
                <w:i/>
                <w:noProof/>
              </w:rPr>
              <w:t>A fizetésképtelenségi eljárások eredményének kiszámíthatóbbá tétele érdekében a Bizottság 2022 közepéig jogalkotási vagy nem jogalkotási kezdeményezést fog tenni a nem banki fizetésképtelenség célzott területeinek minimális harmonizációja vagy fokozott konvergenciája érdekében.</w:t>
            </w:r>
          </w:p>
          <w:p>
            <w:pPr>
              <w:pStyle w:val="ListParagrap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2022. második negyedév</w:t>
            </w:r>
          </w:p>
          <w:p>
            <w:pPr>
              <w:jc w:val="both"/>
              <w:rPr>
                <w:rFonts w:ascii="Times New Roman" w:hAnsi="Times New Roman" w:cs="Times New Roman"/>
                <w:b/>
                <w:noProof/>
              </w:rPr>
            </w:pPr>
          </w:p>
        </w:tc>
      </w:tr>
      <w:tr>
        <w:trPr>
          <w:trHeight w:val="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noProof/>
              </w:rPr>
              <w:t xml:space="preserve">A jogalkotási vagy nem jogalkotási eszközre irányuló kezdeményezés magában foglalhatja a fizetésképtelenségi eljárást kiváltó tényezők definícióját, a követelések rangsorolását (a fizetésképtelenség során a hitelezők különböző típusai – köztük a biztosítékkal rendelkező/biztosíték nélküli hitelezők – érdekeinek kiegyensúlyozását) és további olyan alapvető elemeket, mint a megtámadási keresetek vagy a vagyonfelkutatás. </w:t>
            </w:r>
            <w:r>
              <w:rPr>
                <w:rFonts w:ascii="Times New Roman" w:hAnsi="Times New Roman"/>
                <w:iCs/>
                <w:noProof/>
              </w:rPr>
              <w:t>A kezdeményezés figyelembe fogja venni a nyilvános konzultáció eredményeit, valamint a szakértői csoport tanácsait és a tagállamokkal folytatott megbeszéléseket. A kezdeményezést hatásvizsgálat is alátámasztja majd.</w:t>
            </w:r>
          </w:p>
        </w:tc>
      </w:tr>
      <w:tr>
        <w:trPr>
          <w:trHeight w:val="1160"/>
        </w:trPr>
        <w:tc>
          <w:tcPr>
            <w:tcW w:w="8046" w:type="dxa"/>
            <w:vAlign w:val="center"/>
          </w:tcPr>
          <w:p>
            <w:pPr>
              <w:pStyle w:val="ListParagraph"/>
              <w:jc w:val="both"/>
              <w:rPr>
                <w:rFonts w:ascii="Times New Roman" w:hAnsi="Times New Roman" w:cs="Times New Roman"/>
                <w:i/>
                <w:noProof/>
                <w:u w:val="single"/>
              </w:rPr>
            </w:pPr>
          </w:p>
          <w:p>
            <w:pPr>
              <w:pStyle w:val="ListParagraph"/>
              <w:numPr>
                <w:ilvl w:val="0"/>
                <w:numId w:val="6"/>
              </w:numPr>
              <w:spacing w:after="0" w:line="240" w:lineRule="auto"/>
              <w:jc w:val="both"/>
              <w:rPr>
                <w:rFonts w:ascii="Times New Roman" w:hAnsi="Times New Roman" w:cs="Times New Roman"/>
                <w:i/>
                <w:noProof/>
                <w:u w:val="single"/>
              </w:rPr>
            </w:pPr>
            <w:r>
              <w:rPr>
                <w:rFonts w:ascii="Times New Roman" w:hAnsi="Times New Roman"/>
                <w:i/>
                <w:noProof/>
              </w:rPr>
              <w:t>A hitelekkel kapcsolatos nemzeti fizetésképtelenségi rendszerek hatékonyságának rendszeres értékelése érdekében a Bizottság és az EBH 2021 első negyedévéig elemezni fogja az adatszolgáltatási keretek jogi módosításának lehetőségét.</w:t>
            </w:r>
            <w:r>
              <w:rPr>
                <w:rFonts w:ascii="Times New Roman" w:hAnsi="Times New Roman"/>
                <w:i/>
                <w:iCs/>
                <w:noProof/>
              </w:rPr>
              <w:t xml:space="preserve"> Ez 2022 negyedik negyedévében jogszabály-módosításokhoz vezethet.</w:t>
            </w:r>
          </w:p>
          <w:p>
            <w:pPr>
              <w:pStyle w:val="ListParagraph"/>
              <w:spacing w:after="0" w:line="240" w:lineRule="auto"/>
              <w:jc w:val="both"/>
              <w:rPr>
                <w:rFonts w:ascii="Times New Roman" w:eastAsia="Times New Roman" w:hAnsi="Times New Roman" w:cs="Times New Roman"/>
                <w:iCs/>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2021. első negyedév</w:t>
            </w:r>
          </w:p>
          <w:p>
            <w:pPr>
              <w:jc w:val="both"/>
              <w:rPr>
                <w:rFonts w:ascii="Times New Roman" w:hAnsi="Times New Roman" w:cs="Times New Roman"/>
                <w:b/>
                <w:noProof/>
              </w:rPr>
            </w:pPr>
          </w:p>
          <w:p>
            <w:pPr>
              <w:jc w:val="both"/>
              <w:rPr>
                <w:rFonts w:ascii="Times New Roman" w:eastAsia="Times New Roman" w:hAnsi="Times New Roman" w:cs="Times New Roman"/>
                <w:iCs/>
                <w:noProof/>
              </w:rPr>
            </w:pPr>
            <w:r>
              <w:rPr>
                <w:rFonts w:ascii="Times New Roman" w:hAnsi="Times New Roman"/>
                <w:b/>
                <w:noProof/>
              </w:rPr>
              <w:t>2022. negyedik negyedév</w:t>
            </w:r>
          </w:p>
        </w:tc>
      </w:tr>
      <w:tr>
        <w:trPr>
          <w:trHeight w:val="11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noProof/>
              </w:rPr>
              <w:t>A tőkepiaci unióra vonatkozó első cselekvési terv keretében a nemzeti hitelezői végrehajtási</w:t>
            </w:r>
            <w:r>
              <w:rPr>
                <w:rStyle w:val="FootnoteReference"/>
                <w:rFonts w:ascii="Times New Roman" w:eastAsia="Times New Roman" w:hAnsi="Times New Roman" w:cs="Times New Roman"/>
                <w:iCs/>
                <w:noProof/>
                <w:lang w:eastAsia="en-GB"/>
              </w:rPr>
              <w:footnoteReference w:id="20"/>
            </w:r>
            <w:r>
              <w:rPr>
                <w:rFonts w:ascii="Times New Roman" w:hAnsi="Times New Roman"/>
                <w:noProof/>
              </w:rPr>
              <w:t xml:space="preserve"> (köztük a fizetésképtelenségi) rendszerekre vonatkozóan elvégzett benchmarkolási gyakorlat tapasztalataira építve a Bizottság és az EBH elemezni fogja az adatszolgáltatási keretrendszer jogi módosításának lehetőségét.</w:t>
            </w:r>
            <w:r>
              <w:rPr>
                <w:rFonts w:ascii="Times New Roman" w:hAnsi="Times New Roman"/>
                <w:iCs/>
                <w:noProof/>
              </w:rPr>
              <w:t xml:space="preserve"> Ez lehetővé tenné az EBH számára, hogy rendszeresen tájékoztassa a Bizottságot a tagállami hitelezői végrehajtás hatékonyságáról, az adatszolgáltatási teher aránytalan megnövelése nélkül. Indokolt esetben 2022 negyedik negyedévében kerülne sor a lehetséges jogszabály-módosításokra irányuló javaslatokra.</w:t>
            </w:r>
          </w:p>
          <w:p>
            <w:pPr>
              <w:jc w:val="both"/>
              <w:rPr>
                <w:rFonts w:ascii="Times New Roman" w:hAnsi="Times New Roman" w:cs="Times New Roman"/>
                <w:noProof/>
              </w:rPr>
            </w:pPr>
          </w:p>
        </w:tc>
      </w:tr>
      <w:tr>
        <w:trPr>
          <w:trHeight w:val="699"/>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12. intézkedés: A részvényesi szerepvállalás megkönnyítése</w:t>
            </w:r>
          </w:p>
          <w:p>
            <w:pPr>
              <w:jc w:val="both"/>
              <w:rPr>
                <w:rFonts w:ascii="Times New Roman" w:hAnsi="Times New Roman" w:cs="Times New Roman"/>
                <w:bCs/>
                <w:i/>
                <w:noProof/>
              </w:rPr>
            </w:pPr>
          </w:p>
          <w:p>
            <w:pPr>
              <w:jc w:val="both"/>
              <w:rPr>
                <w:rFonts w:ascii="Times New Roman" w:hAnsi="Times New Roman" w:cs="Times New Roman"/>
                <w:bCs/>
                <w:i/>
                <w:noProof/>
              </w:rPr>
            </w:pPr>
            <w:r>
              <w:rPr>
                <w:rFonts w:ascii="Times New Roman" w:hAnsi="Times New Roman"/>
                <w:bCs/>
                <w:i/>
                <w:noProof/>
              </w:rPr>
              <w:t>A – különösen határokon átnyúló – befektetői szerepvállalás megkönnyítése érdekében a Bizottság értékelni fogja a következőket: i. a „részvényes” uniós, harmonizált fogalommeghatározásának bevezetésére irányuló lehetőség; valamint ii. a szavazati jogok gyakorlása és a vállalati események feldolgozása tekintetében a befektetők, köztes szereplők és kibocsátók közötti kapcsolatokra irányadó szabályok tovább egyértelműsíthetők-e és harmonizálhatók-e, és ha igen, hogyan.</w:t>
            </w:r>
            <w:r>
              <w:rPr>
                <w:rFonts w:ascii="Times New Roman" w:hAnsi="Times New Roman"/>
                <w:i/>
                <w:noProof/>
                <w:color w:val="000000"/>
              </w:rPr>
              <w:t xml:space="preserve"> </w:t>
            </w:r>
            <w:r>
              <w:rPr>
                <w:rFonts w:ascii="Times New Roman" w:hAnsi="Times New Roman"/>
                <w:i/>
                <w:noProof/>
              </w:rPr>
              <w:t>A Bizottság megvizsgálja továbbá, hogy vannak-e az új digitális technológiák e területen való alkalmazásának nemzeti akadályai.</w:t>
            </w:r>
          </w:p>
          <w:p>
            <w:pPr>
              <w:jc w:val="both"/>
              <w:rPr>
                <w:rFonts w:ascii="Times New Roman" w:hAnsi="Times New Roman" w:cs="Times New Roman"/>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2023. harmadik negyedév</w:t>
            </w: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2021. negyedik negyedév</w:t>
            </w:r>
          </w:p>
        </w:tc>
      </w:tr>
      <w:tr>
        <w:trPr>
          <w:trHeight w:val="1160"/>
        </w:trPr>
        <w:tc>
          <w:tcPr>
            <w:tcW w:w="9242" w:type="dxa"/>
            <w:gridSpan w:val="2"/>
            <w:vAlign w:val="center"/>
          </w:tcPr>
          <w:p>
            <w:pPr>
              <w:jc w:val="both"/>
              <w:rPr>
                <w:rFonts w:ascii="Times New Roman" w:hAnsi="Times New Roman" w:cs="Times New Roman"/>
                <w:noProof/>
                <w:lang w:eastAsia="en-GB"/>
              </w:rPr>
            </w:pPr>
          </w:p>
          <w:p>
            <w:pPr>
              <w:jc w:val="both"/>
              <w:rPr>
                <w:rFonts w:ascii="Times New Roman" w:eastAsia="Times New Roman" w:hAnsi="Times New Roman" w:cs="Times New Roman"/>
                <w:noProof/>
                <w:color w:val="000000"/>
              </w:rPr>
            </w:pPr>
            <w:r>
              <w:rPr>
                <w:rFonts w:ascii="Times New Roman" w:hAnsi="Times New Roman"/>
                <w:noProof/>
              </w:rPr>
              <w:t>Erre a vizsgálatra a részvényesi jogokról szóló 2. irányelv</w:t>
            </w:r>
            <w:r>
              <w:rPr>
                <w:rStyle w:val="FootnoteReference"/>
                <w:rFonts w:ascii="Times New Roman" w:hAnsi="Times New Roman" w:cs="Times New Roman"/>
                <w:noProof/>
                <w:lang w:eastAsia="en-GB"/>
              </w:rPr>
              <w:footnoteReference w:id="21"/>
            </w:r>
            <w:r>
              <w:rPr>
                <w:rFonts w:ascii="Times New Roman" w:hAnsi="Times New Roman"/>
                <w:noProof/>
              </w:rPr>
              <w:t xml:space="preserve"> végrehajtásának 2023 harmadik negyedévéig közzéteendő, a Bizottság általi értékelése keretében kerül sor. </w:t>
            </w:r>
            <w:r>
              <w:rPr>
                <w:rFonts w:ascii="Times New Roman" w:hAnsi="Times New Roman"/>
                <w:noProof/>
                <w:color w:val="000000"/>
              </w:rPr>
              <w:t>Ebben a szakaszban, és a részvényesi jogokról szóló 2. irányelv és annak végrehajtási rendelete</w:t>
            </w:r>
            <w:r>
              <w:rPr>
                <w:rStyle w:val="FootnoteReference"/>
                <w:rFonts w:ascii="Times New Roman" w:eastAsia="Times New Roman" w:hAnsi="Times New Roman" w:cs="Times New Roman"/>
                <w:noProof/>
                <w:color w:val="000000"/>
                <w:lang w:eastAsia="en-GB"/>
              </w:rPr>
              <w:footnoteReference w:id="22"/>
            </w:r>
            <w:r>
              <w:rPr>
                <w:rFonts w:ascii="Times New Roman" w:hAnsi="Times New Roman"/>
                <w:noProof/>
                <w:color w:val="000000"/>
              </w:rPr>
              <w:t xml:space="preserve"> 2020. szeptemberi hatálybalépését követő piaci fejlemények kellő figyelembevétele után a Bizottság mindenekelőtt a következők vizsgálatát tervezi:</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a jogosultságok hozzárendelése és bizonyítéka, valamint a fordulónap;</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a jogosultság megerősítése és az egyeztetési kötelezettség;</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a napok és határidők sorrendje;</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bármely további nemzeti követelmény (különösen a szavazati jogok gyakorlására irányuló meghatalmazásra vonatkozó követelmények); valamint</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a kibocsátók és a központi értéktárak között az időzítés, a tartalom és a formátum tekintetében folytatott kommunikáció.</w:t>
            </w:r>
          </w:p>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noProof/>
                <w:color w:val="000000"/>
              </w:rPr>
            </w:pPr>
            <w:r>
              <w:rPr>
                <w:rFonts w:ascii="Times New Roman" w:hAnsi="Times New Roman"/>
                <w:noProof/>
                <w:color w:val="000000"/>
              </w:rPr>
              <w:t>Különös figyelmet fordítanak az eredményességgel és hatékonysággal kapcsolatos megfontolásokra, valamint a jogbiztonsággal kapcsolatos szempontokra.</w:t>
            </w:r>
          </w:p>
          <w:p>
            <w:pPr>
              <w:jc w:val="both"/>
              <w:rPr>
                <w:rFonts w:ascii="Times New Roman" w:eastAsia="Times New Roman" w:hAnsi="Times New Roman" w:cs="Times New Roman"/>
                <w:noProof/>
                <w:color w:val="000000"/>
                <w:lang w:eastAsia="en-GB"/>
              </w:rPr>
            </w:pPr>
          </w:p>
          <w:p>
            <w:pPr>
              <w:jc w:val="both"/>
              <w:rPr>
                <w:rFonts w:ascii="Times New Roman" w:hAnsi="Times New Roman" w:cs="Times New Roman"/>
                <w:b/>
                <w:i/>
                <w:noProof/>
                <w:u w:val="single"/>
              </w:rPr>
            </w:pPr>
            <w:r>
              <w:rPr>
                <w:rFonts w:ascii="Times New Roman" w:hAnsi="Times New Roman"/>
                <w:noProof/>
              </w:rPr>
              <w:t>A Bizottság emellett 2021 negyedik negyedévéig azt is meg fogja vizsgálni, hogy állnak-e nemzeti szabályozási korlátok az olyan új digitális technológiák felhasználásának útjában, amelyek hatékonyabbá tennék a kibocsátók és a részvényesek közötti kommunikációt, és megkönnyítenék a részvényeseknek a kibocsátók általi azonosítását vagy a részvényesek közgyűlésen való részvételét és szavazását.</w:t>
            </w:r>
          </w:p>
          <w:p>
            <w:pPr>
              <w:jc w:val="both"/>
              <w:rPr>
                <w:rFonts w:ascii="Times New Roman" w:hAnsi="Times New Roman" w:cs="Times New Roman"/>
                <w:noProof/>
              </w:rPr>
            </w:pPr>
          </w:p>
        </w:tc>
      </w:tr>
      <w:tr>
        <w:trPr>
          <w:trHeight w:val="841"/>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13. intézkedés: Határon átnyúló elszámolási szolgáltatások fejlesztése</w:t>
            </w:r>
          </w:p>
          <w:p>
            <w:pPr>
              <w:jc w:val="both"/>
              <w:rPr>
                <w:rFonts w:ascii="Times New Roman" w:hAnsi="Times New Roman" w:cs="Times New Roman"/>
                <w:i/>
                <w:iCs/>
                <w:noProof/>
                <w:color w:val="212121"/>
                <w:shd w:val="clear" w:color="auto" w:fill="FFFFFF"/>
              </w:rPr>
            </w:pPr>
          </w:p>
          <w:p>
            <w:pPr>
              <w:jc w:val="both"/>
              <w:rPr>
                <w:rFonts w:ascii="Times New Roman" w:hAnsi="Times New Roman" w:cs="Times New Roman"/>
                <w:i/>
                <w:iCs/>
                <w:noProof/>
                <w:color w:val="212121"/>
                <w:shd w:val="clear" w:color="auto" w:fill="FFFFFF"/>
              </w:rPr>
            </w:pPr>
            <w:r>
              <w:rPr>
                <w:rFonts w:ascii="Times New Roman" w:hAnsi="Times New Roman"/>
                <w:i/>
                <w:noProof/>
                <w:color w:val="212121"/>
                <w:shd w:val="clear" w:color="auto" w:fill="FFFFFF"/>
              </w:rPr>
              <w:t xml:space="preserve">Annak érdekében, hogy az EU-ban </w:t>
            </w:r>
            <w:r>
              <w:rPr>
                <w:rFonts w:ascii="Times New Roman" w:hAnsi="Times New Roman"/>
                <w:i/>
                <w:iCs/>
                <w:noProof/>
                <w:color w:val="212121"/>
                <w:shd w:val="clear" w:color="auto" w:fill="FFFFFF"/>
              </w:rPr>
              <w:t>javuljon</w:t>
            </w:r>
            <w:r>
              <w:rPr>
                <w:rFonts w:ascii="Times New Roman" w:hAnsi="Times New Roman"/>
                <w:i/>
                <w:noProof/>
                <w:color w:val="212121"/>
                <w:shd w:val="clear" w:color="auto" w:fill="FFFFFF"/>
              </w:rPr>
              <w:t xml:space="preserve"> az elszámolási szolgáltatások határokon átnyúló nyújtása, </w:t>
            </w:r>
            <w:r>
              <w:rPr>
                <w:rFonts w:ascii="Times New Roman" w:hAnsi="Times New Roman"/>
                <w:i/>
                <w:iCs/>
                <w:noProof/>
                <w:color w:val="212121"/>
                <w:shd w:val="clear" w:color="auto" w:fill="FFFFFF"/>
              </w:rPr>
              <w:t>anélkül, hogy negatív hatással lenne a pénzügyi stabilitásra,</w:t>
            </w:r>
            <w:r>
              <w:rPr>
                <w:rFonts w:ascii="Times New Roman" w:hAnsi="Times New Roman"/>
                <w:bCs/>
                <w:noProof/>
              </w:rPr>
              <w:t xml:space="preserve"> </w:t>
            </w:r>
            <w:r>
              <w:rPr>
                <w:rFonts w:ascii="Times New Roman" w:hAnsi="Times New Roman"/>
                <w:bCs/>
                <w:i/>
                <w:noProof/>
              </w:rPr>
              <w:t xml:space="preserve">a </w:t>
            </w:r>
            <w:r>
              <w:rPr>
                <w:rFonts w:ascii="Times New Roman" w:hAnsi="Times New Roman"/>
                <w:i/>
                <w:iCs/>
                <w:noProof/>
                <w:color w:val="212121"/>
                <w:shd w:val="clear" w:color="auto" w:fill="FFFFFF"/>
              </w:rPr>
              <w:t xml:space="preserve">Bizottság számos témakört lefedő szabályokat fog felülvizsgálni, beleértve a következőket: </w:t>
            </w:r>
            <w:r>
              <w:rPr>
                <w:rFonts w:ascii="Times New Roman" w:hAnsi="Times New Roman"/>
                <w:i/>
                <w:noProof/>
                <w:color w:val="212121"/>
                <w:shd w:val="clear" w:color="auto" w:fill="FFFFFF"/>
              </w:rPr>
              <w:t xml:space="preserve">i. a </w:t>
            </w:r>
            <w:r>
              <w:rPr>
                <w:rFonts w:ascii="Times New Roman" w:hAnsi="Times New Roman"/>
                <w:i/>
                <w:iCs/>
                <w:noProof/>
                <w:color w:val="212121"/>
                <w:shd w:val="clear" w:color="auto" w:fill="FFFFFF"/>
              </w:rPr>
              <w:t>központi értéktárak szolgáltatási útlevele alapján</w:t>
            </w:r>
            <w:r>
              <w:rPr>
                <w:rFonts w:ascii="Times New Roman" w:hAnsi="Times New Roman"/>
                <w:i/>
                <w:noProof/>
                <w:color w:val="212121"/>
                <w:shd w:val="clear" w:color="auto" w:fill="FFFFFF"/>
              </w:rPr>
              <w:t xml:space="preserve"> a </w:t>
            </w:r>
            <w:r>
              <w:rPr>
                <w:rFonts w:ascii="Times New Roman" w:hAnsi="Times New Roman"/>
                <w:i/>
                <w:iCs/>
                <w:noProof/>
                <w:color w:val="212121"/>
                <w:shd w:val="clear" w:color="auto" w:fill="FFFFFF"/>
              </w:rPr>
              <w:t>központi értéktári szolgáltatások határokon átnyúló teljesítése</w:t>
            </w:r>
            <w:r>
              <w:rPr>
                <w:rFonts w:ascii="Times New Roman" w:hAnsi="Times New Roman"/>
                <w:i/>
                <w:noProof/>
                <w:color w:val="212121"/>
                <w:shd w:val="clear" w:color="auto" w:fill="FFFFFF"/>
              </w:rPr>
              <w:t xml:space="preserve"> és ii. azon eljárások és feltételek, amelyek alapján a központi értéktárak engedélyt kaptak arra, hogy hitelintézeteket vagy saját magukat jelöljék ki banki jellegű kiegészítő szolgáltatások nyújtására.</w:t>
            </w:r>
          </w:p>
          <w:p>
            <w:pPr>
              <w:jc w:val="both"/>
              <w:rPr>
                <w:rFonts w:ascii="Times New Roman" w:eastAsia="Times New Roman" w:hAnsi="Times New Roman" w:cs="Times New Roman"/>
                <w:noProof/>
                <w:color w:val="000000"/>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2021. negyedik negyedév</w:t>
            </w:r>
          </w:p>
        </w:tc>
      </w:tr>
      <w:tr>
        <w:trPr>
          <w:trHeight w:val="274"/>
        </w:trPr>
        <w:tc>
          <w:tcPr>
            <w:tcW w:w="9242" w:type="dxa"/>
            <w:gridSpan w:val="2"/>
            <w:vAlign w:val="center"/>
          </w:tcPr>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iCs/>
                <w:noProof/>
                <w:color w:val="212121"/>
                <w:shd w:val="clear" w:color="auto" w:fill="FFFFFF"/>
              </w:rPr>
            </w:pPr>
            <w:r>
              <w:rPr>
                <w:rFonts w:ascii="Times New Roman" w:hAnsi="Times New Roman"/>
                <w:noProof/>
                <w:color w:val="000000"/>
              </w:rPr>
              <w:t>Mindez a központi értéktárakról szóló rendelet</w:t>
            </w:r>
            <w:r>
              <w:rPr>
                <w:rStyle w:val="FootnoteReference"/>
                <w:rFonts w:ascii="Times New Roman" w:eastAsia="Times New Roman" w:hAnsi="Times New Roman" w:cs="Times New Roman"/>
                <w:noProof/>
                <w:color w:val="000000"/>
                <w:lang w:eastAsia="en-GB"/>
              </w:rPr>
              <w:footnoteReference w:id="23"/>
            </w:r>
            <w:r>
              <w:rPr>
                <w:rFonts w:ascii="Times New Roman" w:hAnsi="Times New Roman"/>
                <w:noProof/>
                <w:color w:val="000000"/>
              </w:rPr>
              <w:t xml:space="preserve"> </w:t>
            </w:r>
            <w:r>
              <w:rPr>
                <w:rFonts w:ascii="Times New Roman" w:hAnsi="Times New Roman"/>
                <w:iCs/>
                <w:noProof/>
                <w:color w:val="212121"/>
                <w:shd w:val="clear" w:color="auto" w:fill="FFFFFF"/>
              </w:rPr>
              <w:t>2021</w:t>
            </w:r>
            <w:r>
              <w:rPr>
                <w:rFonts w:ascii="Times New Roman" w:hAnsi="Times New Roman"/>
                <w:noProof/>
                <w:color w:val="000000"/>
              </w:rPr>
              <w:t xml:space="preserve"> negyedik negyedévéig elvégzendő célzott felülvizsgálatával érhető el.</w:t>
            </w:r>
            <w:r>
              <w:rPr>
                <w:rFonts w:ascii="Times New Roman" w:hAnsi="Times New Roman"/>
                <w:iCs/>
                <w:noProof/>
                <w:color w:val="212121"/>
                <w:shd w:val="clear" w:color="auto" w:fill="FFFFFF"/>
              </w:rPr>
              <w:t xml:space="preserve"> Ezt a felülvizsgálatot a rendelet írja elő, és hatásvizsgálat fogja alátámasztani.</w:t>
            </w:r>
          </w:p>
          <w:p>
            <w:pPr>
              <w:jc w:val="both"/>
              <w:rPr>
                <w:rFonts w:ascii="Times New Roman" w:eastAsia="Times New Roman" w:hAnsi="Times New Roman" w:cs="Times New Roman"/>
                <w:iCs/>
                <w:noProof/>
                <w:color w:val="212121"/>
                <w:shd w:val="clear" w:color="auto" w:fill="FFFFFF"/>
                <w:lang w:eastAsia="en-GB"/>
              </w:rPr>
            </w:pPr>
          </w:p>
          <w:p>
            <w:pPr>
              <w:jc w:val="both"/>
              <w:rPr>
                <w:rFonts w:ascii="Times New Roman" w:hAnsi="Times New Roman" w:cs="Times New Roman"/>
                <w:noProof/>
              </w:rPr>
            </w:pPr>
            <w:r>
              <w:rPr>
                <w:rFonts w:ascii="Times New Roman" w:hAnsi="Times New Roman"/>
                <w:iCs/>
                <w:noProof/>
                <w:color w:val="212121"/>
                <w:shd w:val="clear" w:color="auto" w:fill="FFFFFF"/>
              </w:rPr>
              <w:t>A jogalkotási javaslat elfogadása előtt a Bizottság 2020 negyedik negyedévéig jelentést nyújt be az Európai Parlamentnek és a Tanácsnak a rendeletről. A jelentés figyelembe veszi majd a valamennyi érdekelt féllel, köztük a tagállamokkal és az Európai Értékpapírpiaci Hatósággal (ESMA) folytatott széles körű konzultációt</w:t>
            </w:r>
            <w:r>
              <w:rPr>
                <w:rFonts w:ascii="Times New Roman" w:hAnsi="Times New Roman"/>
                <w:noProof/>
              </w:rPr>
              <w:t>.</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14. intézkedés: Összesítettadat-szolgáltatás</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Az EU-ban a kereskedésről alkotott integrált kép megteremtése és a kereskedési helyszínek közötti verseny javítása érdekében a Bizottság jogszabályi változtatásokat fog javasolni, amelyek támogatják a részvényekre és részvényjellegű pénzügyi eszközökre vonatkozó hatékony és átfogó, kereskedés utáni összesítettadat-szolgáltatás létrehozását.</w:t>
            </w:r>
          </w:p>
          <w:p>
            <w:pPr>
              <w:jc w:val="both"/>
              <w:rPr>
                <w:rFonts w:ascii="Times New Roman" w:hAnsi="Times New Roman" w:cs="Times New Roman"/>
                <w:b/>
                <w:i/>
                <w:noProof/>
                <w:u w:val="single"/>
              </w:rPr>
            </w:pPr>
            <w:r>
              <w:rPr>
                <w:rFonts w:ascii="Times New Roman" w:hAnsi="Times New Roman"/>
                <w:i/>
                <w:noProof/>
              </w:rPr>
              <w:t xml:space="preserve"> </w:t>
            </w:r>
          </w:p>
        </w:tc>
        <w:tc>
          <w:tcPr>
            <w:tcW w:w="1196" w:type="dxa"/>
            <w:vAlign w:val="center"/>
          </w:tcPr>
          <w:p>
            <w:pPr>
              <w:jc w:val="both"/>
              <w:rPr>
                <w:rFonts w:ascii="Times New Roman" w:hAnsi="Times New Roman" w:cs="Times New Roman"/>
                <w:b/>
                <w:noProof/>
              </w:rPr>
            </w:pPr>
            <w:r>
              <w:rPr>
                <w:rFonts w:ascii="Times New Roman" w:hAnsi="Times New Roman"/>
                <w:b/>
                <w:noProof/>
              </w:rPr>
              <w:t>2021. negyedik negyedév</w:t>
            </w:r>
          </w:p>
        </w:tc>
      </w:tr>
      <w:tr>
        <w:trPr>
          <w:trHeight w:val="1160"/>
        </w:trPr>
        <w:tc>
          <w:tcPr>
            <w:tcW w:w="9242" w:type="dxa"/>
            <w:gridSpan w:val="2"/>
            <w:vAlign w:val="center"/>
          </w:tcPr>
          <w:p>
            <w:pPr>
              <w:jc w:val="both"/>
              <w:rPr>
                <w:rFonts w:ascii="Times New Roman" w:hAnsi="Times New Roman" w:cs="Times New Roman"/>
                <w:noProof/>
              </w:rPr>
            </w:pPr>
          </w:p>
          <w:p>
            <w:pPr>
              <w:jc w:val="both"/>
              <w:rPr>
                <w:rFonts w:ascii="Times New Roman" w:hAnsi="Times New Roman" w:cs="Times New Roman"/>
                <w:i/>
                <w:noProof/>
              </w:rPr>
            </w:pPr>
            <w:r>
              <w:rPr>
                <w:rFonts w:ascii="Times New Roman" w:hAnsi="Times New Roman"/>
                <w:noProof/>
              </w:rPr>
              <w:t>A Bizottság biztosítani fogja, hogy az adatszolgáltatás kiterjedése átfogó legyen, valamint hogy az adatminőség megfelelő legyen ahhoz, hogy az adatszolgáltatás hozzáadott értéket jelentsen a piaci résztvevők számára, figyelembe véve ugyanakkor a létrehozás és a felhasználás költségeit is</w:t>
            </w:r>
            <w:r>
              <w:rPr>
                <w:rFonts w:ascii="Times New Roman" w:hAnsi="Times New Roman"/>
                <w:i/>
                <w:noProof/>
              </w:rPr>
              <w:t>.</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15. intézkedés: Beruházásvédelem és -könnyítés</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 Bizottság javasolni fogja az uniós beruházásvédelmi és -könnyítési keret megerősítését.</w:t>
            </w:r>
          </w:p>
          <w:p>
            <w:pPr>
              <w:jc w:val="both"/>
              <w:rPr>
                <w:rFonts w:ascii="Times New Roman" w:hAnsi="Times New Roman" w:cs="Times New Roman"/>
                <w:b/>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2021. második negyedév</w:t>
            </w: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Ez az intézkedés három pillérre épül:</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az EU-n belüli beruházások következetes és kiszámítható védelmét biztosító anyagi jogi szabályok;</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e szabályok jobb érvényesítése, amit a nemzeti és/vagy uniós szintű vitarendezési mechanizmusok hatékonyságának javításával kell biztosítani, a nemzeti bíróságokhoz való hozzáférés garantálása mellett;</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egyedi beruházáskönnyítési intézkedések, például a befektetők jogaira és lehetőségeire vonatkozó információk egyetlen hozzáférési ponton (például az InvestEU portálon</w:t>
            </w:r>
            <w:r>
              <w:rPr>
                <w:rStyle w:val="FootnoteReference"/>
                <w:rFonts w:ascii="Times New Roman" w:eastAsia="Times New Roman" w:hAnsi="Times New Roman" w:cs="Times New Roman"/>
                <w:noProof/>
                <w:lang w:eastAsia="en-GB"/>
              </w:rPr>
              <w:footnoteReference w:id="24"/>
            </w:r>
            <w:r>
              <w:rPr>
                <w:rFonts w:ascii="Times New Roman" w:hAnsi="Times New Roman"/>
                <w:noProof/>
              </w:rPr>
              <w:t>) történő konszolidálása, valamint az érdekelt felek megelőző problémamegoldási és békés vitarendezési mechanizmusainak előmozdítása.</w:t>
            </w:r>
          </w:p>
          <w:p>
            <w:pPr>
              <w:jc w:val="both"/>
              <w:rPr>
                <w:rFonts w:ascii="Times New Roman" w:hAnsi="Times New Roman" w:cs="Times New Roman"/>
                <w:i/>
                <w:noProof/>
              </w:rPr>
            </w:pPr>
          </w:p>
        </w:tc>
      </w:tr>
      <w:tr>
        <w:tc>
          <w:tcPr>
            <w:tcW w:w="8046" w:type="dxa"/>
            <w:tcBorders>
              <w:top w:val="single" w:sz="4" w:space="0" w:color="auto"/>
              <w:bottom w:val="nil"/>
            </w:tcBorders>
            <w:vAlign w:val="center"/>
          </w:tcPr>
          <w:p>
            <w:pPr>
              <w:jc w:val="both"/>
              <w:rPr>
                <w:rFonts w:ascii="Times New Roman" w:hAnsi="Times New Roman" w:cs="Times New Roman"/>
                <w:b/>
                <w:noProof/>
                <w:u w:val="single"/>
              </w:rPr>
            </w:pPr>
            <w:r>
              <w:rPr>
                <w:rFonts w:ascii="Times New Roman" w:hAnsi="Times New Roman"/>
                <w:b/>
                <w:noProof/>
                <w:u w:val="single"/>
              </w:rPr>
              <w:t>16. intézkedés: Felügyelet</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A Bizottság dolgozni fog a tőkepiacok megerősített egységes szabálykönyvének kialakításán, felmérve az uniós szabályok további harmonizációjának szükségességét, és nyomon követve a felügyeleti konvergencia felé tett haladást. 2021 negyedik negyedévében számba veszi az elért eredményeket, és mérlegelni fogja, hogy intézkedéseket javasoljon az erősebb felügyeleti koordinációra vagy az európai felügyeleti hatóságok általi közvetlen felügyeletre vonatkozóan.</w:t>
            </w:r>
          </w:p>
          <w:p>
            <w:pPr>
              <w:jc w:val="both"/>
              <w:rPr>
                <w:rFonts w:ascii="Times New Roman" w:hAnsi="Times New Roman" w:cs="Times New Roman"/>
                <w:i/>
                <w:noProof/>
              </w:rPr>
            </w:pPr>
          </w:p>
          <w:p>
            <w:pPr>
              <w:pBdr>
                <w:left w:val="single" w:sz="4" w:space="4" w:color="auto"/>
                <w:right w:val="single" w:sz="4" w:space="4" w:color="auto"/>
              </w:pBdr>
              <w:jc w:val="both"/>
              <w:rPr>
                <w:rFonts w:ascii="Times New Roman" w:hAnsi="Times New Roman" w:cs="Times New Roman"/>
                <w:i/>
                <w:noProof/>
              </w:rPr>
            </w:pPr>
            <w:r>
              <w:rPr>
                <w:rFonts w:ascii="Times New Roman" w:hAnsi="Times New Roman"/>
                <w:i/>
                <w:noProof/>
              </w:rPr>
              <w:t>A Bizottság emellett gondosan értékeli a Wirecard-ügynek az uniós tőkepiacok szabályozására és felügyeletére gyakorolt hatását, továbbá azonnal és határozottan fel fog lépni az uniós jogi keretben azonosított hiányosságok kezelése érdekében.</w:t>
            </w: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2021. negyedik negyedév</w:t>
            </w:r>
          </w:p>
          <w:p>
            <w:pPr>
              <w:jc w:val="both"/>
              <w:rPr>
                <w:rFonts w:ascii="Times New Roman" w:hAnsi="Times New Roman" w:cs="Times New Roman"/>
                <w:b/>
                <w:noProof/>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A szubszidiaritás elvének maradéktalan tiszteletben tartása mellett a Bizottság szisztematikusan értékelni fogja, hogy indokolt-e az uniós szabályok további harmonizációja. A megerősített egységes szabálykönyv és a hatékony felügyelet egyenlő versenyfeltételeket biztosítana a piaci szereplők számára, és hozzájárulna a közöttük folyó tisztességes versenyhez.</w:t>
            </w: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Az elkövetkező ágazati jogalkotási felülvizsgálatok során a Bizottság az európai felügyeleti hatóságok konvergencia-hatásköreinek hatékonyságát is vizsgálni fogja, hogy azonosítsa az esetleges hiányosságokat vagy az olyan területeket, ahol a megerősített hatáskörök elősegítenék a tőkepiaci unió kiteljesítését. Azt is mérlegelni fogja, hogy a konvergencia-hatásköröket hatékonyan alkalmazzák-e a meglévő irányítás keretében. Végül, a Bizottság szorosan figyelemmel kíséri, hogy elegendő előrelépés történt-e a felügyeleti konvergencia kapcsán a tőkepiaci unió kibontakozása érdekében. Arra utaló jelek esetén, hogy a felügyeleti rendszer nem felel meg a piaci integráció kívánt szintjének, a jövőbeli felülvizsgálatok során – a következő 2021 végén esedékes – mérlegelni kell az erősebb felügyeleti koordinációt vagy az európai felügyeleti hatóságok általi közvetlen felügyeletet.</w:t>
            </w:r>
          </w:p>
          <w:p>
            <w:pPr>
              <w:jc w:val="both"/>
              <w:rPr>
                <w:rFonts w:ascii="Times New Roman" w:eastAsia="Times New Roman" w:hAnsi="Times New Roman" w:cs="Times New Roman"/>
                <w:b/>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A Bizottság emellett gondosan értékeli a Wirecard-ügynek az uniós tőkepiacok szabályozására és felügyeletére gyakorolt hatását. Figyelembe fogja venni a folyamatban lévő vizsgálatok következtetéseit. A Bizottság számára jelenleg rendelkezésre álló információk fényében a Wirecard összeomlása kérdéseket vet fel a Wirecard vállalatirányításának, külső kötelező könyvvizsgálatának, valamint a pénzügyi információk felügyeletének hatékonyságával kapcsolatban.</w:t>
            </w:r>
          </w:p>
          <w:p>
            <w:pPr>
              <w:jc w:val="both"/>
              <w:rPr>
                <w:rFonts w:ascii="Times New Roman" w:eastAsia="Times New Roman" w:hAnsi="Times New Roman" w:cs="Times New Roman"/>
                <w:noProof/>
                <w:color w:val="000000" w:themeColor="text1"/>
                <w:lang w:eastAsia="en-GB"/>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3910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A Bizottság közleménye az Európai Parlamentnek, az Európai Tanácsnak, a Tanácsnak, az Európai Gazdasági és Szociális Bizottságnak és a Régiók Bizottságának: „Az európai zöld megállapodás”, COM(2019) 640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https://eftg.eu/</w:t>
        </w:r>
      </w:hyperlink>
    </w:p>
  </w:footnote>
  <w:footnote w:id="4">
    <w:p>
      <w:pPr>
        <w:pStyle w:val="FootnoteText"/>
        <w:rPr>
          <w:sz w:val="19"/>
          <w:szCs w:val="19"/>
        </w:rPr>
      </w:pPr>
      <w:r>
        <w:rPr>
          <w:rStyle w:val="FootnoteReference"/>
          <w:rFonts w:ascii="Times New Roman" w:hAnsi="Times New Roman" w:cs="Times New Roman"/>
        </w:rPr>
        <w:footnoteRef/>
      </w:r>
      <w:r>
        <w:rPr>
          <w:rFonts w:ascii="Times New Roman" w:hAnsi="Times New Roman"/>
        </w:rPr>
        <w:t xml:space="preserve"> https://e-justice.europa.eu/content_business_registers_at_european_level-105-hu.do</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Mindenekelőtt az átláthatósági irányelv (</w:t>
      </w:r>
      <w:r>
        <w:rPr>
          <w:rFonts w:ascii="Times New Roman" w:hAnsi="Times New Roman"/>
          <w:shd w:val="clear" w:color="auto" w:fill="FFFFFF"/>
        </w:rPr>
        <w:t>az Európai Parlament és a Tanács 2004/109/EK irányelve (2004. december 15.) a szabályozott piacra bevezetett értékpapírok kibocsátóival kapcsolatos információkra vonatkozó átláthatósági követelmények harmonizációjáról és a 2001/34/EK irányelv módosításáról</w:t>
      </w:r>
      <w:r>
        <w:rPr>
          <w:rFonts w:ascii="Times New Roman" w:hAnsi="Times New Roman"/>
        </w:rPr>
        <w:t>) és a nem pénzügyi információk közzétételéről szóló irányelv (</w:t>
      </w:r>
      <w:r>
        <w:rPr>
          <w:rFonts w:ascii="Times New Roman" w:hAnsi="Times New Roman"/>
          <w:shd w:val="clear" w:color="auto" w:fill="FFFFFF"/>
        </w:rPr>
        <w:t>az Európai Parlament és a Tanács 2014/95/EU irányelve (2014. október 22.) a 2013/34/EU irányelvnek a nem pénzügyi és a sokszínűséggel kapcsolatos információknak bizonyos nagyvállalkozások és vállalatcsoportok általi közzététele tekintetében történő módosításáról).</w:t>
      </w:r>
    </w:p>
  </w:footnote>
  <w:footnote w:id="6">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Az Európai Parlament és a Tanács (EU) 2015/760 rendelete (2015. április 29.) az európai hosszú távú befektetési alapokról.</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2009/138/EK irányelve (2009. november 25.) a biztosítási és viszontbiztosítási üzleti tevékenység megkezdéséről és gyakorlásáról.</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575/2013/EU rendelete (2013. június 26.) a hitelintézetekre és befektetési vállalkozásokra vonatkozó prudenciális követelményekről és a 648/2012/EU rendelet módosításáról (EGT-vonatkozású szöveg).</w:t>
      </w:r>
    </w:p>
  </w:footnote>
  <w:footnote w:id="9">
    <w:p>
      <w:pPr>
        <w:pStyle w:val="FootnoteText"/>
        <w:jc w:val="both"/>
      </w:pPr>
      <w:r>
        <w:rPr>
          <w:rStyle w:val="FootnoteReference"/>
          <w:rFonts w:ascii="Times New Roman" w:hAnsi="Times New Roman" w:cs="Times New Roman"/>
        </w:rPr>
        <w:footnoteRef/>
      </w:r>
      <w:r>
        <w:rPr>
          <w:rFonts w:ascii="Times New Roman" w:hAnsi="Times New Roman"/>
        </w:rPr>
        <w:t xml:space="preserve"> 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w:t>
      </w:r>
    </w:p>
  </w:footnote>
  <w:footnote w:id="1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Az Európai Parlament és a Tanács (EU) 2017/2402 rendelete (2017. december 12.) 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w:t>
      </w:r>
    </w:p>
  </w:footnote>
  <w:footnote w:id="11">
    <w:p>
      <w:pPr>
        <w:pStyle w:val="FootnoteText"/>
        <w:jc w:val="both"/>
      </w:pPr>
      <w:r>
        <w:rPr>
          <w:rStyle w:val="FootnoteReference"/>
        </w:rPr>
        <w:footnoteRef/>
      </w:r>
      <w:r>
        <w:t xml:space="preserve"> </w:t>
      </w:r>
      <w:r>
        <w:rPr>
          <w:rFonts w:ascii="Times New Roman" w:hAnsi="Times New Roman"/>
        </w:rPr>
        <w:t>Az értékpapírosítási piac megerősítése mellett a Bizottság folytatja annak a lehetőségnek a vizsgálatát, hogy biztosítékkal fedezett európai befektetési jegy néven egy kettős fedezeti mechanizmussal működő eszközt vezessenek be. A fedezett kötvények kibocsátásáról és a fedezett kötvények közfelügyeletéről szóló, 2019. november 27-i (EU) 2019/2162 európai parlamenti és tanácsi irányelvben foglaltaknak megfelelően a Bizottság 2024. július 8-ig jelentést nyújt be az Európai Parlamentnek és a Tanácsnak.</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Az Európai Parlament és a Tanács 2014/17/EU irányelve (2014. február 4.) a lakóingatlanokhoz kapcsolódó fogyasztói hitelmegállapodásokról, valamint a 2008/48/EK és a 2013/36/EU irányelv és az 1093/2010/EU rendelet módosításáról.</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2014/65/EU irányelve (2014. május 15.) a pénzügyi eszközök piacairól, valamint a 2002/92/EK irányelv és a 2011/61/EU irányelv módosításáról.</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(EU) 2016/97 irányelve (2016. január 20.) a biztosítási közvetítésről.</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(EU) 2019/1238 rendelete (2019. június 20.) a páneurópai egyéni nyugdíjtermékről.</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2009/65/EK irányelve (2009. július 13.) az átruházható értékpapírokkal foglalkozó kollektív befektetési vállalkozásokra vonatkozó törvényi, rendeleti és közigazgatási rendelkezések összehangolásáról.</w:t>
      </w:r>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Az Európai Parlament és a Tanács 1286/2014/EU rendelete (2014. november 26.) a lakossági befektetési csomagtermékekkel, illetve biztosítási alapú befektetési termékekkel kapcsolatos kiemelt információkat tartalmazó dokumentumokról.</w:t>
      </w:r>
    </w:p>
  </w:footnote>
  <w:footnote w:id="18">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http://www.oecd.org/ctp/exchange-of-tax-information/treaty-relief-and-compliance-enhancement-trace.htm</w:t>
      </w:r>
    </w:p>
  </w:footnote>
  <w:footnote w:id="19">
    <w:p>
      <w:pPr>
        <w:pStyle w:val="FootnoteText"/>
        <w:jc w:val="both"/>
      </w:pPr>
      <w:r>
        <w:rPr>
          <w:rStyle w:val="FootnoteReference"/>
          <w:rFonts w:ascii="Times New Roman" w:hAnsi="Times New Roman" w:cs="Times New Roman"/>
        </w:rPr>
        <w:footnoteRef/>
      </w:r>
      <w:r>
        <w:rPr>
          <w:rFonts w:ascii="Times New Roman" w:hAnsi="Times New Roman"/>
        </w:rPr>
        <w:t xml:space="preserve"> https://ec.europa.eu/taxation_customs/sites/taxation/files/code_of_conduct_on_witholding_tax.pdf</w:t>
      </w:r>
    </w:p>
  </w:footnote>
  <w:footnote w:id="2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https://ec.europa.eu/info/publications/191203-study-loan-enforcement-laws_en</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Európai Parlament és a Tanács (EU) 2017/828 irányelve (2017. május 17.) a 2007/36/EK irányelvnek a hosszú távú részvényesi szerepvállalás ösztönzése tekintetében történő módosításáról.</w:t>
      </w:r>
    </w:p>
  </w:footnote>
  <w:footnote w:id="22">
    <w:p>
      <w:pPr>
        <w:pStyle w:val="FootnoteText"/>
        <w:jc w:val="both"/>
      </w:pPr>
      <w:r>
        <w:rPr>
          <w:rStyle w:val="FootnoteReference"/>
          <w:rFonts w:ascii="Times New Roman" w:hAnsi="Times New Roman" w:cs="Times New Roman"/>
        </w:rPr>
        <w:footnoteRef/>
      </w:r>
      <w:r>
        <w:rPr>
          <w:rFonts w:ascii="Times New Roman" w:hAnsi="Times New Roman"/>
        </w:rPr>
        <w:t xml:space="preserve"> A Bizottság (EU) 2018/1212 végrehajtási rendelete (2018. szeptember 3.).</w:t>
      </w:r>
    </w:p>
  </w:footnote>
  <w:footnote w:id="2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Az Európai Parlament és a Tanács 909/2014/EU rendelete (2014. július 23.) az Európai Unión belüli értékpapír-kiegyenlítés javításáról és a központi értéktárakról, valamint a 98/26/EK és a 2014/65/EU irányelv, valamint a 236/2012/EU rendelet módosításáról.</w:t>
      </w:r>
    </w:p>
  </w:footnote>
  <w:footnote w:id="24">
    <w:p>
      <w:pPr>
        <w:pStyle w:val="FootnoteText"/>
        <w:jc w:val="both"/>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https://ec.europa.eu/eipp/desktop/hu/index.html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C7"/>
    <w:multiLevelType w:val="hybridMultilevel"/>
    <w:tmpl w:val="5232BF4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
    <w:docVar w:name="LW_ANNEX_NBR_FIRST" w:val="1"/>
    <w:docVar w:name="LW_ANNEX_NBR_LAST" w:val="1"/>
    <w:docVar w:name="LW_ANNEX_UNIQUE" w:val="0"/>
    <w:docVar w:name="LW_CORRIGENDUM" w:val="&lt;UNUSED&gt;"/>
    <w:docVar w:name="LW_COVERPAGE_EXISTS" w:val="True"/>
    <w:docVar w:name="LW_COVERPAGE_GUID" w:val="20B2E471-83FB-4EFB-B8CD-FFB5D4F028DD"/>
    <w:docVar w:name="LW_COVERPAGE_TYPE" w:val="1"/>
    <w:docVar w:name="LW_CROSSREFERENCE" w:val="&lt;UNUSED&gt;"/>
    <w:docVar w:name="LW_DocType" w:val="NORMAL"/>
    <w:docVar w:name="LW_EMISSION" w:val="2020.9.24."/>
    <w:docVar w:name="LW_EMISSION_ISODATE" w:val="2020-09-24"/>
    <w:docVar w:name="LW_EMISSION_LOCATION" w:val="BRX"/>
    <w:docVar w:name="LW_EMISSION_PREFIX" w:val="Brüsszel, "/>
    <w:docVar w:name="LW_EMISSION_SUFFIX" w:val=" "/>
    <w:docVar w:name="LW_ID_DOCTYPE_NONLW" w:val="CP-039"/>
    <w:docVar w:name="LW_LANGUE" w:val="HU"/>
    <w:docVar w:name="LW_LEVEL_OF_SENSITIVITY" w:val="Standard treatment"/>
    <w:docVar w:name="LW_NOM.INST" w:val="EURÓPAI BIZOTTSÁG"/>
    <w:docVar w:name="LW_NOM.INST_JOINTDOC" w:val="&lt;EMPTY&gt;"/>
    <w:docVar w:name="LW_OBJETACTEPRINCIPAL.CP" w:val="&lt;FMT:Font=Calibri CE&gt;T\u337?kepiaci unió a polgárok és a vállalkozások számára \u8211? új cselekvési terv&lt;/FMT&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MELLÉKLET_x000b_"/>
    <w:docVar w:name="LW_TYPEACTEPRINCIPAL.CP" w:val="A BIZOTTSÁG KÖZLEMÉNYE AZ EURÓPAI PARLIAMENTNEK, A TANÁCSNAK, AZ EURÓPAI GAZDASÁGI ÉS SZOCIÁLIS BIZOTTSÁGNAK ÉS A RÉGIÓK BIZOTTSÁGÁ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94">
      <w:bodyDiv w:val="1"/>
      <w:marLeft w:val="0"/>
      <w:marRight w:val="0"/>
      <w:marTop w:val="0"/>
      <w:marBottom w:val="0"/>
      <w:divBdr>
        <w:top w:val="none" w:sz="0" w:space="0" w:color="auto"/>
        <w:left w:val="none" w:sz="0" w:space="0" w:color="auto"/>
        <w:bottom w:val="none" w:sz="0" w:space="0" w:color="auto"/>
        <w:right w:val="none" w:sz="0" w:space="0" w:color="auto"/>
      </w:divBdr>
    </w:div>
    <w:div w:id="41828033">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63373561">
      <w:bodyDiv w:val="1"/>
      <w:marLeft w:val="0"/>
      <w:marRight w:val="0"/>
      <w:marTop w:val="0"/>
      <w:marBottom w:val="0"/>
      <w:divBdr>
        <w:top w:val="none" w:sz="0" w:space="0" w:color="auto"/>
        <w:left w:val="none" w:sz="0" w:space="0" w:color="auto"/>
        <w:bottom w:val="none" w:sz="0" w:space="0" w:color="auto"/>
        <w:right w:val="none" w:sz="0" w:space="0" w:color="auto"/>
      </w:divBdr>
    </w:div>
    <w:div w:id="1103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t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54B3CD-3269-4B9E-BD8C-CED07863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22427</Characters>
  <Application>Microsoft Office Word</Application>
  <DocSecurity>0</DocSecurity>
  <Lines>533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2020-09-18T14:29:00Z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