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E7F3734-A87D-4FDE-8EBC-E5C03B9C20EE" style="width:450.75pt;height:37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8"/>
          <w:szCs w:val="28"/>
        </w:rPr>
      </w:pPr>
      <w:bookmarkStart w:id="1" w:name="_GoBack"/>
      <w:bookmarkEnd w:id="1"/>
      <w:r>
        <w:rPr>
          <w:rFonts w:ascii="Times New Roman" w:hAnsi="Times New Roman"/>
          <w:b/>
          <w:noProof/>
          <w:sz w:val="28"/>
          <w:szCs w:val="28"/>
        </w:rPr>
        <w:lastRenderedPageBreak/>
        <w:t>1. lisa. Meetmed ja esialgne ajakava</w:t>
      </w:r>
    </w:p>
    <w:p>
      <w:pPr>
        <w:pStyle w:val="ListParagraph"/>
        <w:numPr>
          <w:ilvl w:val="0"/>
          <w:numId w:val="1"/>
        </w:numPr>
        <w:spacing w:after="240" w:line="240" w:lineRule="auto"/>
        <w:jc w:val="both"/>
        <w:rPr>
          <w:rFonts w:ascii="Times New Roman Bold" w:eastAsia="Times New Roman" w:hAnsi="Times New Roman Bold" w:cs="Times New Roman"/>
          <w:b/>
          <w:smallCaps/>
          <w:noProof/>
          <w:sz w:val="24"/>
          <w:szCs w:val="20"/>
          <w:u w:val="single"/>
        </w:rPr>
      </w:pPr>
      <w:r>
        <w:rPr>
          <w:rFonts w:ascii="Times New Roman Bold" w:hAnsi="Times New Roman Bold"/>
          <w:b/>
          <w:smallCaps/>
          <w:noProof/>
          <w:sz w:val="24"/>
          <w:szCs w:val="20"/>
          <w:u w:val="single"/>
        </w:rPr>
        <w:t>Meetmed, millega toetatakse keskkonnasäästlikku, digitaalset, kaasavat ja vastupidavat majanduse taastamist, muutes rahastamise Euroopa ettevõtjate jaoks kättesaadavamaks</w:t>
      </w:r>
    </w:p>
    <w:p>
      <w:pPr>
        <w:pStyle w:val="ListParagraph"/>
        <w:ind w:left="360"/>
        <w:jc w:val="both"/>
        <w:rPr>
          <w:noProof/>
        </w:rPr>
      </w:pPr>
    </w:p>
    <w:tbl>
      <w:tblPr>
        <w:tblStyle w:val="TableGrid"/>
        <w:tblW w:w="9089" w:type="dxa"/>
        <w:tblLook w:val="04A0" w:firstRow="1" w:lastRow="0" w:firstColumn="1" w:lastColumn="0" w:noHBand="0" w:noVBand="1"/>
      </w:tblPr>
      <w:tblGrid>
        <w:gridCol w:w="7893"/>
        <w:gridCol w:w="1196"/>
      </w:tblGrid>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Meede 1. Ettevõtete piiriüleste investorite jaoks nähtavamaks muutmine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Komisjon võtab 2021. aasta III kvartalis vastu seadusandliku ettepaneku Euroopa ühtse juurdepääsupunkti loomiseks. See platvorm võimaldab kogu ELis sujuvat juurdepääsu kogu asjakohasele teabele (sealhulgas finants- ja kestlikkusteabele), mille äriühingud, sealhulgas finantsettevõtjad, on avalikustanud.</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i/>
                <w:noProof/>
              </w:rPr>
              <w:t>III kv 2021</w:t>
            </w:r>
          </w:p>
        </w:tc>
      </w:tr>
      <w:tr>
        <w:trPr>
          <w:trHeight w:val="1520"/>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hAnsi="Times New Roman" w:cs="Times New Roman"/>
                <w:noProof/>
              </w:rPr>
            </w:pPr>
            <w:r>
              <w:rPr>
                <w:rFonts w:ascii="Times New Roman" w:hAnsi="Times New Roman"/>
                <w:noProof/>
              </w:rPr>
              <w:t>Hõlmatav teave peaks vastama investorite vajadustele ja laiema kasutajaskonna, sealhulgas finantsvahendajate ja kodanikuühiskonna huvidele. Ühtlasi peaks see platvorm parandama kestlikkusandmete kättesaadavust ja juurdepääsetavast, suunama rohkem investeeringuid kestlikku tegevusse ja aitama saavutada Euroopa rohelise kokkuleppe</w:t>
            </w:r>
            <w:r>
              <w:rPr>
                <w:rStyle w:val="FootnoteReference"/>
                <w:rFonts w:ascii="Times New Roman" w:eastAsia="Times New Roman" w:hAnsi="Times New Roman" w:cs="Times New Roman"/>
                <w:noProof/>
                <w:lang w:eastAsia="en-GB"/>
              </w:rPr>
              <w:footnoteReference w:id="2"/>
            </w:r>
            <w:r>
              <w:rPr>
                <w:rFonts w:ascii="Times New Roman" w:hAnsi="Times New Roman"/>
                <w:noProof/>
              </w:rPr>
              <w:t xml:space="preserve"> eesmärke.</w:t>
            </w:r>
          </w:p>
          <w:p>
            <w:pPr>
              <w:jc w:val="both"/>
              <w:rPr>
                <w:rFonts w:ascii="Times New Roman" w:hAnsi="Times New Roman" w:cs="Times New Roman"/>
                <w:noProof/>
              </w:rPr>
            </w:pPr>
          </w:p>
          <w:p>
            <w:pPr>
              <w:jc w:val="both"/>
              <w:rPr>
                <w:rFonts w:ascii="Times New Roman" w:eastAsia="Times New Roman" w:hAnsi="Times New Roman" w:cs="Times New Roman"/>
                <w:noProof/>
              </w:rPr>
            </w:pPr>
            <w:r>
              <w:rPr>
                <w:rFonts w:ascii="Times New Roman" w:hAnsi="Times New Roman"/>
                <w:noProof/>
              </w:rPr>
              <w:t>Platvorm tugineb Euroopa finantsläbipaistvuse portaali</w:t>
            </w:r>
            <w:r>
              <w:rPr>
                <w:rStyle w:val="FootnoteReference"/>
                <w:rFonts w:ascii="Times New Roman" w:eastAsia="Times New Roman" w:hAnsi="Times New Roman" w:cs="Times New Roman"/>
                <w:noProof/>
                <w:lang w:eastAsia="en-GB"/>
              </w:rPr>
              <w:footnoteReference w:id="3"/>
            </w:r>
            <w:r>
              <w:rPr>
                <w:rFonts w:ascii="Times New Roman" w:hAnsi="Times New Roman"/>
                <w:noProof/>
              </w:rPr>
              <w:t xml:space="preserve"> katseprojektile ja täiendab äriregistrite omavahelise ühendamise süsteemi</w:t>
            </w:r>
            <w:r>
              <w:rPr>
                <w:rStyle w:val="FootnoteReference"/>
                <w:rFonts w:ascii="Times New Roman" w:hAnsi="Times New Roman" w:cs="Times New Roman"/>
                <w:noProof/>
              </w:rPr>
              <w:footnoteReference w:id="4"/>
            </w:r>
            <w:r>
              <w:rPr>
                <w:rFonts w:ascii="Times New Roman" w:hAnsi="Times New Roman"/>
                <w:noProof/>
              </w:rPr>
              <w:t>, kuid ei muuda selle funktsioone. Seadusandliku ettepanekuga kaasneb äriühinguandmete avalikustamist käsitlevate ELi õigusaktide</w:t>
            </w:r>
            <w:r>
              <w:rPr>
                <w:rStyle w:val="FootnoteReference"/>
                <w:rFonts w:ascii="Times New Roman" w:eastAsia="Times New Roman" w:hAnsi="Times New Roman" w:cs="Times New Roman"/>
                <w:noProof/>
                <w:lang w:eastAsia="en-GB"/>
              </w:rPr>
              <w:footnoteReference w:id="5"/>
            </w:r>
            <w:r>
              <w:rPr>
                <w:rFonts w:ascii="Times New Roman" w:hAnsi="Times New Roman"/>
                <w:noProof/>
              </w:rPr>
              <w:t xml:space="preserve"> lihtsustamine ja seostamine. Platvorm tugineb võimalikult suures ulatuses olemasolevale ELi ja riiklikule IT-taristule (andmebaasid, registrid), et vältida ettevõtete aruandluskoormuse suurenemist. Kogu teave esitatakse võrreldavates digitaalsetes vormingutes. Platvormi teabe katvuse, juhtimise ja ärimudeli üksikasjad tuleb veel kindlaks määrata.</w:t>
            </w:r>
          </w:p>
          <w:p>
            <w:pPr>
              <w:jc w:val="both"/>
              <w:rPr>
                <w:rFonts w:ascii="Times New Roman" w:hAnsi="Times New Roman" w:cs="Times New Roman"/>
                <w:noProof/>
              </w:rPr>
            </w:pPr>
          </w:p>
        </w:tc>
      </w:tr>
      <w:tr>
        <w:trPr>
          <w:trHeight w:val="1160"/>
        </w:trPr>
        <w:tc>
          <w:tcPr>
            <w:tcW w:w="7893" w:type="dxa"/>
            <w:vAlign w:val="center"/>
          </w:tcPr>
          <w:p>
            <w:pPr>
              <w:spacing w:after="160" w:line="252" w:lineRule="auto"/>
              <w:rPr>
                <w:rFonts w:ascii="Times New Roman" w:hAnsi="Times New Roman" w:cs="Times New Roman"/>
                <w:b/>
                <w:noProof/>
                <w:u w:val="single"/>
              </w:rPr>
            </w:pPr>
            <w:r>
              <w:rPr>
                <w:rFonts w:ascii="Times New Roman" w:hAnsi="Times New Roman"/>
                <w:b/>
                <w:noProof/>
                <w:u w:val="single"/>
              </w:rPr>
              <w:t xml:space="preserve">Meede 2. </w:t>
            </w:r>
            <w:r>
              <w:rPr>
                <w:rFonts w:ascii="Times New Roman" w:hAnsi="Times New Roman"/>
                <w:b/>
                <w:bCs/>
                <w:noProof/>
                <w:szCs w:val="24"/>
                <w:u w:val="single"/>
              </w:rPr>
              <w:t xml:space="preserve">Avalikele turgudele juurdepääsu toetamine </w:t>
            </w:r>
          </w:p>
          <w:p>
            <w:pPr>
              <w:jc w:val="both"/>
              <w:rPr>
                <w:rFonts w:ascii="Times New Roman" w:hAnsi="Times New Roman"/>
                <w:i/>
                <w:noProof/>
                <w:u w:val="single"/>
              </w:rPr>
            </w:pPr>
            <w:r>
              <w:rPr>
                <w:rFonts w:ascii="Times New Roman" w:hAnsi="Times New Roman"/>
                <w:i/>
                <w:noProof/>
              </w:rPr>
              <w:t xml:space="preserve">Selleks et edendada ja mitmekesistada väikeste ja innovaatiliste ettevõtete juurdepääsu rahastusele, hindab komisjon 2021. aasta IV kvartaliks, kas avalikel turgudel (nii VKEde kasvuturgudel kui ka reguleeritud turgudel) kohaldatavaid </w:t>
            </w:r>
            <w:r>
              <w:rPr>
                <w:rFonts w:ascii="Times New Roman" w:hAnsi="Times New Roman"/>
                <w:bCs/>
                <w:i/>
                <w:noProof/>
              </w:rPr>
              <w:t>börsil noteerimise eeskirju</w:t>
            </w:r>
            <w:r>
              <w:rPr>
                <w:rFonts w:ascii="Times New Roman" w:hAnsi="Times New Roman"/>
                <w:i/>
                <w:noProof/>
              </w:rPr>
              <w:t xml:space="preserve"> saaks veelgi lihtsustada.</w:t>
            </w:r>
          </w:p>
          <w:p>
            <w:pPr>
              <w:jc w:val="both"/>
              <w:rPr>
                <w:rFonts w:ascii="Times New Roman" w:hAnsi="Times New Roman" w:cs="Times New Roman"/>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IV kv 2021</w:t>
            </w:r>
          </w:p>
        </w:tc>
      </w:tr>
      <w:tr>
        <w:trPr>
          <w:trHeight w:val="1520"/>
        </w:trPr>
        <w:tc>
          <w:tcPr>
            <w:tcW w:w="9089" w:type="dxa"/>
            <w:gridSpan w:val="2"/>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Hindamisel keskendutakse eelkõige järgmisele: i) VKEde määratluse asjakohasus ja järjepidevus erinevates finantsõigusaktides; ii) turukuritarvituse menetlemise korra võimalik lihtsustamine ja iii) kas on mõttekas kehtestada üleminekusätteid reguleeritud turgudel ja VKEde kasvuturgudel esmakordselt tegutsevate emitentide jaoks.</w:t>
            </w: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Meede 3. Pikaajalise investeerimise vahendite toetamine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Komisjon võtab 2021. aasta III kvartaliks vastu ELTIFi määruse</w:t>
            </w:r>
            <w:r>
              <w:rPr>
                <w:rStyle w:val="FootnoteReference"/>
                <w:rFonts w:ascii="Times New Roman" w:hAnsi="Times New Roman" w:cs="Times New Roman"/>
                <w:i/>
                <w:noProof/>
              </w:rPr>
              <w:footnoteReference w:id="6"/>
            </w:r>
            <w:r>
              <w:rPr>
                <w:rFonts w:ascii="Times New Roman" w:hAnsi="Times New Roman"/>
                <w:i/>
                <w:noProof/>
              </w:rPr>
              <w:t xml:space="preserve"> läbivaatamise ettepaneku, tuginedes 2020. aastal algatatud avaliku konsultatsiooni ja mõjuhinnangu tulemustele.</w:t>
            </w:r>
          </w:p>
          <w:p>
            <w:pPr>
              <w:jc w:val="both"/>
              <w:rPr>
                <w:rFonts w:ascii="Times New Roman" w:hAnsi="Times New Roman" w:cs="Times New Roman"/>
                <w:b/>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III kv 2021</w:t>
            </w:r>
          </w:p>
        </w:tc>
      </w:tr>
      <w:tr>
        <w:trPr>
          <w:trHeight w:val="60"/>
        </w:trPr>
        <w:tc>
          <w:tcPr>
            <w:tcW w:w="9089" w:type="dxa"/>
            <w:gridSpan w:val="2"/>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bCs/>
                <w:noProof/>
              </w:rPr>
            </w:pPr>
            <w:r>
              <w:rPr>
                <w:rFonts w:ascii="Times New Roman" w:hAnsi="Times New Roman"/>
                <w:noProof/>
              </w:rPr>
              <w:t>Läbivaatamisel käsitletakse muu hulgas järgmist: i) ELTIFide tagasivõtmispoliitika ja eluiga;</w:t>
            </w:r>
            <w:r>
              <w:rPr>
                <w:rFonts w:ascii="Times New Roman" w:hAnsi="Times New Roman"/>
                <w:bCs/>
                <w:noProof/>
              </w:rPr>
              <w:t xml:space="preserve"> ii) ulatus, mil määral ELTIFe ELis turustatakse; iii) investeerimispiirangute asjakohasus jaeinvestorite jaoks ning iv) see, millises ulatuses tuleks kõlblike varade ja investeeringute loetelu ning hajutamistingimusi, portfelli koosseisu ja raha laenuksvõtmise piiranguid ajakohastada.</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i/>
                <w:noProof/>
                <w:u w:val="single"/>
              </w:rPr>
            </w:pPr>
            <w:r>
              <w:rPr>
                <w:rFonts w:ascii="Times New Roman" w:hAnsi="Times New Roman"/>
                <w:b/>
                <w:noProof/>
                <w:u w:val="single"/>
              </w:rPr>
              <w:t>Meede 4. Institutsionaalsete investorite julgustamine andma rohkem pikaajalist ja omakapitalipõhist rahastust</w:t>
            </w:r>
          </w:p>
          <w:p>
            <w:pPr>
              <w:jc w:val="both"/>
              <w:rPr>
                <w:rFonts w:ascii="Times New Roman" w:hAnsi="Times New Roman" w:cs="Times New Roman"/>
                <w:i/>
                <w:noProof/>
              </w:rPr>
            </w:pPr>
          </w:p>
          <w:p>
            <w:pPr>
              <w:pStyle w:val="ListParagraph"/>
              <w:numPr>
                <w:ilvl w:val="0"/>
                <w:numId w:val="2"/>
              </w:numPr>
              <w:spacing w:after="0" w:line="240" w:lineRule="auto"/>
              <w:jc w:val="both"/>
              <w:rPr>
                <w:rFonts w:ascii="Times New Roman" w:hAnsi="Times New Roman" w:cs="Times New Roman"/>
                <w:i/>
                <w:noProof/>
                <w:szCs w:val="24"/>
              </w:rPr>
            </w:pPr>
            <w:r>
              <w:rPr>
                <w:rFonts w:ascii="Times New Roman" w:hAnsi="Times New Roman"/>
                <w:i/>
                <w:noProof/>
                <w:szCs w:val="24"/>
              </w:rPr>
              <w:t>Solventsus II direktiivi</w:t>
            </w:r>
            <w:r>
              <w:rPr>
                <w:rStyle w:val="FootnoteReference"/>
                <w:rFonts w:ascii="Times New Roman" w:hAnsi="Times New Roman" w:cs="Times New Roman"/>
                <w:i/>
                <w:noProof/>
                <w:szCs w:val="24"/>
              </w:rPr>
              <w:footnoteReference w:id="7"/>
            </w:r>
            <w:r>
              <w:rPr>
                <w:rFonts w:ascii="Times New Roman" w:hAnsi="Times New Roman"/>
                <w:i/>
                <w:noProof/>
                <w:szCs w:val="24"/>
              </w:rPr>
              <w:t xml:space="preserve"> läbivaatamise raames hindab komisjon 2021. aasta III kvartaliks, kas õigusraamistikku saaks muuta, et veelgi enam soodustada kindlustusandjate pikaajalisi investeeringuid, kahjustamata seejuures finantsstabiilsust ja kindlustusvõtjate kaitset.</w:t>
            </w:r>
            <w:r>
              <w:rPr>
                <w:rFonts w:ascii="Times New Roman" w:hAnsi="Times New Roman"/>
                <w:noProof/>
                <w:szCs w:val="24"/>
              </w:rPr>
              <w:t xml:space="preserve"> </w:t>
            </w:r>
          </w:p>
          <w:p>
            <w:pPr>
              <w:ind w:left="360"/>
              <w:rPr>
                <w:rFonts w:ascii="Times New Roman" w:hAnsi="Times New Roman" w:cs="Times New Roman"/>
                <w:b/>
                <w:i/>
                <w:noProof/>
                <w:u w:val="single"/>
              </w:rPr>
            </w:pPr>
          </w:p>
        </w:tc>
        <w:tc>
          <w:tcPr>
            <w:tcW w:w="1196" w:type="dxa"/>
            <w:vAlign w:val="center"/>
          </w:tcPr>
          <w:p>
            <w:pPr>
              <w:jc w:val="both"/>
              <w:rPr>
                <w:rFonts w:ascii="Times New Roman" w:hAnsi="Times New Roman" w:cs="Times New Roman"/>
                <w:i/>
                <w:noProof/>
              </w:rPr>
            </w:pPr>
            <w:r>
              <w:rPr>
                <w:rFonts w:ascii="Times New Roman" w:hAnsi="Times New Roman"/>
                <w:b/>
                <w:noProof/>
              </w:rPr>
              <w:t>III kv 2021</w:t>
            </w: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noProof/>
              </w:rPr>
            </w:pPr>
          </w:p>
        </w:tc>
      </w:tr>
      <w:tr>
        <w:trPr>
          <w:trHeight w:val="1160"/>
        </w:trPr>
        <w:tc>
          <w:tcPr>
            <w:tcW w:w="9089" w:type="dxa"/>
            <w:gridSpan w:val="2"/>
            <w:vAlign w:val="center"/>
          </w:tcPr>
          <w:p>
            <w:pPr>
              <w:jc w:val="both"/>
              <w:rPr>
                <w:rFonts w:ascii="Times New Roman" w:hAnsi="Times New Roman" w:cs="Times New Roman"/>
                <w:b/>
                <w:noProof/>
                <w:u w:val="single"/>
              </w:rPr>
            </w:pPr>
          </w:p>
          <w:p>
            <w:pPr>
              <w:jc w:val="both"/>
              <w:rPr>
                <w:rFonts w:ascii="Times New Roman" w:hAnsi="Times New Roman" w:cs="Times New Roman"/>
                <w:noProof/>
                <w:szCs w:val="24"/>
              </w:rPr>
            </w:pPr>
            <w:r>
              <w:rPr>
                <w:rFonts w:ascii="Times New Roman" w:hAnsi="Times New Roman"/>
                <w:noProof/>
                <w:szCs w:val="24"/>
              </w:rPr>
              <w:t>Solventsus II direktiivi läbivaatamisel hinnatakse eelkõige pikaajalise omakapitali varaklassi kõlblikkuskriteeriumide asjakohasust, riskimarginaali arvutamist ja kindlustusandjate kohustuste hindamist, selleks et vältida põhjendamatut protsüklilist käitumist ja kajastada paremini kindlustustegevuse pikaajalist iseloomu.</w:t>
            </w:r>
          </w:p>
          <w:p>
            <w:pPr>
              <w:jc w:val="both"/>
              <w:rPr>
                <w:rFonts w:ascii="Times New Roman" w:hAnsi="Times New Roman" w:cs="Times New Roman"/>
                <w:noProof/>
              </w:rPr>
            </w:pPr>
          </w:p>
        </w:tc>
      </w:tr>
      <w:tr>
        <w:trPr>
          <w:trHeight w:val="1160"/>
        </w:trPr>
        <w:tc>
          <w:tcPr>
            <w:tcW w:w="7893" w:type="dxa"/>
            <w:vAlign w:val="center"/>
          </w:tcPr>
          <w:p>
            <w:pPr>
              <w:pStyle w:val="ListParagraph"/>
              <w:rPr>
                <w:rFonts w:ascii="Times New Roman" w:hAnsi="Times New Roman" w:cs="Times New Roman"/>
                <w:noProof/>
                <w:u w:val="single"/>
              </w:rPr>
            </w:pPr>
          </w:p>
          <w:p>
            <w:pPr>
              <w:pStyle w:val="ListParagraph"/>
              <w:numPr>
                <w:ilvl w:val="0"/>
                <w:numId w:val="2"/>
              </w:numPr>
              <w:spacing w:after="0" w:line="240" w:lineRule="auto"/>
              <w:jc w:val="both"/>
              <w:rPr>
                <w:rFonts w:ascii="Times New Roman" w:hAnsi="Times New Roman" w:cs="Times New Roman"/>
                <w:noProof/>
                <w:u w:val="single"/>
              </w:rPr>
            </w:pPr>
            <w:r>
              <w:rPr>
                <w:rFonts w:ascii="Times New Roman" w:hAnsi="Times New Roman"/>
                <w:i/>
                <w:noProof/>
                <w:szCs w:val="24"/>
              </w:rPr>
              <w:t>Oma töös Basel III rakendamisel kohaldab komisjon kapitalinõuete määruse</w:t>
            </w:r>
            <w:r>
              <w:rPr>
                <w:rStyle w:val="FootnoteReference"/>
                <w:rFonts w:ascii="Times New Roman" w:hAnsi="Times New Roman" w:cs="Times New Roman"/>
                <w:i/>
                <w:noProof/>
                <w:szCs w:val="24"/>
              </w:rPr>
              <w:footnoteReference w:id="8"/>
            </w:r>
            <w:r>
              <w:rPr>
                <w:rFonts w:ascii="Times New Roman" w:hAnsi="Times New Roman"/>
                <w:i/>
                <w:noProof/>
                <w:szCs w:val="24"/>
              </w:rPr>
              <w:t>/direktiivi</w:t>
            </w:r>
            <w:r>
              <w:rPr>
                <w:rStyle w:val="FootnoteReference"/>
                <w:rFonts w:ascii="Times New Roman" w:hAnsi="Times New Roman" w:cs="Times New Roman"/>
                <w:i/>
                <w:noProof/>
                <w:szCs w:val="24"/>
              </w:rPr>
              <w:footnoteReference w:id="9"/>
            </w:r>
            <w:r>
              <w:rPr>
                <w:rFonts w:ascii="Times New Roman" w:hAnsi="Times New Roman"/>
                <w:i/>
                <w:noProof/>
                <w:szCs w:val="24"/>
              </w:rPr>
              <w:t xml:space="preserve"> läbivaatamisel (õigusnormid on kavas vastu võtta 2021. aasta 1. kvartalis) Basel III kohast paindlikkust, et tagada pankades VKEde pikaajaliste omakapitaliinvesteeringute asjakohane käsitlemine usaldatavusnõuete alusel.</w:t>
            </w:r>
          </w:p>
          <w:p>
            <w:pPr>
              <w:ind w:left="360"/>
              <w:rPr>
                <w:rFonts w:ascii="Times New Roman" w:hAnsi="Times New Roman" w:cs="Times New Roman"/>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I kv 2021</w:t>
            </w:r>
          </w:p>
        </w:tc>
      </w:tr>
      <w:tr>
        <w:trPr>
          <w:trHeight w:val="488"/>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noProof/>
              </w:rPr>
            </w:pPr>
            <w:r>
              <w:rPr>
                <w:rFonts w:ascii="Times New Roman" w:hAnsi="Times New Roman"/>
                <w:noProof/>
              </w:rPr>
              <w:t>Kapitalinõuete määruse/direktiivi läbivaatamise eesmärk on vältida seda, et Basel III rakendamine mõjutaks lubamatult pankade investeeringuid VKEde pikaajalistesse omakapitaliinstrumentidesse ning pankade ja investeerimisühingute turutegemist.</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Meede 5. VKEde suunamine alternatiivsete rahastajate juurde</w:t>
            </w:r>
          </w:p>
          <w:p>
            <w:pPr>
              <w:jc w:val="both"/>
              <w:rPr>
                <w:rFonts w:ascii="Times New Roman" w:hAnsi="Times New Roman" w:cs="Times New Roman"/>
                <w:b/>
                <w:noProof/>
                <w:u w:val="single"/>
              </w:rPr>
            </w:pPr>
          </w:p>
          <w:p>
            <w:pPr>
              <w:jc w:val="both"/>
              <w:rPr>
                <w:rFonts w:ascii="Times New Roman" w:hAnsi="Times New Roman" w:cs="Times New Roman"/>
                <w:i/>
                <w:noProof/>
                <w:color w:val="000000"/>
                <w:szCs w:val="24"/>
              </w:rPr>
            </w:pPr>
            <w:r>
              <w:rPr>
                <w:rFonts w:ascii="Times New Roman" w:hAnsi="Times New Roman"/>
                <w:i/>
                <w:noProof/>
                <w:color w:val="000000"/>
                <w:szCs w:val="24"/>
              </w:rPr>
              <w:t xml:space="preserve">Selleks et hõlbustada VKEde juurdepääsu rahastusele, analüüsib komisjon 2021. aasta 4. kvartaliks, kas on võimalik ja mõttekas kehtestada nõue, mille kohaselt pangad peaksid suunama VKEd, mille krediiditaotluse nad on tagasi lükanud, alternatiivsete rahastajate juurde.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noProof/>
              </w:rPr>
              <w:t>IV kv 2021</w:t>
            </w:r>
          </w:p>
        </w:tc>
      </w:tr>
      <w:tr>
        <w:trPr>
          <w:trHeight w:val="389"/>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noProof/>
              </w:rPr>
            </w:pPr>
            <w:r>
              <w:rPr>
                <w:rFonts w:ascii="Times New Roman" w:hAnsi="Times New Roman"/>
                <w:noProof/>
              </w:rPr>
              <w:t>Teostatavushinnangus analüüsitakse pankade seniste suunamisskeemide tulemuslikkust. Komisjon uurib ka seda, kas on mõtet kehtestada alternatiivsetele rahastusplatvormidele omakorda nõue suunata VKEd, kelle krediiditaotlus tagasi lükatakse, pankadesse ja kas suunamiskava tuleks laiendada ka omakapitali kaudu rahastamise pakkujatele, kontaktiloomisplatvormidele ja spetsialiseerunud nõustamiskeskustele.</w:t>
            </w:r>
          </w:p>
          <w:p>
            <w:pPr>
              <w:jc w:val="both"/>
              <w:rPr>
                <w:rFonts w:ascii="Times New Roman" w:eastAsia="Times New Roman" w:hAnsi="Times New Roman" w:cs="Times New Roman"/>
                <w:noProof/>
                <w:lang w:eastAsia="en-GB"/>
              </w:rPr>
            </w:pPr>
          </w:p>
        </w:tc>
      </w:tr>
      <w:tr>
        <w:trPr>
          <w:trHeight w:val="1160"/>
        </w:trPr>
        <w:tc>
          <w:tcPr>
            <w:tcW w:w="7893" w:type="dxa"/>
            <w:tcBorders>
              <w:bottom w:val="single" w:sz="4" w:space="0" w:color="auto"/>
            </w:tcBorders>
            <w:vAlign w:val="center"/>
          </w:tcPr>
          <w:p>
            <w:pPr>
              <w:jc w:val="both"/>
              <w:rPr>
                <w:rFonts w:ascii="Times New Roman" w:hAnsi="Times New Roman" w:cs="Times New Roman"/>
                <w:b/>
                <w:noProof/>
                <w:szCs w:val="24"/>
                <w:u w:val="single"/>
              </w:rPr>
            </w:pPr>
            <w:r>
              <w:rPr>
                <w:rFonts w:ascii="Times New Roman" w:hAnsi="Times New Roman"/>
                <w:b/>
                <w:noProof/>
                <w:u w:val="single"/>
              </w:rPr>
              <w:t xml:space="preserve">Meede 6. </w:t>
            </w:r>
            <w:r>
              <w:rPr>
                <w:rFonts w:ascii="Times New Roman" w:hAnsi="Times New Roman"/>
                <w:b/>
                <w:noProof/>
                <w:szCs w:val="24"/>
                <w:u w:val="single"/>
              </w:rPr>
              <w:t>Pankade abistamine reaalmajandusele rohkem laenu andmisel</w:t>
            </w:r>
          </w:p>
          <w:p>
            <w:pPr>
              <w:jc w:val="both"/>
              <w:rPr>
                <w:rFonts w:ascii="Times New Roman" w:hAnsi="Times New Roman" w:cs="Times New Roman"/>
                <w:b/>
                <w:noProof/>
                <w:u w:val="single"/>
              </w:rPr>
            </w:pPr>
          </w:p>
          <w:p>
            <w:pPr>
              <w:jc w:val="both"/>
              <w:rPr>
                <w:rFonts w:ascii="Times New Roman" w:hAnsi="Times New Roman" w:cs="Times New Roman"/>
                <w:i/>
                <w:noProof/>
                <w:szCs w:val="24"/>
              </w:rPr>
            </w:pPr>
            <w:r>
              <w:rPr>
                <w:rFonts w:ascii="Times New Roman" w:hAnsi="Times New Roman"/>
                <w:i/>
                <w:noProof/>
                <w:szCs w:val="24"/>
              </w:rPr>
              <w:t>Selleks et väärtpaberistamisturgu ELis laiendada, vaatab komisjon 2021. aasta IV kvartaliks ELi väärtpaberistamisraamistiku</w:t>
            </w:r>
            <w:r>
              <w:rPr>
                <w:rStyle w:val="FootnoteReference"/>
                <w:rFonts w:ascii="Times New Roman" w:hAnsi="Times New Roman" w:cs="Times New Roman"/>
                <w:i/>
                <w:noProof/>
                <w:szCs w:val="24"/>
              </w:rPr>
              <w:footnoteReference w:id="10"/>
            </w:r>
            <w:r>
              <w:rPr>
                <w:rFonts w:ascii="Times New Roman" w:hAnsi="Times New Roman"/>
                <w:i/>
                <w:noProof/>
                <w:szCs w:val="24"/>
              </w:rPr>
              <w:t xml:space="preserve"> põhjalikult läbi nii lihtsa, läbipaistva ja standarditud väärtpaberistamise kui ka muu väärtpaberistamise</w:t>
            </w:r>
            <w:r>
              <w:rPr>
                <w:rStyle w:val="FootnoteReference"/>
                <w:rFonts w:ascii="Times New Roman" w:hAnsi="Times New Roman" w:cs="Times New Roman"/>
                <w:i/>
                <w:noProof/>
                <w:szCs w:val="24"/>
              </w:rPr>
              <w:footnoteReference w:id="11"/>
            </w:r>
            <w:r>
              <w:rPr>
                <w:rFonts w:ascii="Times New Roman" w:hAnsi="Times New Roman"/>
                <w:i/>
                <w:noProof/>
                <w:szCs w:val="24"/>
              </w:rPr>
              <w:t xml:space="preserve"> osas.</w:t>
            </w:r>
          </w:p>
          <w:p>
            <w:pPr>
              <w:jc w:val="both"/>
              <w:rPr>
                <w:rFonts w:ascii="Times New Roman" w:hAnsi="Times New Roman" w:cs="Times New Roman"/>
                <w:i/>
                <w:noProof/>
                <w:u w:val="single"/>
              </w:rPr>
            </w:pPr>
          </w:p>
        </w:tc>
        <w:tc>
          <w:tcPr>
            <w:tcW w:w="1196" w:type="dxa"/>
            <w:tcBorders>
              <w:bottom w:val="single" w:sz="4" w:space="0" w:color="auto"/>
            </w:tcBorders>
            <w:vAlign w:val="center"/>
          </w:tcPr>
          <w:p>
            <w:pPr>
              <w:jc w:val="both"/>
              <w:rPr>
                <w:rFonts w:ascii="Times New Roman" w:hAnsi="Times New Roman" w:cs="Times New Roman"/>
                <w:b/>
                <w:i/>
                <w:noProof/>
              </w:rPr>
            </w:pPr>
            <w:r>
              <w:rPr>
                <w:rFonts w:ascii="Times New Roman" w:hAnsi="Times New Roman"/>
                <w:b/>
                <w:noProof/>
              </w:rPr>
              <w:t>IV kv 2021</w:t>
            </w:r>
          </w:p>
        </w:tc>
      </w:tr>
      <w:tr>
        <w:trPr>
          <w:trHeight w:val="1881"/>
        </w:trPr>
        <w:tc>
          <w:tcPr>
            <w:tcW w:w="9089" w:type="dxa"/>
            <w:gridSpan w:val="2"/>
            <w:tcBorders>
              <w:bottom w:val="single" w:sz="4" w:space="0" w:color="auto"/>
            </w:tcBorders>
            <w:vAlign w:val="center"/>
          </w:tcPr>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szCs w:val="24"/>
              </w:rPr>
              <w:t xml:space="preserve">Läbivaatamise eesmärk on tugevdada väärtpaberistamise rolli pankadele kättesaadava vahendina, mis aitaks neil pakkuda COVID-19 järgsetes oludes reaalmajandusele kestlikku ja stabiilset rahastust, keskendudes eelkõige VKEdele ja rohepöördele. </w:t>
            </w:r>
            <w:r>
              <w:rPr>
                <w:rFonts w:ascii="Times New Roman" w:hAnsi="Times New Roman"/>
                <w:noProof/>
              </w:rPr>
              <w:t>Erilist tähelepanu pööratakse praeguse raamistiku suutlikkusele kajastada asjakohaselt nii standardväärtpaberistamise instrumentide kui ka muude väärtpaberistamisinstrumentide tegelikku riski, sealhulgas avalikustamisnõuete asjakohasusele, riski olulise osa ülekandmise kajastamise protsessile ning sularaha ja sünteetilise väärtpaberistamise usaldatavusnõuetekohasele käsitlemisele, säilitades samal ajal ELi finantsstabiilsuse.</w:t>
            </w:r>
          </w:p>
          <w:p>
            <w:pPr>
              <w:jc w:val="both"/>
              <w:rPr>
                <w:rFonts w:ascii="Times New Roman" w:hAnsi="Times New Roman" w:cs="Times New Roman"/>
                <w:noProof/>
              </w:rPr>
            </w:pPr>
          </w:p>
        </w:tc>
      </w:tr>
      <w:tr>
        <w:tc>
          <w:tcPr>
            <w:tcW w:w="9089" w:type="dxa"/>
            <w:gridSpan w:val="2"/>
            <w:tcBorders>
              <w:top w:val="single" w:sz="4" w:space="0" w:color="auto"/>
              <w:left w:val="nil"/>
              <w:bottom w:val="single" w:sz="4" w:space="0" w:color="auto"/>
              <w:right w:val="nil"/>
            </w:tcBorders>
            <w:vAlign w:val="center"/>
          </w:tcPr>
          <w:p>
            <w:pPr>
              <w:jc w:val="both"/>
              <w:rPr>
                <w:b/>
                <w:i/>
                <w:noProof/>
              </w:rPr>
            </w:pPr>
          </w:p>
          <w:p>
            <w:pPr>
              <w:pStyle w:val="ListParagraph"/>
              <w:numPr>
                <w:ilvl w:val="0"/>
                <w:numId w:val="1"/>
              </w:numPr>
              <w:spacing w:after="0" w:line="240" w:lineRule="auto"/>
              <w:jc w:val="both"/>
              <w:rPr>
                <w:b/>
                <w:i/>
                <w:noProof/>
              </w:rPr>
            </w:pPr>
            <w:r>
              <w:rPr>
                <w:rFonts w:ascii="Times New Roman Bold" w:hAnsi="Times New Roman Bold"/>
                <w:b/>
                <w:smallCaps/>
                <w:noProof/>
                <w:sz w:val="24"/>
                <w:szCs w:val="20"/>
                <w:u w:val="single"/>
              </w:rPr>
              <w:t>Meetmed, millega muudetakse säästmine ja pikaajaline investeerimine ELis üksikisikute jaoks veelgi turvalisemaks</w:t>
            </w:r>
          </w:p>
          <w:p>
            <w:pPr>
              <w:jc w:val="both"/>
              <w:rPr>
                <w:noProof/>
              </w:rPr>
            </w:pPr>
          </w:p>
        </w:tc>
      </w:tr>
      <w:tr>
        <w:tc>
          <w:tcPr>
            <w:tcW w:w="7893" w:type="dxa"/>
            <w:tcBorders>
              <w:top w:val="single" w:sz="4" w:space="0" w:color="auto"/>
            </w:tcBorders>
            <w:vAlign w:val="center"/>
          </w:tcPr>
          <w:p>
            <w:pPr>
              <w:jc w:val="both"/>
              <w:rPr>
                <w:rFonts w:ascii="Times New Roman" w:hAnsi="Times New Roman" w:cs="Times New Roman"/>
                <w:b/>
                <w:noProof/>
                <w:u w:val="single"/>
              </w:rPr>
            </w:pPr>
            <w:r>
              <w:rPr>
                <w:rFonts w:ascii="Times New Roman" w:hAnsi="Times New Roman"/>
                <w:b/>
                <w:noProof/>
                <w:u w:val="single"/>
              </w:rPr>
              <w:t>Meede 7. Kodanike võimestamine finantskirjaoskuse kaudu</w:t>
            </w:r>
          </w:p>
          <w:p>
            <w:pPr>
              <w:jc w:val="both"/>
              <w:rPr>
                <w:rFonts w:ascii="Times New Roman" w:hAnsi="Times New Roman" w:cs="Times New Roman"/>
                <w:bCs/>
                <w:i/>
                <w:noProof/>
                <w:color w:val="000000"/>
                <w:lang w:val="en-US"/>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bCs/>
                <w:i/>
                <w:noProof/>
                <w:color w:val="000000"/>
              </w:rPr>
              <w:t>Selleks et edendada avaliku sektori asutuste ja eraõiguslike organisatsioonide ühist arusaama finantspädevusest ning panna alus finantspädevuse arendamisele eri kasutusvaldkondades ja olukordades, viib komisjon 2021. aasta 2. kvartaliks läbi teostatavuse hindamise, et töötada välja sihtotstarbeline ELi finantspädevuse raamistik, tuginedes olemasolevatele selleteemalistele raamistikele.</w:t>
            </w:r>
          </w:p>
          <w:p>
            <w:pPr>
              <w:pStyle w:val="ListParagraph"/>
              <w:spacing w:after="0" w:line="240" w:lineRule="auto"/>
              <w:jc w:val="both"/>
              <w:rPr>
                <w:rFonts w:ascii="Times New Roman" w:hAnsi="Times New Roman" w:cs="Times New Roman"/>
                <w:i/>
                <w:noProof/>
              </w:rPr>
            </w:pPr>
          </w:p>
          <w:p>
            <w:pPr>
              <w:jc w:val="both"/>
              <w:rPr>
                <w:rFonts w:ascii="Times New Roman" w:hAnsi="Times New Roman" w:cs="Times New Roman"/>
                <w:i/>
                <w:noProof/>
              </w:rPr>
            </w:pPr>
          </w:p>
        </w:tc>
        <w:tc>
          <w:tcPr>
            <w:tcW w:w="1196" w:type="dxa"/>
            <w:tcBorders>
              <w:top w:val="single" w:sz="4" w:space="0" w:color="auto"/>
            </w:tcBorders>
            <w:vAlign w:val="center"/>
          </w:tcPr>
          <w:p>
            <w:pPr>
              <w:jc w:val="both"/>
              <w:rPr>
                <w:rFonts w:ascii="Times New Roman" w:hAnsi="Times New Roman" w:cs="Times New Roman"/>
                <w:b/>
                <w:noProof/>
              </w:rPr>
            </w:pPr>
            <w:r>
              <w:rPr>
                <w:rFonts w:ascii="Times New Roman" w:hAnsi="Times New Roman"/>
                <w:b/>
                <w:noProof/>
              </w:rPr>
              <w:t>II kv 2021</w:t>
            </w:r>
          </w:p>
          <w:p>
            <w:pPr>
              <w:jc w:val="both"/>
              <w:rPr>
                <w:rFonts w:ascii="Times New Roman" w:hAnsi="Times New Roman" w:cs="Times New Roman"/>
                <w:noProof/>
              </w:rPr>
            </w:pP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Selle meetme eesmärk on luua ELi avaliku ja erasektori asutustele ühine kontseptuaalne alus, et töötada välja poliitikat ja õpperakendusi ning materjale, mille eesmärk on suurendada üksikisikute finantspädevust. See tugineb olemasolevatele selleteemalistele raamistikele ja järgib subsidiaarsuse põhimõtet.</w:t>
            </w:r>
          </w:p>
          <w:p>
            <w:pPr>
              <w:jc w:val="both"/>
              <w:rPr>
                <w:rFonts w:ascii="Times New Roman" w:hAnsi="Times New Roman" w:cs="Times New Roman"/>
                <w:noProof/>
              </w:rPr>
            </w:pPr>
          </w:p>
        </w:tc>
      </w:tr>
      <w:tr>
        <w:tc>
          <w:tcPr>
            <w:tcW w:w="7893" w:type="dxa"/>
            <w:vAlign w:val="center"/>
          </w:tcPr>
          <w:p>
            <w:pPr>
              <w:pStyle w:val="ListParagraph"/>
              <w:jc w:val="both"/>
              <w:rPr>
                <w:rFonts w:ascii="Times New Roman" w:hAnsi="Times New Roman" w:cs="Times New Roman"/>
                <w:i/>
                <w:noProof/>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i/>
                <w:noProof/>
                <w:color w:val="000000"/>
              </w:rPr>
              <w:t xml:space="preserve">Komisjon hindab, kas on asjakohane </w:t>
            </w:r>
            <w:r>
              <w:rPr>
                <w:rFonts w:ascii="Times New Roman" w:hAnsi="Times New Roman"/>
                <w:bCs/>
                <w:i/>
                <w:noProof/>
                <w:color w:val="000000"/>
              </w:rPr>
              <w:t>laiendada hüpoteekkrediidi direktiivi</w:t>
            </w:r>
            <w:r>
              <w:rPr>
                <w:rStyle w:val="FootnoteReference"/>
                <w:rFonts w:ascii="Times New Roman" w:hAnsi="Times New Roman" w:cs="Times New Roman"/>
                <w:bCs/>
                <w:i/>
                <w:noProof/>
                <w:color w:val="000000"/>
                <w:lang w:val="en-US"/>
              </w:rPr>
              <w:footnoteReference w:id="12"/>
            </w:r>
            <w:r>
              <w:rPr>
                <w:rFonts w:ascii="Times New Roman" w:hAnsi="Times New Roman"/>
                <w:bCs/>
                <w:i/>
                <w:noProof/>
                <w:color w:val="000000"/>
              </w:rPr>
              <w:t xml:space="preserve"> artiklis 6 sätestatud põhimõtet </w:t>
            </w:r>
            <w:r>
              <w:rPr>
                <w:rFonts w:ascii="Times New Roman" w:hAnsi="Times New Roman"/>
                <w:i/>
                <w:noProof/>
                <w:color w:val="000000"/>
              </w:rPr>
              <w:t>vastavasisulistele valdkondlikele õigusaktidele</w:t>
            </w:r>
            <w:r>
              <w:rPr>
                <w:rFonts w:ascii="Times New Roman" w:hAnsi="Times New Roman"/>
                <w:bCs/>
                <w:i/>
                <w:noProof/>
                <w:color w:val="000000"/>
              </w:rPr>
              <w:t xml:space="preserve"> – finantsinstrumentide turgude direktiivile</w:t>
            </w:r>
            <w:r>
              <w:rPr>
                <w:rStyle w:val="FootnoteReference"/>
                <w:rFonts w:ascii="Times New Roman" w:hAnsi="Times New Roman" w:cs="Times New Roman"/>
                <w:bCs/>
                <w:i/>
                <w:noProof/>
                <w:color w:val="000000"/>
                <w:lang w:val="en-US"/>
              </w:rPr>
              <w:footnoteReference w:id="13"/>
            </w:r>
            <w:r>
              <w:rPr>
                <w:rFonts w:ascii="Times New Roman" w:hAnsi="Times New Roman"/>
                <w:bCs/>
                <w:i/>
                <w:noProof/>
                <w:color w:val="000000"/>
              </w:rPr>
              <w:t xml:space="preserve"> (MiFID), kindlustustoodete turustamise direktiivile</w:t>
            </w:r>
            <w:r>
              <w:rPr>
                <w:rStyle w:val="FootnoteReference"/>
                <w:rFonts w:ascii="Times New Roman" w:hAnsi="Times New Roman" w:cs="Times New Roman"/>
                <w:bCs/>
                <w:i/>
                <w:noProof/>
                <w:color w:val="000000"/>
                <w:lang w:val="en-US"/>
              </w:rPr>
              <w:footnoteReference w:id="14"/>
            </w:r>
            <w:r>
              <w:rPr>
                <w:rFonts w:ascii="Times New Roman" w:hAnsi="Times New Roman"/>
                <w:bCs/>
                <w:i/>
                <w:noProof/>
                <w:color w:val="000000"/>
              </w:rPr>
              <w:t>, üleeuroopaliste personaalpensionitoodete (PEPP) määrusele</w:t>
            </w:r>
            <w:r>
              <w:rPr>
                <w:rStyle w:val="FootnoteReference"/>
                <w:rFonts w:ascii="Times New Roman" w:hAnsi="Times New Roman" w:cs="Times New Roman"/>
                <w:bCs/>
                <w:i/>
                <w:noProof/>
                <w:color w:val="000000"/>
                <w:lang w:val="en-US"/>
              </w:rPr>
              <w:footnoteReference w:id="15"/>
            </w:r>
            <w:r>
              <w:rPr>
                <w:rFonts w:ascii="Times New Roman" w:hAnsi="Times New Roman"/>
                <w:bCs/>
                <w:i/>
                <w:noProof/>
                <w:color w:val="000000"/>
              </w:rPr>
              <w:t>, vabalt võõrandatavatesse väärtpaberitesse ühiseks investeerimiseks loodud ettevõtjate (eurofondid) direktiivile</w:t>
            </w:r>
            <w:r>
              <w:rPr>
                <w:rStyle w:val="FootnoteReference"/>
                <w:rFonts w:ascii="Times New Roman" w:hAnsi="Times New Roman" w:cs="Times New Roman"/>
                <w:bCs/>
                <w:i/>
                <w:noProof/>
                <w:color w:val="000000"/>
                <w:lang w:val="en-US"/>
              </w:rPr>
              <w:footnoteReference w:id="16"/>
            </w:r>
            <w:r>
              <w:rPr>
                <w:rFonts w:ascii="Times New Roman" w:hAnsi="Times New Roman"/>
                <w:bCs/>
                <w:i/>
                <w:noProof/>
                <w:color w:val="000000"/>
              </w:rPr>
              <w:t>, kombineeritud jae- ja kindlustuspõhiste investeerimistoodete (PRIIPid)</w:t>
            </w:r>
            <w:r>
              <w:rPr>
                <w:rFonts w:ascii="Times New Roman" w:hAnsi="Times New Roman"/>
                <w:i/>
                <w:noProof/>
                <w:color w:val="000000"/>
              </w:rPr>
              <w:t xml:space="preserve"> määrusele</w:t>
            </w:r>
            <w:r>
              <w:rPr>
                <w:rStyle w:val="FootnoteReference"/>
                <w:rFonts w:ascii="Times New Roman" w:hAnsi="Times New Roman" w:cs="Times New Roman"/>
                <w:i/>
                <w:noProof/>
                <w:color w:val="000000"/>
                <w:lang w:val="en-US"/>
              </w:rPr>
              <w:footnoteReference w:id="17"/>
            </w:r>
            <w:r>
              <w:rPr>
                <w:rFonts w:ascii="Times New Roman" w:hAnsi="Times New Roman"/>
                <w:i/>
                <w:noProof/>
                <w:color w:val="000000"/>
              </w:rPr>
              <w:t>. Selle eesmärk, juhul kui seda toetab positiivne mõjuhinnang, on esitada horisontaalsed koondõigusaktid, milles nõutakse, et liikmesriigid edendaksid formaalse, mitteformaalse ja/või informaalse õppe meetmeid, mis toetavad tarbijate finantsharidust, eelkõige seoses vastutustundliku investeerimisega.</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highlight w:val="yellow"/>
              </w:rPr>
            </w:pPr>
            <w:r>
              <w:rPr>
                <w:rFonts w:ascii="Times New Roman" w:hAnsi="Times New Roman"/>
                <w:b/>
                <w:noProof/>
              </w:rPr>
              <w:t>I kv 2022</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Selle meetme eesmärk on tugineda hüpoteekkrediidi direktiivis sätestatud õiguslikule pretsedendile ja nõuda liikmesriikidelt selliste õppemeetmete edendamist, mis toetavad tarbijate finantsharidust vastutustundliku investeerimise alal, ka teistes valdkondlikes õigusaktides (MiFID II, kindlustustoodete turustamise direktiiv, PEPP, eurofondid, PRIIPid), kui seda toetab positiivne mõjuhinnang ja kui seejuures peetakse täielikult kinni subsidiaarsuse põhimõttest.</w:t>
            </w:r>
          </w:p>
          <w:p>
            <w:pPr>
              <w:jc w:val="both"/>
              <w:rPr>
                <w:rFonts w:ascii="Times New Roman" w:hAnsi="Times New Roman" w:cs="Times New Roman"/>
                <w:noProof/>
              </w:rPr>
            </w:pPr>
            <w:r>
              <w:rPr>
                <w:rFonts w:ascii="Times New Roman" w:hAnsi="Times New Roman"/>
                <w:noProof/>
              </w:rPr>
              <w:t xml:space="preserve"> </w:t>
            </w: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Meede 8. Jaeinvestorite usalduse suurendamine kapitaliturgude vastu</w:t>
            </w:r>
          </w:p>
          <w:p>
            <w:pPr>
              <w:jc w:val="both"/>
              <w:rPr>
                <w:rFonts w:ascii="Times New Roman" w:hAnsi="Times New Roman" w:cs="Times New Roman"/>
                <w:b/>
                <w:i/>
                <w:noProof/>
                <w:u w:val="single"/>
              </w:rPr>
            </w:pPr>
            <w:r>
              <w:rPr>
                <w:rFonts w:ascii="Times New Roman" w:hAnsi="Times New Roman"/>
                <w:b/>
                <w:i/>
                <w:noProof/>
                <w:u w:val="single"/>
              </w:rPr>
              <w:t xml:space="preserve"> </w:t>
            </w: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Komisjon hindab hüvede ja teabe avalikustamise alal kehtivaid eeskirju ja teeb vajaduse korral ettepaneku muuta olemasolevat õigusraamistikku, tagamaks, et jaeinvestorid saaksid ausat ja piisavat nõu ning selget ja võrreldavat teavet toodete kohta.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I kv 2022</w:t>
            </w:r>
          </w:p>
        </w:tc>
      </w:tr>
      <w:tr>
        <w:tc>
          <w:tcPr>
            <w:tcW w:w="9089" w:type="dxa"/>
            <w:gridSpan w:val="2"/>
            <w:vAlign w:val="center"/>
          </w:tcPr>
          <w:p>
            <w:pPr>
              <w:jc w:val="both"/>
              <w:rPr>
                <w:rFonts w:ascii="Times New Roman" w:hAnsi="Times New Roman" w:cs="Times New Roman"/>
                <w:noProof/>
                <w:highlight w:val="yellow"/>
              </w:rPr>
            </w:pPr>
          </w:p>
          <w:p>
            <w:pPr>
              <w:jc w:val="both"/>
              <w:rPr>
                <w:rFonts w:ascii="Times New Roman" w:hAnsi="Times New Roman" w:cs="Times New Roman"/>
                <w:noProof/>
              </w:rPr>
            </w:pPr>
            <w:r>
              <w:rPr>
                <w:rFonts w:ascii="Times New Roman" w:hAnsi="Times New Roman"/>
                <w:noProof/>
              </w:rPr>
              <w:t xml:space="preserve">Turustamise valdkonnas kaalutakse hindamisel muu hulgas võimalikke meetmeid, et: i) viia kindlustustoodete turustamise direktiivis sätestatud investorite kaitse normid vastavusse MiFID II alusel kohaldatavate normidega; ii) paluda turustajatel teavitada kliente kolmandate isikute toodete olemasolust; iii) parandada klientidele pakutavate hüvede läbipaistvust ning iv) kehtestada jaetoodete turustajatele aruandluse erinõuded, et võimaldada järelevalvet. Avalikustamise valdkonnas pööratakse erilist tähelepanu tarbijate paremale osalusele, teabe digitaalsel kujul kättesaadavaks tegemisele ja koostoimele põhiteabega, mis võimaldab teavet võrrelda, vastastikust toimet analüüsida ja kohandada. See meede peaks hõlmama kestlikkusteabe avaldamise täiustamist, mis kiirendaks kestlike toodete kasutuselevõttu jaeinvestorite hulgas. Komisjon viib hindamise lõpule 2022. aasta 1. kvartaliks. </w:t>
            </w:r>
          </w:p>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Seejärel esitab komisjon vajalikud seadusandlikud muudatused, et tegelda võimalike huvide konfliktidega, mis tulenevad turustajatele rahaliste hüvede andmisest, ning kehtiva avalikustamisraamistiku nõrkade külgedega, eelkõige selleks, et saavutada kindlustustoodete turustamise direktiivi, MiFID II ja PRIIPide määruse parem kooskõla. Kui seda toetab positiivne mõjuhinnang, lisatakse need muudatused kindlustustoodete turustamise direktiivi, MiFID II ja PRIIPide määrusse.</w:t>
            </w:r>
          </w:p>
          <w:p>
            <w:pPr>
              <w:jc w:val="both"/>
              <w:rPr>
                <w:rFonts w:ascii="Times New Roman" w:hAnsi="Times New Roman" w:cs="Times New Roman"/>
                <w:i/>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noProof/>
              </w:rPr>
            </w:pPr>
            <w:r>
              <w:rPr>
                <w:rFonts w:ascii="Times New Roman" w:hAnsi="Times New Roman"/>
                <w:i/>
                <w:noProof/>
              </w:rPr>
              <w:t>Komisjon esitab seadusandliku ettepaneku MiFID II muutmiseks 2021. aasta 4. kvartaliks / 2022. aasta 1. kvartaliks, et vähendada teatava jaeinvestorite rühma halduskoormust ja teabenõudeid. Seejuures vaadatakse läbi olemasolev jaeinvestorite ja kutseliste investorite liigitus või kehtestatakse uus kvalifitseeritud investorite kategooria.</w:t>
            </w:r>
          </w:p>
          <w:p>
            <w:pPr>
              <w:ind w:left="360"/>
              <w:jc w:val="bot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IV kv 2021 / I kv 2022</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bCs/>
                <w:noProof/>
              </w:rPr>
            </w:pPr>
            <w:r>
              <w:rPr>
                <w:rFonts w:ascii="Times New Roman" w:hAnsi="Times New Roman"/>
                <w:noProof/>
              </w:rPr>
              <w:t xml:space="preserve">Selle meetme </w:t>
            </w:r>
            <w:r>
              <w:rPr>
                <w:rFonts w:ascii="Times New Roman" w:hAnsi="Times New Roman"/>
                <w:bCs/>
                <w:noProof/>
              </w:rPr>
              <w:t>eesmärk on parandada investorite liigitust MiFID II raamistikus, et vähendada ettevõtjate halduskoormust ning leevendada tarbetuid kaitsemeetmeid ja teabenõudeid selle investorite rühma puhul, keda praegu liigitatakse jaeinvestoriteks, kuigi nad tunnevad hästi finantsturge ja -tooteid. Selle kohta koostatakse mõjuhinnang.</w:t>
            </w:r>
          </w:p>
          <w:p>
            <w:pPr>
              <w:jc w:val="both"/>
              <w:rPr>
                <w:rFonts w:ascii="Times New Roman" w:hAnsi="Times New Roman" w:cs="Times New Roman"/>
                <w:bCs/>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Kui kindlustustoodete turustamise direktiivi läbivaatamisel 2023. aasta 1. kvartaliks ja MiFID II läbivaatamisel 2021. aasta 4. kvartaliks saadakse positiivne mõjuhinnang, kehtestab komisjon nõude, et nõustajatel peab olema tunnistus, mis tõendab, et nende teadmiste ja kvalifikatsiooni tase on kutsealale pääsemiseks piisav, ning näitab, et nad osalevad piisaval tasemel täiendusõppes. Selle eesmärk on hoida nõustajate tegevus nõuetekohasel tasemel.</w:t>
            </w:r>
          </w:p>
          <w:p>
            <w:pPr>
              <w:jc w:val="both"/>
              <w:rPr>
                <w:rFonts w:ascii="Times New Roman" w:eastAsia="Times New Roman" w:hAnsi="Times New Roman" w:cs="Times New Roman"/>
                <w:bCs/>
                <w:i/>
                <w:noProof/>
                <w:lang w:val="en-US" w:eastAsia="en-GB"/>
              </w:rPr>
            </w:pPr>
          </w:p>
          <w:p>
            <w:pPr>
              <w:ind w:left="720"/>
              <w:jc w:val="both"/>
              <w:rPr>
                <w:rFonts w:ascii="Times New Roman" w:hAnsi="Times New Roman" w:cs="Times New Roman"/>
                <w:b/>
                <w:i/>
                <w:noProof/>
              </w:rPr>
            </w:pPr>
            <w:r>
              <w:rPr>
                <w:rFonts w:ascii="Times New Roman" w:hAnsi="Times New Roman"/>
                <w:bCs/>
                <w:i/>
                <w:noProof/>
              </w:rPr>
              <w:t>Peale selle hindab komisjon 2022. aasta 1. kvartaliks võimalust luua finantsnõustajatele üleeuroopaline kvaliteedimärgis, mida saab kasutada sertifikaadi saamise nõude täitmiseks.</w:t>
            </w:r>
          </w:p>
          <w:p>
            <w:pPr>
              <w:jc w:val="both"/>
              <w:rPr>
                <w:rFonts w:ascii="Times New Roman" w:hAnsi="Times New Roman" w:cs="Times New Roman"/>
                <w:b/>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I kv 2023</w:t>
            </w:r>
          </w:p>
          <w:p>
            <w:pPr>
              <w:jc w:val="both"/>
              <w:rPr>
                <w:rFonts w:ascii="Times New Roman" w:hAnsi="Times New Roman" w:cs="Times New Roman"/>
                <w:b/>
                <w:noProof/>
              </w:rPr>
            </w:pPr>
            <w:r>
              <w:rPr>
                <w:rFonts w:ascii="Times New Roman" w:hAnsi="Times New Roman"/>
                <w:b/>
                <w:noProof/>
              </w:rPr>
              <w:t>IV kv 2021</w:t>
            </w:r>
          </w:p>
          <w:p>
            <w:pPr>
              <w:jc w:val="both"/>
              <w:rPr>
                <w:rFonts w:ascii="Times New Roman" w:hAnsi="Times New Roman" w:cs="Times New Roman"/>
                <w:b/>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I kv 2022</w:t>
            </w:r>
          </w:p>
        </w:tc>
      </w:tr>
      <w:tr>
        <w:tc>
          <w:tcPr>
            <w:tcW w:w="9089" w:type="dxa"/>
            <w:gridSpan w:val="2"/>
            <w:vAlign w:val="center"/>
          </w:tcPr>
          <w:p>
            <w:pPr>
              <w:jc w:val="both"/>
              <w:rPr>
                <w:rFonts w:ascii="Times New Roman" w:eastAsia="Times New Roman" w:hAnsi="Times New Roman" w:cs="Times New Roman"/>
                <w:bCs/>
                <w:noProof/>
                <w:lang w:eastAsia="en-GB"/>
              </w:rPr>
            </w:pPr>
          </w:p>
          <w:p>
            <w:pPr>
              <w:jc w:val="both"/>
              <w:rPr>
                <w:rFonts w:ascii="Times New Roman" w:hAnsi="Times New Roman" w:cs="Times New Roman"/>
                <w:b/>
                <w:noProof/>
                <w:u w:val="single"/>
              </w:rPr>
            </w:pPr>
            <w:r>
              <w:rPr>
                <w:rFonts w:ascii="Times New Roman" w:hAnsi="Times New Roman"/>
                <w:bCs/>
                <w:noProof/>
              </w:rPr>
              <w:t>Need meetmed tagavad nõustajate hulgas võrdsed tingimused ja parandavad ELis finantsnõustamise kvaliteeti veelgi, sealhulgas ka kestlikkuse alal.</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Meede 9. Pensioniikka jõudvate inimeste toetamine</w:t>
            </w:r>
          </w:p>
          <w:p>
            <w:pPr>
              <w:jc w:val="both"/>
              <w:rPr>
                <w:rFonts w:ascii="Times New Roman" w:hAnsi="Times New Roman" w:cs="Times New Roman"/>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 xml:space="preserve">Selleks et tugevdada liikmesriikides pensionide piisavuse olukorra seiret, püüab komisjon selgitada välja vastavad andmed ja metoodika, et töötada välja näitajatega pensioniülevaated. </w:t>
            </w:r>
          </w:p>
          <w:p>
            <w:pPr>
              <w:pStyle w:val="ListParagraph"/>
              <w:jc w:val="both"/>
              <w:rPr>
                <w:rFonts w:ascii="Times New Roman" w:hAnsi="Times New Roman" w:cs="Times New Roman"/>
                <w:i/>
                <w:noProof/>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 xml:space="preserve">Et hõlbustada juurdepääsu individuaalsele pensioniteabele ja kasvatada inimeste teadlikkust nende tulevasest pensionisissetulekust, püüab komisjon töötada välja head tavad riiklike jälgimissüsteemide loomiseks.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IV kv 2021</w:t>
            </w:r>
          </w:p>
          <w:p>
            <w:pPr>
              <w:jc w:val="both"/>
              <w:rPr>
                <w:rFonts w:ascii="Times New Roman" w:hAnsi="Times New Roman" w:cs="Times New Roman"/>
                <w:noProof/>
              </w:rPr>
            </w:pP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IV kv 2021</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Komisjon saadab 2020. aasta 4. kvartaliks Euroopa Kindlustus- ja Tööandjapensionide Järelevalvele (EIOPA) nõutaotluse, et i) selgitada välja andmed, mida tööandjapensionide pakkujad peaksid esitama, et oleks võimalik välja töötada näitajatega pensioninäidikud, ning ii) saada temalt teavet riiklike jälgimissüsteemide loomise heade tavade väljatöötamise kohta. EIOPA tehnilise nõu saamise tähtajaks määratakse 2021. aasta 4. kvartal.</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Komisjon algatab uuringu, et analüüsida tööandja pensioniskeemidega automaatse liitumise tavasid, ja võib analüüsida ka muid nendes skeemides osalemise stimuleerimise tavasid, selleks et töötada selliste süsteemide jaoks välja üleeuroopaline hea tava.</w:t>
            </w:r>
          </w:p>
          <w:p>
            <w:pPr>
              <w:ind w:left="360"/>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III kv 2020</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2020. aasta 3. kvartalis algatab komisjon välisuuringu, et analüüsida olemasolevaid tööandjapensioniskeemidega automaatse liitumise tavasid, selleks et töötada välja ELi parimad tavad. Automaatne liitumine on mehhanism, mille puhul pensioniks säästvad isikud liidetakse automaatselt pensionisäästuskeemiga, välja arvatud juhul, kui nad otsustavad aktiivselt sellest loobuda.</w:t>
            </w:r>
          </w:p>
          <w:p>
            <w:pPr>
              <w:jc w:val="both"/>
              <w:rPr>
                <w:rFonts w:ascii="Times New Roman" w:hAnsi="Times New Roman" w:cs="Times New Roman"/>
                <w:noProof/>
              </w:rPr>
            </w:pPr>
          </w:p>
        </w:tc>
      </w:tr>
    </w:tbl>
    <w:p>
      <w:pPr>
        <w:jc w:val="both"/>
        <w:rPr>
          <w:noProof/>
        </w:rPr>
      </w:pPr>
    </w:p>
    <w:p>
      <w:pPr>
        <w:pStyle w:val="ListParagraph"/>
        <w:numPr>
          <w:ilvl w:val="0"/>
          <w:numId w:val="1"/>
        </w:numPr>
        <w:jc w:val="both"/>
        <w:rPr>
          <w:noProof/>
        </w:rPr>
      </w:pPr>
      <w:r>
        <w:rPr>
          <w:rFonts w:ascii="Times New Roman Bold" w:hAnsi="Times New Roman Bold"/>
          <w:b/>
          <w:smallCaps/>
          <w:noProof/>
          <w:sz w:val="24"/>
          <w:szCs w:val="20"/>
          <w:u w:val="single"/>
        </w:rPr>
        <w:t>Meetmed, millega riiklikud kapitaliturud lõimitakse tõeliseks ühtseks turuks</w:t>
      </w:r>
    </w:p>
    <w:tbl>
      <w:tblPr>
        <w:tblStyle w:val="TableGrid"/>
        <w:tblW w:w="0" w:type="auto"/>
        <w:tblLook w:val="04A0" w:firstRow="1" w:lastRow="0" w:firstColumn="1" w:lastColumn="0" w:noHBand="0" w:noVBand="1"/>
      </w:tblPr>
      <w:tblGrid>
        <w:gridCol w:w="8046"/>
        <w:gridCol w:w="1196"/>
      </w:tblGrid>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Meede 10. Maksukoormuse vähendamine piiriüleste investeeringute puhul</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 xml:space="preserve">Selleks et vähendada piiriüleste investorite maksukulusid ja ennetada maksupettusi, esitab komisjon liikmesriikidega tihedalt konsulteerides 2022. aasta 4. kvartaliks seadusandliku algatuse, juhul kui sellele saadakse positiivne mõjuhinnang, ning uurib täiendavaid võimalusi ühise, standarditud üleliidulise süsteemi kehtestamiseks, millega vähendada kinnipeetavat maksu tulu tekkimise kohas.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IV kv 2022</w:t>
            </w:r>
          </w:p>
        </w:tc>
      </w:tr>
      <w:tr>
        <w:trPr>
          <w:trHeight w:val="1160"/>
        </w:trPr>
        <w:tc>
          <w:tcPr>
            <w:tcW w:w="9242" w:type="dxa"/>
            <w:gridSpan w:val="2"/>
            <w:vAlign w:val="center"/>
          </w:tcPr>
          <w:p>
            <w:pPr>
              <w:jc w:val="both"/>
              <w:rPr>
                <w:rFonts w:ascii="Times New Roman" w:hAnsi="Times New Roman" w:cs="Times New Roman"/>
                <w:b/>
                <w:i/>
                <w:noProof/>
                <w:u w:val="single"/>
              </w:rPr>
            </w:pPr>
            <w:r>
              <w:rPr>
                <w:rFonts w:ascii="Times New Roman" w:hAnsi="Times New Roman"/>
                <w:noProof/>
              </w:rPr>
              <w:t>Selles töös võetakse arvesse OECD lepingukohaste maksusoodustuste ja maksukuulekuse edendamise</w:t>
            </w:r>
            <w:r>
              <w:rPr>
                <w:rStyle w:val="FootnoteReference"/>
                <w:rFonts w:ascii="Times New Roman" w:eastAsia="Times New Roman" w:hAnsi="Times New Roman" w:cs="Times New Roman"/>
                <w:noProof/>
                <w:lang w:val="en-US" w:eastAsia="en-GB"/>
              </w:rPr>
              <w:footnoteReference w:id="18"/>
            </w:r>
            <w:r>
              <w:rPr>
                <w:rFonts w:ascii="Times New Roman" w:hAnsi="Times New Roman"/>
                <w:noProof/>
              </w:rPr>
              <w:t xml:space="preserve"> projekti (TRACE) ning muid ELi algatusi, nagu maksu kinnipidamise tegevusjuhend.</w:t>
            </w:r>
            <w:r>
              <w:rPr>
                <w:rStyle w:val="FootnoteReference"/>
                <w:rFonts w:ascii="Times New Roman" w:hAnsi="Times New Roman"/>
                <w:noProof/>
              </w:rPr>
              <w:t xml:space="preserve"> </w:t>
            </w:r>
            <w:r>
              <w:rPr>
                <w:rStyle w:val="FootnoteReference"/>
                <w:rFonts w:ascii="Times New Roman" w:eastAsia="Times New Roman" w:hAnsi="Times New Roman" w:cs="Times New Roman"/>
                <w:noProof/>
                <w:lang w:val="en-US" w:eastAsia="en-GB"/>
              </w:rPr>
              <w:footnoteReference w:id="19"/>
            </w:r>
          </w:p>
          <w:p>
            <w:pPr>
              <w:jc w:val="both"/>
              <w:rPr>
                <w:rFonts w:ascii="Times New Roman" w:hAnsi="Times New Roman" w:cs="Times New Roman"/>
                <w:b/>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Meede 11. Piiriüleste investeeringute tulemuste prognoositavamaks muutmine seoses maksejõuetusmenetlustega</w:t>
            </w:r>
          </w:p>
          <w:p>
            <w:pPr>
              <w:jc w:val="both"/>
              <w:rPr>
                <w:rFonts w:ascii="Times New Roman" w:hAnsi="Times New Roman" w:cs="Times New Roman"/>
                <w:b/>
                <w:i/>
                <w:noProof/>
              </w:rPr>
            </w:pPr>
          </w:p>
          <w:p>
            <w:pPr>
              <w:pStyle w:val="ListParagraph"/>
              <w:numPr>
                <w:ilvl w:val="0"/>
                <w:numId w:val="6"/>
              </w:numPr>
              <w:spacing w:after="0" w:line="240" w:lineRule="auto"/>
              <w:jc w:val="both"/>
              <w:rPr>
                <w:rFonts w:ascii="Times New Roman" w:hAnsi="Times New Roman" w:cs="Times New Roman"/>
                <w:b/>
                <w:i/>
                <w:noProof/>
                <w:u w:val="single"/>
              </w:rPr>
            </w:pPr>
            <w:r>
              <w:rPr>
                <w:rFonts w:ascii="Times New Roman" w:hAnsi="Times New Roman"/>
                <w:i/>
                <w:iCs/>
                <w:noProof/>
              </w:rPr>
              <w:t>Et muuta maksejõuetusmenetlused prognoositavamaks,</w:t>
            </w:r>
            <w:r>
              <w:rPr>
                <w:rFonts w:ascii="Times New Roman" w:hAnsi="Times New Roman"/>
                <w:i/>
                <w:noProof/>
              </w:rPr>
              <w:t xml:space="preserve"> teeb komisjon 2022. aasta keskpaigaks seadusandliku või muud liiki algatuse pangandussektoriväliste ettevõtete maksejõuetusõiguse teatavate sihtvaldkondade täiendava lähendamise või minimaalse ühtlustamise kohta. </w:t>
            </w:r>
          </w:p>
          <w:p>
            <w:pPr>
              <w:pStyle w:val="ListParagrap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II kv 2022</w:t>
            </w:r>
          </w:p>
          <w:p>
            <w:pPr>
              <w:jc w:val="both"/>
              <w:rPr>
                <w:rFonts w:ascii="Times New Roman" w:hAnsi="Times New Roman" w:cs="Times New Roman"/>
                <w:b/>
                <w:noProof/>
              </w:rPr>
            </w:pPr>
          </w:p>
        </w:tc>
      </w:tr>
      <w:tr>
        <w:trPr>
          <w:trHeight w:val="60"/>
        </w:trPr>
        <w:tc>
          <w:tcPr>
            <w:tcW w:w="9242"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iCs/>
                <w:noProof/>
              </w:rPr>
            </w:pPr>
            <w:r>
              <w:rPr>
                <w:rFonts w:ascii="Times New Roman" w:hAnsi="Times New Roman"/>
                <w:noProof/>
              </w:rPr>
              <w:t xml:space="preserve">Seadusandliku või muu kui seadusandliku akti </w:t>
            </w:r>
            <w:r>
              <w:rPr>
                <w:rFonts w:ascii="Times New Roman" w:hAnsi="Times New Roman"/>
                <w:iCs/>
                <w:noProof/>
              </w:rPr>
              <w:t>algatusse</w:t>
            </w:r>
            <w:r>
              <w:rPr>
                <w:rFonts w:ascii="Times New Roman" w:hAnsi="Times New Roman"/>
                <w:noProof/>
              </w:rPr>
              <w:t xml:space="preserve"> võiks kuuluda maksejõuetusmenetluse käivitavate asjaolude määratlus, nõuete järjestus (eri liiki võlausaldajate, sealhulgas maksejõuetuse korral tagatud/tagamata nõuetega võlausaldajate huvide tasakaalustamine) ning täiendavad põhielemendid, nagu varade tagasivõitmine või varade jälitamine. </w:t>
            </w:r>
            <w:r>
              <w:rPr>
                <w:rFonts w:ascii="Times New Roman" w:hAnsi="Times New Roman"/>
                <w:iCs/>
                <w:noProof/>
              </w:rPr>
              <w:t>Selles võetakse arvesse avaliku konsultatsiooni tulemusi ning eksperdirühma nõuandeid ja arutelusid liikmesriikidega. Selle kohta koostatakse ka mõjuhinnang.</w:t>
            </w:r>
          </w:p>
        </w:tc>
      </w:tr>
      <w:tr>
        <w:trPr>
          <w:trHeight w:val="1160"/>
        </w:trPr>
        <w:tc>
          <w:tcPr>
            <w:tcW w:w="8046" w:type="dxa"/>
            <w:vAlign w:val="center"/>
          </w:tcPr>
          <w:p>
            <w:pPr>
              <w:pStyle w:val="ListParagraph"/>
              <w:jc w:val="both"/>
              <w:rPr>
                <w:rFonts w:ascii="Times New Roman" w:hAnsi="Times New Roman" w:cs="Times New Roman"/>
                <w:i/>
                <w:noProof/>
                <w:u w:val="single"/>
              </w:rPr>
            </w:pPr>
          </w:p>
          <w:p>
            <w:pPr>
              <w:pStyle w:val="ListParagraph"/>
              <w:numPr>
                <w:ilvl w:val="0"/>
                <w:numId w:val="6"/>
              </w:numPr>
              <w:spacing w:after="0" w:line="240" w:lineRule="auto"/>
              <w:jc w:val="both"/>
              <w:rPr>
                <w:rFonts w:ascii="Times New Roman" w:hAnsi="Times New Roman" w:cs="Times New Roman"/>
                <w:i/>
                <w:noProof/>
                <w:u w:val="single"/>
              </w:rPr>
            </w:pPr>
            <w:r>
              <w:rPr>
                <w:rFonts w:ascii="Times New Roman" w:hAnsi="Times New Roman"/>
                <w:i/>
                <w:iCs/>
                <w:noProof/>
              </w:rPr>
              <w:t>Selleks et korrapäraselt hinnata liikmesriikide laenumaksejõuetussüsteemide tõhusust, analüüsivad komisjon ja EBA 2021. aasta 1. kvartaliks võimalust teha aruandlusraamistikes õiguslikke muudatusi. See võib viia õiguslike muudatuste tegemiseni 2022. aasta 4. kvartalis.</w:t>
            </w:r>
          </w:p>
          <w:p>
            <w:pPr>
              <w:pStyle w:val="ListParagraph"/>
              <w:spacing w:after="0" w:line="240" w:lineRule="auto"/>
              <w:jc w:val="both"/>
              <w:rPr>
                <w:rFonts w:ascii="Times New Roman" w:eastAsia="Times New Roman" w:hAnsi="Times New Roman" w:cs="Times New Roman"/>
                <w:iCs/>
                <w:noProof/>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I kv 2021</w:t>
            </w:r>
          </w:p>
          <w:p>
            <w:pPr>
              <w:jc w:val="both"/>
              <w:rPr>
                <w:rFonts w:ascii="Times New Roman" w:hAnsi="Times New Roman" w:cs="Times New Roman"/>
                <w:b/>
                <w:noProof/>
              </w:rPr>
            </w:pPr>
          </w:p>
          <w:p>
            <w:pPr>
              <w:jc w:val="both"/>
              <w:rPr>
                <w:rFonts w:ascii="Times New Roman" w:eastAsia="Times New Roman" w:hAnsi="Times New Roman" w:cs="Times New Roman"/>
                <w:iCs/>
                <w:noProof/>
              </w:rPr>
            </w:pPr>
            <w:r>
              <w:rPr>
                <w:rFonts w:ascii="Times New Roman" w:hAnsi="Times New Roman"/>
                <w:b/>
                <w:noProof/>
              </w:rPr>
              <w:t>IV kv 2022</w:t>
            </w:r>
          </w:p>
        </w:tc>
      </w:tr>
      <w:tr>
        <w:trPr>
          <w:trHeight w:val="1160"/>
        </w:trPr>
        <w:tc>
          <w:tcPr>
            <w:tcW w:w="9242"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iCs/>
                <w:noProof/>
              </w:rPr>
            </w:pPr>
            <w:r>
              <w:rPr>
                <w:rFonts w:ascii="Times New Roman" w:hAnsi="Times New Roman"/>
                <w:iCs/>
                <w:noProof/>
              </w:rPr>
              <w:t>Tuginedes kapitaliturgude liidu esimese tegevuskava raames läbi viidud riiklike võlasissenõudmis-</w:t>
            </w:r>
            <w:r>
              <w:rPr>
                <w:rStyle w:val="FootnoteReference"/>
                <w:rFonts w:ascii="Times New Roman" w:eastAsia="Times New Roman" w:hAnsi="Times New Roman" w:cs="Times New Roman"/>
                <w:iCs/>
                <w:noProof/>
                <w:lang w:eastAsia="en-GB"/>
              </w:rPr>
              <w:footnoteReference w:id="20"/>
            </w:r>
            <w:r>
              <w:rPr>
                <w:rFonts w:ascii="Times New Roman" w:hAnsi="Times New Roman"/>
                <w:iCs/>
                <w:noProof/>
              </w:rPr>
              <w:t xml:space="preserve"> (sealhulgas maksejõuetus-) raamistike võrdlusuuringutest saadud kogemustele, analüüsivad komisjon ja EBA võimalust teha aruandlusraamistikes õiguslikke muudatusi. See võimaldaks EBA-l hoida komisjoni korrapäraselt kursis võlgade sissenõudmise tulemuslikkusega liikmesriikides, ilma et aruandluskoormus ebaproportsionaalselt kasvaks. Vajaduse korral esitatakse 2022. aasta 4. kvartalis võimalikud seadusandlikud muudatusettepanekud.</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bCs/>
                <w:noProof/>
                <w:u w:val="single"/>
              </w:rPr>
            </w:pPr>
            <w:r>
              <w:rPr>
                <w:rFonts w:ascii="Times New Roman" w:hAnsi="Times New Roman"/>
                <w:b/>
                <w:bCs/>
                <w:noProof/>
                <w:u w:val="single"/>
              </w:rPr>
              <w:t>Meede 12. Aktsionäride kaasamise hõlbustamine</w:t>
            </w:r>
          </w:p>
          <w:p>
            <w:pPr>
              <w:jc w:val="both"/>
              <w:rPr>
                <w:rFonts w:ascii="Times New Roman" w:hAnsi="Times New Roman" w:cs="Times New Roman"/>
                <w:bCs/>
                <w:i/>
                <w:noProof/>
              </w:rPr>
            </w:pPr>
          </w:p>
          <w:p>
            <w:pPr>
              <w:jc w:val="both"/>
              <w:rPr>
                <w:rFonts w:ascii="Times New Roman" w:hAnsi="Times New Roman" w:cs="Times New Roman"/>
                <w:bCs/>
                <w:i/>
                <w:noProof/>
              </w:rPr>
            </w:pPr>
            <w:r>
              <w:rPr>
                <w:rFonts w:ascii="Times New Roman" w:hAnsi="Times New Roman"/>
                <w:bCs/>
                <w:i/>
                <w:noProof/>
              </w:rPr>
              <w:t>Investorite kaasamise hõlbustamiseks, eelkõige piiriüleselt, hindab komisjon järgmist: i) võimalus võtta kogu ELis kasutusele ühtlustatud „aktsionäri“ määratlus ning ii) kas ja kuidas on võimalik täpsustada ja ühtlustada reegleid, mis reguleerivad suhtlust investorite, vahendajate ja emitentide vahel hääleõiguse kasutamise ja korporatiivsete sündmuste menetlemise küsimuses.</w:t>
            </w:r>
            <w:r>
              <w:rPr>
                <w:rFonts w:ascii="Times New Roman" w:hAnsi="Times New Roman"/>
                <w:i/>
                <w:noProof/>
                <w:color w:val="000000"/>
              </w:rPr>
              <w:t xml:space="preserve"> </w:t>
            </w:r>
            <w:r>
              <w:rPr>
                <w:rFonts w:ascii="Times New Roman" w:hAnsi="Times New Roman"/>
                <w:bCs/>
                <w:i/>
                <w:noProof/>
              </w:rPr>
              <w:t>Samuti uurib komisjon, kas selles valdkonnas on riiklike takistusi uue digitehnoloogia kasutamiseks.</w:t>
            </w:r>
          </w:p>
          <w:p>
            <w:pPr>
              <w:jc w:val="both"/>
              <w:rPr>
                <w:rFonts w:ascii="Times New Roman" w:hAnsi="Times New Roman" w:cs="Times New Roman"/>
                <w:noProof/>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III kv 2023</w:t>
            </w: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IV kv 2021</w:t>
            </w:r>
          </w:p>
        </w:tc>
      </w:tr>
      <w:tr>
        <w:trPr>
          <w:trHeight w:val="1160"/>
        </w:trPr>
        <w:tc>
          <w:tcPr>
            <w:tcW w:w="9242" w:type="dxa"/>
            <w:gridSpan w:val="2"/>
            <w:vAlign w:val="center"/>
          </w:tcPr>
          <w:p>
            <w:pPr>
              <w:jc w:val="both"/>
              <w:rPr>
                <w:rFonts w:ascii="Times New Roman" w:hAnsi="Times New Roman" w:cs="Times New Roman"/>
                <w:noProof/>
                <w:lang w:eastAsia="en-GB"/>
              </w:rPr>
            </w:pPr>
          </w:p>
          <w:p>
            <w:pPr>
              <w:jc w:val="both"/>
              <w:rPr>
                <w:rFonts w:ascii="Times New Roman" w:eastAsia="Times New Roman" w:hAnsi="Times New Roman" w:cs="Times New Roman"/>
                <w:noProof/>
                <w:color w:val="000000"/>
              </w:rPr>
            </w:pPr>
            <w:r>
              <w:rPr>
                <w:rFonts w:ascii="Times New Roman" w:hAnsi="Times New Roman"/>
                <w:noProof/>
              </w:rPr>
              <w:t>See hindamine toimub osana komisjonipoolsest aktsionäride õiguste 2. direktiivi</w:t>
            </w:r>
            <w:r>
              <w:rPr>
                <w:rStyle w:val="FootnoteReference"/>
                <w:rFonts w:ascii="Times New Roman" w:hAnsi="Times New Roman" w:cs="Times New Roman"/>
                <w:noProof/>
                <w:lang w:eastAsia="en-GB"/>
              </w:rPr>
              <w:footnoteReference w:id="21"/>
            </w:r>
            <w:r>
              <w:rPr>
                <w:rFonts w:ascii="Times New Roman" w:hAnsi="Times New Roman"/>
                <w:noProof/>
              </w:rPr>
              <w:t xml:space="preserve"> rakendamise hindamisest, mille tulemused avaldatakse 2023. aasta III kvartalis. </w:t>
            </w:r>
            <w:r>
              <w:rPr>
                <w:rFonts w:ascii="Times New Roman" w:hAnsi="Times New Roman"/>
                <w:noProof/>
                <w:color w:val="000000"/>
              </w:rPr>
              <w:t>Võttes nõuetekohaselt arvesse turu arengut pärast aktsionäride õiguste 2. direktiivi ja selle rakendusmääruse</w:t>
            </w:r>
            <w:r>
              <w:rPr>
                <w:rStyle w:val="FootnoteReference"/>
                <w:rFonts w:ascii="Times New Roman" w:eastAsia="Times New Roman" w:hAnsi="Times New Roman" w:cs="Times New Roman"/>
                <w:noProof/>
                <w:color w:val="000000"/>
                <w:lang w:eastAsia="en-GB"/>
              </w:rPr>
              <w:footnoteReference w:id="22"/>
            </w:r>
            <w:r>
              <w:rPr>
                <w:rFonts w:ascii="Times New Roman" w:hAnsi="Times New Roman"/>
                <w:noProof/>
                <w:color w:val="000000"/>
              </w:rPr>
              <w:t xml:space="preserve"> jõustumist septembris 2020, kavatseb komisjon uurida eelkõige järgmist:</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õiguste eraldamine ja tõendamine ning nende registreerimise kuupäev,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nõudeõiguse kinnitamine ja kooskõlastava võrdlemise kohustus,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kuupäevade ja tähtaegade järjekord,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muud riiklikud lisanõuded (eelkõige volikirja nõue hääleõiguse kasutamisel) ja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teabevahetus emitentide ja väärtpaberite keskdepositooriumide vahel ajastuse, sisu ja vormingu küsimustes. </w:t>
            </w:r>
          </w:p>
          <w:p>
            <w:pPr>
              <w:jc w:val="both"/>
              <w:rPr>
                <w:rFonts w:ascii="Times New Roman" w:eastAsia="Times New Roman" w:hAnsi="Times New Roman" w:cs="Times New Roman"/>
                <w:noProof/>
                <w:color w:val="000000"/>
                <w:lang w:eastAsia="en-GB"/>
              </w:rPr>
            </w:pPr>
          </w:p>
          <w:p>
            <w:pPr>
              <w:jc w:val="both"/>
              <w:rPr>
                <w:rFonts w:ascii="Times New Roman" w:eastAsia="Times New Roman" w:hAnsi="Times New Roman" w:cs="Times New Roman"/>
                <w:noProof/>
                <w:color w:val="000000"/>
              </w:rPr>
            </w:pPr>
            <w:r>
              <w:rPr>
                <w:rFonts w:ascii="Times New Roman" w:hAnsi="Times New Roman"/>
                <w:noProof/>
                <w:color w:val="000000"/>
              </w:rPr>
              <w:t>Erilist tähelepanu pööratakse tulemuslikkusele ja tõhususele ning õiguskindluse aspektidele.</w:t>
            </w:r>
          </w:p>
          <w:p>
            <w:pPr>
              <w:jc w:val="both"/>
              <w:rPr>
                <w:rFonts w:ascii="Times New Roman" w:eastAsia="Times New Roman" w:hAnsi="Times New Roman" w:cs="Times New Roman"/>
                <w:noProof/>
                <w:color w:val="000000"/>
                <w:lang w:eastAsia="en-GB"/>
              </w:rPr>
            </w:pPr>
          </w:p>
          <w:p>
            <w:pPr>
              <w:jc w:val="both"/>
              <w:rPr>
                <w:rFonts w:ascii="Times New Roman" w:hAnsi="Times New Roman" w:cs="Times New Roman"/>
                <w:b/>
                <w:i/>
                <w:noProof/>
                <w:u w:val="single"/>
              </w:rPr>
            </w:pPr>
            <w:r>
              <w:rPr>
                <w:rFonts w:ascii="Times New Roman" w:hAnsi="Times New Roman"/>
                <w:noProof/>
              </w:rPr>
              <w:t>Komisjon uurib 2021. aasta 4. kvartaliks ka seda, kas on riiklikke regulatiivseid tõkkeid, mis ei võimaldaks kasutada uusi digitehnoloogiaid, mis võiksid muuta emitentide ja aktsionäride vahelise suhtluse tõhusamaks ning hõlbustada aktsionäride tuvastamist emitentide poolt või aktsionäride osalemist ja hääletamist üldkoosolekutel.</w:t>
            </w:r>
          </w:p>
          <w:p>
            <w:pPr>
              <w:jc w:val="both"/>
              <w:rPr>
                <w:rFonts w:ascii="Times New Roman" w:hAnsi="Times New Roman" w:cs="Times New Roman"/>
                <w:noProof/>
              </w:rPr>
            </w:pPr>
          </w:p>
        </w:tc>
      </w:tr>
      <w:tr>
        <w:trPr>
          <w:trHeight w:val="841"/>
        </w:trPr>
        <w:tc>
          <w:tcPr>
            <w:tcW w:w="8046" w:type="dxa"/>
            <w:vAlign w:val="center"/>
          </w:tcPr>
          <w:p>
            <w:pPr>
              <w:jc w:val="both"/>
              <w:rPr>
                <w:rFonts w:ascii="Times New Roman" w:hAnsi="Times New Roman" w:cs="Times New Roman"/>
                <w:b/>
                <w:bCs/>
                <w:noProof/>
                <w:u w:val="single"/>
              </w:rPr>
            </w:pPr>
            <w:r>
              <w:rPr>
                <w:rFonts w:ascii="Times New Roman" w:hAnsi="Times New Roman"/>
                <w:b/>
                <w:bCs/>
                <w:noProof/>
                <w:u w:val="single"/>
              </w:rPr>
              <w:t xml:space="preserve">Meede 13. Piiriüleste arveldusteenuste arendamine </w:t>
            </w:r>
          </w:p>
          <w:p>
            <w:pPr>
              <w:jc w:val="both"/>
              <w:rPr>
                <w:rFonts w:ascii="Times New Roman" w:hAnsi="Times New Roman" w:cs="Times New Roman"/>
                <w:i/>
                <w:iCs/>
                <w:noProof/>
                <w:color w:val="212121"/>
                <w:shd w:val="clear" w:color="auto" w:fill="FFFFFF"/>
              </w:rPr>
            </w:pPr>
          </w:p>
          <w:p>
            <w:pPr>
              <w:jc w:val="both"/>
              <w:rPr>
                <w:rFonts w:ascii="Times New Roman" w:hAnsi="Times New Roman" w:cs="Times New Roman"/>
                <w:i/>
                <w:iCs/>
                <w:noProof/>
                <w:color w:val="212121"/>
                <w:shd w:val="clear" w:color="auto" w:fill="FFFFFF"/>
              </w:rPr>
            </w:pPr>
            <w:r>
              <w:rPr>
                <w:rFonts w:ascii="Times New Roman" w:hAnsi="Times New Roman"/>
                <w:i/>
                <w:iCs/>
                <w:noProof/>
                <w:color w:val="212121"/>
                <w:shd w:val="clear" w:color="auto" w:fill="FFFFFF"/>
              </w:rPr>
              <w:t>Et parandada ELis</w:t>
            </w:r>
            <w:r>
              <w:rPr>
                <w:rFonts w:ascii="Times New Roman" w:hAnsi="Times New Roman"/>
                <w:i/>
                <w:noProof/>
                <w:color w:val="212121"/>
                <w:shd w:val="clear" w:color="auto" w:fill="FFFFFF"/>
              </w:rPr>
              <w:t xml:space="preserve"> piiriüleste arveldusteenuste osutamist, </w:t>
            </w:r>
            <w:r>
              <w:rPr>
                <w:rFonts w:ascii="Times New Roman" w:hAnsi="Times New Roman"/>
                <w:i/>
                <w:iCs/>
                <w:noProof/>
                <w:color w:val="212121"/>
                <w:shd w:val="clear" w:color="auto" w:fill="FFFFFF"/>
              </w:rPr>
              <w:t>ilma et see avaldaks finantsstabiilsusele negatiivset mõju, vaatab komisjon läbi reeglid, mis reguleerivad väga mitmesuguseid teemasid, sealhulgas: i) piiriülene teenuste osutamine väärtpaberite keskdepositooriumide poolt üleeuroopalise tegevusloa alusel</w:t>
            </w:r>
            <w:r>
              <w:rPr>
                <w:rFonts w:ascii="Times New Roman" w:hAnsi="Times New Roman"/>
                <w:i/>
                <w:noProof/>
                <w:color w:val="212121"/>
                <w:shd w:val="clear" w:color="auto" w:fill="FFFFFF"/>
              </w:rPr>
              <w:t xml:space="preserve"> ja ii) kord ja tingimused, mille alusel on väärtpaberite keskdepositooriumidel õigus määrata krediidiasutus panganduskõrvalteenuste osutamiseks või osutada neid teenuseid ise.</w:t>
            </w:r>
          </w:p>
          <w:p>
            <w:pPr>
              <w:jc w:val="both"/>
              <w:rPr>
                <w:rFonts w:ascii="Times New Roman" w:eastAsia="Times New Roman" w:hAnsi="Times New Roman" w:cs="Times New Roman"/>
                <w:noProof/>
                <w:color w:val="000000"/>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IV kv 2021</w:t>
            </w:r>
          </w:p>
        </w:tc>
      </w:tr>
      <w:tr>
        <w:trPr>
          <w:trHeight w:val="699"/>
        </w:trPr>
        <w:tc>
          <w:tcPr>
            <w:tcW w:w="9242" w:type="dxa"/>
            <w:gridSpan w:val="2"/>
            <w:vAlign w:val="center"/>
          </w:tcPr>
          <w:p>
            <w:pPr>
              <w:jc w:val="both"/>
              <w:rPr>
                <w:rFonts w:ascii="Times New Roman" w:eastAsia="Times New Roman" w:hAnsi="Times New Roman" w:cs="Times New Roman"/>
                <w:noProof/>
                <w:color w:val="000000"/>
                <w:lang w:eastAsia="en-GB"/>
              </w:rPr>
            </w:pPr>
          </w:p>
          <w:p>
            <w:pPr>
              <w:jc w:val="both"/>
              <w:rPr>
                <w:rFonts w:ascii="Times New Roman" w:eastAsia="Times New Roman" w:hAnsi="Times New Roman" w:cs="Times New Roman"/>
                <w:iCs/>
                <w:noProof/>
                <w:color w:val="212121"/>
                <w:shd w:val="clear" w:color="auto" w:fill="FFFFFF"/>
              </w:rPr>
            </w:pPr>
            <w:r>
              <w:rPr>
                <w:rFonts w:ascii="Times New Roman" w:hAnsi="Times New Roman"/>
                <w:noProof/>
                <w:color w:val="000000"/>
              </w:rPr>
              <w:t>See saavutatakse väärtpaberite keskdepositooriumide määruse</w:t>
            </w:r>
            <w:r>
              <w:rPr>
                <w:rStyle w:val="FootnoteReference"/>
                <w:rFonts w:ascii="Times New Roman" w:eastAsia="Times New Roman" w:hAnsi="Times New Roman" w:cs="Times New Roman"/>
                <w:noProof/>
                <w:color w:val="000000"/>
                <w:lang w:eastAsia="en-GB"/>
              </w:rPr>
              <w:footnoteReference w:id="23"/>
            </w:r>
            <w:r>
              <w:rPr>
                <w:rFonts w:ascii="Times New Roman" w:hAnsi="Times New Roman"/>
                <w:noProof/>
                <w:color w:val="000000"/>
              </w:rPr>
              <w:t xml:space="preserve"> sihipärase läbivaatamisega, mis toimub </w:t>
            </w:r>
            <w:r>
              <w:rPr>
                <w:rFonts w:ascii="Times New Roman" w:hAnsi="Times New Roman"/>
                <w:iCs/>
                <w:noProof/>
                <w:color w:val="212121"/>
                <w:shd w:val="clear" w:color="auto" w:fill="FFFFFF"/>
              </w:rPr>
              <w:t>2021</w:t>
            </w:r>
            <w:r>
              <w:rPr>
                <w:rFonts w:ascii="Times New Roman" w:hAnsi="Times New Roman"/>
                <w:noProof/>
                <w:color w:val="000000"/>
              </w:rPr>
              <w:t>. aasta 4. kvartalis.</w:t>
            </w:r>
            <w:r>
              <w:rPr>
                <w:rFonts w:ascii="Times New Roman" w:hAnsi="Times New Roman"/>
                <w:iCs/>
                <w:noProof/>
                <w:color w:val="212121"/>
                <w:shd w:val="clear" w:color="auto" w:fill="FFFFFF"/>
              </w:rPr>
              <w:t xml:space="preserve"> Selline läbivaatamine on määruse kohaselt nõutav ja selle kohta koostatakse mõjuhinnang.</w:t>
            </w:r>
          </w:p>
          <w:p>
            <w:pPr>
              <w:jc w:val="both"/>
              <w:rPr>
                <w:rFonts w:ascii="Times New Roman" w:eastAsia="Times New Roman" w:hAnsi="Times New Roman" w:cs="Times New Roman"/>
                <w:iCs/>
                <w:noProof/>
                <w:color w:val="212121"/>
                <w:shd w:val="clear" w:color="auto" w:fill="FFFFFF"/>
                <w:lang w:eastAsia="en-GB"/>
              </w:rPr>
            </w:pPr>
          </w:p>
          <w:p>
            <w:pPr>
              <w:jc w:val="both"/>
              <w:rPr>
                <w:rFonts w:ascii="Times New Roman" w:hAnsi="Times New Roman" w:cs="Times New Roman"/>
                <w:noProof/>
              </w:rPr>
            </w:pPr>
            <w:r>
              <w:rPr>
                <w:rFonts w:ascii="Times New Roman" w:hAnsi="Times New Roman"/>
                <w:iCs/>
                <w:noProof/>
                <w:color w:val="212121"/>
                <w:shd w:val="clear" w:color="auto" w:fill="FFFFFF"/>
              </w:rPr>
              <w:t>Enne seadusandliku ettepaneku vastuvõtmist esitab komisjon 2020. aasta 4. kvartaliks Euroopa Parlamendile ja nõukogule määruse kohta aruande. See aruanne kajastab laiaulatuslikke konsultatsioone kõigi sidusrühmadega, sealhulgas liikmesriikide ja Euroopa Väärtpaberiturujärelevalvega (ESMA).</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 xml:space="preserve">Meede 14. Kauplemiskoondteabe süsteem </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Selleks et luua kogu ELis ühtne kauplemisülevaade ja parandada kauplemiskohtade omavahelist konkurentsi, esitab komisjon ettepaneku seadusemuudatuste kohta, mis toetavad tõhusa ja tervikliku kauplemisjärgse koondteabe süsteemi loomist omakapitaliinstrumentide ja omakapitalilaadsete finantsinstrumentide jaoks.</w:t>
            </w:r>
          </w:p>
          <w:p>
            <w:pPr>
              <w:jc w:val="both"/>
              <w:rPr>
                <w:rFonts w:ascii="Times New Roman" w:hAnsi="Times New Roman" w:cs="Times New Roman"/>
                <w:b/>
                <w:i/>
                <w:noProof/>
                <w:u w:val="single"/>
              </w:rPr>
            </w:pPr>
            <w:r>
              <w:rPr>
                <w:rFonts w:ascii="Times New Roman" w:hAnsi="Times New Roman"/>
                <w:i/>
                <w:noProof/>
              </w:rPr>
              <w:t xml:space="preserve"> </w:t>
            </w:r>
          </w:p>
        </w:tc>
        <w:tc>
          <w:tcPr>
            <w:tcW w:w="1196" w:type="dxa"/>
            <w:vAlign w:val="center"/>
          </w:tcPr>
          <w:p>
            <w:pPr>
              <w:jc w:val="both"/>
              <w:rPr>
                <w:rFonts w:ascii="Times New Roman" w:hAnsi="Times New Roman" w:cs="Times New Roman"/>
                <w:b/>
                <w:noProof/>
              </w:rPr>
            </w:pPr>
            <w:r>
              <w:rPr>
                <w:rFonts w:ascii="Times New Roman" w:hAnsi="Times New Roman"/>
                <w:b/>
                <w:noProof/>
              </w:rPr>
              <w:t>IV kv 2021</w:t>
            </w:r>
          </w:p>
        </w:tc>
      </w:tr>
      <w:tr>
        <w:trPr>
          <w:trHeight w:val="1160"/>
        </w:trPr>
        <w:tc>
          <w:tcPr>
            <w:tcW w:w="9242" w:type="dxa"/>
            <w:gridSpan w:val="2"/>
            <w:vAlign w:val="center"/>
          </w:tcPr>
          <w:p>
            <w:pPr>
              <w:jc w:val="both"/>
              <w:rPr>
                <w:rFonts w:ascii="Times New Roman" w:hAnsi="Times New Roman" w:cs="Times New Roman"/>
                <w:noProof/>
              </w:rPr>
            </w:pPr>
          </w:p>
          <w:p>
            <w:pPr>
              <w:jc w:val="both"/>
              <w:rPr>
                <w:rFonts w:ascii="Times New Roman" w:hAnsi="Times New Roman" w:cs="Times New Roman"/>
                <w:i/>
                <w:noProof/>
              </w:rPr>
            </w:pPr>
            <w:r>
              <w:rPr>
                <w:rFonts w:ascii="Times New Roman" w:hAnsi="Times New Roman"/>
                <w:noProof/>
              </w:rPr>
              <w:t>Komisjon tagab, et kauplemiskoondteabe katvus on täielik ja et andmete kvaliteet on piisav, et pakkuda turuosalistele lisaväärtust, võttes samal ajal arvesse süsteemi loomise ja kasutamise kulusid.</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Meede 15. Investeeringute kaitse ja hõlbustamine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 xml:space="preserve">Komisjon teeb ettepaneku tugevdada ELis investeeringute kaitse ja hõlbustamise raamistikku. </w:t>
            </w:r>
          </w:p>
          <w:p>
            <w:pPr>
              <w:jc w:val="both"/>
              <w:rPr>
                <w:rFonts w:ascii="Times New Roman" w:hAnsi="Times New Roman" w:cs="Times New Roman"/>
                <w:b/>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II kv 2021</w:t>
            </w:r>
          </w:p>
        </w:tc>
      </w:tr>
      <w:tr>
        <w:tc>
          <w:tcPr>
            <w:tcW w:w="9242" w:type="dxa"/>
            <w:gridSpan w:val="2"/>
            <w:vAlign w:val="center"/>
          </w:tcPr>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 xml:space="preserve">Meede on üles ehitatud kolmele sambale: </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 xml:space="preserve">sisulised õigusnormid, millega tagatakse ELi-siseste investeeringute järjepidev ja prognoositav kaitse; </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 xml:space="preserve">nende õigusnormide täitmise parem tagamine, mis saavutatakse vaidluste lahendamise mehhanismide tulemuslikkuse parandamisega riiklikul ja/või ELi tasandil, tagades samas juurdepääsu riiklikule õigusemõistmisele; </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konkreetsed investeeringuid soodustavad meetmed, näiteks investorite õigusi ja võimalusi käsitleva teabe koondamine ühtsesse juurdepääsupunkti (näiteks InvestEU portaali</w:t>
            </w:r>
            <w:r>
              <w:rPr>
                <w:rStyle w:val="FootnoteReference"/>
                <w:rFonts w:ascii="Times New Roman" w:eastAsia="Times New Roman" w:hAnsi="Times New Roman" w:cs="Times New Roman"/>
                <w:noProof/>
                <w:lang w:eastAsia="en-GB"/>
              </w:rPr>
              <w:footnoteReference w:id="24"/>
            </w:r>
            <w:r>
              <w:rPr>
                <w:rFonts w:ascii="Times New Roman" w:hAnsi="Times New Roman"/>
                <w:noProof/>
              </w:rPr>
              <w:t>) ja ennetava probleemilahenduse mehhanismide edendamine sidusrühmade poolt, samuti vaidluste rahumeelne lahendamine.</w:t>
            </w:r>
          </w:p>
          <w:p>
            <w:pPr>
              <w:jc w:val="both"/>
              <w:rPr>
                <w:rFonts w:ascii="Times New Roman" w:hAnsi="Times New Roman" w:cs="Times New Roman"/>
                <w:i/>
                <w:noProof/>
              </w:rPr>
            </w:pPr>
          </w:p>
        </w:tc>
      </w:tr>
      <w:tr>
        <w:tc>
          <w:tcPr>
            <w:tcW w:w="8046" w:type="dxa"/>
            <w:tcBorders>
              <w:top w:val="single" w:sz="4" w:space="0" w:color="auto"/>
              <w:bottom w:val="nil"/>
            </w:tcBorders>
            <w:vAlign w:val="center"/>
          </w:tcPr>
          <w:p>
            <w:pPr>
              <w:jc w:val="both"/>
              <w:rPr>
                <w:rFonts w:ascii="Times New Roman" w:hAnsi="Times New Roman" w:cs="Times New Roman"/>
                <w:b/>
                <w:noProof/>
                <w:u w:val="single"/>
              </w:rPr>
            </w:pPr>
            <w:r>
              <w:rPr>
                <w:rFonts w:ascii="Times New Roman" w:hAnsi="Times New Roman"/>
                <w:b/>
                <w:noProof/>
                <w:u w:val="single"/>
              </w:rPr>
              <w:t>Meede 16. Järelevalve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Komisjon teeb tööd täiendatud kapitaliturgude ühtse reeglistiku kehtestamiseks, hinnates ELi õigusnormide edasise ühtlustamise vajalikkust ja jälgides järelevalvealase ühtsuse saavutamisel tehtavaid edusamme. 2021. aasta IV kvartalis teeb ta saavutatust kokkuvõtte ja kaalub ettepaneku esitamist järelevalve tugevama koordineerimise meetmete või Euroopa järelevalveasutuste otsejärelevalve kehtestamise kohta.</w:t>
            </w:r>
          </w:p>
          <w:p>
            <w:pPr>
              <w:jc w:val="both"/>
              <w:rPr>
                <w:rFonts w:ascii="Times New Roman" w:hAnsi="Times New Roman" w:cs="Times New Roman"/>
                <w:i/>
                <w:noProof/>
              </w:rPr>
            </w:pPr>
          </w:p>
          <w:p>
            <w:pPr>
              <w:pBdr>
                <w:left w:val="single" w:sz="4" w:space="4" w:color="auto"/>
                <w:right w:val="single" w:sz="4" w:space="4" w:color="auto"/>
              </w:pBdr>
              <w:jc w:val="both"/>
              <w:rPr>
                <w:rFonts w:ascii="Times New Roman" w:hAnsi="Times New Roman" w:cs="Times New Roman"/>
                <w:i/>
                <w:noProof/>
              </w:rPr>
            </w:pPr>
            <w:r>
              <w:rPr>
                <w:rFonts w:ascii="Times New Roman" w:hAnsi="Times New Roman"/>
                <w:i/>
                <w:noProof/>
              </w:rPr>
              <w:t>Samuti kaalub komisjon hoolikalt järelmeid, mida toob ELi kapitaliturgude reguleerimise ja järelevalve jaoks kaasa Wirecardi kohtuasi, ning tegutseb kiirelt ja otsustavalt, et kõrvaldada kõik ELi õigusraamistikus kindlaks tehtud puudused.</w:t>
            </w: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IV kv 2021</w:t>
            </w:r>
          </w:p>
          <w:p>
            <w:pPr>
              <w:jc w:val="both"/>
              <w:rPr>
                <w:rFonts w:ascii="Times New Roman" w:hAnsi="Times New Roman" w:cs="Times New Roman"/>
                <w:b/>
                <w:noProof/>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tc>
      </w:tr>
      <w:tr>
        <w:tc>
          <w:tcPr>
            <w:tcW w:w="9242" w:type="dxa"/>
            <w:gridSpan w:val="2"/>
            <w:vAlign w:val="center"/>
          </w:tcPr>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Järgides täielikult subsidiaarsuse põhimõtet, hindab komisjon süstemaatiliselt, kas ELi eeskirjade edasine ühtlustamine on õigustatud. Täiustatud ühtne reeglistik ja tulemuslik järelevalve looksid turuosalistele võrdsed võimalused ja aitaksid kaasa nendevahelisele ausale konkurentsile. </w:t>
            </w: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Eelseisva valdkondlike õigusaktide läbivaatamise käigus kaalub komisjon ka Euroopa järelevalveasutuste ühtlustamisvolituste mõjusust, et teha kindlaks võimalikud lüngad või valdkonnad, kus suuremad volitused aitaksid edendada kapitaliturgude liitu. Samuti kaalub komisjon, kas lähenemisvolitusi kasutatakse olemasoleva juhtimise raames tulemuslikult. Lõpuks jälgib komisjon hoolikalt, kas järelevalve ühtlustamisel on tehtud piisavalt edusamme, et kapitaliturgude liit saaks jõudsalt areneda. Kui peaks ilmnema märke sellest, et järelevalvekorraldus ei ole soovitud turuintegratsiooni taseme saavutamiseks piisav, kaalutakse tulevaste läbivaatamiste käigus, millest järgmine peaks toimuma 2021. aasta lõpuks, tugevamat järelevalvealast koordineerimist või Euroopa järelevalveasutuste poolset otsest järelevalvet.</w:t>
            </w:r>
          </w:p>
          <w:p>
            <w:pPr>
              <w:jc w:val="both"/>
              <w:rPr>
                <w:rFonts w:ascii="Times New Roman" w:eastAsia="Times New Roman" w:hAnsi="Times New Roman" w:cs="Times New Roman"/>
                <w:b/>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 xml:space="preserve">Komisjon hindab hoolikalt ka Wirecardi kohtuasja tagajärgi ELi kapitaliturgude reguleerimisele ja järelevalvele. Ta võtab arvesse käimasolevate uurimiste järeldusi. Arvestades komisjonile praeguses etapis kättesaadavat teavet, tekitab Wirecardi kokkuvarisemine küsimusi selle äriühingu üldjuhtimise, kohustusliku välisauditi ja finantsteabe järelevalve mõjususe kohta. </w:t>
            </w:r>
          </w:p>
          <w:p>
            <w:pPr>
              <w:jc w:val="both"/>
              <w:rPr>
                <w:rFonts w:ascii="Times New Roman" w:eastAsia="Times New Roman" w:hAnsi="Times New Roman" w:cs="Times New Roman"/>
                <w:noProof/>
                <w:color w:val="000000" w:themeColor="text1"/>
                <w:lang w:eastAsia="en-GB"/>
              </w:rPr>
            </w:pPr>
          </w:p>
        </w:tc>
      </w:tr>
    </w:tbl>
    <w:p>
      <w:pPr>
        <w:jc w:val="both"/>
        <w:rPr>
          <w:noProof/>
        </w:rPr>
      </w:pPr>
    </w:p>
    <w:p>
      <w:pPr>
        <w:jc w:val="both"/>
        <w:rPr>
          <w:noProof/>
        </w:rPr>
      </w:pPr>
    </w:p>
    <w:p>
      <w:pPr>
        <w:jc w:val="both"/>
        <w:rPr>
          <w:noProof/>
        </w:rPr>
      </w:pPr>
    </w:p>
    <w:p>
      <w:pPr>
        <w:jc w:val="both"/>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3910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Komisjoni teatis Euroopa Parlamendile, Euroopa Ülemkogule, nõukogule, Euroopa Majandus- ja Sotsiaalkomiteele ning Regioonide Komiteele „Euroopa roheline kokkulepe“ (COM(2019) 640 final).</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https://eftg.eu/</w:t>
        </w:r>
      </w:hyperlink>
    </w:p>
  </w:footnote>
  <w:footnote w:id="4">
    <w:p>
      <w:pPr>
        <w:pStyle w:val="FootnoteText"/>
        <w:rPr>
          <w:sz w:val="19"/>
          <w:szCs w:val="19"/>
        </w:rPr>
      </w:pPr>
      <w:r>
        <w:rPr>
          <w:rStyle w:val="FootnoteReference"/>
          <w:rFonts w:ascii="Times New Roman" w:hAnsi="Times New Roman" w:cs="Times New Roman"/>
        </w:rPr>
        <w:footnoteRef/>
      </w:r>
      <w:r>
        <w:rPr>
          <w:rFonts w:ascii="Times New Roman" w:hAnsi="Times New Roman"/>
        </w:rPr>
        <w:t xml:space="preserve"> https://e-justice.europa.eu/content_business_registers_at_european_level-105-et.do</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Eelkõige läbipaistvusdirektiiv (</w:t>
      </w:r>
      <w:r>
        <w:rPr>
          <w:rFonts w:ascii="Times New Roman" w:hAnsi="Times New Roman"/>
          <w:color w:val="444444"/>
          <w:shd w:val="clear" w:color="auto" w:fill="FFFFFF"/>
        </w:rPr>
        <w:t>Euroopa Parlamendi ja nõukogu 15. detsembri 2004. aasta direktiiv 2004/109/EÜ läbipaistvuse nõuete ühtlustamise kohta teabele, mis kuulub avaldamisele emitentide kohta, kelle väärtpaberid on lubatud reguleeritud turul kauplemisele, ning millega muudetakse direktiivi 2001/34/EÜ)</w:t>
      </w:r>
      <w:r>
        <w:rPr>
          <w:rFonts w:ascii="Times New Roman" w:hAnsi="Times New Roman"/>
        </w:rPr>
        <w:t xml:space="preserve"> ja mittefinantsaruandluse direktiiv (</w:t>
      </w:r>
      <w:r>
        <w:rPr>
          <w:rFonts w:ascii="Times New Roman" w:hAnsi="Times New Roman"/>
          <w:color w:val="444444"/>
          <w:shd w:val="clear" w:color="auto" w:fill="FFFFFF"/>
        </w:rPr>
        <w:t>Euroopa Parlamendi ja nõukogu 22. oktoobri 2014. aasta direktiiv 2014/95/EL, millega muudetakse direktiivi 2013/34/EL seoses mitmekesisust käsitleva teabe ja muu kui finantsteabe avalikustamisega teatavate suurettevõtjate ja kontsernide poolt).</w:t>
      </w:r>
    </w:p>
  </w:footnote>
  <w:footnote w:id="6">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t xml:space="preserve"> </w:t>
      </w:r>
      <w:r>
        <w:rPr>
          <w:rFonts w:ascii="Times New Roman" w:hAnsi="Times New Roman"/>
        </w:rPr>
        <w:t>Euroopa Parlamendi ja nõukogu 29. aprilli 2015. aasta määrus (EL) 2015/760 Euroopa pikaajaliste investeerimisfondide kohta (EMPs kohaldatav tekst).</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25. novembri 2009. aasta direktiiv 2009/138/EÜ kindlustus- ja edasikindlustustegevuse alustamise ja jätkamise kohta (Solventsus II).</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26. juuni 2013. aasta määrus (EL) nr 575/2013 krediidiasutuste ja investeerimisühingute suhtes kohaldatavate usaldatavusnõuete kohta ja määruse (EL) nr 648/2012 muutmise kohta (EMPs kohaldatav tekst).</w:t>
      </w:r>
    </w:p>
  </w:footnote>
  <w:footnote w:id="9">
    <w:p>
      <w:pPr>
        <w:pStyle w:val="FootnoteText"/>
        <w:jc w:val="both"/>
      </w:pPr>
      <w:r>
        <w:rPr>
          <w:rStyle w:val="FootnoteReference"/>
          <w:rFonts w:ascii="Times New Roman" w:hAnsi="Times New Roman" w:cs="Times New Roman"/>
        </w:rPr>
        <w:footnoteRef/>
      </w:r>
      <w:r>
        <w:rPr>
          <w:rFonts w:ascii="Times New Roman" w:hAnsi="Times New Roman"/>
        </w:rPr>
        <w:t xml:space="preserve"> Euroopa Parlamendi ja nõukogu 26. juuni 2013. aasta direktiiv 2013/36/EL, mis käsitleb krediidiasutuste tegevuse alustamise tingimusi ning krediidiasutuste ja investeerimisühingute usaldatavusnõuete täitmise järelevalvet, millega muudetakse direktiivi 2002/87/EÜ ning millega tunnistatakse kehtetuks direktiivid 2006/48/EÜ ja 2006/49/EÜ.</w:t>
      </w:r>
    </w:p>
  </w:footnote>
  <w:footnote w:id="10">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rPr>
        <w:t xml:space="preserve"> Euroopa Parlamendi ja nõukogu 12. detsembri 2017. aasta määrus (EL) 2017/2402, millega kehtestatakse väärtpaberistamise üldnormid ning luuakse lihtsa, läbipaistva ja standarditud väärtpaberistamise erinormid ning millega muudetakse direktiive 2009/65/EÜ, 2009/138/EÜ ja 2011/61/EL ning määrusi (EÜ) nr 1060/2009 ja (EL) nr 648/2012.</w:t>
      </w:r>
    </w:p>
  </w:footnote>
  <w:footnote w:id="11">
    <w:p>
      <w:pPr>
        <w:pStyle w:val="FootnoteText"/>
      </w:pPr>
      <w:r>
        <w:rPr>
          <w:rStyle w:val="FootnoteReference"/>
        </w:rPr>
        <w:footnoteRef/>
      </w:r>
      <w:r>
        <w:t xml:space="preserve"> </w:t>
      </w:r>
      <w:r>
        <w:rPr>
          <w:rFonts w:ascii="Times New Roman" w:hAnsi="Times New Roman"/>
        </w:rPr>
        <w:t>Lisaks väärtpaberistamisturu tugevdamisele hindab komisjon jätkuvalt võimalust võtta kasutusele Euroopa tagatud võlakirjad, mis kujutavad endast kahekordse regressiõigusega instrumenti. Nagu on sätestatud Euroopa Parlamendi ja nõukogu 27. novembri 2019. aasta direktiivis (EL) 2019/2162, mis käsitleb pandikirjade emiteerimist ja pandikirjade avalikku järelevalvet, esitab komisjon Euroopa Parlamendile ja nõukogule 8. juuliks 2024 aruande.</w:t>
      </w:r>
    </w:p>
  </w:footnote>
  <w:footnote w:id="1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rPr>
        <w:t xml:space="preserve"> Euroopa Parlamendi ja nõukogu 4. veebruari 2014. aasta direktiiv 2014/17/EL elamukinnisvaraga seotud tarbijakrediidilepingute kohta ning millega muudetakse direktiive 2008/48/EÜ ja 2013/36/EL ja määrust (EL) nr 1093/2010</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15. mai 2014. aasta direktiiv 2014/65/EL finantsinstrumentide turgude kohta ning millega muudetakse direktiive 2002/92/EÜ ja 2011/61/EL.</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20. jaanuari 2016. aasta direktiiv (EL) 2016/97, mis käsitleb kindlustustoodete turustamist.</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20. juuni 2019. aasta määrus (EL) 2019/1238 üleeuroopalise personaalse pensionitoote (PEPP) kohta.</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13. juuli 2009. aasta direktiiv 2009/65/EÜ vabalt võõrandatavatesse väärtpaberitesse ühiseks investeeringuks loodud ettevõtjaid (eurofondid) käsitlevate õigus- ja haldusnormide kooskõlastamise kohta.</w:t>
      </w:r>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 Euroopa Parlamendi ja nõukogu 26. novembri 2014. aasta määrus (EL) nr 1286/2014, mis käsitleb kombineeritud jae- ja kindlustuspõhiste investeerimistoodete (PRIIPid) põhiteabedokumente.</w:t>
      </w:r>
    </w:p>
  </w:footnote>
  <w:footnote w:id="18">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http://www.oecd.org/ctp/exchange-of-tax-information/treaty-relief-and-compliance-enhancement-trace.htm</w:t>
      </w:r>
    </w:p>
  </w:footnote>
  <w:footnote w:id="19">
    <w:p>
      <w:pPr>
        <w:pStyle w:val="FootnoteText"/>
        <w:jc w:val="both"/>
      </w:pPr>
      <w:r>
        <w:rPr>
          <w:rStyle w:val="FootnoteReference"/>
          <w:rFonts w:ascii="Times New Roman" w:hAnsi="Times New Roman" w:cs="Times New Roman"/>
        </w:rPr>
        <w:footnoteRef/>
      </w:r>
      <w:r>
        <w:rPr>
          <w:rFonts w:ascii="Times New Roman" w:hAnsi="Times New Roman"/>
        </w:rPr>
        <w:t xml:space="preserve"> https://ec.europa.eu/taxation_customs/sites/taxation/files/code_of_conduct_on_witholding_tax.pdf</w:t>
      </w:r>
    </w:p>
  </w:footnote>
  <w:footnote w:id="20">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https://ec.europa.eu/info/publications/191203-study-loan-enforcement-laws_en</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17. mai 2017. aasta direktiiv (EL) 2017/828, millega muudetakse direktiivi 2007/36/EÜ seoses aktsionäride pikaajalise kaasamise soodustamisega.</w:t>
      </w:r>
    </w:p>
  </w:footnote>
  <w:footnote w:id="22">
    <w:p>
      <w:pPr>
        <w:pStyle w:val="FootnoteText"/>
        <w:jc w:val="both"/>
      </w:pPr>
      <w:r>
        <w:rPr>
          <w:rStyle w:val="FootnoteReference"/>
          <w:rFonts w:ascii="Times New Roman" w:hAnsi="Times New Roman" w:cs="Times New Roman"/>
        </w:rPr>
        <w:footnoteRef/>
      </w:r>
      <w:r>
        <w:rPr>
          <w:rFonts w:ascii="Times New Roman" w:hAnsi="Times New Roman"/>
        </w:rPr>
        <w:t xml:space="preserve"> Komisjoni 3. september 2018. aasta rakendusmäärus (EL) 2018/1212.</w:t>
      </w:r>
    </w:p>
  </w:footnote>
  <w:footnote w:id="2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rPr>
        <w:t xml:space="preserve"> Euroopa Parlamendi ja nõukogu 23. juuli 2014. aasta määrus (EL) nr 909/2014, mis käsitleb väärtpaberiarvelduse parandamist Euroopa Liidus ja väärtpaberite keskdepositooriume ning millega muudetakse direktiive 98/26/EÜ ja 2014/65/EL ning määrust (EL) nr 236/2012.</w:t>
      </w:r>
    </w:p>
  </w:footnote>
  <w:footnote w:id="24">
    <w:p>
      <w:pPr>
        <w:pStyle w:val="FootnoteText"/>
        <w:jc w:val="both"/>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https://ec.europa.eu/eipp/desktop/en/index.html?2nd-language=en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2C7"/>
    <w:multiLevelType w:val="hybridMultilevel"/>
    <w:tmpl w:val="5232BF4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1"/>
    <w:docVar w:name="LW_ANNEX_UNIQUE" w:val="0"/>
    <w:docVar w:name="LW_CORRIGENDUM" w:val="&lt;UNUSED&gt;"/>
    <w:docVar w:name="LW_COVERPAGE_EXISTS" w:val="True"/>
    <w:docVar w:name="LW_COVERPAGE_GUID" w:val="AE7F3734-A87D-4FDE-8EBC-E5C03B9C20EE"/>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üssel,"/>
    <w:docVar w:name="LW_EMISSION_SUFFIX" w:val=" "/>
    <w:docVar w:name="LW_ID_DOCTYPE_NONLW" w:val="CP-039"/>
    <w:docVar w:name="LW_LANGUE" w:val="ET"/>
    <w:docVar w:name="LW_LEVEL_OF_SENSITIVITY" w:val="Standard treatment"/>
    <w:docVar w:name="LW_NOM.INST" w:val="EUROOPA KOMISJON"/>
    <w:docVar w:name="LW_NOM.INST_JOINTDOC" w:val="&lt;EMPTY&gt;"/>
    <w:docVar w:name="LW_OBJETACTEPRINCIPAL.CP" w:val="Inimeste ja ettevõtete hüvanguks toimiv kapitaliturgude liit - uus tegevuskava"/>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SA_x000b_"/>
    <w:docVar w:name="LW_TYPEACTEPRINCIPAL.CP" w:val="KOMISJONI TEATIS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894">
      <w:bodyDiv w:val="1"/>
      <w:marLeft w:val="0"/>
      <w:marRight w:val="0"/>
      <w:marTop w:val="0"/>
      <w:marBottom w:val="0"/>
      <w:divBdr>
        <w:top w:val="none" w:sz="0" w:space="0" w:color="auto"/>
        <w:left w:val="none" w:sz="0" w:space="0" w:color="auto"/>
        <w:bottom w:val="none" w:sz="0" w:space="0" w:color="auto"/>
        <w:right w:val="none" w:sz="0" w:space="0" w:color="auto"/>
      </w:divBdr>
    </w:div>
    <w:div w:id="41828033">
      <w:bodyDiv w:val="1"/>
      <w:marLeft w:val="0"/>
      <w:marRight w:val="0"/>
      <w:marTop w:val="0"/>
      <w:marBottom w:val="0"/>
      <w:divBdr>
        <w:top w:val="none" w:sz="0" w:space="0" w:color="auto"/>
        <w:left w:val="none" w:sz="0" w:space="0" w:color="auto"/>
        <w:bottom w:val="none" w:sz="0" w:space="0" w:color="auto"/>
        <w:right w:val="none" w:sz="0" w:space="0" w:color="auto"/>
      </w:divBdr>
    </w:div>
    <w:div w:id="397286317">
      <w:bodyDiv w:val="1"/>
      <w:marLeft w:val="0"/>
      <w:marRight w:val="0"/>
      <w:marTop w:val="0"/>
      <w:marBottom w:val="0"/>
      <w:divBdr>
        <w:top w:val="none" w:sz="0" w:space="0" w:color="auto"/>
        <w:left w:val="none" w:sz="0" w:space="0" w:color="auto"/>
        <w:bottom w:val="none" w:sz="0" w:space="0" w:color="auto"/>
        <w:right w:val="none" w:sz="0" w:space="0" w:color="auto"/>
      </w:divBdr>
    </w:div>
    <w:div w:id="563373561">
      <w:bodyDiv w:val="1"/>
      <w:marLeft w:val="0"/>
      <w:marRight w:val="0"/>
      <w:marTop w:val="0"/>
      <w:marBottom w:val="0"/>
      <w:divBdr>
        <w:top w:val="none" w:sz="0" w:space="0" w:color="auto"/>
        <w:left w:val="none" w:sz="0" w:space="0" w:color="auto"/>
        <w:bottom w:val="none" w:sz="0" w:space="0" w:color="auto"/>
        <w:right w:val="none" w:sz="0" w:space="0" w:color="auto"/>
      </w:divBdr>
    </w:div>
    <w:div w:id="1103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t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477E5C-D876-4FA3-A182-B3D12D1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19244</Characters>
  <Application>Microsoft Office Word</Application>
  <DocSecurity>0</DocSecurity>
  <Lines>469</Lines>
  <Paragraphs>122</Paragraphs>
  <ScaleCrop>false</ScaleCrop>
  <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2020-09-18T14:29:00Z</dcterms:created>
  <dcterms:modified xsi:type="dcterms:W3CDTF">2020-10-01T07:30:00Z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