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124F493-B5E8-436F-8CF6-65D25993CB29" style="width:450.8pt;height:43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PROJEKT</w:t>
      </w:r>
    </w:p>
    <w:p>
      <w:pPr>
        <w:jc w:val="center"/>
        <w:rPr>
          <w:b/>
          <w:noProof/>
        </w:rPr>
      </w:pPr>
      <w:bookmarkStart w:id="1" w:name="bookmark6"/>
      <w:r>
        <w:rPr>
          <w:b/>
          <w:noProof/>
        </w:rPr>
        <w:t>DECYZJA NR 2/2020</w:t>
      </w:r>
    </w:p>
    <w:bookmarkEnd w:id="1"/>
    <w:p>
      <w:pPr>
        <w:spacing w:after="240"/>
        <w:jc w:val="center"/>
        <w:rPr>
          <w:b/>
          <w:noProof/>
        </w:rPr>
      </w:pPr>
      <w:r>
        <w:rPr>
          <w:b/>
          <w:noProof/>
        </w:rPr>
        <w:t>WSPÓLNEJ RADY USTANOWIONEJ NA MOCY UMOWY O PARTNERSTWIE GOSPODARCZYM MIĘDZY UNIĄ EUROPEJSKĄ I JEJ PAŃSTWAMI CZŁONKOWSKIMI, Z JEDNEJ STRONY, A PAŃSTWAMI POŁUDNIOWOAFRYKAŃSKIEJ WSPÓLNOTY ROZWOJU (SADC) OBJĘTYMI UMOWĄ O PARTNERSTWIE GOSPODARCZYM, Z DRUGIEJ STRONY</w:t>
      </w:r>
    </w:p>
    <w:p>
      <w:pPr>
        <w:spacing w:after="240"/>
        <w:jc w:val="center"/>
        <w:rPr>
          <w:b/>
          <w:noProof/>
        </w:rPr>
      </w:pPr>
      <w:r>
        <w:rPr>
          <w:b/>
          <w:noProof/>
        </w:rPr>
        <w:t>w sprawie przyjęcia poziomów progowych dla produktów kwalifikujących się do objęcia środkami ochronnymi i oznaczonych gwiazdką, zgodnie z przypisem 1 w załączniku IV do Umowy</w:t>
      </w:r>
    </w:p>
    <w:p>
      <w:pPr>
        <w:rPr>
          <w:noProof/>
        </w:rPr>
      </w:pPr>
      <w:r>
        <w:rPr>
          <w:noProof/>
        </w:rPr>
        <w:t>WSPÓLNA RADA,</w:t>
      </w:r>
    </w:p>
    <w:p>
      <w:pPr>
        <w:rPr>
          <w:noProof/>
        </w:rPr>
      </w:pPr>
      <w:r>
        <w:rPr>
          <w:noProof/>
        </w:rPr>
        <w:t>Uwzględniając Umowę o partnerstwie gospodarczym między Unią Europejską i jej państwami członkowskimi, z jednej strony, a państwami SADC UPG, z drugiej strony („Umowa”), w szczególności jej art. 35 i 102, a także decyzję nr 1/2019 Wspólnej Rady (regulamin wewnętrzny Wspólnej Rady),</w:t>
      </w:r>
    </w:p>
    <w:p>
      <w:pPr>
        <w:pStyle w:val="Formuledadoption"/>
        <w:rPr>
          <w:noProof/>
        </w:rPr>
      </w:pPr>
      <w:r>
        <w:rPr>
          <w:noProof/>
        </w:rPr>
        <w:t>PRZYJMUJE NINIEJSZĄ DECYZJĘ:</w:t>
      </w:r>
    </w:p>
    <w:p>
      <w:pPr>
        <w:jc w:val="center"/>
        <w:rPr>
          <w:i/>
          <w:iCs/>
          <w:noProof/>
          <w:color w:val="000000"/>
          <w:szCs w:val="24"/>
        </w:rPr>
      </w:pPr>
      <w:r>
        <w:rPr>
          <w:i/>
          <w:iCs/>
          <w:noProof/>
          <w:color w:val="000000"/>
          <w:szCs w:val="24"/>
        </w:rPr>
        <w:t>Artykuł 1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Zgodnie z przypisem 1 w załączniku IV do Umowy, do celów art. 35 Umowy ilości referencyjne dla produktów oznaczonych gwiazdką dostosowuje się zgodnie z załącznikiem do niniejszej decyzji.</w:t>
      </w:r>
    </w:p>
    <w:p>
      <w:pPr>
        <w:jc w:val="center"/>
        <w:rPr>
          <w:i/>
          <w:iCs/>
          <w:noProof/>
          <w:color w:val="000000"/>
          <w:szCs w:val="24"/>
        </w:rPr>
      </w:pPr>
      <w:r>
        <w:rPr>
          <w:i/>
          <w:iCs/>
          <w:noProof/>
          <w:color w:val="000000"/>
          <w:szCs w:val="24"/>
        </w:rPr>
        <w:t>Artykuł 2</w:t>
      </w:r>
    </w:p>
    <w:p>
      <w:pPr>
        <w:spacing w:after="36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Niniejsza decyzja wchodzi w życie z dniem jej przyjęcia.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9213" w:type="dxa"/>
            <w:gridSpan w:val="2"/>
          </w:tcPr>
          <w:p>
            <w:pPr>
              <w:spacing w:after="240"/>
              <w:jc w:val="center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iCs/>
                <w:noProof/>
                <w:color w:val="000000"/>
                <w:szCs w:val="24"/>
              </w:rPr>
              <w:t>W imieniu Wspólnej Rady</w:t>
            </w:r>
          </w:p>
        </w:tc>
      </w:tr>
      <w:tr>
        <w:tc>
          <w:tcPr>
            <w:tcW w:w="4606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noProof/>
              </w:rPr>
              <w:t>Przedstawiciel państw SADC UPG</w:t>
            </w:r>
          </w:p>
        </w:tc>
        <w:tc>
          <w:tcPr>
            <w:tcW w:w="4607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noProof/>
              </w:rPr>
              <w:t>Przedstawiciel UE</w:t>
            </w:r>
          </w:p>
        </w:tc>
      </w:tr>
      <w:tr>
        <w:tc>
          <w:tcPr>
            <w:tcW w:w="4606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noProof/>
              </w:rPr>
              <w:t>PEGGY O. SERAME</w:t>
            </w:r>
          </w:p>
        </w:tc>
        <w:tc>
          <w:tcPr>
            <w:tcW w:w="4607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noProof/>
              </w:rPr>
              <w:t>VALDIS DOMBROVSKIS</w:t>
            </w:r>
          </w:p>
        </w:tc>
      </w:tr>
      <w:tr>
        <w:tc>
          <w:tcPr>
            <w:tcW w:w="4606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iCs/>
                <w:noProof/>
                <w:color w:val="000000"/>
                <w:szCs w:val="24"/>
              </w:rPr>
              <w:t>Data:</w:t>
            </w:r>
          </w:p>
        </w:tc>
        <w:tc>
          <w:tcPr>
            <w:tcW w:w="4607" w:type="dxa"/>
          </w:tcPr>
          <w:p>
            <w:pPr>
              <w:spacing w:after="240"/>
              <w:rPr>
                <w:i/>
                <w:iCs/>
                <w:noProof/>
                <w:color w:val="000000"/>
                <w:szCs w:val="24"/>
              </w:rPr>
            </w:pPr>
            <w:r>
              <w:rPr>
                <w:i/>
                <w:iCs/>
                <w:noProof/>
                <w:color w:val="000000"/>
                <w:szCs w:val="24"/>
              </w:rPr>
              <w:t>Data:</w:t>
            </w:r>
          </w:p>
        </w:tc>
      </w:tr>
    </w:tbl>
    <w:p>
      <w:pPr>
        <w:spacing w:after="0"/>
        <w:rPr>
          <w:i/>
          <w:iCs/>
          <w:noProof/>
          <w:color w:val="000000"/>
          <w:szCs w:val="24"/>
          <w:lang w:eastAsia="fr-BE"/>
        </w:rPr>
      </w:pPr>
    </w:p>
    <w:p>
      <w:pPr>
        <w:spacing w:before="60" w:after="60"/>
        <w:jc w:val="center"/>
        <w:rPr>
          <w:i/>
          <w:iCs/>
          <w:noProof/>
          <w:color w:val="000000"/>
          <w:szCs w:val="24"/>
          <w:lang w:eastAsia="fr-BE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b/>
          <w:i/>
          <w:noProof/>
        </w:rPr>
      </w:pPr>
      <w:r>
        <w:rPr>
          <w:b/>
          <w:i/>
          <w:noProof/>
        </w:rPr>
        <w:t>Załącznik: Skorygowane ilości referencyjne (w tonach metrycznych) zawarte w załączniku IV do Umowy (s. L 250/1917-18 UE-SADC UPG)</w:t>
      </w:r>
    </w:p>
    <w:tbl>
      <w:tblPr>
        <w:tblW w:w="11379" w:type="dxa"/>
        <w:tblInd w:w="720" w:type="dxa"/>
        <w:tblLook w:val="04A0" w:firstRow="1" w:lastRow="0" w:firstColumn="1" w:lastColumn="0" w:noHBand="0" w:noVBand="1"/>
      </w:tblPr>
      <w:tblGrid>
        <w:gridCol w:w="1118"/>
        <w:gridCol w:w="851"/>
        <w:gridCol w:w="850"/>
        <w:gridCol w:w="851"/>
        <w:gridCol w:w="850"/>
        <w:gridCol w:w="933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sz w:val="20"/>
                <w:lang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2027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Pozycje taryfowe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Rok 12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02062100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287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02062900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1 307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2 111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02064900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8 500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10 500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11041910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429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11071010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3 161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4 204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6 771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04012007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8 457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9 315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11 256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12 379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13 625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14 973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16 485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18 119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1 732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3 714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20019010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771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180631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3 959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4 569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4 873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5 787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6 396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180632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1 971</w:t>
            </w:r>
          </w:p>
        </w:tc>
      </w:tr>
      <w:tr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180690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7 916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8 635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9 355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10 074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10 794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11 514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12 233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13 672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14 392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Tahoma" w:hAnsi="Tahoma" w:cs="Tahoma"/>
                <w:noProof/>
                <w:color w:val="000000"/>
                <w:sz w:val="20"/>
              </w:rPr>
            </w:pPr>
            <w:r>
              <w:rPr>
                <w:rFonts w:ascii="Tahoma" w:hAnsi="Tahoma"/>
                <w:noProof/>
                <w:color w:val="000000"/>
                <w:sz w:val="20"/>
              </w:rPr>
              <w:t>15 112</w:t>
            </w:r>
          </w:p>
        </w:tc>
      </w:tr>
    </w:tbl>
    <w:p>
      <w:pPr>
        <w:rPr>
          <w:b/>
          <w:i/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ZAŁĄCZNIK </w:t>
      </w:r>
      <w:r>
        <w:rPr>
          <w:rStyle w:val="Marker"/>
          <w:noProof/>
        </w:rPr>
        <w:t>[…]</w:t>
      </w:r>
    </w:p>
    <w:p>
      <w:pPr>
        <w:rPr>
          <w:noProof/>
        </w:rPr>
      </w:pPr>
    </w:p>
    <w:p>
      <w:pPr>
        <w:rPr>
          <w:noProof/>
        </w:rPr>
        <w:sectPr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ZAŁĄCZNIK </w:t>
      </w:r>
      <w:r>
        <w:rPr>
          <w:rStyle w:val="Marker"/>
          <w:noProof/>
        </w:rPr>
        <w:t>[…]</w:t>
      </w:r>
    </w:p>
    <w:p>
      <w:pPr>
        <w:rPr>
          <w:noProof/>
        </w:rPr>
      </w:pPr>
    </w:p>
    <w:p>
      <w:pPr>
        <w:rPr>
          <w:noProof/>
        </w:rPr>
        <w:sectPr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ZAŁĄCZNIK </w:t>
      </w:r>
      <w:r>
        <w:rPr>
          <w:rStyle w:val="Marker"/>
          <w:noProof/>
        </w:rPr>
        <w:t>[…]</w:t>
      </w:r>
    </w:p>
    <w:p>
      <w:pPr>
        <w:rPr>
          <w:noProof/>
        </w:rPr>
      </w:pPr>
    </w:p>
    <w:p>
      <w:pPr>
        <w:rPr>
          <w:noProof/>
        </w:rPr>
        <w:sectPr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ZAŁĄCZNIK </w:t>
      </w:r>
      <w:r>
        <w:rPr>
          <w:rStyle w:val="Marker"/>
          <w:noProof/>
        </w:rPr>
        <w:t>[…]</w:t>
      </w:r>
    </w:p>
    <w:p>
      <w:pPr>
        <w:rPr>
          <w:noProof/>
        </w:rPr>
      </w:pPr>
    </w:p>
    <w:sectPr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2FE34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5C23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36E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FC845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68F8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48B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ABA8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7D8A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9 08:59:1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124F493-B5E8-436F-8CF6-65D25993CB29"/>
    <w:docVar w:name="LW_COVERPAGE_TYPE" w:val="1"/>
    <w:docVar w:name="LW_CROSSREFERENCE" w:val="&lt;UNUSED&gt;"/>
    <w:docVar w:name="LW_DocType" w:val="ANNEX"/>
    <w:docVar w:name="LW_EMISSION" w:val="5.10.2020"/>
    <w:docVar w:name="LW_EMISSION_ISODATE" w:val="2020-10-05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E w ramach Wspólnej Rady ustanowionej na mocy Umowy o partnerstwie gospodarczym mi\u281?dzy Uni\u261? Europejsk\u261? i jej pa\u324?stwami cz\u322?onkowskimi, z jednej strony, a pa\u324?stwami Po\u322?udniowoafryka\u324?skiej Wspólnoty Rozwoju (SADC) obj\u281?tymi umow\u261? o partnerstwie gospodarczym, z drugiej strony, w odniesieniu do dostosowania ilo\u347?ci referencyjnych dla niektórych produktów wymienionych w za\u322?\u261?czniku IV do Umowy"/>
    <w:docVar w:name="LW_OBJETACTEPRINCIPAL.CP" w:val="w sprawie stanowiska, jakie ma zosta\u263? zaj\u281?te w imieniu UE w ramach Wspólnej Rady ustanowionej na mocy Umowy o partnerstwie gospodarczym mi\u281?dzy Uni\u261? Europejsk\u261? i jej pa\u324?stwami cz\u322?onkowskimi, z jednej strony, a pa\u324?stwami Po\u322?udniowoafryka\u324?skiej Wspólnoty Rozwoju (SADC) obj\u281?tymi umow\u261? o partnerstwie gospodarczym, z drugiej strony, w odniesieniu do dostosowania ilo\u347?ci referencyjnych dla niektórych produktów wymienionych w za\u322?\u261?czniku IV do Umowy"/>
    <w:docVar w:name="LW_PART_NBR" w:val="1"/>
    <w:docVar w:name="LW_PART_NBR_TOTAL" w:val="1"/>
    <w:docVar w:name="LW_REF.INST.NEW" w:val="COM"/>
    <w:docVar w:name="LW_REF.INST.NEW_ADOPTED" w:val="final"/>
    <w:docVar w:name="LW_REF.INST.NEW_TEXT" w:val="(2020) 6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w sprawie decyzji Rady"/>
    <w:docVar w:name="LW_TYPEACTEPRINCIPAL.CP" w:val="wniosku w sprawie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475</Words>
  <Characters>1897</Characters>
  <Application>Microsoft Office Word</Application>
  <DocSecurity>0</DocSecurity>
  <Lines>237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2020-09-18T10:57:00Z</dcterms:created>
  <dcterms:modified xsi:type="dcterms:W3CDTF">2020-09-29T06:59:00Z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SG-017</vt:lpwstr>
  </property>
  <property fmtid="{D5CDD505-2E9C-101B-9397-08002B2CF9AE}" pid="10" name="DQCStatus">
    <vt:lpwstr>Green (DQC version 03)</vt:lpwstr>
  </property>
  <property fmtid="{D5CDD505-2E9C-101B-9397-08002B2CF9AE}" pid="11" name="Category">
    <vt:lpwstr>COM/ANNEX</vt:lpwstr>
  </property>
</Properties>
</file>