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6619DC0C-CF2A-46B6-A17A-0DE7E2FB9AE0" style="width:450.15pt;height:438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caps/>
          <w:noProof/>
          <w:szCs w:val="24"/>
          <w:u w:val="none"/>
        </w:rPr>
      </w:pPr>
      <w:bookmarkStart w:id="0" w:name="_GoBack"/>
      <w:bookmarkEnd w:id="0"/>
      <w:r>
        <w:rPr>
          <w:noProof/>
        </w:rPr>
        <w:lastRenderedPageBreak/>
        <w:t xml:space="preserve">PŘÍLOHA </w:t>
      </w:r>
      <w:r>
        <w:rPr>
          <w:noProof/>
        </w:rPr>
        <w:br/>
        <w:t xml:space="preserve"> </w:t>
      </w:r>
      <w:r>
        <w:rPr>
          <w:noProof/>
        </w:rPr>
        <w:br/>
      </w:r>
      <w:r>
        <w:rPr>
          <w:caps/>
          <w:noProof/>
          <w:szCs w:val="24"/>
          <w:u w:val="none"/>
        </w:rPr>
        <w:t xml:space="preserve">Směrnice pro jednání o dohodě o rybolovu se Spojeným královstvím Velké Británie a Severního Irska a s Norským královstvím </w:t>
      </w:r>
    </w:p>
    <w:p>
      <w:pPr>
        <w:pStyle w:val="ManualHeading1"/>
        <w:rPr>
          <w:noProof/>
          <w:szCs w:val="24"/>
        </w:rPr>
      </w:pPr>
      <w:r>
        <w:rPr>
          <w:noProof/>
        </w:rPr>
        <w:t>I.</w:t>
      </w:r>
      <w:r>
        <w:rPr>
          <w:noProof/>
        </w:rPr>
        <w:tab/>
      </w:r>
      <w:r>
        <w:rPr>
          <w:caps/>
          <w:smallCaps w:val="0"/>
          <w:noProof/>
          <w:szCs w:val="24"/>
        </w:rPr>
        <w:t>Obecné souvislosti</w:t>
      </w:r>
      <w:r>
        <w:rPr>
          <w:noProof/>
        </w:rPr>
        <w:t xml:space="preserve"> A ÚČEL DOHODY O RYBOLOVU</w:t>
      </w:r>
    </w:p>
    <w:p>
      <w:pPr>
        <w:spacing w:before="0" w:after="0"/>
        <w:ind w:left="850"/>
        <w:rPr>
          <w:noProof/>
          <w:szCs w:val="24"/>
        </w:rPr>
      </w:pPr>
      <w:r>
        <w:rPr>
          <w:noProof/>
        </w:rPr>
        <w:t xml:space="preserve">Po vystoupení Spojeného království Velké Británie a Severního Irska (dále jen „Spojené království“) z Evropské unie již nelze řadu rybích populací v Severním moři považovat za populace sdílené na dvoustranném základě pouze mezi Evropskou unií a Norským královstvím. Tyto populace se vyskytují ve vodách Unie i ve vodách pod svrchovaností a jurisdikcí Spojeného království a Norského království. </w:t>
      </w:r>
    </w:p>
    <w:p>
      <w:pPr>
        <w:spacing w:before="0" w:after="0"/>
        <w:ind w:left="850"/>
        <w:rPr>
          <w:noProof/>
          <w:szCs w:val="24"/>
        </w:rPr>
      </w:pPr>
    </w:p>
    <w:p>
      <w:pPr>
        <w:spacing w:before="0" w:after="0"/>
        <w:ind w:left="850"/>
        <w:rPr>
          <w:noProof/>
          <w:szCs w:val="24"/>
        </w:rPr>
      </w:pPr>
      <w:r>
        <w:rPr>
          <w:noProof/>
        </w:rPr>
        <w:t>V souladu s čl. 63 odst. 1 Úmluvy Organizace spojených národů o mořském právu</w:t>
      </w:r>
      <w:r>
        <w:rPr>
          <w:rStyle w:val="FootnoteReference"/>
          <w:noProof/>
          <w:szCs w:val="24"/>
        </w:rPr>
        <w:footnoteReference w:id="1"/>
      </w:r>
      <w:r>
        <w:rPr>
          <w:noProof/>
        </w:rPr>
        <w:t xml:space="preserve"> by Evropská unie, Spojené království a Norské království měly dosáhnout dohody o nutných opatřeních ke koordinaci a zajištění zachovávání a rozvoje dotčených populací v Severním moři. </w:t>
      </w:r>
    </w:p>
    <w:p>
      <w:pPr>
        <w:spacing w:before="0" w:after="0"/>
        <w:ind w:left="850"/>
        <w:rPr>
          <w:noProof/>
          <w:szCs w:val="24"/>
        </w:rPr>
      </w:pPr>
    </w:p>
    <w:p>
      <w:pPr>
        <w:spacing w:before="0" w:after="0"/>
        <w:ind w:left="850"/>
        <w:rPr>
          <w:noProof/>
          <w:szCs w:val="24"/>
        </w:rPr>
      </w:pPr>
      <w:r>
        <w:rPr>
          <w:noProof/>
        </w:rPr>
        <w:t xml:space="preserve">Za tímto účelem usiluje Evropská unie o uzavření dohody o rybolovu (dále jen „dohoda“) se Spojeným královstvím a s Norským královstvím.  </w:t>
      </w:r>
    </w:p>
    <w:p>
      <w:pPr>
        <w:pStyle w:val="ManualHeading1"/>
        <w:rPr>
          <w:noProof/>
          <w:szCs w:val="24"/>
        </w:rPr>
      </w:pPr>
      <w:r>
        <w:rPr>
          <w:noProof/>
        </w:rPr>
        <w:t>II.</w:t>
      </w:r>
      <w:r>
        <w:rPr>
          <w:noProof/>
        </w:rPr>
        <w:tab/>
        <w:t>OBSAH DOHODY O RYBOLOVU</w:t>
      </w:r>
    </w:p>
    <w:p>
      <w:pPr>
        <w:pStyle w:val="NumPar1"/>
        <w:numPr>
          <w:ilvl w:val="0"/>
          <w:numId w:val="3"/>
        </w:numPr>
        <w:rPr>
          <w:noProof/>
          <w:szCs w:val="24"/>
        </w:rPr>
      </w:pPr>
      <w:r>
        <w:rPr>
          <w:noProof/>
        </w:rPr>
        <w:t xml:space="preserve">Dohoda by měla stanovit rámec pro řízení sdílených rybích populací a rovněž podmínky přístupu do vod a ke zdrojům. Měla by zabezpečit trvalý zodpovědný rybolov, který v souladu s příslušnými zásadami mezinárodního práva zaručí dlouhodobé zachování a udržitelné využívání živých mořských zdrojů. </w:t>
      </w:r>
    </w:p>
    <w:p>
      <w:pPr>
        <w:pStyle w:val="NumPar1"/>
        <w:rPr>
          <w:noProof/>
          <w:szCs w:val="24"/>
        </w:rPr>
      </w:pPr>
      <w:r>
        <w:rPr>
          <w:noProof/>
        </w:rPr>
        <w:t xml:space="preserve">Ustanovení o rybolovu by měla zahrnovat spolupráci na vypracování opatření pro udržitelné využívání a zachování zdrojů, včetně zamezení výmětů. Tato opatření by měla být nediskriminační a měla by vycházet z vědeckého přístupu, který je v souladu s cílem dosáhnout u dotčených populací maximálního udržitelného výnosu. Dohoda by měla obsahovat ustanovení o spolupráci v oblasti kontroly a prosazování práva, shromažďování údajů a vědeckého poradenství. </w:t>
      </w:r>
    </w:p>
    <w:p>
      <w:pPr>
        <w:pStyle w:val="NumPar1"/>
        <w:rPr>
          <w:noProof/>
          <w:szCs w:val="24"/>
        </w:rPr>
      </w:pPr>
      <w:r>
        <w:rPr>
          <w:noProof/>
        </w:rPr>
        <w:t xml:space="preserve">Dohoda by měla obsahovat ujednání o zachování rybolovných činností Unie a o zamezení nepříznivých hospodářských důsledků pro rybolovné činnosti stran dohody. </w:t>
      </w:r>
    </w:p>
    <w:p>
      <w:pPr>
        <w:pStyle w:val="NumPar1"/>
        <w:rPr>
          <w:noProof/>
          <w:szCs w:val="24"/>
        </w:rPr>
      </w:pPr>
      <w:r>
        <w:rPr>
          <w:noProof/>
        </w:rPr>
        <w:t>Ustanovení dohody by měla zachovat stávající podmínky recipročního přístupu a podílů na kvótách a vycházet z tradiční činnosti loďstva Unie, jak je stanoveno v rámcové dohodě o rybolovu mezi Evropskou unií a Norským královstvím</w:t>
      </w:r>
      <w:r>
        <w:rPr>
          <w:rStyle w:val="FootnoteReference"/>
          <w:noProof/>
          <w:szCs w:val="24"/>
        </w:rPr>
        <w:footnoteReference w:id="2"/>
      </w:r>
      <w:r>
        <w:rPr>
          <w:noProof/>
        </w:rPr>
        <w:t>, a měla by proto:</w:t>
      </w:r>
    </w:p>
    <w:p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zachovat trvalý reciproční přístup plavidel Unie, Spojeného království a Norska do vod Unie, Spojeného království a Norského království,</w:t>
      </w:r>
    </w:p>
    <w:p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zachovat stabilní podíly na kvótách, které lze upravovat pouze se souhlasem přímo dotčených stran,</w:t>
      </w:r>
    </w:p>
    <w:p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lastRenderedPageBreak/>
        <w:t>zahrnovat postupy pro převody a výměny kvót a pro stanovení ročních nebo víceletých celkových přípustných odlovů či omezení intenzity rybolovu na základě dlouhodobých strategií řízení,</w:t>
      </w:r>
    </w:p>
    <w:p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stanovit organizaci postupů pro získání oprávnění k rybolovu a zahrnovat ustanovení zajišťující rovné zacházení a dodržování předpisů, včetně společných kontrolních a inspekčních činností,</w:t>
      </w:r>
    </w:p>
    <w:p>
      <w:pPr>
        <w:pStyle w:val="NumPar1"/>
        <w:numPr>
          <w:ilvl w:val="0"/>
          <w:numId w:val="2"/>
        </w:numPr>
        <w:rPr>
          <w:noProof/>
        </w:rPr>
      </w:pPr>
      <w:r>
        <w:rPr>
          <w:noProof/>
        </w:rPr>
        <w:t>zřídit příslušný institucionální rámec pro spolupráci na zachování a řízení sdílených rybích populací.</w:t>
      </w:r>
    </w:p>
    <w:p>
      <w:pPr>
        <w:pStyle w:val="NumPar1"/>
        <w:rPr>
          <w:noProof/>
        </w:rPr>
      </w:pPr>
      <w:r>
        <w:rPr>
          <w:noProof/>
        </w:rPr>
        <w:t xml:space="preserve">Dohoda by měla být uzavřena včas, aby mohla být použita pro stanovení rybolovných práv na první rok po skončení přechodného období stanoveného v dohodě o vystoupení. </w:t>
      </w:r>
    </w:p>
    <w:sectPr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Úmluva Organizace spojených národů o mořském právu (Úř. věst. L 179, 23.6.1998, s. 3).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Úř. věst. L 226, 29.8.1980, s. 47.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01EAA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BD4E5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D78FF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C54C3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FC679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E36E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962EE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34C4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30 15:56:4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 "/>
    <w:docVar w:name="LW_ACCOMPAGNANT.CP" w:val=" 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619DC0C-CF2A-46B6-A17A-0DE7E2FB9AE0"/>
    <w:docVar w:name="LW_COVERPAGE_TYPE" w:val="1"/>
    <w:docVar w:name="LW_CROSSREFERENCE" w:val="&lt;UNUSED&gt;"/>
    <w:docVar w:name="LW_DocType" w:val="ANNEX"/>
    <w:docVar w:name="LW_EMISSION" w:val="7.10.2020"/>
    <w:docVar w:name="LW_EMISSION_ISODATE" w:val="2020-10-07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kterým se Komise zmoc\u328?uje k tomu, aby jménem Evropské unie zahájila jednání o uzav\u345?ení dohody o rybolovu se Spojeným královstvím Velké Británie a Severního Irska a s Norským královstvím _x000d__x000d__x000d__x000d__x000d__x000d__x000b_"/>
    <w:docVar w:name="LW_OBJETACTEPRINCIPAL.CP" w:val="kterým se Komise zmoc\u328?uje k tomu, aby jménem Evropské unie zahájila jednání o uzav\u345?ení dohody o rybolovu se Spojeným královstvím Velké Británie a Severního Irska a s Norským královstvím _x000d__x000d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6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\u344?ÍLOHA"/>
    <w:docVar w:name="LW_TYPE.DOC.CP" w:val="P\u344?ÍLOHA"/>
    <w:docVar w:name="LW_TYPEACTEPRINCIPAL" w:val="doporu\u269?ení pro_x000b__x000b_ROZHODNUTÍ RADY,"/>
    <w:docVar w:name="LW_TYPEACTEPRINCIPAL.CP" w:val="doporu\u269?ení pro_x000b__x000b_ROZHODNUTÍ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3</Pages>
  <Words>443</Words>
  <Characters>2604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ALELUIA Lucia Maria (MARE)</dc:creator>
  <cp:keywords/>
  <dc:description/>
  <cp:lastModifiedBy>WES PDFC Administrator</cp:lastModifiedBy>
  <cp:revision>9</cp:revision>
  <dcterms:created xsi:type="dcterms:W3CDTF">2020-09-16T13:15:00Z</dcterms:created>
  <dcterms:modified xsi:type="dcterms:W3CDTF">2020-09-30T13:56:00Z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