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83012C9-8BF2-4249-8CDD-7D147B886C97" style="width:450.8pt;height:43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caps/>
          <w:noProof/>
          <w:szCs w:val="24"/>
          <w:u w:val="none"/>
        </w:rPr>
      </w:pPr>
      <w:bookmarkStart w:id="0" w:name="_GoBack"/>
      <w:bookmarkEnd w:id="0"/>
      <w:r>
        <w:rPr>
          <w:noProof/>
        </w:rPr>
        <w:lastRenderedPageBreak/>
        <w:t xml:space="preserve">PIELIKUMS </w:t>
      </w:r>
      <w:r>
        <w:rPr>
          <w:noProof/>
        </w:rPr>
        <w:br/>
        <w:t xml:space="preserve"> </w:t>
      </w:r>
      <w:r>
        <w:rPr>
          <w:noProof/>
        </w:rPr>
        <w:br/>
      </w:r>
      <w:r>
        <w:rPr>
          <w:caps/>
          <w:noProof/>
          <w:szCs w:val="24"/>
          <w:u w:val="none"/>
        </w:rPr>
        <w:t>Sarunu norādes par zvejniecības nolīgumu ar Lielbritānijas un Ziemeļīrijas Apvienoto Karalisti un Norvēģijas Karalisti</w:t>
      </w:r>
    </w:p>
    <w:p>
      <w:pPr>
        <w:pStyle w:val="ManualHeading1"/>
        <w:rPr>
          <w:noProof/>
          <w:szCs w:val="24"/>
        </w:rPr>
      </w:pPr>
      <w:r>
        <w:rPr>
          <w:noProof/>
        </w:rPr>
        <w:t>I.</w:t>
      </w:r>
      <w:r>
        <w:rPr>
          <w:noProof/>
        </w:rPr>
        <w:tab/>
        <w:t>ZVEJNIECĪBAS NOLĪGUMA VISPĀRĪGAIS KONTEKSTS UN MĒRĶIS</w:t>
      </w:r>
    </w:p>
    <w:p>
      <w:pPr>
        <w:spacing w:before="0" w:after="0"/>
        <w:ind w:left="850"/>
        <w:rPr>
          <w:noProof/>
          <w:szCs w:val="24"/>
        </w:rPr>
      </w:pPr>
      <w:r>
        <w:rPr>
          <w:noProof/>
        </w:rPr>
        <w:t>Pēc Lielbritānijas un Ziemeļīrijas Apvienotās Karalistes (turpmāk “Apvienotā Karaliste”) izstāšanās no Eiropas Savienības vairākus Ziemeļjūras zivju krājumus vairs nevarēs uzskatīt par krājumiem, kas ir kopīgi tikai divām pusēm – Eiropas Savienībai un Norvēģijas Karalistei. Šie krājumi ir sastopami Savienības ūdeņos un ūdeņos, kas ir Apvienotās Karalistes un Norvēģijas Karalistes suverenitātē un jurisdikcijā.</w:t>
      </w:r>
    </w:p>
    <w:p>
      <w:pPr>
        <w:spacing w:before="0" w:after="0"/>
        <w:ind w:left="850"/>
        <w:rPr>
          <w:noProof/>
          <w:szCs w:val="24"/>
        </w:rPr>
      </w:pPr>
    </w:p>
    <w:p>
      <w:pPr>
        <w:spacing w:before="0" w:after="0"/>
        <w:ind w:left="850"/>
        <w:rPr>
          <w:noProof/>
          <w:szCs w:val="24"/>
        </w:rPr>
      </w:pPr>
      <w:r>
        <w:rPr>
          <w:noProof/>
        </w:rPr>
        <w:t>Saskaņā ar ANO Jūras tiesību konvencijas</w:t>
      </w:r>
      <w:r>
        <w:rPr>
          <w:rStyle w:val="FootnoteReference"/>
          <w:noProof/>
          <w:szCs w:val="24"/>
        </w:rPr>
        <w:footnoteReference w:id="1"/>
      </w:r>
      <w:r>
        <w:rPr>
          <w:noProof/>
        </w:rPr>
        <w:t xml:space="preserve"> 63. panta 1. punktu Eiropas Savienībai, Apvienotajai Karalistei un Norvēģijas Karalistei būtu jāvienojas par pasākumiem, kas vajadzīgi, lai koordinētu un nodrošinātu attiecīgo krājumu saglabāšanu un attīstību Ziemeļjūrā.</w:t>
      </w:r>
    </w:p>
    <w:p>
      <w:pPr>
        <w:spacing w:before="0" w:after="0"/>
        <w:ind w:left="850"/>
        <w:rPr>
          <w:noProof/>
          <w:szCs w:val="24"/>
        </w:rPr>
      </w:pPr>
    </w:p>
    <w:p>
      <w:pPr>
        <w:spacing w:before="0" w:after="0"/>
        <w:ind w:left="850"/>
        <w:rPr>
          <w:noProof/>
          <w:szCs w:val="24"/>
        </w:rPr>
      </w:pPr>
      <w:r>
        <w:rPr>
          <w:noProof/>
        </w:rPr>
        <w:t>Tālab Eiropas Savienība tiecas noslēgt zvejniecības nolīgumu (“nolīgums”) ar Apvienoto Karalisti un Norvēģijas Karalisti.</w:t>
      </w:r>
    </w:p>
    <w:p>
      <w:pPr>
        <w:pStyle w:val="ManualHeading1"/>
        <w:rPr>
          <w:noProof/>
          <w:szCs w:val="24"/>
        </w:rPr>
      </w:pPr>
      <w:r>
        <w:rPr>
          <w:noProof/>
        </w:rPr>
        <w:t>II.</w:t>
      </w:r>
      <w:r>
        <w:rPr>
          <w:noProof/>
        </w:rPr>
        <w:tab/>
        <w:t>ZVEJNIECĪBAS NOLĪGUMA SATURS</w:t>
      </w:r>
    </w:p>
    <w:p>
      <w:pPr>
        <w:pStyle w:val="NumPar1"/>
        <w:numPr>
          <w:ilvl w:val="0"/>
          <w:numId w:val="3"/>
        </w:numPr>
        <w:rPr>
          <w:noProof/>
          <w:szCs w:val="24"/>
        </w:rPr>
      </w:pPr>
      <w:r>
        <w:rPr>
          <w:noProof/>
        </w:rPr>
        <w:t>Nolīgumā būtu jānosaka kopīgo zivju krājumu pārvaldības satvars, kā arī nosacījumi par piekļuvi ūdeņiem un resursiem. Tam būtu jānodrošina tādu atbildīgu zvejniecību pastāvēšana, kas garantē jūras bioloģisko resursu ilgtermiņa saglabāšanu un ilgtspējīgu izmantošanu saskaņā ar attiecīgajiem starptautisko tiesību principiem.</w:t>
      </w:r>
    </w:p>
    <w:p>
      <w:pPr>
        <w:pStyle w:val="NumPar1"/>
        <w:rPr>
          <w:noProof/>
          <w:szCs w:val="24"/>
        </w:rPr>
      </w:pPr>
      <w:r>
        <w:rPr>
          <w:noProof/>
        </w:rPr>
        <w:t>Noteikumos par zvejniecību būtu jāparedz sadarbība to pasākumu izstrādē, kas vajadzīgi resursu ilgtspējīgai izmantošanai un saglabāšanai, arī izmetumu novēršanai. Šādiem pasākumiem vajadzētu būt nediskriminējošiem un izstrādātiem, vadoties pēc zinātnes atziņās balstītas pieejas, kas salāgota ar mērķi panākt maksimālo ilgtspējīgas ieguves apjomu no attiecīgajiem krājumiem. Nolīgumā būtu jāietver noteikumi par sadarbību kontrolē un izpildes panākšanā, datu vākšanā un zinātnisko ieteikumu izstrādē.</w:t>
      </w:r>
    </w:p>
    <w:p>
      <w:pPr>
        <w:pStyle w:val="NumPar1"/>
        <w:rPr>
          <w:noProof/>
          <w:szCs w:val="24"/>
        </w:rPr>
      </w:pPr>
      <w:r>
        <w:rPr>
          <w:noProof/>
        </w:rPr>
        <w:t>Nolīgumā būtu jānosaka kārtība, kā uzturēt Savienības zvejas darbības un nepieļaut nolīguma Pušu zvejas darbību ekonomisko dislokāciju.</w:t>
      </w:r>
    </w:p>
    <w:p>
      <w:pPr>
        <w:pStyle w:val="NumPar1"/>
        <w:rPr>
          <w:noProof/>
          <w:szCs w:val="24"/>
        </w:rPr>
      </w:pPr>
      <w:r>
        <w:rPr>
          <w:noProof/>
        </w:rPr>
        <w:t>Pamatojoties uz Savienības flotes tradicionālo darbību, kas paredzēta Nolīgumā par zvejniecību starp Eiropas Savienību un Norvēģijas Karalisti</w:t>
      </w:r>
      <w:r>
        <w:rPr>
          <w:rStyle w:val="FootnoteReference"/>
          <w:noProof/>
          <w:szCs w:val="24"/>
        </w:rPr>
        <w:footnoteReference w:id="2"/>
      </w:r>
      <w:r>
        <w:rPr>
          <w:noProof/>
        </w:rPr>
        <w:t>, nolīguma normās būtu jāsaglabā pašreizējie savstarpējās piekļuves nosacījumi un kvotu daļas, un tālab būtu:</w:t>
      </w:r>
    </w:p>
    <w:p>
      <w:pPr>
        <w:pStyle w:val="NumPar1"/>
        <w:numPr>
          <w:ilvl w:val="0"/>
          <w:numId w:val="2"/>
        </w:numPr>
        <w:rPr>
          <w:noProof/>
        </w:rPr>
      </w:pPr>
      <w:r>
        <w:rPr>
          <w:noProof/>
        </w:rPr>
        <w:t>jāsaglabā pastāvīga Savienības, Apvienotās Karalistes un Norvēģijas kuģu savstarpējā piekļuve Savienības, Apvienotās Karalistes un Norvēģijas Karalistes ūdeņiem;</w:t>
      </w:r>
    </w:p>
    <w:p>
      <w:pPr>
        <w:pStyle w:val="NumPar1"/>
        <w:numPr>
          <w:ilvl w:val="0"/>
          <w:numId w:val="2"/>
        </w:numPr>
        <w:rPr>
          <w:noProof/>
        </w:rPr>
      </w:pPr>
      <w:r>
        <w:rPr>
          <w:noProof/>
        </w:rPr>
        <w:t>jāsaglabā stabilas kvotu daļas, kuras var pielāgot tikai ar tieši skarto Pušu piekrišanu,</w:t>
      </w:r>
    </w:p>
    <w:p>
      <w:pPr>
        <w:pStyle w:val="NumPar1"/>
        <w:numPr>
          <w:ilvl w:val="0"/>
          <w:numId w:val="2"/>
        </w:numPr>
        <w:rPr>
          <w:noProof/>
        </w:rPr>
      </w:pPr>
      <w:r>
        <w:rPr>
          <w:noProof/>
        </w:rPr>
        <w:t>jāiekļauj kārtība, kādā veicama kvotu nodošana un apmaiņa un, pamatojoties uz ilgtermiņa pārvaldības stratēģijām, nosakāmas gada vai vairākgadu kopējās pieļaujamās nozvejas vai zvejas piepūles ierobežojumi;</w:t>
      </w:r>
    </w:p>
    <w:p>
      <w:pPr>
        <w:pStyle w:val="NumPar1"/>
        <w:numPr>
          <w:ilvl w:val="0"/>
          <w:numId w:val="2"/>
        </w:numPr>
        <w:rPr>
          <w:noProof/>
        </w:rPr>
      </w:pPr>
      <w:r>
        <w:rPr>
          <w:noProof/>
        </w:rPr>
        <w:t>jāizveido zvejas atļauju saņemšanas kārtība un noteikumi, kas nodrošina vienlīdzīgu attieksmi un atbilstību, ieskaitot kopīgas kontroles un inspekcijas darbības;</w:t>
      </w:r>
    </w:p>
    <w:p>
      <w:pPr>
        <w:pStyle w:val="NumPar1"/>
        <w:numPr>
          <w:ilvl w:val="0"/>
          <w:numId w:val="2"/>
        </w:numPr>
        <w:rPr>
          <w:noProof/>
        </w:rPr>
      </w:pPr>
      <w:r>
        <w:rPr>
          <w:noProof/>
        </w:rPr>
        <w:t>jāizveido piemērots institucionālais satvars, kādā organizējama sadarbība kopīgu zivju krājumu saglabāšanas un pārvaldības jomā.</w:t>
      </w:r>
    </w:p>
    <w:p>
      <w:pPr>
        <w:pStyle w:val="NumPar1"/>
        <w:rPr>
          <w:noProof/>
        </w:rPr>
      </w:pPr>
      <w:r>
        <w:rPr>
          <w:noProof/>
        </w:rPr>
        <w:t>Nolīgums būtu jānoslēdz laikus, lai uz tā pamata varētu noteikt zvejas iespējas pirmajam gadam pēc izstāšanās līgumā noteiktā pārejas perioda beigām.</w:t>
      </w:r>
    </w:p>
    <w:sectPr>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Apvienoto Nāciju Organizācijas Jūras tiesību konvencija (OV L 179, 23.6.1998., 3. lpp.).</w:t>
      </w:r>
    </w:p>
  </w:footnote>
  <w:footnote w:id="2">
    <w:p>
      <w:pPr>
        <w:pStyle w:val="FootnoteText"/>
      </w:pPr>
      <w:r>
        <w:rPr>
          <w:rStyle w:val="FootnoteReference"/>
        </w:rPr>
        <w:footnoteRef/>
      </w:r>
      <w:r>
        <w:tab/>
        <w:t>OV L 226, 29.8.1980., 47.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1EAA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D4E5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78FF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54C3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C679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36E0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62EE7A"/>
    <w:lvl w:ilvl="0">
      <w:start w:val="1"/>
      <w:numFmt w:val="decimal"/>
      <w:pStyle w:val="ListNumber"/>
      <w:lvlText w:val="%1."/>
      <w:lvlJc w:val="left"/>
      <w:pPr>
        <w:tabs>
          <w:tab w:val="num" w:pos="360"/>
        </w:tabs>
        <w:ind w:left="360" w:hanging="360"/>
      </w:pPr>
    </w:lvl>
  </w:abstractNum>
  <w:abstractNum w:abstractNumId="7">
    <w:nsid w:val="FFFFFF89"/>
    <w:multiLevelType w:val="singleLevel"/>
    <w:tmpl w:val="A34C4D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30 15:57: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283012C9-8BF2-4249-8CDD-7D147B886C97"/>
    <w:docVar w:name="LW_COVERPAGE_TYPE" w:val="1"/>
    <w:docVar w:name="LW_CROSSREFERENCE" w:val="&lt;UNUSED&gt;"/>
    <w:docVar w:name="LW_DocType" w:val="ANNEX"/>
    <w:docVar w:name="LW_EMISSION" w:val="7.10.2020"/>
    <w:docVar w:name="LW_EMISSION_ISODATE" w:val="2020-10-07"/>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ilnvarot Komisiju Eiropas Savien\u299?bas v\u257?rd\u257? s\u257?kt sarunas par to, lai nosl\u275?gtu Zvejniec\u299?bas nol\u299?gumu ar Lielbrit\u257?nijas un Zieme\u316?\u299?rijas Apvienoto Karalisti un Norv\u275?\u291?ijas Karalisti_x000d__x000d__x000d__x000b_"/>
    <w:docVar w:name="LW_OBJETACTEPRINCIPAL.CP" w:val="pilnvarot Komisiju Eiropas Savien\u299?bas v\u257?rd\u257? s\u257?kt sarunas par to, lai nosl\u275?gtu Zvejniec\u299?bas nol\u299?gumu ar Lielbrit\u257?nijas un Zieme\u316?\u299?rijas Apvienoto Karalisti un Norv\u275?\u291?ijas Karalisti_x000d__x000d__x000d__x000b_"/>
    <w:docVar w:name="LW_PART_NBR" w:val="1"/>
    <w:docVar w:name="LW_PART_NBR_TOTAL" w:val="1"/>
    <w:docVar w:name="LW_REF.INST.NEW" w:val="COM"/>
    <w:docVar w:name="LW_REF.INST.NEW_ADOPTED" w:val="final"/>
    <w:docVar w:name="LW_REF.INST.NEW_TEXT" w:val="(2020) 6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Ieteikums_x000b__x000b_PADOMES L\u274?MUMAM"/>
    <w:docVar w:name="LW_TYPEACTEPRINCIPAL.CP" w:val="Ieteikums_x000b__x000b_PADOMES L\u274?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388</Words>
  <Characters>2752</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ALELUIA Lucia Maria (MARE)</dc:creator>
  <cp:keywords/>
  <dc:description/>
  <cp:lastModifiedBy>WES PDFC Administrator</cp:lastModifiedBy>
  <cp:revision>9</cp:revision>
  <dcterms:created xsi:type="dcterms:W3CDTF">2020-09-24T10:51:00Z</dcterms:created>
  <dcterms:modified xsi:type="dcterms:W3CDTF">2020-09-30T13:57:00Z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