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544B227-DC52-4CA8-8D07-AFBB14794941" style="width:450pt;height:43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caps/>
          <w:noProof/>
          <w:szCs w:val="24"/>
          <w:u w:val="none"/>
        </w:rPr>
      </w:pPr>
      <w:bookmarkStart w:id="0" w:name="_GoBack"/>
      <w:bookmarkEnd w:id="0"/>
      <w:r>
        <w:rPr>
          <w:noProof/>
        </w:rPr>
        <w:lastRenderedPageBreak/>
        <w:t xml:space="preserve">PRÍLOHA </w:t>
      </w:r>
      <w:r>
        <w:rPr>
          <w:noProof/>
        </w:rPr>
        <w:br/>
        <w:t xml:space="preserve"> </w:t>
      </w:r>
      <w:r>
        <w:rPr>
          <w:noProof/>
        </w:rPr>
        <w:br/>
      </w:r>
      <w:r>
        <w:rPr>
          <w:caps/>
          <w:noProof/>
          <w:szCs w:val="24"/>
          <w:u w:val="none"/>
        </w:rPr>
        <w:t xml:space="preserve">Smernice na rokovania o rybárskej dohode so Spojeným kráľovstvom Veľkej Británie a Severného Írska a s Nórskym kráľovstvom 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I.</w:t>
      </w:r>
      <w:r>
        <w:rPr>
          <w:noProof/>
        </w:rPr>
        <w:tab/>
      </w:r>
      <w:r>
        <w:rPr>
          <w:caps/>
          <w:smallCaps w:val="0"/>
          <w:noProof/>
          <w:szCs w:val="24"/>
        </w:rPr>
        <w:t>Všeobecný kontext</w:t>
      </w:r>
      <w:r>
        <w:rPr>
          <w:noProof/>
        </w:rPr>
        <w:t xml:space="preserve"> A ÚČEL RYBÁRSKEJ DOHODY</w:t>
      </w:r>
    </w:p>
    <w:p>
      <w:pPr>
        <w:spacing w:before="0" w:after="0"/>
        <w:ind w:left="850"/>
        <w:rPr>
          <w:noProof/>
          <w:szCs w:val="24"/>
        </w:rPr>
      </w:pPr>
      <w:r>
        <w:rPr>
          <w:noProof/>
        </w:rPr>
        <w:t xml:space="preserve">Po vystúpení Spojeného kráľovstva Veľkej Británie a Severného Írska (ďalej len „Spojené kráľovstvo“) z Európskej únie mnohé populácie rýb v Severnom mori nemožno už viac považovať za populácie, ktoré bilaterálne spoločne využívajú len Európska únia a Nórske kráľovstvo. Tieto populácie sa vyskytujú vo vodách Únie a vo vodách, ktoré patria pod zvrchovanosť Spojeného kráľovstva a Nórskeho kráľovstva. </w:t>
      </w:r>
    </w:p>
    <w:p>
      <w:pPr>
        <w:spacing w:before="0" w:after="0"/>
        <w:ind w:left="850"/>
        <w:rPr>
          <w:noProof/>
          <w:szCs w:val="24"/>
        </w:rPr>
      </w:pPr>
    </w:p>
    <w:p>
      <w:pPr>
        <w:spacing w:before="0" w:after="0"/>
        <w:ind w:left="850"/>
        <w:rPr>
          <w:noProof/>
          <w:szCs w:val="24"/>
        </w:rPr>
      </w:pPr>
      <w:r>
        <w:rPr>
          <w:noProof/>
        </w:rPr>
        <w:t>V súlade s článkom 63 ods. 1 Dohovoru Organizácie Spojených národov o morskom práve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 xml:space="preserve"> Európska únia, Spojené kráľovstvo a Nórske kráľovstvo by sa mali dohodnúť na opatreniach, ktoré sú potrebné na koordináciu a zaručenie ochrany a vývoja dotknutých populácii rýb v Severnom mori. </w:t>
      </w:r>
    </w:p>
    <w:p>
      <w:pPr>
        <w:spacing w:before="0" w:after="0"/>
        <w:ind w:left="850"/>
        <w:rPr>
          <w:noProof/>
          <w:szCs w:val="24"/>
        </w:rPr>
      </w:pPr>
    </w:p>
    <w:p>
      <w:pPr>
        <w:spacing w:before="0" w:after="0"/>
        <w:ind w:left="850"/>
        <w:rPr>
          <w:noProof/>
          <w:szCs w:val="24"/>
        </w:rPr>
      </w:pPr>
      <w:r>
        <w:rPr>
          <w:noProof/>
        </w:rPr>
        <w:t>Európska únia sa na tento účel usiluje uzavrieť so Spojeným kráľovstvom a s Nórskym kráľovstvom rybársku dohodu (ďalej len „dohoda“).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II.</w:t>
      </w:r>
      <w:r>
        <w:rPr>
          <w:noProof/>
        </w:rPr>
        <w:tab/>
        <w:t>OBSAH RYBÁRSKEJ DOHODY</w:t>
      </w:r>
    </w:p>
    <w:p>
      <w:pPr>
        <w:pStyle w:val="NumPar1"/>
        <w:numPr>
          <w:ilvl w:val="0"/>
          <w:numId w:val="3"/>
        </w:numPr>
        <w:rPr>
          <w:noProof/>
          <w:szCs w:val="24"/>
        </w:rPr>
      </w:pPr>
      <w:r>
        <w:rPr>
          <w:noProof/>
        </w:rPr>
        <w:t xml:space="preserve">Dohoda by mala stanovovať rámec pre riadenie spoločne využívaných populácií rýb, ako aj podmienky prístupu do vôd a k zdrojom. Mala by zabezpečovať trvalé zodpovedné rybárstvo, ktoré zaručuje dlhodobú ochranu a udržateľné využívanie morských biologických zdrojov v súlade s príslušnými zásadami medzinárodného práva. </w:t>
      </w:r>
    </w:p>
    <w:p>
      <w:pPr>
        <w:pStyle w:val="NumPar1"/>
        <w:rPr>
          <w:noProof/>
          <w:szCs w:val="24"/>
        </w:rPr>
      </w:pPr>
      <w:r>
        <w:rPr>
          <w:noProof/>
        </w:rPr>
        <w:t xml:space="preserve">Súčasťou ustanovení o rybárstve by mala byť spolupráca pri vypracovávaní opatrení na udržateľné využívanie a ochranu zdrojov, ako aj zamedzenie odhadzovania úlovkov. Takéto opatrenia by mali byť nediskriminačné a mali by sa riadiť vedecky podloženým prístupom zameraným na cieľ sledujúci dosiahnutie maximálneho udržateľného výnosu v prípade dotknutých populácií. Dohoda by mala obsahovať ustanovenia o spolupráci v oblasti kontroly a presadzovania práva, zberu údajov a vedeckého odporúčania. </w:t>
      </w:r>
    </w:p>
    <w:p>
      <w:pPr>
        <w:pStyle w:val="NumPar1"/>
        <w:rPr>
          <w:noProof/>
          <w:szCs w:val="24"/>
        </w:rPr>
      </w:pPr>
      <w:r>
        <w:rPr>
          <w:noProof/>
        </w:rPr>
        <w:t xml:space="preserve">Dohoda by mala zahŕňať dojednania na dodržiavanie rybolovných činností Únie a zabránenie ekonomickému premiestňovaniu rybolovných činností strán dohody. </w:t>
      </w:r>
    </w:p>
    <w:p>
      <w:pPr>
        <w:pStyle w:val="NumPar1"/>
        <w:rPr>
          <w:noProof/>
          <w:szCs w:val="24"/>
        </w:rPr>
      </w:pPr>
      <w:r>
        <w:rPr>
          <w:noProof/>
        </w:rPr>
        <w:t>Ustanovenia dohody by mali dodržiavať existujúce podmienky recipročného prístupu a podiely kvót na základe tradičnej činnosti flotily Únie, ako sa uvádza v rámcovej dohode o rybárstve medzi Európskou úniou a Nórskym kráľovstvom</w:t>
      </w:r>
      <w:r>
        <w:rPr>
          <w:rStyle w:val="FootnoteReference"/>
          <w:noProof/>
          <w:szCs w:val="24"/>
        </w:rPr>
        <w:footnoteReference w:id="2"/>
      </w:r>
      <w:r>
        <w:rPr>
          <w:noProof/>
        </w:rPr>
        <w:t>, a preto:</w:t>
      </w:r>
    </w:p>
    <w:p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dodržiavať neustály recipročný prístup plavidiel Únie, Spojeného kráľovstva a Nórskeho kráľovstva do vôd Únie, Spojeného kráľovstva a Nórskeho kráľovstva;</w:t>
      </w:r>
    </w:p>
    <w:p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>dodržiavať stabilné podiely kvót, ktoré možno upraviť iba so súhlasom priamo dotknutých strán;</w:t>
      </w:r>
    </w:p>
    <w:p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zahŕňať podmienky upravujúce prevody a výmeny kvót a stanovovanie ročného alebo viacročného celkového povoleného výlovu alebo obmedzení rybolovného úsilia na základe dlhodobých stratégií riadenia;</w:t>
      </w:r>
    </w:p>
    <w:p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vymedziť podmienky získavania oprávnení na rybolov a pravidlá, ktorými sa zabezpečí rovnaké zaobchádzanie a dodržiavanie predpisov, vrátane spoločných kontrolných a inšpekčných činností;</w:t>
      </w:r>
    </w:p>
    <w:p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stanoviť vhodný inštitucionálny rámec pre spoluprácu pri ochrane a riadení spoločne obhospodarovaných populácií rýb.</w:t>
      </w:r>
    </w:p>
    <w:p>
      <w:pPr>
        <w:pStyle w:val="NumPar1"/>
        <w:rPr>
          <w:noProof/>
        </w:rPr>
      </w:pPr>
      <w:r>
        <w:rPr>
          <w:noProof/>
        </w:rPr>
        <w:t xml:space="preserve">Dohoda by sa mala uzavrieť včas, aby sa mohla použiť na určenie rybolovných možností na prvý rok po uplynutí prechodného obdobia podľa dohody o vystúpení. </w:t>
      </w:r>
    </w:p>
    <w:sectPr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Dohovor Organizácie Spojených národov o morskom práve, </w:t>
      </w:r>
      <w:r>
        <w:rPr>
          <w:rStyle w:val="Emphasis"/>
        </w:rPr>
        <w:t>Ú. v. ES L 179, 23.6.1998, s. 3.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Ú. v. ES L 226, 29.8.1980, s. 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01EAA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BD4E5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D78FF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C54C3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C679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36E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962E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4C4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30 15:58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544B227-DC52-4CA8-8D07-AFBB14794941"/>
    <w:docVar w:name="LW_COVERPAGE_TYPE" w:val="1"/>
    <w:docVar w:name="LW_CROSSREFERENCE" w:val="&lt;UNUSED&gt;"/>
    <w:docVar w:name="LW_DocType" w:val="ANNEX"/>
    <w:docVar w:name="LW_EMISSION" w:val="7. 10. 2020"/>
    <w:docVar w:name="LW_EMISSION_ISODATE" w:val="2020-10-07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Komisia poveruje za\u269?atím rokovaní v mene Európskej únie s cie\u318?om uzavrie\u357? rybársku dohodu so Spojeným krá\u318?ovstvom Ve\u318?kej Británie a Severného Írska a s Nórskym krá\u318?ovstvom _x000d__x000d__x000d__x000d__x000d__x000d__x000b_"/>
    <w:docVar w:name="LW_OBJETACTEPRINCIPAL.CP" w:val="ktorým sa Komisia poveruje za\u269?atím rokovaní v mene Európskej únie s cie\u318?om uzavrie\u357? rybársku dohodu so Spojeným krá\u318?ovstvom Ve\u318?kej Británie a Severného Írska a s Nórskym krá\u318?ovstvom 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6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odporú\u269?aniu na_x000b__x000b_ROZHODNUTIE RADY, "/>
    <w:docVar w:name="LW_TYPEACTEPRINCIPAL.CP" w:val="odporú\u269?aniu na_x000b__x000b_ROZHODNUTIE RADY,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EE46-21EC-43CD-AD0F-FB2F5231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436</Words>
  <Characters>2705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ALELUIA Lucia Maria (MARE)</dc:creator>
  <cp:keywords/>
  <dc:description/>
  <cp:lastModifiedBy>WES PDFC Administrator</cp:lastModifiedBy>
  <cp:revision>9</cp:revision>
  <dcterms:created xsi:type="dcterms:W3CDTF">2020-09-24T09:01:00Z</dcterms:created>
  <dcterms:modified xsi:type="dcterms:W3CDTF">2020-09-30T13:58:00Z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