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33AA979D-5B58-419A-AAB2-E45EAB4B4B96" style="width:450.6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 xml:space="preserve">Kommissionen föreslår att rådet fastställer den ståndpunkt som ska intas på unionens vägnar i den gemensamma rådgivande arbetsgrupp som inrättats genom protokollet om Irland/Nordirland till avtalet om Förenade konungariket Storbritannien och Nordirlands utträde ur Europeiska unionen och Europeiska atomenergigemenskapen (nedan kallat </w:t>
      </w:r>
      <w:r>
        <w:rPr>
          <w:i/>
          <w:iCs/>
          <w:noProof/>
        </w:rPr>
        <w:t>utträdesavtalet</w:t>
      </w:r>
      <w:r>
        <w:rPr>
          <w:noProof/>
        </w:rPr>
        <w:t>) vad gäller ett beslut av den gemensamma rådgivande arbetsgruppen om antagande av arbetsordning.</w:t>
      </w:r>
    </w:p>
    <w:p>
      <w:pPr>
        <w:pStyle w:val="ManualHeading1"/>
        <w:rPr>
          <w:noProof/>
        </w:rPr>
      </w:pPr>
      <w:r>
        <w:t>2.</w:t>
      </w:r>
      <w:r>
        <w:tab/>
      </w:r>
      <w:r>
        <w:rPr>
          <w:noProof/>
        </w:rPr>
        <w:t>Bakgrund till förslaget</w:t>
      </w:r>
    </w:p>
    <w:p>
      <w:pPr>
        <w:pStyle w:val="ManualHeading2"/>
        <w:rPr>
          <w:noProof/>
        </w:rPr>
      </w:pPr>
      <w:r>
        <w:t>2.1.</w:t>
      </w:r>
      <w:r>
        <w:tab/>
      </w:r>
      <w:r>
        <w:rPr>
          <w:noProof/>
        </w:rPr>
        <w:t>Avtalet om Förenade konungariket Storbritannien och Nordirlands utträde ur Europeiska unionen och Europeiska atomenergigemenskapen</w:t>
      </w:r>
    </w:p>
    <w:p>
      <w:pPr>
        <w:rPr>
          <w:rFonts w:eastAsia="Arial Unicode MS"/>
          <w:noProof/>
        </w:rPr>
      </w:pPr>
      <w:r>
        <w:rPr>
          <w:noProof/>
        </w:rPr>
        <w:t xml:space="preserve">I utträdesavtalet fastställs villkoren för Förenade konungariket Storbritannien och Nordirlands (nedan kallat </w:t>
      </w:r>
      <w:r>
        <w:rPr>
          <w:i/>
          <w:iCs/>
          <w:noProof/>
        </w:rPr>
        <w:t>Förenade kungariket</w:t>
      </w:r>
      <w:r>
        <w:rPr>
          <w:noProof/>
        </w:rPr>
        <w:t xml:space="preserve">) utträde, under ordnade former, ur Europeiska unionen (nedan kallad </w:t>
      </w:r>
      <w:r>
        <w:rPr>
          <w:i/>
          <w:iCs/>
          <w:noProof/>
        </w:rPr>
        <w:t>unionen</w:t>
      </w:r>
      <w:r>
        <w:rPr>
          <w:noProof/>
        </w:rPr>
        <w:t>) och Europeiska atomenergigemenskapen. Avtalet trädde i kraft den 1 februari 2020.</w:t>
      </w:r>
    </w:p>
    <w:p>
      <w:pPr>
        <w:pStyle w:val="ManualHeading2"/>
        <w:rPr>
          <w:noProof/>
        </w:rPr>
      </w:pPr>
      <w:r>
        <w:t>2.2.</w:t>
      </w:r>
      <w:r>
        <w:tab/>
      </w:r>
      <w:r>
        <w:rPr>
          <w:noProof/>
        </w:rPr>
        <w:t xml:space="preserve">Den gemensamma rådgivande arbetsgruppen </w:t>
      </w:r>
    </w:p>
    <w:p>
      <w:pPr>
        <w:rPr>
          <w:noProof/>
        </w:rPr>
      </w:pPr>
      <w:r>
        <w:rPr>
          <w:noProof/>
        </w:rPr>
        <w:t xml:space="preserve">Den gemensamma rådgivande arbetsgruppen (nedan kallad </w:t>
      </w:r>
      <w:r>
        <w:rPr>
          <w:i/>
          <w:iCs/>
          <w:noProof/>
        </w:rPr>
        <w:t>arbetsgruppen</w:t>
      </w:r>
      <w:r>
        <w:rPr>
          <w:noProof/>
        </w:rPr>
        <w:t xml:space="preserve">) inrättades genom artikel 15.1 i protokollet om Irland/Nordirland till utträdesavtalet (nedan kallat </w:t>
      </w:r>
      <w:r>
        <w:rPr>
          <w:i/>
          <w:iCs/>
          <w:noProof/>
        </w:rPr>
        <w:t>protokollet</w:t>
      </w:r>
      <w:r>
        <w:rPr>
          <w:noProof/>
        </w:rPr>
        <w:t>). Den är avsedd att fungera som forum för informationsutbyte och samråd mellan parterna vad gäller genomförandet av protokollet.</w:t>
      </w:r>
    </w:p>
    <w:p>
      <w:pPr>
        <w:rPr>
          <w:noProof/>
        </w:rPr>
      </w:pPr>
      <w:r>
        <w:rPr>
          <w:noProof/>
        </w:rPr>
        <w:t>Arbetsgruppen är sammansatt av företrädare för unionen och Förenade kungariket och utför sina uppgifter under överinseende av den specialiserade kommittén för frågor rörande genomförandet av protokollet, som inrättas genom artikel 165 i utträdesavtalet och som arbetsgruppen rapporterar till.</w:t>
      </w:r>
    </w:p>
    <w:p>
      <w:pPr>
        <w:rPr>
          <w:noProof/>
        </w:rPr>
      </w:pPr>
      <w:r>
        <w:rPr>
          <w:noProof/>
        </w:rPr>
        <w:t>Arbetsgruppen har inte befogenhet att fatta bindande beslut utöver befogenheten att anta sin arbetsordning.</w:t>
      </w:r>
    </w:p>
    <w:p>
      <w:pPr>
        <w:rPr>
          <w:noProof/>
        </w:rPr>
      </w:pPr>
      <w:r>
        <w:rPr>
          <w:noProof/>
        </w:rPr>
        <w:t>I arbetsgruppen</w:t>
      </w:r>
    </w:p>
    <w:tbl>
      <w:tblPr>
        <w:tblW w:w="5000" w:type="pct"/>
        <w:tblCellMar>
          <w:left w:w="0" w:type="dxa"/>
          <w:right w:w="0" w:type="dxa"/>
        </w:tblCellMar>
        <w:tblLook w:val="04A0" w:firstRow="1" w:lastRow="0" w:firstColumn="1" w:lastColumn="0" w:noHBand="0" w:noVBand="1"/>
      </w:tblPr>
      <w:tblGrid>
        <w:gridCol w:w="6"/>
        <w:gridCol w:w="9067"/>
      </w:tblGrid>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utbyter unionen och Förenade kungariket i god tid information om planerade, pågående och slutliga relevanta genomförandeåtgärder avseende de unionsakter som förtecknas i bilagorna till protokollet,</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informerar unionen Förenade kungariket om planerade unionsakter som omfattas av detta protokolls tillämpningsområde, inbegripet unionsakter som ändrar eller ersätter de unionsakter som förtecknas i bilagorna till protokollet,</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lämnar unionen all information till Förenade kungariket som unionen anser relevant för att Förenade kungariket fullt ut ska kunna uppfylla sina skyldigheter enligt protokollet, och</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lämnar Förenade kungariket all information till unionen som medlemsstaterna är skyldiga att lämna till varandra eller till unionens institutioner, organ eller byråer enligt de unionsakter som förtecknas i bilagorna till protokollet.</w:t>
            </w:r>
          </w:p>
        </w:tc>
      </w:tr>
    </w:tbl>
    <w:p>
      <w:pPr>
        <w:rPr>
          <w:noProof/>
        </w:rPr>
      </w:pPr>
      <w:r>
        <w:rPr>
          <w:noProof/>
        </w:rPr>
        <w:lastRenderedPageBreak/>
        <w:t>Ordförandeskapet i arbetsgruppen innehas gemensamt av unionen och Förenade kungariket. Arbetsgruppen sammanträder minst en gång i månaden från och med övergångsperiodens utgång, såvida inte unionen och Förenade kungariket bestämmer något annat genom ömsesidig överenskommelse. Om nödvändigt kan unionen och Förenade kungariket utbyta den information som avses i punkterna c och d ovan mellan sammanträdena.</w:t>
      </w:r>
    </w:p>
    <w:p>
      <w:pPr>
        <w:rPr>
          <w:noProof/>
        </w:rPr>
      </w:pPr>
      <w:r>
        <w:rPr>
          <w:noProof/>
        </w:rPr>
        <w:t>Unionen säkerställer att alla synpunkter som framförs av Förenade kungariket i arbetsgruppen och all information som lämnas av Förenade kungariket i arbetsgruppen, inbegripet tekniska och vetenskapliga uppgifter, utan onödigt dröjsmål vidarebefordras till relevanta unionsinstitutioner, unionsorgan och unionsbyråer.</w:t>
      </w:r>
    </w:p>
    <w:p>
      <w:pPr>
        <w:pStyle w:val="ManualHeading2"/>
        <w:rPr>
          <w:noProof/>
        </w:rPr>
      </w:pPr>
      <w:r>
        <w:t>2.3.</w:t>
      </w:r>
      <w:r>
        <w:tab/>
      </w:r>
      <w:r>
        <w:rPr>
          <w:noProof/>
        </w:rPr>
        <w:t>Arbetsgruppens planerade beslut</w:t>
      </w:r>
    </w:p>
    <w:p>
      <w:pPr>
        <w:rPr>
          <w:rFonts w:eastAsia="Arial Unicode MS"/>
          <w:noProof/>
        </w:rPr>
      </w:pPr>
      <w:r>
        <w:rPr>
          <w:noProof/>
        </w:rPr>
        <w:t>Enligt artikel 15.6 i protokollet ska arbetsgruppen anta sin arbetsordning genom ömsesidig överenskommelse.</w:t>
      </w:r>
    </w:p>
    <w:p>
      <w:pPr>
        <w:rPr>
          <w:rFonts w:eastAsia="Arial Unicode MS"/>
          <w:noProof/>
        </w:rPr>
      </w:pPr>
      <w:r>
        <w:rPr>
          <w:noProof/>
        </w:rPr>
        <w:t xml:space="preserve">Syftet med det planerade beslut avseende vilket unionens ståndpunkt bör fastställas är att arbetsgruppen antar sin egen arbetsordning. </w:t>
      </w:r>
    </w:p>
    <w:p>
      <w:pPr>
        <w:pStyle w:val="ManualHeading1"/>
        <w:rPr>
          <w:rFonts w:eastAsia="Arial Unicode MS"/>
          <w:noProof/>
        </w:rPr>
      </w:pPr>
      <w:r>
        <w:t>3.</w:t>
      </w:r>
      <w:r>
        <w:tab/>
      </w:r>
      <w:r>
        <w:rPr>
          <w:noProof/>
        </w:rPr>
        <w:t>Den ståndpunkt som ska intas på unionens vägnar</w:t>
      </w:r>
    </w:p>
    <w:p>
      <w:pPr>
        <w:rPr>
          <w:rFonts w:eastAsia="Arial Unicode MS"/>
          <w:noProof/>
        </w:rPr>
      </w:pPr>
      <w:r>
        <w:rPr>
          <w:noProof/>
        </w:rPr>
        <w:t xml:space="preserve">För att arbetsgruppen ska fungera väl krävs en arbetsordning som bland annat omfattar utnämning av ordförande, sekretariatets sammansättning, informationsutbyte avseende delegationernas sammansättning, sammanträdesplats, hantering av handlingar och korrespondens, upprättande av dagordning och protokoll, konfidentialitet, sammanträdenas arbetsspråk samt de kostnader som delegationerna ska stå för. </w:t>
      </w:r>
    </w:p>
    <w:p>
      <w:pPr>
        <w:rPr>
          <w:rFonts w:eastAsia="Arial Unicode MS"/>
          <w:noProof/>
        </w:rPr>
      </w:pPr>
      <w:r>
        <w:rPr>
          <w:noProof/>
        </w:rPr>
        <w:t>Med tanke på arbetsgruppens syfte och sammansättning och dess förbindelser med den specialiserade kommittén i frågor som rör genomförandet av protokollet, bör denna arbetsordning i så stor utsträckning som möjligt likna den arbetsordning som i bilaga VIII till utträdesavtalet fastställs för de specialiserade kommittéer som inrättas genom artikel 165 i utträdesavtalet.</w:t>
      </w:r>
    </w:p>
    <w:p>
      <w:pPr>
        <w:rPr>
          <w:noProof/>
        </w:rPr>
      </w:pPr>
      <w:r>
        <w:rPr>
          <w:noProof/>
        </w:rPr>
        <w:t>Unionens ståndpunkt bör därför vara att stödja arbetsgruppens antagande av ett beslut enligt artikel 15.6 i protokollet om att anta en sådan arbetsordning som styr dess arbete, i enlighet med det beslutsutkast som bifogas detta förslag.</w:t>
      </w:r>
    </w:p>
    <w:p>
      <w:pPr>
        <w:pStyle w:val="ManualHeading1"/>
        <w:rPr>
          <w:noProof/>
        </w:rPr>
      </w:pPr>
      <w:r>
        <w:t>4.</w:t>
      </w:r>
      <w:r>
        <w:tab/>
      </w:r>
      <w:r>
        <w:rPr>
          <w:noProof/>
        </w:rPr>
        <w:t>Rättslig grund</w:t>
      </w:r>
    </w:p>
    <w:p>
      <w:pPr>
        <w:rPr>
          <w:noProof/>
        </w:rPr>
      </w:pPr>
      <w:r>
        <w:rPr>
          <w:noProof/>
        </w:rPr>
        <w:t xml:space="preserve">I artikel 218.9 i fördraget om Europeiska unionens funktionssätt (nedan kallat </w:t>
      </w:r>
      <w:r>
        <w:rPr>
          <w:i/>
          <w:iCs/>
          <w:noProof/>
        </w:rPr>
        <w:t>EUF-fördraget</w:t>
      </w:r>
      <w:r>
        <w:rPr>
          <w:noProof/>
        </w:rPr>
        <w:t>) föreskrivs att rådets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 xml:space="preserve">Det beslut som ska antas av arbetsgruppen utgör en akt med rättslig verkan. </w:t>
      </w:r>
    </w:p>
    <w:p>
      <w:pPr>
        <w:rPr>
          <w:noProof/>
        </w:rPr>
      </w:pPr>
      <w:r>
        <w:rPr>
          <w:noProof/>
        </w:rPr>
        <w:t xml:space="preserve">Den planerade akten varken kompletterar eller ändrar utträdesavtalets institutionella ram. </w:t>
      </w:r>
    </w:p>
    <w:p>
      <w:pPr>
        <w:pStyle w:val="Normal2"/>
        <w:spacing w:before="0" w:beforeAutospacing="0" w:after="0" w:afterAutospacing="0"/>
        <w:jc w:val="both"/>
        <w:rPr>
          <w:noProof/>
        </w:rPr>
      </w:pPr>
      <w:r>
        <w:rPr>
          <w:noProof/>
        </w:rPr>
        <w:t>Den förfarandemässiga rättsliga grunden för det föreslagna beslutet är därför artikel 218.9 i EUF-fördraget.</w:t>
      </w:r>
    </w:p>
    <w:p>
      <w:pPr>
        <w:pStyle w:val="Normal2"/>
        <w:spacing w:before="0" w:beforeAutospacing="0" w:after="0" w:afterAutospacing="0"/>
        <w:jc w:val="both"/>
        <w:rPr>
          <w:rFonts w:ascii="&amp;quot" w:hAnsi="&amp;quot"/>
          <w:noProof/>
          <w:color w:val="444444"/>
        </w:rPr>
      </w:pPr>
    </w:p>
    <w:p>
      <w:pPr>
        <w:rPr>
          <w:noProof/>
        </w:rPr>
      </w:pPr>
      <w:r>
        <w:rPr>
          <w:noProof/>
        </w:rPr>
        <w:t xml:space="preserve">Det enda syftet med den planerade akten är att fastställa unionens ståndpunkt vad gäller arbetsordningen för ett organ som inrättas inom ramen för utträdesavtalet och som i enlighet med detta avtal ska anta sin egen arbetsordning genom ömsesidig överenskommelse. Avtalet ingicks på grundval av artikel 50.2 i fördraget om Europeiska unionen.  </w:t>
      </w:r>
    </w:p>
    <w:p>
      <w:pPr>
        <w:rPr>
          <w:noProof/>
        </w:rPr>
      </w:pPr>
      <w:r>
        <w:rPr>
          <w:noProof/>
        </w:rPr>
        <w:lastRenderedPageBreak/>
        <w:t xml:space="preserve">Den rättsliga grunden för det föreslagna beslutet bör därför vara artikel 50.2 jämförd med artikel 218.9 i EUF-fördraget. </w:t>
      </w:r>
    </w:p>
    <w:p>
      <w:pPr>
        <w:pStyle w:val="ManualHeading1"/>
        <w:rPr>
          <w:noProof/>
        </w:rPr>
      </w:pPr>
      <w:r>
        <w:t>5.</w:t>
      </w:r>
      <w:r>
        <w:tab/>
      </w:r>
      <w:r>
        <w:rPr>
          <w:noProof/>
        </w:rPr>
        <w:t>Offentliggörande av den planerade akten</w:t>
      </w:r>
    </w:p>
    <w:p>
      <w:pPr>
        <w:rPr>
          <w:noProof/>
        </w:rPr>
      </w:pPr>
      <w:r>
        <w:rPr>
          <w:noProof/>
        </w:rPr>
        <w:t xml:space="preserve">Eftersom syftet med arbetsgruppens beslut är att den ska anta sin egen arbetsordning, som liknar de arbetsordningar för gemensamma kommittén och de specialiserade kommittéerna som föreskrivs i utträdesavtalet, är det lämpligt att offentliggöra arbetsgruppens beslut, däribland arbetsordningen, i </w:t>
      </w:r>
      <w:r>
        <w:rPr>
          <w:i/>
          <w:iCs/>
          <w:noProof/>
        </w:rPr>
        <w:t>Europeiska unionens officiella tidning</w:t>
      </w:r>
      <w:r>
        <w:rPr>
          <w:noProof/>
        </w:rPr>
        <w:t xml:space="preserve"> efter att det antagits.</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den gemensamma rådgivande arbetsgrupp som inrättats genom avtalet om Förenade konungariket Storbritannien och Nordirlands utträde ur Europeiska unionen och Europeiska atomenergigemenskapen vad gäller antagande av dess arbetsordning</w:t>
      </w:r>
    </w:p>
    <w:p>
      <w:pPr>
        <w:pStyle w:val="Institutionquiagit"/>
        <w:rPr>
          <w:b/>
          <w:noProof/>
        </w:rPr>
      </w:pPr>
      <w:r>
        <w:rPr>
          <w:b/>
          <w:noProof/>
        </w:rPr>
        <w:t>EUROPEISKA UNIONENS RÅD HAR ANTAGIT DETTA BESLUT</w:t>
      </w:r>
    </w:p>
    <w:p>
      <w:pPr>
        <w:rPr>
          <w:noProof/>
        </w:rPr>
      </w:pPr>
      <w:r>
        <w:rPr>
          <w:noProof/>
          <w:color w:val="444444"/>
        </w:rPr>
        <w:t>med beaktande av fördraget om Europeiska unionen, särskilt artikel 50.2, </w:t>
      </w:r>
    </w:p>
    <w:p>
      <w:pPr>
        <w:rPr>
          <w:noProof/>
        </w:rPr>
      </w:pPr>
      <w:r>
        <w:rPr>
          <w:noProof/>
        </w:rPr>
        <w:t>med beaktande av fördraget om Europeiska unionens funktionssätt, särskilt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Avtalet om Förenade konungariket Storbritannien och Nordirlands utträde ur Europeiska unionen och Europeiska atomenergigemenskapen (nedan kallat </w:t>
      </w:r>
      <w:r>
        <w:rPr>
          <w:i/>
          <w:iCs/>
          <w:noProof/>
        </w:rPr>
        <w:t>utträdesavtalet</w:t>
      </w:r>
      <w:r>
        <w:rPr>
          <w:noProof/>
        </w:rPr>
        <w:t>) ingicks genom rådets beslut (EU) 2020/135</w:t>
      </w:r>
      <w:r>
        <w:rPr>
          <w:rStyle w:val="FootnoteReference"/>
          <w:noProof/>
        </w:rPr>
        <w:footnoteReference w:id="1"/>
      </w:r>
      <w:r>
        <w:rPr>
          <w:noProof/>
        </w:rPr>
        <w:t xml:space="preserve"> och trädde i kraft den 1 februari 2020.</w:t>
      </w:r>
    </w:p>
    <w:p>
      <w:pPr>
        <w:pStyle w:val="ManualConsidrant"/>
        <w:rPr>
          <w:noProof/>
        </w:rPr>
      </w:pPr>
      <w:r>
        <w:t>(2)</w:t>
      </w:r>
      <w:r>
        <w:tab/>
      </w:r>
      <w:r>
        <w:rPr>
          <w:noProof/>
        </w:rPr>
        <w:t xml:space="preserve">Den gemensamma rådgivande arbetsgruppen (nedan kallad </w:t>
      </w:r>
      <w:r>
        <w:rPr>
          <w:i/>
          <w:iCs/>
          <w:noProof/>
        </w:rPr>
        <w:t>arbetsgruppen</w:t>
      </w:r>
      <w:r>
        <w:rPr>
          <w:noProof/>
        </w:rPr>
        <w:t xml:space="preserve">) inrättades genom artikel 15.1 i protokollet om Irland/Nordirland till utträdesavtalet (nedan kallat </w:t>
      </w:r>
      <w:r>
        <w:rPr>
          <w:i/>
          <w:iCs/>
          <w:noProof/>
        </w:rPr>
        <w:t>protokollet</w:t>
      </w:r>
      <w:r>
        <w:rPr>
          <w:noProof/>
        </w:rPr>
        <w:t>) och dess syfte är fungera som ett forum för informationsutbyte och samråd mellan parterna vad gäller genomförandet av protokollet.</w:t>
      </w:r>
    </w:p>
    <w:p>
      <w:pPr>
        <w:pStyle w:val="ManualConsidrant"/>
        <w:rPr>
          <w:noProof/>
        </w:rPr>
      </w:pPr>
      <w:r>
        <w:t>(3)</w:t>
      </w:r>
      <w:r>
        <w:tab/>
      </w:r>
      <w:r>
        <w:rPr>
          <w:noProof/>
        </w:rPr>
        <w:t xml:space="preserve">Enligt artikel 15.2 i protokollet ska arbetsgruppen vara sammansatt av företrädare för unionen och Förenade kungariket och ska utföra sina uppgifter under överinseende av den specialiserade kommittén för frågor rörande genomförandet av protokollet, som inrättas genom artikel 165.1 c i utträdesavtalet och som arbetsgruppen ska rapportera till. </w:t>
      </w:r>
    </w:p>
    <w:p>
      <w:pPr>
        <w:pStyle w:val="ManualConsidrant"/>
        <w:rPr>
          <w:noProof/>
        </w:rPr>
      </w:pPr>
      <w:r>
        <w:t>(4)</w:t>
      </w:r>
      <w:r>
        <w:tab/>
      </w:r>
      <w:r>
        <w:rPr>
          <w:noProof/>
        </w:rPr>
        <w:t>Enligt artikel 15.6 i protokollet ska arbetsgruppen anta sin arbetsordning genom ömsesidig överenskommelse.</w:t>
      </w:r>
    </w:p>
    <w:p>
      <w:pPr>
        <w:pStyle w:val="ManualConsidrant"/>
        <w:rPr>
          <w:noProof/>
        </w:rPr>
      </w:pPr>
      <w:r>
        <w:t>(5)</w:t>
      </w:r>
      <w:r>
        <w:tab/>
      </w:r>
      <w:r>
        <w:rPr>
          <w:noProof/>
        </w:rPr>
        <w:t>Med tanke på arbetsgruppens syfte och sammansättning och dess förbindelse med den specialiserade kommittén för frågor rörande genomförandet av protokollet, bör arbetsgruppens arbetsordning likna den arbetsordning som i bilaga VIII till utträdesavtalet fastställs för de specialiserade kommittéer som inrättas genom artikel 165.1 i utträdesavtalet.</w:t>
      </w:r>
    </w:p>
    <w:p>
      <w:pPr>
        <w:pStyle w:val="ManualConsidrant"/>
        <w:rPr>
          <w:noProof/>
        </w:rPr>
      </w:pPr>
      <w:r>
        <w:t>(6)</w:t>
      </w:r>
      <w:r>
        <w:tab/>
      </w:r>
      <w:r>
        <w:rPr>
          <w:noProof/>
        </w:rPr>
        <w:t>Det är därför lämpligt att fastställa den ståndpunkt som ska intas på unionens vägnar i arbetsgruppen.</w:t>
      </w:r>
    </w:p>
    <w:p>
      <w:pPr>
        <w:pStyle w:val="ManualConsidrant"/>
        <w:rPr>
          <w:noProof/>
        </w:rPr>
      </w:pPr>
      <w:r>
        <w:t>(7)</w:t>
      </w:r>
      <w:r>
        <w:tab/>
      </w:r>
      <w:r>
        <w:rPr>
          <w:noProof/>
        </w:rPr>
        <w:t>För att de åtgärder som fastställs i detta beslut ska kunna genomföras så snart som möjligt bör detta beslut träda i kraft den dag det antas.</w:t>
      </w:r>
    </w:p>
    <w:p>
      <w:pPr>
        <w:pStyle w:val="Formuledadoption"/>
        <w:rPr>
          <w:noProof/>
        </w:rPr>
      </w:pPr>
      <w:r>
        <w:rPr>
          <w:noProof/>
        </w:rPr>
        <w:lastRenderedPageBreak/>
        <w:t>HÄRIGENOM FÖRESKRIVS FÖLJANDE.</w:t>
      </w:r>
    </w:p>
    <w:p>
      <w:pPr>
        <w:pStyle w:val="Titrearticle"/>
        <w:rPr>
          <w:noProof/>
        </w:rPr>
      </w:pPr>
      <w:r>
        <w:rPr>
          <w:noProof/>
        </w:rPr>
        <w:t>Artikel 1</w:t>
      </w:r>
    </w:p>
    <w:p>
      <w:pPr>
        <w:rPr>
          <w:i/>
          <w:noProof/>
        </w:rPr>
      </w:pPr>
      <w:r>
        <w:rPr>
          <w:noProof/>
        </w:rPr>
        <w:t>Den ståndpunkt som ska intas på unionens vägnar i den arbetsgrupp som inrättats genom artikel 15.1 i protokollet, vad gäller ett beslut som ska fattas i enlighet med artikel 15.6 i protokollet, ska grunda sig på det utkast till beslut av arbetsgruppen som bifogas detta beslut.</w:t>
      </w:r>
    </w:p>
    <w:p>
      <w:pPr>
        <w:pStyle w:val="Titrearticle"/>
        <w:rPr>
          <w:noProof/>
        </w:rPr>
      </w:pPr>
      <w:r>
        <w:rPr>
          <w:noProof/>
        </w:rPr>
        <w:t>Artikel 2</w:t>
      </w:r>
    </w:p>
    <w:p>
      <w:pPr>
        <w:rPr>
          <w:noProof/>
        </w:rPr>
      </w:pPr>
      <w:r>
        <w:rPr>
          <w:noProof/>
        </w:rPr>
        <w:t xml:space="preserve">Arbetsgruppens beslut ska offentliggöras i </w:t>
      </w:r>
      <w:r>
        <w:rPr>
          <w:i/>
          <w:iCs/>
          <w:noProof/>
        </w:rPr>
        <w:t>Europeiska unionens officiella tidning</w:t>
      </w:r>
      <w:r>
        <w:rPr>
          <w:noProof/>
        </w:rPr>
        <w:t>.</w:t>
      </w:r>
      <w:r>
        <w:rPr>
          <w:noProof/>
          <w:sz w:val="23"/>
          <w:szCs w:val="23"/>
        </w:rPr>
        <w:t xml:space="preserve"> </w:t>
      </w:r>
    </w:p>
    <w:p>
      <w:pPr>
        <w:pStyle w:val="Titrearticle"/>
        <w:rPr>
          <w:noProof/>
        </w:rPr>
      </w:pPr>
      <w:r>
        <w:rPr>
          <w:noProof/>
        </w:rPr>
        <w:t>Artikel 3</w:t>
      </w:r>
    </w:p>
    <w:p>
      <w:pPr>
        <w:rPr>
          <w:noProof/>
        </w:rPr>
      </w:pPr>
      <w:r>
        <w:rPr>
          <w:noProof/>
        </w:rPr>
        <w:t>Detta beslut träder i kraft samma dag som det antas.</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p>
      <w:pPr>
        <w:pStyle w:val="Fichefinanciretitre"/>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Annexetitrefichefinancire"/>
        <w:rPr>
          <w:noProof/>
        </w:rPr>
      </w:pPr>
      <w:r>
        <w:rPr>
          <w:noProof/>
        </w:rPr>
        <w:lastRenderedPageBreak/>
        <w:t xml:space="preserve">BILAGA </w:t>
      </w:r>
    </w:p>
    <w:p>
      <w:pPr>
        <w:spacing w:after="0"/>
        <w:jc w:val="center"/>
        <w:rPr>
          <w:rFonts w:eastAsia="Times New Roman"/>
          <w:b/>
          <w:noProof/>
          <w:color w:val="000000"/>
          <w:szCs w:val="24"/>
        </w:rPr>
      </w:pPr>
      <w:r>
        <w:rPr>
          <w:b/>
          <w:noProof/>
          <w:color w:val="000000"/>
          <w:szCs w:val="24"/>
        </w:rPr>
        <w:t>Beslut nr .../2020 av den gemensamma rådgivande arbetsgrupp som inrättats genom avtalet om Förenade konungariket Storbritannien och Nordirlands utträde ur Europeiska unionen och Europeiska atomenergigemenskapen</w:t>
      </w:r>
    </w:p>
    <w:p>
      <w:pPr>
        <w:spacing w:before="240"/>
        <w:jc w:val="center"/>
        <w:rPr>
          <w:rFonts w:eastAsia="Times New Roman"/>
          <w:b/>
          <w:bCs/>
          <w:noProof/>
          <w:color w:val="000000"/>
          <w:szCs w:val="24"/>
        </w:rPr>
      </w:pPr>
      <w:r>
        <w:rPr>
          <w:b/>
          <w:bCs/>
          <w:noProof/>
          <w:color w:val="000000"/>
          <w:szCs w:val="24"/>
        </w:rPr>
        <w:t>av den...</w:t>
      </w:r>
    </w:p>
    <w:p>
      <w:pPr>
        <w:spacing w:before="240"/>
        <w:jc w:val="center"/>
        <w:rPr>
          <w:rFonts w:ascii="&amp;quot" w:eastAsia="Times New Roman" w:hAnsi="&amp;quot"/>
          <w:b/>
          <w:bCs/>
          <w:noProof/>
          <w:color w:val="000000"/>
          <w:szCs w:val="24"/>
        </w:rPr>
      </w:pPr>
      <w:r>
        <w:rPr>
          <w:b/>
          <w:noProof/>
        </w:rPr>
        <w:t>om antagande av en arbetsordning</w:t>
      </w:r>
      <w:r>
        <w:rPr>
          <w:rFonts w:ascii="&amp;quot" w:hAnsi="&amp;quot"/>
          <w:b/>
          <w:bCs/>
          <w:noProof/>
          <w:color w:val="000000"/>
          <w:szCs w:val="24"/>
        </w:rPr>
        <w:t xml:space="preserve"> </w:t>
      </w:r>
    </w:p>
    <w:p>
      <w:pPr>
        <w:spacing w:after="0"/>
        <w:rPr>
          <w:rFonts w:eastAsia="Times New Roman"/>
          <w:noProof/>
          <w:color w:val="000000"/>
          <w:szCs w:val="24"/>
        </w:rPr>
      </w:pPr>
      <w:r>
        <w:rPr>
          <w:noProof/>
          <w:color w:val="000000"/>
          <w:szCs w:val="24"/>
        </w:rPr>
        <w:t>DEN GEMENSAMMA RÅDGIVANDE ARBETSGRUPPEN HAR ANTAGIT DETTA BESLUT</w:t>
      </w:r>
    </w:p>
    <w:p>
      <w:pPr>
        <w:spacing w:after="0"/>
        <w:rPr>
          <w:rFonts w:eastAsia="Times New Roman"/>
          <w:noProof/>
          <w:color w:val="000000"/>
          <w:szCs w:val="24"/>
        </w:rPr>
      </w:pPr>
      <w:r>
        <w:rPr>
          <w:noProof/>
          <w:color w:val="000000"/>
          <w:szCs w:val="24"/>
        </w:rPr>
        <w:t>med beaktande av avtalet om Förenade konungariket Storbritannien och Nordirlands utträde ur Europeiska unionen och Europeiska atomenergigemenskapen</w:t>
      </w:r>
      <w:r>
        <w:rPr>
          <w:rStyle w:val="FootnoteReference"/>
          <w:rFonts w:eastAsia="Times New Roman"/>
          <w:noProof/>
          <w:color w:val="000000"/>
          <w:szCs w:val="24"/>
        </w:rPr>
        <w:footnoteReference w:id="2"/>
      </w:r>
      <w:r>
        <w:rPr>
          <w:noProof/>
          <w:color w:val="000000"/>
          <w:szCs w:val="24"/>
        </w:rPr>
        <w:t xml:space="preserve"> (utträdesavtalet), särskilt artikel 15.6 i protokollet om Irland/Nordirland till utträdesavtalet (nedan kallat </w:t>
      </w:r>
      <w:r>
        <w:rPr>
          <w:i/>
          <w:iCs/>
          <w:noProof/>
          <w:color w:val="000000"/>
          <w:szCs w:val="24"/>
        </w:rPr>
        <w:t>protokollet</w:t>
      </w:r>
      <w:r>
        <w:rPr>
          <w:noProof/>
          <w:color w:val="000000"/>
          <w:szCs w:val="24"/>
        </w:rPr>
        <w:t>), och</w:t>
      </w:r>
    </w:p>
    <w:p>
      <w:pPr>
        <w:spacing w:after="0"/>
        <w:rPr>
          <w:rFonts w:eastAsia="Times New Roman"/>
          <w:noProof/>
          <w:color w:val="000000"/>
          <w:szCs w:val="24"/>
        </w:rPr>
      </w:pPr>
      <w:r>
        <w:rPr>
          <w:noProof/>
          <w:color w:val="000000"/>
          <w:szCs w:val="24"/>
        </w:rPr>
        <w:t>av följande skäl:</w:t>
      </w:r>
    </w:p>
    <w:p>
      <w:pPr>
        <w:pStyle w:val="Point0"/>
        <w:rPr>
          <w:noProof/>
        </w:rPr>
      </w:pPr>
      <w:r>
        <w:t>(1)</w:t>
      </w:r>
      <w:r>
        <w:tab/>
      </w:r>
      <w:r>
        <w:rPr>
          <w:noProof/>
        </w:rPr>
        <w:t xml:space="preserve">Enligt artikel 15.6 i protokollet ska den gemensamma rådgivande arbetsgruppen (nedan kallad </w:t>
      </w:r>
      <w:r>
        <w:rPr>
          <w:i/>
          <w:iCs/>
          <w:noProof/>
        </w:rPr>
        <w:t>arbetsgruppen</w:t>
      </w:r>
      <w:r>
        <w:rPr>
          <w:noProof/>
        </w:rPr>
        <w:t xml:space="preserve">) anta sin arbetsordning genom ömsesidig överenskommelse. </w:t>
      </w:r>
    </w:p>
    <w:p>
      <w:pPr>
        <w:pStyle w:val="Point0"/>
        <w:rPr>
          <w:noProof/>
        </w:rPr>
      </w:pPr>
      <w:r>
        <w:t>(2)</w:t>
      </w:r>
      <w:r>
        <w:tab/>
      </w:r>
      <w:r>
        <w:rPr>
          <w:noProof/>
        </w:rPr>
        <w:t xml:space="preserve">Med tanke på arbetsgruppens syfte och sammansättning och dess förbindelse med specialiserade kommittén för frågor rörande genomförandet av protokollet, bör arbetsgruppens arbetsordning likna den arbetsordning som i bilaga VIII till utträdesavtalet fastställs för de specialiserade kommittéer som inrättas genom artikel 165 i utträdesavtalet. </w:t>
      </w:r>
    </w:p>
    <w:p>
      <w:pPr>
        <w:spacing w:after="0"/>
        <w:rPr>
          <w:rFonts w:eastAsia="Times New Roman"/>
          <w:noProof/>
          <w:color w:val="000000"/>
          <w:szCs w:val="24"/>
        </w:rPr>
      </w:pPr>
      <w:r>
        <w:rPr>
          <w:noProof/>
          <w:color w:val="000000"/>
          <w:szCs w:val="24"/>
        </w:rPr>
        <w:t>HÄRIGENOM FÖRESKRIVS FÖLJANDE.</w:t>
      </w:r>
    </w:p>
    <w:p>
      <w:pPr>
        <w:keepNext/>
        <w:spacing w:before="360"/>
        <w:jc w:val="center"/>
        <w:rPr>
          <w:rFonts w:eastAsia="Times New Roman"/>
          <w:i/>
          <w:iCs/>
          <w:noProof/>
          <w:color w:val="000000"/>
          <w:szCs w:val="24"/>
        </w:rPr>
      </w:pPr>
      <w:r>
        <w:rPr>
          <w:i/>
          <w:iCs/>
          <w:noProof/>
          <w:color w:val="000000"/>
          <w:szCs w:val="24"/>
        </w:rPr>
        <w:t>Artikel 1</w:t>
      </w:r>
    </w:p>
    <w:p>
      <w:pPr>
        <w:spacing w:before="360"/>
        <w:rPr>
          <w:noProof/>
        </w:rPr>
      </w:pPr>
      <w:r>
        <w:rPr>
          <w:noProof/>
        </w:rPr>
        <w:t xml:space="preserve">Arbetet i den gemensamma rådgivande arbetsgrupp som inrättats genom artikel 15.1 i protokollet om Irland/Nordirland till utträdesavtalet ska styras av den arbetsordning som fastställs i bilagan till detta beslut. </w:t>
      </w:r>
    </w:p>
    <w:p>
      <w:pPr>
        <w:spacing w:before="360"/>
        <w:jc w:val="center"/>
        <w:rPr>
          <w:rFonts w:eastAsia="Times New Roman"/>
          <w:i/>
          <w:iCs/>
          <w:noProof/>
          <w:color w:val="000000"/>
          <w:szCs w:val="24"/>
        </w:rPr>
      </w:pPr>
      <w:r>
        <w:rPr>
          <w:i/>
          <w:iCs/>
          <w:noProof/>
          <w:color w:val="000000"/>
          <w:szCs w:val="24"/>
        </w:rPr>
        <w:t>Artikel 2</w:t>
      </w:r>
    </w:p>
    <w:p>
      <w:pPr>
        <w:spacing w:after="0"/>
        <w:rPr>
          <w:rFonts w:eastAsia="Times New Roman"/>
          <w:noProof/>
          <w:color w:val="000000"/>
          <w:szCs w:val="24"/>
        </w:rPr>
      </w:pPr>
      <w:r>
        <w:rPr>
          <w:noProof/>
          <w:color w:val="000000"/>
          <w:szCs w:val="24"/>
        </w:rPr>
        <w:t xml:space="preserve">Detta beslut träder i kraft samma dag som det antas. </w:t>
      </w:r>
    </w:p>
    <w:p>
      <w:pPr>
        <w:spacing w:after="0"/>
        <w:rPr>
          <w:rFonts w:eastAsia="Times New Roman"/>
          <w:noProof/>
          <w:color w:val="000000"/>
          <w:szCs w:val="24"/>
        </w:rPr>
      </w:pPr>
      <w:r>
        <w:rPr>
          <w:noProof/>
          <w:color w:val="000000"/>
          <w:szCs w:val="24"/>
        </w:rPr>
        <w:t>Utfärdat i ... den</w:t>
      </w:r>
    </w:p>
    <w:p>
      <w:pPr>
        <w:spacing w:before="60" w:after="60"/>
        <w:jc w:val="center"/>
        <w:rPr>
          <w:rFonts w:eastAsia="Times New Roman"/>
          <w:noProof/>
          <w:color w:val="000000"/>
          <w:szCs w:val="24"/>
        </w:rPr>
      </w:pPr>
      <w:r>
        <w:rPr>
          <w:i/>
          <w:iCs/>
          <w:noProof/>
          <w:color w:val="000000"/>
          <w:szCs w:val="24"/>
        </w:rPr>
        <w:t>På den gemensamma rådgivande arbetsgruppens vägnar</w:t>
      </w:r>
      <w:r>
        <w:rPr>
          <w:noProof/>
          <w:color w:val="000000"/>
          <w:szCs w:val="24"/>
        </w:rPr>
        <w:t xml:space="preserve"> </w:t>
      </w:r>
    </w:p>
    <w:p>
      <w:pPr>
        <w:jc w:val="center"/>
        <w:rPr>
          <w:rFonts w:eastAsia="Times New Roman"/>
          <w:i/>
          <w:iCs/>
          <w:noProof/>
          <w:color w:val="000000"/>
          <w:szCs w:val="24"/>
        </w:rPr>
      </w:pPr>
      <w:r>
        <w:rPr>
          <w:i/>
          <w:iCs/>
          <w:noProof/>
          <w:color w:val="000000"/>
          <w:szCs w:val="24"/>
        </w:rPr>
        <w:t>Ordförandena</w:t>
      </w:r>
    </w:p>
    <w:p>
      <w:pPr>
        <w:spacing w:before="0" w:after="200" w:line="276" w:lineRule="auto"/>
        <w:jc w:val="left"/>
        <w:rPr>
          <w:noProof/>
        </w:rPr>
      </w:pPr>
      <w:r>
        <w:rPr>
          <w:noProof/>
        </w:rPr>
        <w:br w:type="page"/>
      </w:r>
    </w:p>
    <w:p>
      <w:pPr>
        <w:spacing w:before="100" w:beforeAutospacing="1" w:after="100" w:afterAutospacing="1"/>
        <w:jc w:val="center"/>
        <w:rPr>
          <w:noProof/>
        </w:rPr>
      </w:pPr>
      <w:r>
        <w:rPr>
          <w:noProof/>
        </w:rPr>
        <w:t>BILAGA</w:t>
      </w:r>
    </w:p>
    <w:p>
      <w:pPr>
        <w:spacing w:before="100" w:beforeAutospacing="1" w:after="100" w:afterAutospacing="1"/>
        <w:jc w:val="center"/>
        <w:rPr>
          <w:noProof/>
        </w:rPr>
      </w:pPr>
      <w:r>
        <w:rPr>
          <w:noProof/>
        </w:rPr>
        <w:t>ARBETSORDNING FÖR DEN GEMENSAMMA RÅDGIVANDE ARBETSGRUPPEN</w:t>
      </w:r>
    </w:p>
    <w:p>
      <w:pPr>
        <w:spacing w:before="100" w:beforeAutospacing="1" w:after="100" w:afterAutospacing="1"/>
        <w:jc w:val="center"/>
        <w:rPr>
          <w:noProof/>
        </w:rPr>
      </w:pPr>
      <w:r>
        <w:rPr>
          <w:noProof/>
        </w:rPr>
        <w:t>Regel 1</w:t>
      </w:r>
    </w:p>
    <w:p>
      <w:pPr>
        <w:spacing w:before="100" w:beforeAutospacing="1" w:after="100" w:afterAutospacing="1"/>
        <w:jc w:val="center"/>
        <w:rPr>
          <w:noProof/>
        </w:rPr>
      </w:pPr>
      <w:r>
        <w:rPr>
          <w:noProof/>
        </w:rPr>
        <w:t>Ordförande</w:t>
      </w:r>
    </w:p>
    <w:p>
      <w:pPr>
        <w:spacing w:before="100" w:beforeAutospacing="1" w:after="100" w:afterAutospacing="1"/>
        <w:ind w:left="567" w:hanging="567"/>
        <w:rPr>
          <w:noProof/>
        </w:rPr>
      </w:pPr>
      <w:r>
        <w:rPr>
          <w:noProof/>
        </w:rPr>
        <w:t>1.</w:t>
      </w:r>
      <w:r>
        <w:rPr>
          <w:noProof/>
        </w:rPr>
        <w:tab/>
        <w:t xml:space="preserve">Ordförandeskapet i den gemensamma rådgivande arbetsgruppen (nedan kallad </w:t>
      </w:r>
      <w:r>
        <w:rPr>
          <w:i/>
          <w:iCs/>
          <w:noProof/>
        </w:rPr>
        <w:t>arbetsgruppen</w:t>
      </w:r>
      <w:r>
        <w:rPr>
          <w:noProof/>
        </w:rPr>
        <w:t>) ska utövas gemensamt av en företrädare för Europeiska kommissionen och en företrädare för Förenade kungarikets regering. Europeiska unionen och Förenade kungariket ska skriftligen underrätta varandra om vem som utsetts till företrädare.</w:t>
      </w:r>
    </w:p>
    <w:p>
      <w:pPr>
        <w:spacing w:before="100" w:beforeAutospacing="1" w:after="100" w:afterAutospacing="1"/>
        <w:ind w:left="567" w:hanging="567"/>
        <w:rPr>
          <w:noProof/>
        </w:rPr>
      </w:pPr>
      <w:r>
        <w:rPr>
          <w:noProof/>
        </w:rPr>
        <w:t>2.</w:t>
      </w:r>
      <w:r>
        <w:rPr>
          <w:noProof/>
        </w:rPr>
        <w:tab/>
        <w:t xml:space="preserve">En ordförande som är förhindrad att närvara vid ett sammanträde får under det sammanträdet </w:t>
      </w:r>
      <w:sdt>
        <w:sdtPr>
          <w:rPr>
            <w:noProof/>
          </w:rPr>
          <w:tag w:val="goog_rdk_2"/>
          <w:id w:val="-1388868265"/>
        </w:sdtPr>
        <w:sdtContent>
          <w:r>
            <w:rPr>
              <w:noProof/>
            </w:rPr>
            <w:t>ersättas av en ställföreträdare</w:t>
          </w:r>
        </w:sdtContent>
      </w:sdt>
      <w:r>
        <w:rPr>
          <w:noProof/>
        </w:rPr>
        <w:t xml:space="preserve">. </w:t>
      </w:r>
      <w:sdt>
        <w:sdtPr>
          <w:rPr>
            <w:noProof/>
          </w:rPr>
          <w:tag w:val="goog_rdk_4"/>
          <w:id w:val="-1554537841"/>
        </w:sdtPr>
        <w:sdtContent>
          <w:r>
            <w:rPr>
              <w:noProof/>
            </w:rPr>
            <w:t>Den ställföreträdare som utsetts av Europeiska kommissionen eller av Förenade kungarikets regering</w:t>
          </w:r>
        </w:sdtContent>
      </w:sdt>
      <w:r>
        <w:rPr>
          <w:noProof/>
        </w:rPr>
        <w:t xml:space="preserve"> ska så snart som möjligt </w:t>
      </w:r>
      <w:sdt>
        <w:sdtPr>
          <w:rPr>
            <w:noProof/>
          </w:rPr>
          <w:tag w:val="goog_rdk_7"/>
          <w:id w:val="-1465342887"/>
        </w:sdtPr>
        <w:sdtContent>
          <w:r>
            <w:rPr>
              <w:noProof/>
            </w:rPr>
            <w:t>skriftligen</w:t>
          </w:r>
        </w:sdtContent>
      </w:sdt>
      <w:r>
        <w:rPr>
          <w:noProof/>
        </w:rPr>
        <w:t xml:space="preserve"> underrätta den andra ordföranden och arbetsgruppens sekretariat om utnämningen.</w:t>
      </w:r>
    </w:p>
    <w:p>
      <w:pPr>
        <w:spacing w:before="100" w:beforeAutospacing="1" w:after="100" w:afterAutospacing="1"/>
        <w:ind w:left="567" w:hanging="567"/>
        <w:rPr>
          <w:noProof/>
        </w:rPr>
      </w:pPr>
      <w:r>
        <w:rPr>
          <w:noProof/>
        </w:rPr>
        <w:t>3.</w:t>
      </w:r>
      <w:r>
        <w:rPr>
          <w:noProof/>
        </w:rPr>
        <w:tab/>
        <w:t xml:space="preserve">Den </w:t>
      </w:r>
      <w:sdt>
        <w:sdtPr>
          <w:rPr>
            <w:noProof/>
          </w:rPr>
          <w:tag w:val="goog_rdk_8"/>
          <w:id w:val="1397862845"/>
        </w:sdtPr>
        <w:sdtContent>
          <w:r>
            <w:rPr>
              <w:noProof/>
            </w:rPr>
            <w:t>ställföreträdare</w:t>
          </w:r>
        </w:sdtContent>
      </w:sdt>
      <w:r>
        <w:rPr>
          <w:noProof/>
        </w:rPr>
        <w:t xml:space="preserve"> som ersätter en ordförande ska utöva den ordinarie ordförandens rättigheter i den utsträckning som uppdraget medger. Alla hänvisningar som i denna arbetsordning görs till ordförandena ska förstås så att de inbegriper </w:t>
      </w:r>
      <w:sdt>
        <w:sdtPr>
          <w:rPr>
            <w:noProof/>
          </w:rPr>
          <w:tag w:val="goog_rdk_10"/>
          <w:id w:val="1540706428"/>
        </w:sdtPr>
        <w:sdtContent>
          <w:r>
            <w:rPr>
              <w:noProof/>
            </w:rPr>
            <w:t>ställföreträdare</w:t>
          </w:r>
        </w:sdtContent>
      </w:sdt>
      <w:r>
        <w:rPr>
          <w:noProof/>
        </w:rPr>
        <w:t>.</w:t>
      </w:r>
    </w:p>
    <w:p>
      <w:pPr>
        <w:spacing w:before="100" w:beforeAutospacing="1" w:after="100" w:afterAutospacing="1"/>
        <w:jc w:val="center"/>
        <w:rPr>
          <w:noProof/>
        </w:rPr>
      </w:pPr>
      <w:r>
        <w:rPr>
          <w:noProof/>
        </w:rPr>
        <w:t>Regel 2</w:t>
      </w:r>
    </w:p>
    <w:p>
      <w:pPr>
        <w:spacing w:before="100" w:beforeAutospacing="1" w:after="100" w:afterAutospacing="1"/>
        <w:jc w:val="center"/>
        <w:rPr>
          <w:noProof/>
        </w:rPr>
      </w:pPr>
      <w:r>
        <w:rPr>
          <w:noProof/>
        </w:rPr>
        <w:t>Sekretariatet</w:t>
      </w:r>
    </w:p>
    <w:p>
      <w:pPr>
        <w:spacing w:before="100" w:beforeAutospacing="1" w:after="100" w:afterAutospacing="1"/>
        <w:rPr>
          <w:noProof/>
        </w:rPr>
      </w:pPr>
      <w:r>
        <w:rPr>
          <w:noProof/>
        </w:rPr>
        <w:t xml:space="preserve">Arbetsgruppens sekretariat (nedan kallat </w:t>
      </w:r>
      <w:r>
        <w:rPr>
          <w:i/>
          <w:iCs/>
          <w:noProof/>
        </w:rPr>
        <w:t>sekretariatet</w:t>
      </w:r>
      <w:r>
        <w:rPr>
          <w:noProof/>
        </w:rPr>
        <w:t>) ska bestå av en tjänsteman i Europeiska kommissionen och en tjänsteman som företräder Förenade kungarikets regering. Sekretariatet ska, under ledning av ordförandena, utföra de uppgifter som det tilldelas genom denna arbetsordning.</w:t>
      </w:r>
    </w:p>
    <w:p>
      <w:pPr>
        <w:spacing w:before="100" w:beforeAutospacing="1" w:after="100" w:afterAutospacing="1"/>
        <w:jc w:val="center"/>
        <w:rPr>
          <w:noProof/>
        </w:rPr>
      </w:pPr>
      <w:r>
        <w:rPr>
          <w:noProof/>
        </w:rPr>
        <w:t>Regel 3</w:t>
      </w:r>
    </w:p>
    <w:p>
      <w:pPr>
        <w:spacing w:before="100" w:beforeAutospacing="1" w:after="100" w:afterAutospacing="1"/>
        <w:jc w:val="center"/>
        <w:rPr>
          <w:noProof/>
        </w:rPr>
      </w:pPr>
      <w:r>
        <w:rPr>
          <w:noProof/>
        </w:rPr>
        <w:t>Deltagande i sammanträden</w:t>
      </w:r>
    </w:p>
    <w:p>
      <w:pPr>
        <w:spacing w:before="100" w:beforeAutospacing="1" w:after="100" w:afterAutospacing="1"/>
        <w:ind w:left="567" w:hanging="567"/>
        <w:rPr>
          <w:noProof/>
        </w:rPr>
      </w:pPr>
      <w:r>
        <w:rPr>
          <w:noProof/>
        </w:rPr>
        <w:t>1.</w:t>
      </w:r>
      <w:r>
        <w:rPr>
          <w:noProof/>
        </w:rPr>
        <w:tab/>
        <w:t>Före varje sammanträde ska unionen och Förenade kungariket via sekretariatet underrätta varandra om delegationernas planerade sammansättning.</w:t>
      </w:r>
    </w:p>
    <w:p>
      <w:pPr>
        <w:spacing w:before="100" w:beforeAutospacing="1" w:after="100" w:afterAutospacing="1"/>
        <w:ind w:left="567" w:hanging="567"/>
        <w:rPr>
          <w:noProof/>
        </w:rPr>
      </w:pPr>
      <w:r>
        <w:rPr>
          <w:noProof/>
        </w:rPr>
        <w:t>2.</w:t>
      </w:r>
      <w:r>
        <w:rPr>
          <w:noProof/>
        </w:rPr>
        <w:tab/>
        <w:t>När det är lämpligt och på beslut av ordförandena får experter eller andra personer som inte ingår i delegationerna bjudas in att närvara vid sammanträden i arbetsgruppen för att informera om särskilda ämnen.</w:t>
      </w:r>
    </w:p>
    <w:p>
      <w:pPr>
        <w:spacing w:before="100" w:beforeAutospacing="1" w:after="100" w:afterAutospacing="1"/>
        <w:jc w:val="center"/>
        <w:rPr>
          <w:noProof/>
        </w:rPr>
      </w:pPr>
      <w:r>
        <w:rPr>
          <w:noProof/>
        </w:rPr>
        <w:t>Regel 4</w:t>
      </w:r>
    </w:p>
    <w:p>
      <w:pPr>
        <w:spacing w:before="100" w:beforeAutospacing="1" w:after="100" w:afterAutospacing="1"/>
        <w:jc w:val="center"/>
        <w:rPr>
          <w:noProof/>
        </w:rPr>
      </w:pPr>
      <w:r>
        <w:rPr>
          <w:noProof/>
        </w:rPr>
        <w:t>Sammanträden</w:t>
      </w:r>
    </w:p>
    <w:p>
      <w:pPr>
        <w:spacing w:before="100" w:beforeAutospacing="1" w:after="100" w:afterAutospacing="1"/>
        <w:ind w:left="567" w:hanging="567"/>
        <w:rPr>
          <w:noProof/>
        </w:rPr>
      </w:pPr>
      <w:r>
        <w:rPr>
          <w:noProof/>
        </w:rPr>
        <w:t>1.</w:t>
      </w:r>
      <w:r>
        <w:rPr>
          <w:noProof/>
        </w:rPr>
        <w:tab/>
        <w:t xml:space="preserve">Arbetsgruppen ska hålla sina sammanträden </w:t>
      </w:r>
      <w:sdt>
        <w:sdtPr>
          <w:rPr>
            <w:noProof/>
          </w:rPr>
          <w:tag w:val="goog_rdk_12"/>
          <w:id w:val="2102752245"/>
        </w:sdtPr>
        <w:sdtContent>
          <w:r>
            <w:rPr>
              <w:noProof/>
            </w:rPr>
            <w:t>växelvis</w:t>
          </w:r>
        </w:sdtContent>
      </w:sdt>
      <w:r>
        <w:rPr>
          <w:noProof/>
        </w:rPr>
        <w:t xml:space="preserve"> i Bryssel </w:t>
      </w:r>
      <w:sdt>
        <w:sdtPr>
          <w:rPr>
            <w:noProof/>
          </w:rPr>
          <w:tag w:val="goog_rdk_13"/>
          <w:id w:val="-411624215"/>
        </w:sdtPr>
        <w:sdtContent>
          <w:r>
            <w:rPr>
              <w:noProof/>
            </w:rPr>
            <w:t>och</w:t>
          </w:r>
        </w:sdtContent>
      </w:sdt>
      <w:r>
        <w:rPr>
          <w:noProof/>
        </w:rPr>
        <w:t xml:space="preserve"> Förenade kungariket, </w:t>
      </w:r>
      <w:sdt>
        <w:sdtPr>
          <w:rPr>
            <w:noProof/>
          </w:rPr>
          <w:tag w:val="goog_rdk_18"/>
          <w:id w:val="680701251"/>
        </w:sdtPr>
        <w:sdtContent>
          <w:r>
            <w:rPr>
              <w:noProof/>
            </w:rPr>
            <w:t>såvida inte ordförandena bestämmer något annat</w:t>
          </w:r>
        </w:sdtContent>
      </w:sdt>
      <w:r>
        <w:rPr>
          <w:noProof/>
        </w:rPr>
        <w:t>.</w:t>
      </w:r>
    </w:p>
    <w:p>
      <w:pPr>
        <w:spacing w:before="100" w:beforeAutospacing="1" w:after="100" w:afterAutospacing="1"/>
        <w:ind w:left="567" w:hanging="567"/>
        <w:rPr>
          <w:noProof/>
        </w:rPr>
      </w:pPr>
      <w:r>
        <w:rPr>
          <w:noProof/>
        </w:rPr>
        <w:t>2.</w:t>
      </w:r>
      <w:r>
        <w:rPr>
          <w:noProof/>
        </w:rPr>
        <w:tab/>
        <w:t>Genom avvikelse från punkt 1 får ordförandena besluta att ett sammanträde i arbetsgruppen ska hållas som videokonferens eller telefonkonferens.</w:t>
      </w:r>
    </w:p>
    <w:p>
      <w:pPr>
        <w:spacing w:before="100" w:beforeAutospacing="1" w:after="100" w:afterAutospacing="1"/>
        <w:ind w:left="567" w:hanging="567"/>
        <w:rPr>
          <w:noProof/>
        </w:rPr>
      </w:pPr>
      <w:r>
        <w:rPr>
          <w:noProof/>
        </w:rPr>
        <w:t>3.</w:t>
      </w:r>
      <w:r>
        <w:rPr>
          <w:noProof/>
        </w:rPr>
        <w:tab/>
        <w:t>Varje sammanträde i arbetsgruppen ska sammankallas av sekretariatet och hållas på en dag och plats som ordförandena bestämmer. När antingen unionen eller Förenade kungariket har begärt ett sammanträde ska arbetsgruppen sträva efter att hålla ett sammanträde inom 15 dagar efter en sådan begäran. I brådskande fall ska den sträva efter att hålla ett sammanträde tidigare.</w:t>
      </w:r>
    </w:p>
    <w:p>
      <w:pPr>
        <w:spacing w:before="100" w:beforeAutospacing="1" w:after="100" w:afterAutospacing="1"/>
        <w:jc w:val="center"/>
        <w:rPr>
          <w:noProof/>
        </w:rPr>
      </w:pPr>
      <w:r>
        <w:rPr>
          <w:noProof/>
        </w:rPr>
        <w:t>Regel 5</w:t>
      </w:r>
    </w:p>
    <w:p>
      <w:pPr>
        <w:spacing w:before="100" w:beforeAutospacing="1" w:after="100" w:afterAutospacing="1"/>
        <w:jc w:val="center"/>
        <w:rPr>
          <w:noProof/>
        </w:rPr>
      </w:pPr>
      <w:r>
        <w:rPr>
          <w:noProof/>
        </w:rPr>
        <w:t>Handlingar</w:t>
      </w:r>
    </w:p>
    <w:p>
      <w:pPr>
        <w:spacing w:before="100" w:beforeAutospacing="1" w:after="100" w:afterAutospacing="1"/>
        <w:rPr>
          <w:noProof/>
        </w:rPr>
      </w:pPr>
      <w:sdt>
        <w:sdtPr>
          <w:rPr>
            <w:noProof/>
          </w:rPr>
          <w:tag w:val="goog_rdk_21"/>
          <w:id w:val="732124881"/>
        </w:sdtPr>
        <w:sdtContent>
          <w:r>
            <w:rPr>
              <w:noProof/>
            </w:rPr>
            <w:t>Skriftliga</w:t>
          </w:r>
        </w:sdtContent>
      </w:sdt>
      <w:r>
        <w:rPr>
          <w:noProof/>
        </w:rPr>
        <w:t xml:space="preserve"> handlingar som </w:t>
      </w:r>
      <w:sdt>
        <w:sdtPr>
          <w:rPr>
            <w:noProof/>
          </w:rPr>
          <w:tag w:val="goog_rdk_22"/>
          <w:id w:val="-404763511"/>
        </w:sdtPr>
        <w:sdtContent>
          <w:r>
            <w:rPr>
              <w:noProof/>
            </w:rPr>
            <w:t>formellt</w:t>
          </w:r>
        </w:sdtContent>
      </w:sdt>
      <w:r>
        <w:rPr>
          <w:noProof/>
        </w:rPr>
        <w:t xml:space="preserve"> delas inom arbetsgruppen, vare sig det sker vid eller mellan sammanträdena, ska av sekretariatet numreras och distribueras till unionen och Förenade kungariket såsom handlingar från arbetsgruppen.</w:t>
      </w:r>
    </w:p>
    <w:p>
      <w:pPr>
        <w:spacing w:before="100" w:beforeAutospacing="1" w:after="100" w:afterAutospacing="1"/>
        <w:jc w:val="center"/>
        <w:rPr>
          <w:noProof/>
        </w:rPr>
      </w:pPr>
      <w:r>
        <w:rPr>
          <w:noProof/>
        </w:rPr>
        <w:t>Regel 6</w:t>
      </w:r>
    </w:p>
    <w:p>
      <w:pPr>
        <w:spacing w:before="100" w:beforeAutospacing="1" w:after="100" w:afterAutospacing="1"/>
        <w:jc w:val="center"/>
        <w:rPr>
          <w:noProof/>
        </w:rPr>
      </w:pPr>
      <w:r>
        <w:rPr>
          <w:noProof/>
        </w:rPr>
        <w:t>Korrespondens</w:t>
      </w:r>
    </w:p>
    <w:p>
      <w:pPr>
        <w:spacing w:before="100" w:beforeAutospacing="1" w:after="100" w:afterAutospacing="1"/>
        <w:ind w:left="567" w:hanging="567"/>
        <w:rPr>
          <w:noProof/>
        </w:rPr>
      </w:pPr>
      <w:r>
        <w:rPr>
          <w:noProof/>
        </w:rPr>
        <w:t>1.</w:t>
      </w:r>
      <w:r>
        <w:rPr>
          <w:noProof/>
        </w:rPr>
        <w:tab/>
        <w:t>Unionen och Förenade kungariket ska skicka sin korrespondens adresserad till arbetsgruppens sekretariat. Sådan korrespondens får skickas i valfri skriftlig form, även som e-post.</w:t>
      </w:r>
    </w:p>
    <w:p>
      <w:pPr>
        <w:spacing w:before="100" w:beforeAutospacing="1" w:after="100" w:afterAutospacing="1"/>
        <w:ind w:left="567" w:hanging="567"/>
        <w:rPr>
          <w:noProof/>
        </w:rPr>
      </w:pPr>
      <w:r>
        <w:rPr>
          <w:noProof/>
        </w:rPr>
        <w:t>2.</w:t>
      </w:r>
      <w:r>
        <w:rPr>
          <w:noProof/>
        </w:rPr>
        <w:tab/>
        <w:t>Sekretariatet ska säkerställa att korrespondens adresserad till arbetsgruppen vidarebefordras till ordförandena och, när det är lämpligt, distribueras i enlighet med regel 5.</w:t>
      </w:r>
    </w:p>
    <w:p>
      <w:pPr>
        <w:spacing w:before="100" w:beforeAutospacing="1" w:after="100" w:afterAutospacing="1"/>
        <w:ind w:left="567" w:hanging="567"/>
        <w:rPr>
          <w:noProof/>
        </w:rPr>
      </w:pPr>
      <w:r>
        <w:rPr>
          <w:noProof/>
        </w:rPr>
        <w:t>3.</w:t>
      </w:r>
      <w:r>
        <w:rPr>
          <w:noProof/>
        </w:rPr>
        <w:tab/>
        <w:t>All korrespondens från eller adresserad direkt till ordförandena ska vidarebefordras till sekretariatet och ska, när det är lämpligt, distribueras i enlighet med regel 5.</w:t>
      </w:r>
    </w:p>
    <w:p>
      <w:pPr>
        <w:spacing w:before="100" w:beforeAutospacing="1" w:after="100" w:afterAutospacing="1"/>
        <w:jc w:val="center"/>
        <w:rPr>
          <w:noProof/>
        </w:rPr>
      </w:pPr>
      <w:r>
        <w:rPr>
          <w:noProof/>
        </w:rPr>
        <w:t>Regel 7</w:t>
      </w:r>
    </w:p>
    <w:p>
      <w:pPr>
        <w:spacing w:before="100" w:beforeAutospacing="1" w:after="100" w:afterAutospacing="1"/>
        <w:jc w:val="center"/>
        <w:rPr>
          <w:noProof/>
        </w:rPr>
      </w:pPr>
      <w:r>
        <w:rPr>
          <w:noProof/>
        </w:rPr>
        <w:t>Dagordning för sammanträdena</w:t>
      </w:r>
    </w:p>
    <w:p>
      <w:pPr>
        <w:spacing w:before="100" w:beforeAutospacing="1" w:after="100" w:afterAutospacing="1"/>
        <w:ind w:left="567" w:hanging="567"/>
        <w:rPr>
          <w:noProof/>
        </w:rPr>
      </w:pPr>
      <w:r>
        <w:rPr>
          <w:noProof/>
        </w:rPr>
        <w:t>1.</w:t>
      </w:r>
      <w:r>
        <w:rPr>
          <w:noProof/>
        </w:rPr>
        <w:tab/>
        <w:t>Inför varje sammanträde ska ett utkast till preliminär dagordning upprättas av sekretariatet. Det ska, tillsammans med relevanta handlingar, översändas till ordförandena senast fem dagar före sammanträdesdagen.</w:t>
      </w:r>
    </w:p>
    <w:p>
      <w:pPr>
        <w:spacing w:before="100" w:beforeAutospacing="1" w:after="100" w:afterAutospacing="1"/>
        <w:ind w:left="567" w:hanging="567"/>
        <w:rPr>
          <w:noProof/>
        </w:rPr>
      </w:pPr>
      <w:bookmarkStart w:id="1" w:name="_heading=h.gjdgxs"/>
      <w:bookmarkEnd w:id="1"/>
      <w:r>
        <w:rPr>
          <w:noProof/>
        </w:rPr>
        <w:t>2.</w:t>
      </w:r>
      <w:r>
        <w:rPr>
          <w:noProof/>
        </w:rPr>
        <w:tab/>
        <w:t>Den preliminära dagordningen ska omfatta de punkter som unionen eller Förenade kungariket har begärt att få uppförda på dagordningen. Varje sådan begäran ska tillsammans med eventuella relevanta handlingar sändas till sekretariatet senast sju dagar innan sammanträdet börjar.</w:t>
      </w:r>
    </w:p>
    <w:p>
      <w:pPr>
        <w:spacing w:before="100" w:beforeAutospacing="1" w:after="100" w:afterAutospacing="1"/>
        <w:ind w:left="567" w:hanging="567"/>
        <w:rPr>
          <w:noProof/>
        </w:rPr>
      </w:pPr>
      <w:r>
        <w:rPr>
          <w:noProof/>
        </w:rPr>
        <w:t>3.</w:t>
      </w:r>
      <w:r>
        <w:rPr>
          <w:noProof/>
        </w:rPr>
        <w:tab/>
        <w:t>Senast tre dagar före sammanträdesdagen ska ordförandena besluta om den preliminära dagordningen för sammanträdet. De får besluta att göra den preliminära dagordningen eller någon del av den offentlig innan sammanträdet börjar.</w:t>
      </w:r>
    </w:p>
    <w:p>
      <w:pPr>
        <w:spacing w:before="100" w:beforeAutospacing="1" w:after="100" w:afterAutospacing="1"/>
        <w:ind w:left="567" w:hanging="567"/>
        <w:rPr>
          <w:noProof/>
        </w:rPr>
      </w:pPr>
      <w:sdt>
        <w:sdtPr>
          <w:rPr>
            <w:noProof/>
          </w:rPr>
          <w:tag w:val="goog_rdk_27"/>
          <w:id w:val="816533030"/>
        </w:sdtPr>
        <w:sdtContent>
          <w:r>
            <w:rPr>
              <w:noProof/>
            </w:rPr>
            <w:t>4.</w:t>
          </w:r>
        </w:sdtContent>
      </w:sdt>
      <w:r>
        <w:rPr>
          <w:noProof/>
        </w:rPr>
        <w:tab/>
        <w:t>Dagordningen ska antas av arbetsgruppen i början av varje sammanträde. På begäran av unionen eller Förenade kungariket får en annan punkt än de som finns på den preliminära dagordningen föras upp på dagordningen efter beslut av arbetsgruppen.</w:t>
      </w:r>
    </w:p>
    <w:p>
      <w:pPr>
        <w:spacing w:before="100" w:beforeAutospacing="1" w:after="100" w:afterAutospacing="1"/>
        <w:ind w:left="567" w:hanging="567"/>
        <w:rPr>
          <w:noProof/>
        </w:rPr>
      </w:pPr>
      <w:sdt>
        <w:sdtPr>
          <w:rPr>
            <w:noProof/>
          </w:rPr>
          <w:tag w:val="goog_rdk_30"/>
          <w:id w:val="658740547"/>
        </w:sdtPr>
        <w:sdtContent>
          <w:r>
            <w:rPr>
              <w:noProof/>
            </w:rPr>
            <w:t>5.</w:t>
          </w:r>
        </w:sdtContent>
      </w:sdt>
      <w:r>
        <w:rPr>
          <w:noProof/>
        </w:rPr>
        <w:tab/>
        <w:t>I undantagsfall får ordförandena besluta att frångå de tidsfrister som anges i punkterna 1 och 3.</w:t>
      </w:r>
    </w:p>
    <w:p>
      <w:pPr>
        <w:spacing w:before="100" w:beforeAutospacing="1" w:after="100" w:afterAutospacing="1"/>
        <w:jc w:val="center"/>
        <w:rPr>
          <w:noProof/>
        </w:rPr>
      </w:pPr>
      <w:r>
        <w:rPr>
          <w:noProof/>
        </w:rPr>
        <w:t>Regel 8</w:t>
      </w:r>
    </w:p>
    <w:p>
      <w:pPr>
        <w:spacing w:before="100" w:beforeAutospacing="1" w:after="100" w:afterAutospacing="1"/>
        <w:jc w:val="center"/>
        <w:rPr>
          <w:noProof/>
        </w:rPr>
      </w:pPr>
      <w:r>
        <w:rPr>
          <w:noProof/>
        </w:rPr>
        <w:t>Protokoll</w:t>
      </w:r>
    </w:p>
    <w:p>
      <w:pPr>
        <w:spacing w:before="100" w:beforeAutospacing="1" w:after="100" w:afterAutospacing="1"/>
        <w:ind w:left="567" w:hanging="567"/>
        <w:rPr>
          <w:noProof/>
        </w:rPr>
      </w:pPr>
      <w:r>
        <w:rPr>
          <w:noProof/>
        </w:rPr>
        <w:t>1.</w:t>
      </w:r>
      <w:r>
        <w:rPr>
          <w:noProof/>
        </w:rPr>
        <w:tab/>
        <w:t>Sekretariatet ska upprätta ett utkast till protokoll från varje sammanträde senast fem dagar efter sammanträdets slut, såvida inte ordförandena bestämmer något annat.</w:t>
      </w:r>
      <w:sdt>
        <w:sdtPr>
          <w:rPr>
            <w:noProof/>
          </w:rPr>
          <w:tag w:val="goog_rdk_31"/>
          <w:id w:val="-2088293361"/>
        </w:sdtPr>
        <w:sdtContent>
          <w:r>
            <w:rPr>
              <w:noProof/>
            </w:rPr>
            <w:t xml:space="preserve"> Sekretariatet ska också göra en sammanfattning av protokollet.</w:t>
          </w:r>
        </w:sdtContent>
      </w:sdt>
    </w:p>
    <w:p>
      <w:pPr>
        <w:spacing w:before="100" w:beforeAutospacing="1" w:after="100" w:afterAutospacing="1"/>
        <w:ind w:left="567" w:hanging="567"/>
        <w:rPr>
          <w:noProof/>
        </w:rPr>
      </w:pPr>
      <w:r>
        <w:rPr>
          <w:noProof/>
        </w:rPr>
        <w:t>2.</w:t>
      </w:r>
      <w:r>
        <w:rPr>
          <w:noProof/>
        </w:rPr>
        <w:tab/>
        <w:t>Protokollet ska som regel sammanfatta varje punkt på dagordningen och i tillämpliga fall ange</w:t>
      </w:r>
    </w:p>
    <w:p>
      <w:pPr>
        <w:spacing w:before="100" w:beforeAutospacing="1" w:after="100" w:afterAutospacing="1"/>
        <w:ind w:left="1134" w:hanging="567"/>
        <w:rPr>
          <w:noProof/>
        </w:rPr>
      </w:pPr>
      <w:r>
        <w:rPr>
          <w:noProof/>
        </w:rPr>
        <w:t>a)</w:t>
      </w:r>
      <w:r>
        <w:rPr>
          <w:noProof/>
        </w:rPr>
        <w:tab/>
        <w:t>de handlingar som lämnats till arbetsgruppen,</w:t>
      </w:r>
    </w:p>
    <w:p>
      <w:pPr>
        <w:spacing w:before="100" w:beforeAutospacing="1" w:after="100" w:afterAutospacing="1"/>
        <w:ind w:left="1134" w:hanging="567"/>
        <w:rPr>
          <w:noProof/>
        </w:rPr>
      </w:pPr>
      <w:r>
        <w:rPr>
          <w:noProof/>
        </w:rPr>
        <w:t>b)</w:t>
      </w:r>
      <w:r>
        <w:rPr>
          <w:noProof/>
        </w:rPr>
        <w:tab/>
        <w:t>eventuella uttalanden som någon av ordförandena begärt att få upptagna i protokollet, och</w:t>
      </w:r>
    </w:p>
    <w:p>
      <w:pPr>
        <w:spacing w:before="100" w:beforeAutospacing="1" w:after="100" w:afterAutospacing="1"/>
        <w:ind w:left="1134" w:hanging="567"/>
        <w:rPr>
          <w:noProof/>
        </w:rPr>
      </w:pPr>
      <w:r>
        <w:rPr>
          <w:noProof/>
        </w:rPr>
        <w:t>c)</w:t>
      </w:r>
      <w:r>
        <w:rPr>
          <w:noProof/>
        </w:rPr>
        <w:tab/>
        <w:t>de operativa slutsatser som antagits med avseende på specifika punkter.</w:t>
      </w:r>
    </w:p>
    <w:p>
      <w:pPr>
        <w:spacing w:before="100" w:beforeAutospacing="1" w:after="100" w:afterAutospacing="1"/>
        <w:ind w:left="567" w:hanging="567"/>
        <w:rPr>
          <w:noProof/>
        </w:rPr>
      </w:pPr>
      <w:r>
        <w:rPr>
          <w:noProof/>
        </w:rPr>
        <w:t>3.</w:t>
      </w:r>
      <w:r>
        <w:rPr>
          <w:noProof/>
        </w:rPr>
        <w:tab/>
        <w:t>Protokollet ska innehålla en förteckning över namn, titlar och funktion för alla personer som deltagit i sammanträdet.</w:t>
      </w:r>
    </w:p>
    <w:p>
      <w:pPr>
        <w:spacing w:before="100" w:beforeAutospacing="1" w:after="100" w:afterAutospacing="1"/>
        <w:ind w:left="567" w:hanging="567"/>
        <w:rPr>
          <w:noProof/>
        </w:rPr>
      </w:pPr>
      <w:r>
        <w:rPr>
          <w:noProof/>
        </w:rPr>
        <w:t>4.</w:t>
      </w:r>
      <w:r>
        <w:rPr>
          <w:noProof/>
        </w:rPr>
        <w:tab/>
        <w:t xml:space="preserve">Ordförandena får begära en ändring av </w:t>
      </w:r>
      <w:sdt>
        <w:sdtPr>
          <w:rPr>
            <w:noProof/>
          </w:rPr>
          <w:tag w:val="goog_rdk_32"/>
          <w:id w:val="-2019997472"/>
        </w:sdtPr>
        <w:sdtContent>
          <w:r>
            <w:rPr>
              <w:noProof/>
            </w:rPr>
            <w:t>utkastet</w:t>
          </w:r>
        </w:sdtContent>
      </w:sdt>
      <w:r>
        <w:rPr>
          <w:noProof/>
        </w:rPr>
        <w:t xml:space="preserve"> till protokoll </w:t>
      </w:r>
      <w:sdt>
        <w:sdtPr>
          <w:rPr>
            <w:noProof/>
          </w:rPr>
          <w:tag w:val="goog_rdk_33"/>
          <w:id w:val="385530435"/>
        </w:sdtPr>
        <w:sdtContent>
          <w:r>
            <w:rPr>
              <w:noProof/>
            </w:rPr>
            <w:t>eller sammanfattning</w:t>
          </w:r>
        </w:sdtContent>
      </w:sdt>
      <w:r>
        <w:rPr>
          <w:noProof/>
        </w:rPr>
        <w:t xml:space="preserve"> inom fem dagar efter det att de har vidarebefordrats av sekretariatet i enlighet med punkt 1. Om inga ändringar begärs ska protokollet </w:t>
      </w:r>
      <w:sdt>
        <w:sdtPr>
          <w:rPr>
            <w:noProof/>
          </w:rPr>
          <w:tag w:val="goog_rdk_34"/>
          <w:id w:val="53588061"/>
        </w:sdtPr>
        <w:sdtContent>
          <w:r>
            <w:rPr>
              <w:noProof/>
            </w:rPr>
            <w:t>och sammanfattningen</w:t>
          </w:r>
        </w:sdtContent>
      </w:sdt>
      <w:r>
        <w:rPr>
          <w:noProof/>
        </w:rPr>
        <w:t xml:space="preserve"> anses ha godkänts av ordförandena vid utgången av denna period. Om en ordförande begär en ändring inom denna period ska protokollet </w:t>
      </w:r>
      <w:sdt>
        <w:sdtPr>
          <w:rPr>
            <w:noProof/>
          </w:rPr>
          <w:tag w:val="goog_rdk_36"/>
          <w:id w:val="1462763068"/>
        </w:sdtPr>
        <w:sdtContent>
          <w:r>
            <w:rPr>
              <w:noProof/>
            </w:rPr>
            <w:t>och sammanfattningen</w:t>
          </w:r>
        </w:sdtContent>
      </w:sdt>
      <w:r>
        <w:rPr>
          <w:noProof/>
        </w:rPr>
        <w:t xml:space="preserve"> anses vara godkända så snart den andra ordföranden har godkänt den begärda ändringen. </w:t>
      </w:r>
    </w:p>
    <w:p>
      <w:pPr>
        <w:spacing w:before="100" w:beforeAutospacing="1" w:after="100" w:afterAutospacing="1"/>
        <w:ind w:left="567" w:hanging="567"/>
        <w:rPr>
          <w:noProof/>
        </w:rPr>
      </w:pPr>
      <w:r>
        <w:rPr>
          <w:noProof/>
        </w:rPr>
        <w:t>5.</w:t>
      </w:r>
      <w:r>
        <w:rPr>
          <w:noProof/>
        </w:rPr>
        <w:tab/>
        <w:t xml:space="preserve">När protokollet har godkänts ska elektroniska kopior av det undertecknas av sekretariatets ledamöter och vidarebefordras till unionen och Förenade kungariket samt till den specialiserade kommittén för frågor rörande genomförandet av protokollet om Irland/Nordirland. </w:t>
      </w:r>
      <w:sdt>
        <w:sdtPr>
          <w:rPr>
            <w:noProof/>
          </w:rPr>
          <w:tag w:val="goog_rdk_37"/>
          <w:id w:val="-1344388782"/>
        </w:sdtPr>
        <w:sdtContent>
          <w:r>
            <w:rPr>
              <w:noProof/>
            </w:rPr>
            <w:t>Ordförandena får då besluta att offentliggöra sammanfattningen av protokollet.</w:t>
          </w:r>
        </w:sdtContent>
      </w:sdt>
    </w:p>
    <w:p>
      <w:pPr>
        <w:spacing w:before="100" w:beforeAutospacing="1" w:after="100" w:afterAutospacing="1"/>
        <w:jc w:val="center"/>
        <w:rPr>
          <w:noProof/>
        </w:rPr>
      </w:pPr>
      <w:r>
        <w:rPr>
          <w:noProof/>
        </w:rPr>
        <w:t>Regel 9</w:t>
      </w:r>
    </w:p>
    <w:p>
      <w:pPr>
        <w:spacing w:before="100" w:beforeAutospacing="1" w:after="100" w:afterAutospacing="1"/>
        <w:jc w:val="center"/>
        <w:rPr>
          <w:noProof/>
        </w:rPr>
      </w:pPr>
      <w:r>
        <w:rPr>
          <w:noProof/>
        </w:rPr>
        <w:t xml:space="preserve">Beslut </w:t>
      </w:r>
    </w:p>
    <w:p>
      <w:pPr>
        <w:spacing w:before="100" w:beforeAutospacing="1" w:after="100" w:afterAutospacing="1"/>
        <w:ind w:left="567" w:hanging="567"/>
        <w:rPr>
          <w:noProof/>
        </w:rPr>
      </w:pPr>
      <w:sdt>
        <w:sdtPr>
          <w:rPr>
            <w:noProof/>
          </w:rPr>
          <w:tag w:val="goog_rdk_40"/>
          <w:id w:val="2066834260"/>
        </w:sdtPr>
        <w:sdtContent>
          <w:r>
            <w:rPr>
              <w:noProof/>
            </w:rPr>
            <w:t>1.</w:t>
          </w:r>
          <w:r>
            <w:rPr>
              <w:noProof/>
            </w:rPr>
            <w:tab/>
            <w:t>Beslut av ordförandena i enlighet med denna arbetsordning ska fattas genom ömsesidig överenskommelse.</w:t>
          </w:r>
        </w:sdtContent>
      </w:sdt>
    </w:p>
    <w:p>
      <w:pPr>
        <w:spacing w:before="100" w:beforeAutospacing="1" w:after="100" w:afterAutospacing="1"/>
        <w:ind w:left="567" w:hanging="567"/>
        <w:rPr>
          <w:noProof/>
        </w:rPr>
      </w:pPr>
      <w:r>
        <w:rPr>
          <w:noProof/>
        </w:rPr>
        <w:t>2.</w:t>
      </w:r>
      <w:r>
        <w:rPr>
          <w:noProof/>
        </w:rPr>
        <w:tab/>
        <w:t xml:space="preserve">Under tiden mellan sammanträdena får ordförandena fatta </w:t>
      </w:r>
      <w:sdt>
        <w:sdtPr>
          <w:rPr>
            <w:noProof/>
          </w:rPr>
          <w:tag w:val="goog_rdk_41"/>
          <w:id w:val="-472906443"/>
        </w:sdtPr>
        <w:sdtContent>
          <w:r>
            <w:rPr>
              <w:noProof/>
            </w:rPr>
            <w:t>sådana</w:t>
          </w:r>
        </w:sdtContent>
      </w:sdt>
      <w:r>
        <w:rPr>
          <w:noProof/>
        </w:rPr>
        <w:t xml:space="preserve"> beslut genom skriftlig </w:t>
      </w:r>
      <w:sdt>
        <w:sdtPr>
          <w:rPr>
            <w:noProof/>
          </w:rPr>
          <w:tag w:val="goog_rdk_44"/>
          <w:id w:val="-910612799"/>
        </w:sdtPr>
        <w:sdtContent>
          <w:r>
            <w:rPr>
              <w:noProof/>
            </w:rPr>
            <w:t>kommunikation i form</w:t>
          </w:r>
        </w:sdtContent>
      </w:sdt>
      <w:r>
        <w:rPr>
          <w:noProof/>
        </w:rPr>
        <w:t xml:space="preserve"> av en elektronisk notväxling mellan ordförandena. Sekretariatet ska informera parterna om </w:t>
      </w:r>
      <w:sdt>
        <w:sdtPr>
          <w:rPr>
            <w:noProof/>
          </w:rPr>
          <w:tag w:val="goog_rdk_46"/>
          <w:id w:val="-1951086782"/>
        </w:sdtPr>
        <w:sdtContent>
          <w:r>
            <w:rPr>
              <w:noProof/>
            </w:rPr>
            <w:t>varje</w:t>
          </w:r>
        </w:sdtContent>
      </w:sdt>
      <w:r>
        <w:rPr>
          <w:noProof/>
        </w:rPr>
        <w:t xml:space="preserve"> sådant </w:t>
      </w:r>
      <w:sdt>
        <w:sdtPr>
          <w:rPr>
            <w:noProof/>
          </w:rPr>
          <w:tag w:val="goog_rdk_47"/>
          <w:id w:val="-1887253778"/>
        </w:sdtPr>
        <w:sdtContent>
          <w:r>
            <w:rPr>
              <w:noProof/>
            </w:rPr>
            <w:t>beslut av</w:t>
          </w:r>
        </w:sdtContent>
      </w:sdt>
      <w:r>
        <w:rPr>
          <w:noProof/>
        </w:rPr>
        <w:t xml:space="preserve"> ordförandena.</w:t>
      </w:r>
    </w:p>
    <w:p>
      <w:pPr>
        <w:spacing w:before="100" w:beforeAutospacing="1" w:after="100" w:afterAutospacing="1"/>
        <w:jc w:val="center"/>
        <w:rPr>
          <w:noProof/>
        </w:rPr>
      </w:pPr>
      <w:r>
        <w:rPr>
          <w:noProof/>
        </w:rPr>
        <w:t>Regel 10</w:t>
      </w:r>
    </w:p>
    <w:p>
      <w:pPr>
        <w:spacing w:before="100" w:beforeAutospacing="1" w:after="100" w:afterAutospacing="1"/>
        <w:jc w:val="center"/>
        <w:rPr>
          <w:noProof/>
        </w:rPr>
      </w:pPr>
      <w:r>
        <w:rPr>
          <w:noProof/>
        </w:rPr>
        <w:t>Konfidentiell behandling</w:t>
      </w:r>
    </w:p>
    <w:p>
      <w:pPr>
        <w:spacing w:before="100" w:beforeAutospacing="1" w:after="100" w:afterAutospacing="1"/>
        <w:ind w:left="567" w:hanging="567"/>
        <w:rPr>
          <w:noProof/>
        </w:rPr>
      </w:pPr>
      <w:r>
        <w:rPr>
          <w:noProof/>
        </w:rPr>
        <w:t>1.</w:t>
      </w:r>
      <w:r>
        <w:rPr>
          <w:noProof/>
        </w:rPr>
        <w:tab/>
        <w:t>Såvida inte ordförandena bestämmer något annat ska arbetsgruppens sammanträden vara konfidentiella.</w:t>
      </w:r>
    </w:p>
    <w:p>
      <w:pPr>
        <w:spacing w:before="100" w:beforeAutospacing="1" w:after="100" w:afterAutospacing="1"/>
        <w:ind w:left="567" w:hanging="567"/>
        <w:rPr>
          <w:noProof/>
        </w:rPr>
      </w:pPr>
      <w:r>
        <w:rPr>
          <w:noProof/>
        </w:rPr>
        <w:t>2.</w:t>
      </w:r>
      <w:r>
        <w:rPr>
          <w:noProof/>
        </w:rPr>
        <w:tab/>
        <w:t>När unionen eller Förenade kungariket lämnar information till arbetsgruppen som betraktas som konfidentiell eller skyddad från utlämnande enligt dess lagar och andra författningar, ska den andra parten behandla den informationen som konfidentiell.</w:t>
      </w:r>
    </w:p>
    <w:p>
      <w:pPr>
        <w:spacing w:before="100" w:beforeAutospacing="1" w:after="100" w:afterAutospacing="1"/>
        <w:jc w:val="center"/>
        <w:rPr>
          <w:noProof/>
        </w:rPr>
      </w:pPr>
      <w:r>
        <w:rPr>
          <w:noProof/>
        </w:rPr>
        <w:t>Regel 11</w:t>
      </w:r>
    </w:p>
    <w:p>
      <w:pPr>
        <w:spacing w:before="100" w:beforeAutospacing="1" w:after="100" w:afterAutospacing="1"/>
        <w:jc w:val="center"/>
        <w:rPr>
          <w:noProof/>
        </w:rPr>
      </w:pPr>
      <w:r>
        <w:rPr>
          <w:noProof/>
        </w:rPr>
        <w:t>Arbetsspråk</w:t>
      </w:r>
    </w:p>
    <w:p>
      <w:pPr>
        <w:spacing w:before="100" w:beforeAutospacing="1" w:after="100" w:afterAutospacing="1"/>
        <w:rPr>
          <w:noProof/>
        </w:rPr>
      </w:pPr>
      <w:r>
        <w:rPr>
          <w:noProof/>
        </w:rPr>
        <w:t xml:space="preserve">Arbetsgruppens arbetsspråk ska vara engelska. Om inget annat beslutas av ordförandena ska </w:t>
      </w:r>
      <w:sdt>
        <w:sdtPr>
          <w:rPr>
            <w:noProof/>
          </w:rPr>
          <w:tag w:val="goog_rdk_49"/>
          <w:id w:val="517124812"/>
        </w:sdtPr>
        <w:sdtContent>
          <w:r>
            <w:rPr>
              <w:noProof/>
            </w:rPr>
            <w:t>arbetsgruppen</w:t>
          </w:r>
        </w:sdtContent>
      </w:sdt>
      <w:r>
        <w:rPr>
          <w:noProof/>
        </w:rPr>
        <w:t xml:space="preserve"> grunda sina överläggningar på handlingar upprättade på engelska.</w:t>
      </w:r>
    </w:p>
    <w:p>
      <w:pPr>
        <w:spacing w:before="100" w:beforeAutospacing="1" w:after="100" w:afterAutospacing="1"/>
        <w:jc w:val="center"/>
        <w:rPr>
          <w:noProof/>
        </w:rPr>
      </w:pPr>
      <w:r>
        <w:rPr>
          <w:noProof/>
        </w:rPr>
        <w:t>Regel 12</w:t>
      </w:r>
    </w:p>
    <w:p>
      <w:pPr>
        <w:spacing w:before="100" w:beforeAutospacing="1" w:after="100" w:afterAutospacing="1"/>
        <w:jc w:val="center"/>
        <w:rPr>
          <w:noProof/>
        </w:rPr>
      </w:pPr>
      <w:r>
        <w:rPr>
          <w:noProof/>
        </w:rPr>
        <w:t>Kostnader</w:t>
      </w:r>
    </w:p>
    <w:p>
      <w:pPr>
        <w:spacing w:before="100" w:beforeAutospacing="1" w:after="100" w:afterAutospacing="1"/>
        <w:ind w:left="567" w:hanging="567"/>
        <w:rPr>
          <w:noProof/>
        </w:rPr>
      </w:pPr>
      <w:r>
        <w:rPr>
          <w:noProof/>
        </w:rPr>
        <w:t>1.</w:t>
      </w:r>
      <w:r>
        <w:rPr>
          <w:noProof/>
        </w:rPr>
        <w:tab/>
        <w:t>Unionen och Förenade kungariket ska var och en stå för sina egna kostnader till följd av att de deltar i arbetsgruppens sammanträden.</w:t>
      </w:r>
    </w:p>
    <w:p>
      <w:pPr>
        <w:spacing w:before="100" w:beforeAutospacing="1" w:after="100" w:afterAutospacing="1"/>
        <w:ind w:left="567" w:hanging="567"/>
        <w:rPr>
          <w:noProof/>
        </w:rPr>
      </w:pPr>
      <w:r>
        <w:rPr>
          <w:noProof/>
        </w:rPr>
        <w:t>2.</w:t>
      </w:r>
      <w:r>
        <w:rPr>
          <w:noProof/>
        </w:rPr>
        <w:tab/>
        <w:t>Kostnader i samband med anordnande av sammanträden och mångfaldigande av handlingar ska bäras av unionen vid sammanträden i Bryssel och av Förenade kungariket vid sammanträden i Förenade kungariket.</w:t>
      </w:r>
    </w:p>
    <w:p>
      <w:pPr>
        <w:spacing w:before="100" w:beforeAutospacing="1" w:after="100" w:afterAutospacing="1"/>
        <w:ind w:left="567" w:hanging="567"/>
        <w:rPr>
          <w:noProof/>
        </w:rPr>
      </w:pPr>
      <w:r>
        <w:rPr>
          <w:noProof/>
        </w:rPr>
        <w:t>3.</w:t>
      </w:r>
      <w:r>
        <w:rPr>
          <w:noProof/>
        </w:rPr>
        <w:tab/>
        <w:t>Kostnader i samband med tolkning vid sammanträden till och från arbetsgruppens arbetsspråk ska bäras av den part som begär tolkningen.</w:t>
      </w:r>
    </w:p>
    <w:p>
      <w:pPr>
        <w:spacing w:before="100" w:beforeAutospacing="1" w:after="100" w:afterAutospacing="1"/>
        <w:jc w:val="center"/>
        <w:rPr>
          <w:noProof/>
        </w:rPr>
      </w:pPr>
      <w:r>
        <w:rPr>
          <w:noProof/>
        </w:rPr>
        <w:t>Regel 13</w:t>
      </w:r>
    </w:p>
    <w:p>
      <w:pPr>
        <w:spacing w:before="100" w:beforeAutospacing="1" w:after="100" w:afterAutospacing="1"/>
        <w:jc w:val="center"/>
        <w:rPr>
          <w:noProof/>
        </w:rPr>
      </w:pPr>
      <w:sdt>
        <w:sdtPr>
          <w:rPr>
            <w:noProof/>
          </w:rPr>
          <w:tag w:val="goog_rdk_52"/>
          <w:id w:val="-840008418"/>
        </w:sdtPr>
        <w:sdtContent>
          <w:r>
            <w:rPr>
              <w:noProof/>
            </w:rPr>
            <w:t>Årsrapport</w:t>
          </w:r>
        </w:sdtContent>
      </w:sdt>
      <w:r>
        <w:rPr>
          <w:noProof/>
        </w:rPr>
        <w:t xml:space="preserve"> till den specialiserade kommittén </w:t>
      </w:r>
    </w:p>
    <w:p>
      <w:pPr>
        <w:spacing w:before="100" w:beforeAutospacing="1" w:after="100" w:afterAutospacing="1"/>
        <w:ind w:left="567" w:hanging="567"/>
        <w:rPr>
          <w:noProof/>
        </w:rPr>
      </w:pPr>
      <w:r>
        <w:rPr>
          <w:noProof/>
        </w:rPr>
        <w:t>1.</w:t>
      </w:r>
      <w:r>
        <w:rPr>
          <w:noProof/>
        </w:rPr>
        <w:tab/>
        <w:t xml:space="preserve">Sekretariatet ska </w:t>
      </w:r>
      <w:sdt>
        <w:sdtPr>
          <w:rPr>
            <w:noProof/>
          </w:rPr>
          <w:tag w:val="goog_rdk_54"/>
          <w:id w:val="2142923240"/>
        </w:sdtPr>
        <w:sdtContent>
          <w:r>
            <w:rPr>
              <w:noProof/>
            </w:rPr>
            <w:t>varje</w:t>
          </w:r>
        </w:sdtContent>
      </w:sdt>
      <w:r>
        <w:rPr>
          <w:noProof/>
        </w:rPr>
        <w:t xml:space="preserve"> kalenderår utarbeta en rapport om arbetsgruppens arbete. </w:t>
      </w:r>
      <w:sdt>
        <w:sdtPr>
          <w:rPr>
            <w:noProof/>
          </w:rPr>
          <w:tag w:val="goog_rdk_55"/>
          <w:id w:val="996455782"/>
        </w:sdtPr>
        <w:sdtContent>
          <w:r>
            <w:rPr>
              <w:noProof/>
            </w:rPr>
            <w:t>Rapporten</w:t>
          </w:r>
        </w:sdtContent>
      </w:sdt>
      <w:r>
        <w:rPr>
          <w:noProof/>
        </w:rPr>
        <w:t xml:space="preserve"> ska upprättas senast den 1 februari påföljande år. </w:t>
      </w:r>
    </w:p>
    <w:p>
      <w:pPr>
        <w:spacing w:before="100" w:beforeAutospacing="1" w:after="100" w:afterAutospacing="1"/>
        <w:ind w:left="567" w:hanging="567"/>
        <w:rPr>
          <w:noProof/>
        </w:rPr>
      </w:pPr>
      <w:r>
        <w:rPr>
          <w:noProof/>
        </w:rPr>
        <w:t>2.</w:t>
      </w:r>
      <w:r>
        <w:rPr>
          <w:noProof/>
        </w:rPr>
        <w:tab/>
        <w:t>Varje rapport ska antas och undertecknas av ordförandena och omedelbart efter undertecknandet skickas till den specialiserade kommittén för frågor rörande genomförandet av protokollet om Irland/Nordirland.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(EU) 2020/135 av den 30 januari 2020 om ingående av avtalet om Förenade konungariket Storbritannien och Nordirlands utträde ur Europeiska unionen och Europeiska atomenergigemenskapen (Text av betydelse för EES) (EUT L 29, 31.1.2020, s. 1).</w:t>
      </w:r>
    </w:p>
  </w:footnote>
  <w:footnote w:id="2">
    <w:p>
      <w:pPr>
        <w:pStyle w:val="FootnoteText"/>
      </w:pPr>
      <w:r>
        <w:rPr>
          <w:rStyle w:val="FootnoteReference"/>
        </w:rPr>
        <w:footnoteRef/>
      </w:r>
      <w:r>
        <w:tab/>
      </w:r>
      <w:hyperlink r:id="rId1" w:history="1">
        <w:r>
          <w:rPr>
            <w:rStyle w:val="Hyperlink"/>
          </w:rPr>
          <w:t>EUT L 29, 31.1.2020, s. 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5656B9B"/>
    <w:multiLevelType w:val="hybridMultilevel"/>
    <w:tmpl w:val="D67E460C"/>
    <w:name w:val="Point22"/>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8 08:1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3AA979D-5B58-419A-AAB2-E45EAB4B4B96"/>
    <w:docVar w:name="LW_COVERPAGE_TYPE" w:val="1"/>
    <w:docVar w:name="LW_CROSSREFERENCE" w:val="&lt;UNUSED&gt;"/>
    <w:docVar w:name="LW_DocType" w:val="COM"/>
    <w:docVar w:name="LW_EMISSION" w:val="8.10.2020"/>
    <w:docVar w:name="LW_EMISSION_ISODATE" w:val="2020-10-08"/>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85"/>
    <w:docVar w:name="LW_REF.II.NEW.CP_YEAR" w:val="2020"/>
    <w:docVar w:name="LW_REF.INST.NEW" w:val="COM"/>
    <w:docVar w:name="LW_REF.INST.NEW_ADOPTED" w:val="final"/>
    <w:docVar w:name="LW_REF.INST.NEW_TEXT" w:val="(2020)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Förslag till"/>
    <w:docVar w:name="LW_STATUT.CP" w:val="Förslag till"/>
    <w:docVar w:name="LW_SUPERTITRE" w:val="&lt;UNUSED&gt;"/>
    <w:docVar w:name="LW_TITRE.OBJ" w:val="om den ståndpunkt som ska intas på Europeiska unionens vägnar i den gemensamma rådgivande arbetsgrupp som inrättats genom avtalet om Förenade konungariket Storbritannien och Nordirlands utträde ur Europeiska unionen och Europeiska atomenergigemenskapen vad gäller antagandet av dess arbetsordning"/>
    <w:docVar w:name="LW_TITRE.OBJ.CP" w:val="om den ståndpunkt som ska intas på Europeiska unionens vägnar i den gemensamma rådgivande arbetsgrupp som inrättats genom avtalet om Förenade konungariket Storbritannien och Nordirlands utträde ur Europeiska unionen och Europeiska atomenergigemenskapen vad gäller antagandet av dess arbetsordning"/>
    <w:docVar w:name="LW_TYPE.DOC" w:val="RÅDETS BESLU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li">
    <w:name w:val="li"/>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ext10">
    <w:name w:val="text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li">
    <w:name w:val="li"/>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ext10">
    <w:name w:val="text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735">
      <w:bodyDiv w:val="1"/>
      <w:marLeft w:val="0"/>
      <w:marRight w:val="0"/>
      <w:marTop w:val="0"/>
      <w:marBottom w:val="0"/>
      <w:divBdr>
        <w:top w:val="none" w:sz="0" w:space="0" w:color="auto"/>
        <w:left w:val="none" w:sz="0" w:space="0" w:color="auto"/>
        <w:bottom w:val="none" w:sz="0" w:space="0" w:color="auto"/>
        <w:right w:val="none" w:sz="0" w:space="0" w:color="auto"/>
      </w:divBdr>
    </w:div>
    <w:div w:id="491677766">
      <w:bodyDiv w:val="1"/>
      <w:marLeft w:val="0"/>
      <w:marRight w:val="0"/>
      <w:marTop w:val="0"/>
      <w:marBottom w:val="0"/>
      <w:divBdr>
        <w:top w:val="none" w:sz="0" w:space="0" w:color="auto"/>
        <w:left w:val="none" w:sz="0" w:space="0" w:color="auto"/>
        <w:bottom w:val="none" w:sz="0" w:space="0" w:color="auto"/>
        <w:right w:val="none" w:sz="0" w:space="0" w:color="auto"/>
      </w:divBdr>
    </w:div>
    <w:div w:id="586767371">
      <w:bodyDiv w:val="1"/>
      <w:marLeft w:val="0"/>
      <w:marRight w:val="0"/>
      <w:marTop w:val="0"/>
      <w:marBottom w:val="0"/>
      <w:divBdr>
        <w:top w:val="none" w:sz="0" w:space="0" w:color="auto"/>
        <w:left w:val="none" w:sz="0" w:space="0" w:color="auto"/>
        <w:bottom w:val="none" w:sz="0" w:space="0" w:color="auto"/>
        <w:right w:val="none" w:sz="0" w:space="0" w:color="auto"/>
      </w:divBdr>
    </w:div>
    <w:div w:id="2125465607">
      <w:bodyDiv w:val="1"/>
      <w:marLeft w:val="0"/>
      <w:marRight w:val="0"/>
      <w:marTop w:val="0"/>
      <w:marBottom w:val="0"/>
      <w:divBdr>
        <w:top w:val="none" w:sz="0" w:space="0" w:color="auto"/>
        <w:left w:val="none" w:sz="0" w:space="0" w:color="auto"/>
        <w:bottom w:val="none" w:sz="0" w:space="0" w:color="auto"/>
        <w:right w:val="none" w:sz="0" w:space="0" w:color="auto"/>
      </w:divBdr>
      <w:divsChild>
        <w:div w:id="240721211">
          <w:marLeft w:val="0"/>
          <w:marRight w:val="0"/>
          <w:marTop w:val="0"/>
          <w:marBottom w:val="0"/>
          <w:divBdr>
            <w:top w:val="none" w:sz="0" w:space="0" w:color="auto"/>
            <w:left w:val="none" w:sz="0" w:space="0" w:color="auto"/>
            <w:bottom w:val="none" w:sz="0" w:space="0" w:color="auto"/>
            <w:right w:val="none" w:sz="0" w:space="0" w:color="auto"/>
          </w:divBdr>
          <w:divsChild>
            <w:div w:id="3586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V/TXT/?uri=uriserv:OJ.L_.2020.029.01.0007.01.ENG&amp;toc=OJ:L:2020:029: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677B-BA36-4FAF-AAB3-F9D18EE9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2459</Words>
  <Characters>15787</Characters>
  <Application>Microsoft Office Word</Application>
  <DocSecurity>0</DocSecurity>
  <Lines>315</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2020-10-07T14:43:00Z</dcterms:created>
  <dcterms:modified xsi:type="dcterms:W3CDTF">2020-10-08T06:11:00Z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SJ-043</vt:lpwstr>
  </property>
  <property fmtid="{D5CDD505-2E9C-101B-9397-08002B2CF9AE}" pid="7" name="DQCStatus">
    <vt:lpwstr>Green (DQC version 03)</vt:lpwstr>
  </property>
  <property fmtid="{D5CDD505-2E9C-101B-9397-08002B2CF9AE}" pid="8" name="Category">
    <vt:lpwstr>COM/PL/ORG</vt:lpwstr>
  </property>
</Properties>
</file>