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EA148642-CA77-4F49-A773-0B3A350D4BD0" style="width:450.8pt;height:348.1pt">
            <v:imagedata r:id="rId9" o:title=""/>
          </v:shape>
        </w:pict>
      </w:r>
    </w:p>
    <w:bookmarkEnd w:id="0"/>
    <w:p>
      <w:pPr>
        <w:rPr>
          <w:noProof/>
          <w:lang w:val="fr-BE"/>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jc w:val="center"/>
        <w:rPr>
          <w:b/>
          <w:noProof/>
        </w:rPr>
      </w:pPr>
      <w:bookmarkStart w:id="1" w:name="_GoBack"/>
      <w:bookmarkEnd w:id="1"/>
      <w:r>
        <w:rPr>
          <w:b/>
          <w:noProof/>
        </w:rPr>
        <w:lastRenderedPageBreak/>
        <w:t>INFORME DE LA COMISIÓN AL CONSEJO Y AL PARLAMENTO EUROPEO</w:t>
      </w:r>
    </w:p>
    <w:p>
      <w:pPr>
        <w:jc w:val="center"/>
        <w:rPr>
          <w:b/>
          <w:noProof/>
        </w:rPr>
      </w:pPr>
      <w:r>
        <w:rPr>
          <w:b/>
          <w:noProof/>
        </w:rPr>
        <w:t>sobre la aplicación efectuada por las instituciones, en 2018, de los Reglamentos del Consejo n.º 495/77, modificado en último lugar por el Reglamento n.º 1945/2006 (sobre obligaciones especiales), n.º 858/2004 (sobre condiciones de trabajo penosas) y n.º 300/76, modificado en último lugar por el Reglamento n.º 1873/2006 del Consejo (sobre el servicio continuo o por turnos)</w:t>
      </w:r>
    </w:p>
    <w:p>
      <w:pPr>
        <w:jc w:val="center"/>
        <w:rPr>
          <w:b/>
          <w:noProof/>
        </w:rPr>
      </w:pPr>
    </w:p>
    <w:p>
      <w:pPr>
        <w:pStyle w:val="Heading1"/>
        <w:numPr>
          <w:ilvl w:val="0"/>
          <w:numId w:val="0"/>
        </w:numPr>
        <w:spacing w:before="0" w:after="0"/>
        <w:ind w:left="850"/>
        <w:rPr>
          <w:noProof/>
        </w:rPr>
      </w:pPr>
      <w:r>
        <w:rPr>
          <w:noProof/>
        </w:rPr>
        <w:t>1.</w:t>
      </w:r>
      <w:r>
        <w:rPr>
          <w:noProof/>
        </w:rPr>
        <w:tab/>
        <w:t>Introducción</w:t>
      </w:r>
    </w:p>
    <w:p>
      <w:pPr>
        <w:rPr>
          <w:noProof/>
        </w:rPr>
      </w:pPr>
      <w:r>
        <w:rPr>
          <w:noProof/>
        </w:rPr>
        <w:t>Los Reglamentos del Consejo sobre obligaciones especiales (n.º 495/77) y sobre condiciones de trabajo penosas (n.º 858/2004) obligan a la Comisión a presentar todos los años al Consejo un informe sobre el número de funcionarios y otros agentes, por categorías, que reciben las indemnizaciones contempladas en los respectivos Reglamentos y sobre el importe total de los gastos correspondientes.</w:t>
      </w:r>
    </w:p>
    <w:p>
      <w:pPr>
        <w:rPr>
          <w:noProof/>
        </w:rPr>
      </w:pPr>
      <w:r>
        <w:rPr>
          <w:noProof/>
        </w:rPr>
        <w:t>El presente informe se basa en las últimas cifras anuales completas disponibles en el momento de su elaboración y se refiere al ejercicio 2018. Incluye todas las instituciones y recoge igualmente, con fines de exhaustividad, datos similares sobre el servicio continuo o por turnos (Reglamento n.º 300/76 del Consejo).</w:t>
      </w:r>
    </w:p>
    <w:p>
      <w:pPr>
        <w:pStyle w:val="Heading1"/>
        <w:numPr>
          <w:ilvl w:val="0"/>
          <w:numId w:val="0"/>
        </w:numPr>
        <w:spacing w:before="0" w:after="0"/>
        <w:ind w:left="850"/>
        <w:rPr>
          <w:bCs w:val="0"/>
          <w:noProof/>
        </w:rPr>
      </w:pPr>
      <w:r>
        <w:rPr>
          <w:noProof/>
        </w:rPr>
        <w:t>2.</w:t>
      </w:r>
      <w:r>
        <w:rPr>
          <w:noProof/>
        </w:rPr>
        <w:tab/>
        <w:t>Indemnización por obligaciones especiales</w:t>
      </w:r>
    </w:p>
    <w:p>
      <w:pPr>
        <w:rPr>
          <w:noProof/>
        </w:rPr>
      </w:pPr>
      <w:r>
        <w:rPr>
          <w:noProof/>
        </w:rPr>
        <w:t xml:space="preserve">Las bases jurídicas de esta indemnización son los artículos 55 y 56 </w:t>
      </w:r>
      <w:r>
        <w:rPr>
          <w:i/>
          <w:noProof/>
        </w:rPr>
        <w:t>ter</w:t>
      </w:r>
      <w:r>
        <w:rPr>
          <w:noProof/>
        </w:rPr>
        <w:t xml:space="preserve"> del Estatuto, así como el Reglamento n.º 495/77 del Consejo, de 8 de marzo de 1977, en su versión modificada.</w:t>
      </w:r>
    </w:p>
    <w:p>
      <w:pPr>
        <w:spacing w:after="0"/>
        <w:rPr>
          <w:noProof/>
        </w:rPr>
      </w:pPr>
      <w:r>
        <w:rPr>
          <w:noProof/>
        </w:rPr>
        <w:t>El pago de la indemnización se limita a funcionarios y otros agentes retribuidos con cargo a los créditos de investigación y destinados en:</w:t>
      </w:r>
    </w:p>
    <w:p>
      <w:pPr>
        <w:pStyle w:val="Tiret1"/>
        <w:numPr>
          <w:ilvl w:val="0"/>
          <w:numId w:val="24"/>
        </w:numPr>
        <w:spacing w:before="0" w:after="0"/>
        <w:ind w:left="1418"/>
        <w:rPr>
          <w:noProof/>
        </w:rPr>
      </w:pPr>
      <w:r>
        <w:rPr>
          <w:noProof/>
        </w:rPr>
        <w:t xml:space="preserve">un establecimiento del Centro Común de Investigación (JRC), o </w:t>
      </w:r>
    </w:p>
    <w:p>
      <w:pPr>
        <w:pStyle w:val="Tiret1"/>
        <w:numPr>
          <w:ilvl w:val="0"/>
          <w:numId w:val="25"/>
        </w:numPr>
        <w:spacing w:before="0" w:after="0"/>
        <w:ind w:left="1418"/>
        <w:rPr>
          <w:noProof/>
        </w:rPr>
      </w:pPr>
      <w:r>
        <w:rPr>
          <w:noProof/>
        </w:rPr>
        <w:t>acciones indirectas, o</w:t>
      </w:r>
    </w:p>
    <w:p>
      <w:pPr>
        <w:spacing w:after="0"/>
        <w:rPr>
          <w:noProof/>
        </w:rPr>
      </w:pPr>
      <w:r>
        <w:rPr>
          <w:noProof/>
        </w:rPr>
        <w:t>retribuidos con cargo a los créditos de funcionamiento y destinados en:</w:t>
      </w:r>
    </w:p>
    <w:p>
      <w:pPr>
        <w:pStyle w:val="Tiret1"/>
        <w:numPr>
          <w:ilvl w:val="0"/>
          <w:numId w:val="25"/>
        </w:numPr>
        <w:spacing w:before="0" w:after="0"/>
        <w:ind w:left="1418"/>
        <w:rPr>
          <w:noProof/>
        </w:rPr>
      </w:pPr>
      <w:r>
        <w:rPr>
          <w:noProof/>
        </w:rPr>
        <w:t>un puesto de desempeño de funciones de manejo o vigilancia de instalaciones técnicas,</w:t>
      </w:r>
    </w:p>
    <w:p>
      <w:pPr>
        <w:pStyle w:val="Tiret1"/>
        <w:numPr>
          <w:ilvl w:val="0"/>
          <w:numId w:val="25"/>
        </w:numPr>
        <w:spacing w:before="0" w:after="0"/>
        <w:ind w:left="1418"/>
        <w:rPr>
          <w:noProof/>
        </w:rPr>
      </w:pPr>
      <w:r>
        <w:rPr>
          <w:noProof/>
        </w:rPr>
        <w:t>un servicio de seguridad,</w:t>
      </w:r>
    </w:p>
    <w:p>
      <w:pPr>
        <w:pStyle w:val="Tiret1"/>
        <w:numPr>
          <w:ilvl w:val="0"/>
          <w:numId w:val="25"/>
        </w:numPr>
        <w:spacing w:before="0" w:after="0"/>
        <w:ind w:left="1418"/>
        <w:rPr>
          <w:noProof/>
        </w:rPr>
      </w:pPr>
      <w:r>
        <w:rPr>
          <w:noProof/>
        </w:rPr>
        <w:t>un servicio de tecnologías de la información y de la comunicación (TIC),</w:t>
      </w:r>
    </w:p>
    <w:p>
      <w:pPr>
        <w:pStyle w:val="Tiret1"/>
        <w:numPr>
          <w:ilvl w:val="0"/>
          <w:numId w:val="25"/>
        </w:numPr>
        <w:spacing w:before="0" w:after="0"/>
        <w:ind w:left="1418"/>
        <w:rPr>
          <w:noProof/>
        </w:rPr>
      </w:pPr>
      <w:r>
        <w:rPr>
          <w:noProof/>
        </w:rPr>
        <w:t>un servicio de apoyo a la Política Exterior y de Seguridad Común (PESC) o a la Política Europea de Seguridad y Defensa (PCSD), o al dispositivo para la coordinación de situaciones de emergencia y de crisis, o</w:t>
      </w:r>
    </w:p>
    <w:p>
      <w:pPr>
        <w:pStyle w:val="Tiret1"/>
        <w:numPr>
          <w:ilvl w:val="0"/>
          <w:numId w:val="25"/>
        </w:numPr>
        <w:spacing w:before="0"/>
        <w:rPr>
          <w:noProof/>
        </w:rPr>
      </w:pPr>
      <w:r>
        <w:rPr>
          <w:noProof/>
        </w:rPr>
        <w:t>un dispositivo creado para prestar asistencia a los Estados miembros 24 horas al día y 7 días a la semana («EM 24/7») en el marco de la coordinación en casos de urgencia o crisis o en servicios en los que se haya demostrado fehacientemente la necesidad de desempeñar determinadas tareas para garantizar un mecanismo de asistencia a los Estados miembros.</w:t>
      </w:r>
    </w:p>
    <w:p>
      <w:pPr>
        <w:rPr>
          <w:noProof/>
        </w:rPr>
      </w:pPr>
      <w:r>
        <w:rPr>
          <w:noProof/>
        </w:rPr>
        <w:t>La indemnización por obligaciones especiales se expresa en puntos. El número de puntos concedidos por hora de disponibilidad efectivamente cumplida se fija del siguiente modo:</w:t>
      </w:r>
    </w:p>
    <w:p>
      <w:pPr>
        <w:pStyle w:val="Tiret1"/>
        <w:numPr>
          <w:ilvl w:val="0"/>
          <w:numId w:val="25"/>
        </w:numPr>
        <w:spacing w:before="0" w:after="0"/>
        <w:ind w:left="1418"/>
        <w:rPr>
          <w:noProof/>
        </w:rPr>
      </w:pPr>
      <w:r>
        <w:rPr>
          <w:noProof/>
        </w:rPr>
        <w:t>disponibilidad en el domicilio, días laborables: 2,15 puntos;</w:t>
      </w:r>
    </w:p>
    <w:p>
      <w:pPr>
        <w:pStyle w:val="Tiret1"/>
        <w:numPr>
          <w:ilvl w:val="0"/>
          <w:numId w:val="25"/>
        </w:numPr>
        <w:spacing w:before="0" w:after="0"/>
        <w:ind w:left="1418"/>
        <w:rPr>
          <w:noProof/>
        </w:rPr>
      </w:pPr>
      <w:r>
        <w:rPr>
          <w:noProof/>
        </w:rPr>
        <w:t>disponibilidad en el domicilio, fines de semana y días festivos: 4,3 puntos;</w:t>
      </w:r>
    </w:p>
    <w:p>
      <w:pPr>
        <w:pStyle w:val="Tiret1"/>
        <w:numPr>
          <w:ilvl w:val="0"/>
          <w:numId w:val="25"/>
        </w:numPr>
        <w:spacing w:before="0" w:after="0"/>
        <w:ind w:left="1418"/>
        <w:rPr>
          <w:noProof/>
        </w:rPr>
      </w:pPr>
      <w:r>
        <w:rPr>
          <w:noProof/>
        </w:rPr>
        <w:t>disponibilidad en el lugar de trabajo, días laborables: 11 puntos;</w:t>
      </w:r>
    </w:p>
    <w:p>
      <w:pPr>
        <w:pStyle w:val="Tiret1"/>
        <w:numPr>
          <w:ilvl w:val="0"/>
          <w:numId w:val="25"/>
        </w:numPr>
        <w:spacing w:before="0" w:after="0"/>
        <w:ind w:left="1418"/>
        <w:rPr>
          <w:noProof/>
        </w:rPr>
      </w:pPr>
      <w:r>
        <w:rPr>
          <w:noProof/>
        </w:rPr>
        <w:lastRenderedPageBreak/>
        <w:t>disponibilidad en el lugar de trabajo, fines de semana y días festivos: 22 puntos.</w:t>
      </w:r>
    </w:p>
    <w:p>
      <w:pPr>
        <w:rPr>
          <w:noProof/>
        </w:rPr>
      </w:pPr>
      <w:r>
        <w:rPr>
          <w:noProof/>
        </w:rPr>
        <w:t>Cada punto equivale a un 0,032 % del sueldo base de un funcionario de grado 1, escalón 1 (equivalente a 0,93 EUR en 2018).</w:t>
      </w:r>
    </w:p>
    <w:p>
      <w:pPr>
        <w:spacing w:after="0"/>
        <w:rPr>
          <w:noProof/>
        </w:rPr>
      </w:pPr>
      <w:r>
        <w:rPr>
          <w:noProof/>
        </w:rPr>
        <w:t>Las siguientes cifras indican el número de indemnizaciones concedidas por cada institución en el año 2018.</w:t>
      </w:r>
    </w:p>
    <w:p>
      <w:pPr>
        <w:spacing w:before="0" w:after="0"/>
        <w:rPr>
          <w:noProof/>
        </w:rPr>
      </w:pPr>
    </w:p>
    <w:p>
      <w:pPr>
        <w:pStyle w:val="Heading2"/>
        <w:numPr>
          <w:ilvl w:val="0"/>
          <w:numId w:val="0"/>
        </w:numPr>
        <w:spacing w:before="0" w:after="0"/>
        <w:rPr>
          <w:noProof/>
        </w:rPr>
      </w:pPr>
      <w:r>
        <w:rPr>
          <w:noProof/>
        </w:rPr>
        <w:t>2.1.</w:t>
      </w:r>
      <w:r>
        <w:rPr>
          <w:noProof/>
        </w:rPr>
        <w:tab/>
        <w:t>Número de beneficiarios (funcionarios/agentes temporales y agentes contractuales)</w:t>
      </w:r>
      <w:r>
        <w:rPr>
          <w:rStyle w:val="FootnoteReference"/>
          <w:noProof/>
          <w:lang w:val="fr-BE"/>
        </w:rPr>
        <w:footnoteReference w:id="1"/>
      </w:r>
      <w:r>
        <w:rPr>
          <w:noProof/>
        </w:rPr>
        <w:t>:</w:t>
      </w:r>
    </w:p>
    <w:tbl>
      <w:tblPr>
        <w:tblW w:w="9067" w:type="dxa"/>
        <w:tblInd w:w="113" w:type="dxa"/>
        <w:tblLook w:val="04A0" w:firstRow="1" w:lastRow="0" w:firstColumn="1" w:lastColumn="0" w:noHBand="0" w:noVBand="1"/>
      </w:tblPr>
      <w:tblGrid>
        <w:gridCol w:w="2122"/>
        <w:gridCol w:w="1134"/>
        <w:gridCol w:w="1134"/>
        <w:gridCol w:w="1103"/>
        <w:gridCol w:w="960"/>
        <w:gridCol w:w="960"/>
        <w:gridCol w:w="804"/>
        <w:gridCol w:w="850"/>
      </w:tblGrid>
      <w:tr>
        <w:trPr>
          <w:trHeight w:val="313"/>
        </w:trPr>
        <w:tc>
          <w:tcPr>
            <w:tcW w:w="2122" w:type="dxa"/>
            <w:vMerge w:val="restart"/>
            <w:tcBorders>
              <w:top w:val="single" w:sz="4" w:space="0" w:color="auto"/>
              <w:left w:val="single" w:sz="4" w:space="0" w:color="auto"/>
              <w:bottom w:val="single" w:sz="4" w:space="0" w:color="000000"/>
              <w:right w:val="single" w:sz="4" w:space="0" w:color="auto"/>
            </w:tcBorders>
            <w:shd w:val="clear" w:color="auto" w:fill="auto"/>
            <w:hideMark/>
          </w:tcPr>
          <w:p>
            <w:pPr>
              <w:spacing w:before="0" w:after="0"/>
              <w:jc w:val="center"/>
              <w:rPr>
                <w:rFonts w:ascii="Arial" w:hAnsi="Arial" w:cs="Arial"/>
                <w:b/>
                <w:bCs/>
                <w:noProof/>
                <w:sz w:val="20"/>
                <w:szCs w:val="20"/>
              </w:rPr>
            </w:pPr>
            <w:r>
              <w:rPr>
                <w:rFonts w:ascii="Arial" w:hAnsi="Arial"/>
                <w:b/>
                <w:bCs/>
                <w:noProof/>
                <w:sz w:val="20"/>
                <w:szCs w:val="20"/>
              </w:rPr>
              <w:t>Institución</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pPr>
              <w:spacing w:before="0" w:after="0"/>
              <w:jc w:val="center"/>
              <w:rPr>
                <w:rFonts w:ascii="Arial" w:hAnsi="Arial" w:cs="Arial"/>
                <w:b/>
                <w:bCs/>
                <w:noProof/>
                <w:sz w:val="20"/>
                <w:szCs w:val="20"/>
              </w:rPr>
            </w:pPr>
            <w:r>
              <w:rPr>
                <w:rFonts w:ascii="Arial" w:hAnsi="Arial"/>
                <w:b/>
                <w:bCs/>
                <w:noProof/>
                <w:sz w:val="20"/>
                <w:szCs w:val="20"/>
              </w:rPr>
              <w:t>AD</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pPr>
              <w:spacing w:before="0" w:after="0"/>
              <w:jc w:val="center"/>
              <w:rPr>
                <w:rFonts w:ascii="Arial" w:hAnsi="Arial" w:cs="Arial"/>
                <w:b/>
                <w:bCs/>
                <w:noProof/>
                <w:sz w:val="20"/>
                <w:szCs w:val="20"/>
              </w:rPr>
            </w:pPr>
            <w:r>
              <w:rPr>
                <w:rFonts w:ascii="Arial" w:hAnsi="Arial"/>
                <w:b/>
                <w:bCs/>
                <w:noProof/>
                <w:sz w:val="20"/>
                <w:szCs w:val="20"/>
              </w:rPr>
              <w:t>AST/SC</w:t>
            </w:r>
          </w:p>
        </w:tc>
        <w:tc>
          <w:tcPr>
            <w:tcW w:w="3827" w:type="dxa"/>
            <w:gridSpan w:val="4"/>
            <w:tcBorders>
              <w:top w:val="single" w:sz="4" w:space="0" w:color="auto"/>
              <w:left w:val="nil"/>
              <w:bottom w:val="single" w:sz="4" w:space="0" w:color="auto"/>
              <w:right w:val="single" w:sz="4" w:space="0" w:color="auto"/>
            </w:tcBorders>
            <w:shd w:val="clear" w:color="auto" w:fill="auto"/>
            <w:hideMark/>
          </w:tcPr>
          <w:p>
            <w:pPr>
              <w:spacing w:before="0" w:after="0"/>
              <w:jc w:val="center"/>
              <w:rPr>
                <w:rFonts w:ascii="Arial" w:hAnsi="Arial" w:cs="Arial"/>
                <w:b/>
                <w:bCs/>
                <w:noProof/>
                <w:sz w:val="20"/>
                <w:szCs w:val="20"/>
              </w:rPr>
            </w:pPr>
            <w:r>
              <w:rPr>
                <w:rFonts w:ascii="Arial" w:hAnsi="Arial"/>
                <w:b/>
                <w:bCs/>
                <w:noProof/>
                <w:sz w:val="20"/>
                <w:szCs w:val="20"/>
              </w:rPr>
              <w:t>AC</w:t>
            </w:r>
          </w:p>
        </w:tc>
        <w:tc>
          <w:tcPr>
            <w:tcW w:w="850" w:type="dxa"/>
            <w:vMerge w:val="restart"/>
            <w:tcBorders>
              <w:top w:val="single" w:sz="8" w:space="0" w:color="auto"/>
              <w:left w:val="single" w:sz="8" w:space="0" w:color="auto"/>
              <w:bottom w:val="single" w:sz="4" w:space="0" w:color="auto"/>
              <w:right w:val="single" w:sz="8" w:space="0" w:color="auto"/>
            </w:tcBorders>
            <w:shd w:val="clear" w:color="auto" w:fill="auto"/>
            <w:hideMark/>
          </w:tcPr>
          <w:p>
            <w:pPr>
              <w:spacing w:before="0" w:after="0"/>
              <w:jc w:val="center"/>
              <w:rPr>
                <w:rFonts w:ascii="Arial" w:hAnsi="Arial" w:cs="Arial"/>
                <w:b/>
                <w:bCs/>
                <w:noProof/>
                <w:color w:val="000000"/>
                <w:sz w:val="20"/>
                <w:szCs w:val="20"/>
              </w:rPr>
            </w:pPr>
            <w:r>
              <w:rPr>
                <w:rFonts w:ascii="Arial" w:hAnsi="Arial"/>
                <w:b/>
                <w:bCs/>
                <w:noProof/>
                <w:color w:val="000000"/>
                <w:sz w:val="20"/>
                <w:szCs w:val="20"/>
              </w:rPr>
              <w:t xml:space="preserve">Total </w:t>
            </w:r>
          </w:p>
        </w:tc>
      </w:tr>
      <w:tr>
        <w:trPr>
          <w:trHeight w:val="335"/>
        </w:trPr>
        <w:tc>
          <w:tcPr>
            <w:tcW w:w="2122"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ascii="Arial" w:hAnsi="Arial" w:cs="Arial"/>
                <w:b/>
                <w:bCs/>
                <w:noProof/>
                <w:sz w:val="20"/>
                <w:szCs w:val="20"/>
                <w:lang w:eastAsia="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ascii="Arial" w:hAnsi="Arial" w:cs="Arial"/>
                <w:b/>
                <w:bCs/>
                <w:noProof/>
                <w:sz w:val="20"/>
                <w:szCs w:val="20"/>
                <w:lang w:eastAsia="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ascii="Arial" w:hAnsi="Arial" w:cs="Arial"/>
                <w:b/>
                <w:bCs/>
                <w:noProof/>
                <w:sz w:val="20"/>
                <w:szCs w:val="20"/>
                <w:lang w:eastAsia="en-GB"/>
              </w:rPr>
            </w:pPr>
          </w:p>
        </w:tc>
        <w:tc>
          <w:tcPr>
            <w:tcW w:w="1103" w:type="dxa"/>
            <w:tcBorders>
              <w:top w:val="nil"/>
              <w:left w:val="nil"/>
              <w:bottom w:val="single" w:sz="4" w:space="0" w:color="auto"/>
              <w:right w:val="single" w:sz="4" w:space="0" w:color="auto"/>
            </w:tcBorders>
            <w:shd w:val="clear" w:color="auto" w:fill="auto"/>
            <w:hideMark/>
          </w:tcPr>
          <w:p>
            <w:pPr>
              <w:spacing w:before="0" w:after="0"/>
              <w:rPr>
                <w:rFonts w:ascii="Arial" w:hAnsi="Arial" w:cs="Arial"/>
                <w:b/>
                <w:bCs/>
                <w:noProof/>
                <w:sz w:val="20"/>
                <w:szCs w:val="20"/>
              </w:rPr>
            </w:pPr>
            <w:r>
              <w:rPr>
                <w:rFonts w:ascii="Arial" w:hAnsi="Arial"/>
                <w:b/>
                <w:bCs/>
                <w:noProof/>
                <w:sz w:val="20"/>
                <w:szCs w:val="20"/>
              </w:rPr>
              <w:t>GF I</w:t>
            </w:r>
          </w:p>
        </w:tc>
        <w:tc>
          <w:tcPr>
            <w:tcW w:w="960" w:type="dxa"/>
            <w:tcBorders>
              <w:top w:val="nil"/>
              <w:left w:val="nil"/>
              <w:bottom w:val="single" w:sz="4" w:space="0" w:color="auto"/>
              <w:right w:val="single" w:sz="4" w:space="0" w:color="auto"/>
            </w:tcBorders>
            <w:shd w:val="clear" w:color="auto" w:fill="auto"/>
            <w:hideMark/>
          </w:tcPr>
          <w:p>
            <w:pPr>
              <w:spacing w:before="0" w:after="0"/>
              <w:rPr>
                <w:rFonts w:ascii="Arial" w:hAnsi="Arial" w:cs="Arial"/>
                <w:b/>
                <w:bCs/>
                <w:noProof/>
                <w:sz w:val="20"/>
                <w:szCs w:val="20"/>
              </w:rPr>
            </w:pPr>
            <w:r>
              <w:rPr>
                <w:rFonts w:ascii="Arial" w:hAnsi="Arial"/>
                <w:b/>
                <w:bCs/>
                <w:noProof/>
                <w:sz w:val="20"/>
                <w:szCs w:val="20"/>
              </w:rPr>
              <w:t>GF II</w:t>
            </w:r>
          </w:p>
        </w:tc>
        <w:tc>
          <w:tcPr>
            <w:tcW w:w="960" w:type="dxa"/>
            <w:tcBorders>
              <w:top w:val="nil"/>
              <w:left w:val="nil"/>
              <w:bottom w:val="single" w:sz="4" w:space="0" w:color="auto"/>
              <w:right w:val="single" w:sz="4" w:space="0" w:color="auto"/>
            </w:tcBorders>
            <w:shd w:val="clear" w:color="auto" w:fill="auto"/>
            <w:hideMark/>
          </w:tcPr>
          <w:p>
            <w:pPr>
              <w:spacing w:before="0" w:after="0"/>
              <w:rPr>
                <w:rFonts w:ascii="Arial" w:hAnsi="Arial" w:cs="Arial"/>
                <w:b/>
                <w:bCs/>
                <w:noProof/>
                <w:sz w:val="20"/>
                <w:szCs w:val="20"/>
              </w:rPr>
            </w:pPr>
            <w:r>
              <w:rPr>
                <w:rFonts w:ascii="Arial" w:hAnsi="Arial"/>
                <w:b/>
                <w:bCs/>
                <w:noProof/>
                <w:sz w:val="20"/>
                <w:szCs w:val="20"/>
              </w:rPr>
              <w:t xml:space="preserve">GF III </w:t>
            </w:r>
          </w:p>
        </w:tc>
        <w:tc>
          <w:tcPr>
            <w:tcW w:w="804" w:type="dxa"/>
            <w:tcBorders>
              <w:top w:val="nil"/>
              <w:left w:val="nil"/>
              <w:bottom w:val="single" w:sz="4" w:space="0" w:color="auto"/>
              <w:right w:val="single" w:sz="4" w:space="0" w:color="auto"/>
            </w:tcBorders>
            <w:shd w:val="clear" w:color="auto" w:fill="auto"/>
            <w:hideMark/>
          </w:tcPr>
          <w:p>
            <w:pPr>
              <w:spacing w:before="0" w:after="0"/>
              <w:rPr>
                <w:rFonts w:ascii="Arial" w:hAnsi="Arial" w:cs="Arial"/>
                <w:b/>
                <w:bCs/>
                <w:noProof/>
                <w:sz w:val="20"/>
                <w:szCs w:val="20"/>
              </w:rPr>
            </w:pPr>
            <w:r>
              <w:rPr>
                <w:rFonts w:ascii="Arial" w:hAnsi="Arial"/>
                <w:b/>
                <w:bCs/>
                <w:noProof/>
                <w:sz w:val="20"/>
                <w:szCs w:val="20"/>
              </w:rPr>
              <w:t>GF IV</w:t>
            </w:r>
          </w:p>
        </w:tc>
        <w:tc>
          <w:tcPr>
            <w:tcW w:w="850" w:type="dxa"/>
            <w:vMerge/>
            <w:tcBorders>
              <w:top w:val="single" w:sz="8" w:space="0" w:color="auto"/>
              <w:left w:val="single" w:sz="8" w:space="0" w:color="auto"/>
              <w:bottom w:val="single" w:sz="4" w:space="0" w:color="auto"/>
              <w:right w:val="single" w:sz="8" w:space="0" w:color="auto"/>
            </w:tcBorders>
            <w:vAlign w:val="center"/>
            <w:hideMark/>
          </w:tcPr>
          <w:p>
            <w:pPr>
              <w:spacing w:before="0" w:after="0"/>
              <w:jc w:val="left"/>
              <w:rPr>
                <w:rFonts w:ascii="Arial" w:hAnsi="Arial" w:cs="Arial"/>
                <w:b/>
                <w:bCs/>
                <w:noProof/>
                <w:color w:val="000000"/>
                <w:sz w:val="20"/>
                <w:szCs w:val="20"/>
                <w:lang w:eastAsia="en-GB"/>
              </w:rPr>
            </w:pPr>
          </w:p>
        </w:tc>
      </w:tr>
      <w:tr>
        <w:trPr>
          <w:trHeight w:val="195"/>
        </w:trPr>
        <w:tc>
          <w:tcPr>
            <w:tcW w:w="2122" w:type="dxa"/>
            <w:tcBorders>
              <w:top w:val="nil"/>
              <w:left w:val="single" w:sz="4" w:space="0" w:color="auto"/>
              <w:bottom w:val="single" w:sz="4" w:space="0" w:color="auto"/>
              <w:right w:val="single" w:sz="4" w:space="0" w:color="auto"/>
            </w:tcBorders>
            <w:shd w:val="clear" w:color="000000" w:fill="FFFFFF"/>
            <w:hideMark/>
          </w:tcPr>
          <w:p>
            <w:pPr>
              <w:spacing w:before="0" w:after="0"/>
              <w:jc w:val="left"/>
              <w:rPr>
                <w:rFonts w:ascii="Arial" w:hAnsi="Arial" w:cs="Arial"/>
                <w:noProof/>
                <w:sz w:val="20"/>
                <w:szCs w:val="20"/>
              </w:rPr>
            </w:pPr>
            <w:r>
              <w:rPr>
                <w:rFonts w:ascii="Arial" w:hAnsi="Arial"/>
                <w:noProof/>
                <w:sz w:val="20"/>
                <w:szCs w:val="20"/>
              </w:rPr>
              <w:t>Comisión</w:t>
            </w:r>
          </w:p>
        </w:tc>
        <w:tc>
          <w:tcPr>
            <w:tcW w:w="1134" w:type="dxa"/>
            <w:tcBorders>
              <w:top w:val="nil"/>
              <w:left w:val="nil"/>
              <w:bottom w:val="single" w:sz="4" w:space="0" w:color="auto"/>
              <w:right w:val="single" w:sz="4" w:space="0" w:color="auto"/>
            </w:tcBorders>
            <w:shd w:val="clear" w:color="000000" w:fill="FFFFFF"/>
            <w:hideMark/>
          </w:tcPr>
          <w:p>
            <w:pPr>
              <w:spacing w:before="0" w:after="0"/>
              <w:jc w:val="right"/>
              <w:rPr>
                <w:rFonts w:ascii="Arial" w:hAnsi="Arial" w:cs="Arial"/>
                <w:noProof/>
                <w:sz w:val="20"/>
                <w:szCs w:val="20"/>
              </w:rPr>
            </w:pPr>
            <w:r>
              <w:rPr>
                <w:rFonts w:ascii="Arial" w:hAnsi="Arial"/>
                <w:noProof/>
                <w:sz w:val="20"/>
                <w:szCs w:val="20"/>
              </w:rPr>
              <w:t>120</w:t>
            </w:r>
          </w:p>
        </w:tc>
        <w:tc>
          <w:tcPr>
            <w:tcW w:w="1134" w:type="dxa"/>
            <w:tcBorders>
              <w:top w:val="nil"/>
              <w:left w:val="nil"/>
              <w:bottom w:val="single" w:sz="4" w:space="0" w:color="auto"/>
              <w:right w:val="single" w:sz="4" w:space="0" w:color="auto"/>
            </w:tcBorders>
            <w:shd w:val="clear" w:color="000000" w:fill="FFFFFF"/>
            <w:hideMark/>
          </w:tcPr>
          <w:p>
            <w:pPr>
              <w:spacing w:before="0" w:after="0"/>
              <w:jc w:val="right"/>
              <w:rPr>
                <w:rFonts w:ascii="Arial" w:hAnsi="Arial" w:cs="Arial"/>
                <w:noProof/>
                <w:sz w:val="20"/>
                <w:szCs w:val="20"/>
              </w:rPr>
            </w:pPr>
            <w:r>
              <w:rPr>
                <w:rFonts w:ascii="Arial" w:hAnsi="Arial"/>
                <w:noProof/>
                <w:sz w:val="20"/>
                <w:szCs w:val="20"/>
              </w:rPr>
              <w:t>210,33</w:t>
            </w:r>
          </w:p>
        </w:tc>
        <w:tc>
          <w:tcPr>
            <w:tcW w:w="1103" w:type="dxa"/>
            <w:tcBorders>
              <w:top w:val="nil"/>
              <w:left w:val="nil"/>
              <w:bottom w:val="single" w:sz="4" w:space="0" w:color="auto"/>
              <w:right w:val="nil"/>
            </w:tcBorders>
            <w:shd w:val="clear" w:color="000000" w:fill="FFFFFF"/>
            <w:hideMark/>
          </w:tcPr>
          <w:p>
            <w:pPr>
              <w:spacing w:before="0" w:after="0"/>
              <w:jc w:val="right"/>
              <w:rPr>
                <w:rFonts w:ascii="Arial" w:hAnsi="Arial" w:cs="Arial"/>
                <w:noProof/>
                <w:sz w:val="20"/>
                <w:szCs w:val="20"/>
              </w:rPr>
            </w:pPr>
            <w:r>
              <w:rPr>
                <w:rFonts w:ascii="Arial" w:hAnsi="Arial"/>
                <w:noProof/>
                <w:sz w:val="20"/>
                <w:szCs w:val="20"/>
              </w:rPr>
              <w:t>51,67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right"/>
              <w:rPr>
                <w:rFonts w:ascii="Arial" w:hAnsi="Arial" w:cs="Arial"/>
                <w:noProof/>
                <w:sz w:val="20"/>
                <w:szCs w:val="20"/>
              </w:rPr>
            </w:pPr>
            <w:r>
              <w:rPr>
                <w:rFonts w:ascii="Arial" w:hAnsi="Arial"/>
                <w:noProof/>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Arial" w:hAnsi="Arial" w:cs="Arial"/>
                <w:noProof/>
                <w:sz w:val="20"/>
                <w:szCs w:val="20"/>
              </w:rPr>
            </w:pPr>
            <w:r>
              <w:rPr>
                <w:rFonts w:ascii="Arial" w:hAnsi="Arial"/>
                <w:noProof/>
                <w:sz w:val="20"/>
                <w:szCs w:val="20"/>
              </w:rPr>
              <w:t>16</w:t>
            </w:r>
          </w:p>
        </w:tc>
        <w:tc>
          <w:tcPr>
            <w:tcW w:w="804" w:type="dxa"/>
            <w:tcBorders>
              <w:top w:val="nil"/>
              <w:left w:val="nil"/>
              <w:bottom w:val="single" w:sz="4" w:space="0" w:color="auto"/>
              <w:right w:val="nil"/>
            </w:tcBorders>
            <w:shd w:val="clear" w:color="auto" w:fill="auto"/>
            <w:noWrap/>
            <w:vAlign w:val="bottom"/>
            <w:hideMark/>
          </w:tcPr>
          <w:p>
            <w:pPr>
              <w:spacing w:before="0" w:after="0"/>
              <w:jc w:val="right"/>
              <w:rPr>
                <w:rFonts w:ascii="Arial" w:hAnsi="Arial" w:cs="Arial"/>
                <w:noProof/>
                <w:sz w:val="20"/>
                <w:szCs w:val="20"/>
              </w:rPr>
            </w:pPr>
            <w:r>
              <w:rPr>
                <w:rFonts w:ascii="Arial" w:hAnsi="Arial"/>
                <w:noProof/>
                <w:sz w:val="20"/>
                <w:szCs w:val="20"/>
              </w:rPr>
              <w:t>8</w:t>
            </w:r>
          </w:p>
        </w:tc>
        <w:tc>
          <w:tcPr>
            <w:tcW w:w="850" w:type="dxa"/>
            <w:tcBorders>
              <w:top w:val="single" w:sz="8" w:space="0" w:color="auto"/>
              <w:left w:val="single" w:sz="8" w:space="0" w:color="auto"/>
              <w:bottom w:val="single" w:sz="4" w:space="0" w:color="auto"/>
              <w:right w:val="single" w:sz="8" w:space="0" w:color="auto"/>
            </w:tcBorders>
            <w:shd w:val="clear" w:color="000000" w:fill="FFFFFF"/>
            <w:hideMark/>
          </w:tcPr>
          <w:p>
            <w:pPr>
              <w:spacing w:before="0" w:after="0"/>
              <w:jc w:val="right"/>
              <w:rPr>
                <w:rFonts w:ascii="Arial" w:hAnsi="Arial" w:cs="Arial"/>
                <w:b/>
                <w:noProof/>
                <w:color w:val="000000"/>
                <w:sz w:val="20"/>
                <w:szCs w:val="20"/>
              </w:rPr>
            </w:pPr>
            <w:r>
              <w:rPr>
                <w:rFonts w:ascii="Arial" w:hAnsi="Arial"/>
                <w:b/>
                <w:noProof/>
                <w:color w:val="000000"/>
                <w:sz w:val="20"/>
                <w:szCs w:val="20"/>
              </w:rPr>
              <w:t>416</w:t>
            </w:r>
          </w:p>
        </w:tc>
      </w:tr>
      <w:tr>
        <w:trPr>
          <w:trHeight w:val="154"/>
        </w:trPr>
        <w:tc>
          <w:tcPr>
            <w:tcW w:w="2122" w:type="dxa"/>
            <w:tcBorders>
              <w:top w:val="nil"/>
              <w:left w:val="single" w:sz="4" w:space="0" w:color="auto"/>
              <w:bottom w:val="single" w:sz="4" w:space="0" w:color="auto"/>
              <w:right w:val="single" w:sz="4" w:space="0" w:color="auto"/>
            </w:tcBorders>
            <w:shd w:val="clear" w:color="000000" w:fill="FFFFFF"/>
            <w:hideMark/>
          </w:tcPr>
          <w:p>
            <w:pPr>
              <w:spacing w:before="0" w:after="0"/>
              <w:jc w:val="left"/>
              <w:rPr>
                <w:rFonts w:ascii="Arial" w:hAnsi="Arial" w:cs="Arial"/>
                <w:i/>
                <w:iCs/>
                <w:noProof/>
                <w:color w:val="A5A5A5"/>
                <w:sz w:val="20"/>
                <w:szCs w:val="20"/>
              </w:rPr>
            </w:pPr>
            <w:r>
              <w:rPr>
                <w:rFonts w:ascii="Arial" w:hAnsi="Arial"/>
                <w:i/>
                <w:iCs/>
                <w:noProof/>
                <w:color w:val="A5A5A5"/>
                <w:sz w:val="20"/>
                <w:szCs w:val="20"/>
              </w:rPr>
              <w:t>- incluido el JRC:</w:t>
            </w:r>
          </w:p>
        </w:tc>
        <w:tc>
          <w:tcPr>
            <w:tcW w:w="1134" w:type="dxa"/>
            <w:tcBorders>
              <w:top w:val="nil"/>
              <w:left w:val="nil"/>
              <w:bottom w:val="single" w:sz="4" w:space="0" w:color="auto"/>
              <w:right w:val="single" w:sz="4" w:space="0" w:color="auto"/>
            </w:tcBorders>
            <w:shd w:val="clear" w:color="000000" w:fill="FFFFFF"/>
            <w:hideMark/>
          </w:tcPr>
          <w:p>
            <w:pPr>
              <w:spacing w:before="0" w:after="0"/>
              <w:rPr>
                <w:rFonts w:ascii="Arial" w:hAnsi="Arial" w:cs="Arial"/>
                <w:i/>
                <w:iCs/>
                <w:noProof/>
                <w:color w:val="A5A5A5"/>
                <w:sz w:val="20"/>
                <w:szCs w:val="20"/>
              </w:rPr>
            </w:pPr>
            <w:r>
              <w:rPr>
                <w:rFonts w:ascii="Arial" w:hAnsi="Arial"/>
                <w:i/>
                <w:iCs/>
                <w:noProof/>
                <w:color w:val="A5A5A5"/>
                <w:sz w:val="20"/>
                <w:szCs w:val="20"/>
              </w:rPr>
              <w:t>46</w:t>
            </w:r>
          </w:p>
        </w:tc>
        <w:tc>
          <w:tcPr>
            <w:tcW w:w="1134" w:type="dxa"/>
            <w:tcBorders>
              <w:top w:val="nil"/>
              <w:left w:val="nil"/>
              <w:bottom w:val="single" w:sz="4" w:space="0" w:color="auto"/>
              <w:right w:val="single" w:sz="4" w:space="0" w:color="auto"/>
            </w:tcBorders>
            <w:shd w:val="clear" w:color="000000" w:fill="FFFFFF"/>
            <w:hideMark/>
          </w:tcPr>
          <w:p>
            <w:pPr>
              <w:spacing w:before="0" w:after="0"/>
              <w:rPr>
                <w:rFonts w:ascii="Arial" w:hAnsi="Arial" w:cs="Arial"/>
                <w:i/>
                <w:iCs/>
                <w:noProof/>
                <w:color w:val="A5A5A5"/>
                <w:sz w:val="20"/>
                <w:szCs w:val="20"/>
              </w:rPr>
            </w:pPr>
            <w:r>
              <w:rPr>
                <w:rFonts w:ascii="Arial" w:hAnsi="Arial"/>
                <w:i/>
                <w:iCs/>
                <w:noProof/>
                <w:color w:val="A5A5A5"/>
                <w:sz w:val="20"/>
                <w:szCs w:val="20"/>
              </w:rPr>
              <w:t>81</w:t>
            </w:r>
          </w:p>
        </w:tc>
        <w:tc>
          <w:tcPr>
            <w:tcW w:w="1103" w:type="dxa"/>
            <w:tcBorders>
              <w:top w:val="nil"/>
              <w:left w:val="nil"/>
              <w:bottom w:val="single" w:sz="4" w:space="0" w:color="auto"/>
              <w:right w:val="nil"/>
            </w:tcBorders>
            <w:shd w:val="clear" w:color="000000" w:fill="FFFFFF"/>
            <w:hideMark/>
          </w:tcPr>
          <w:p>
            <w:pPr>
              <w:spacing w:before="0" w:after="0"/>
              <w:rPr>
                <w:rFonts w:ascii="Arial" w:hAnsi="Arial" w:cs="Arial"/>
                <w:i/>
                <w:iCs/>
                <w:noProof/>
                <w:color w:val="A5A5A5"/>
                <w:sz w:val="20"/>
                <w:szCs w:val="20"/>
              </w:rPr>
            </w:pPr>
            <w:r>
              <w:rPr>
                <w:rFonts w:ascii="Arial" w:hAnsi="Arial"/>
                <w:i/>
                <w:iCs/>
                <w:noProof/>
                <w:color w:val="A5A5A5"/>
                <w:sz w:val="20"/>
                <w:szCs w:val="20"/>
              </w:rPr>
              <w:t>19</w:t>
            </w:r>
          </w:p>
        </w:tc>
        <w:tc>
          <w:tcPr>
            <w:tcW w:w="960" w:type="dxa"/>
            <w:tcBorders>
              <w:top w:val="nil"/>
              <w:left w:val="single" w:sz="4" w:space="0" w:color="auto"/>
              <w:bottom w:val="single" w:sz="4" w:space="0" w:color="auto"/>
              <w:right w:val="nil"/>
            </w:tcBorders>
            <w:shd w:val="clear" w:color="000000" w:fill="FFFFFF"/>
            <w:hideMark/>
          </w:tcPr>
          <w:p>
            <w:pPr>
              <w:spacing w:before="0" w:after="0"/>
              <w:rPr>
                <w:rFonts w:ascii="Arial" w:hAnsi="Arial" w:cs="Arial"/>
                <w:i/>
                <w:iCs/>
                <w:noProof/>
                <w:color w:val="A5A5A5"/>
                <w:sz w:val="20"/>
                <w:szCs w:val="20"/>
              </w:rPr>
            </w:pPr>
            <w:r>
              <w:rPr>
                <w:rFonts w:ascii="Arial" w:hAnsi="Arial"/>
                <w:i/>
                <w:iCs/>
                <w:noProof/>
                <w:color w:val="A5A5A5"/>
                <w:sz w:val="20"/>
                <w:szCs w:val="20"/>
              </w:rPr>
              <w:t>0</w:t>
            </w:r>
          </w:p>
        </w:tc>
        <w:tc>
          <w:tcPr>
            <w:tcW w:w="960" w:type="dxa"/>
            <w:tcBorders>
              <w:top w:val="nil"/>
              <w:left w:val="single" w:sz="4" w:space="0" w:color="auto"/>
              <w:bottom w:val="single" w:sz="4" w:space="0" w:color="auto"/>
              <w:right w:val="nil"/>
            </w:tcBorders>
            <w:shd w:val="clear" w:color="000000" w:fill="FFFFFF"/>
            <w:hideMark/>
          </w:tcPr>
          <w:p>
            <w:pPr>
              <w:spacing w:before="0" w:after="0"/>
              <w:rPr>
                <w:rFonts w:ascii="Arial" w:hAnsi="Arial" w:cs="Arial"/>
                <w:i/>
                <w:iCs/>
                <w:noProof/>
                <w:color w:val="A5A5A5"/>
                <w:sz w:val="20"/>
                <w:szCs w:val="20"/>
              </w:rPr>
            </w:pPr>
            <w:r>
              <w:rPr>
                <w:rFonts w:ascii="Arial" w:hAnsi="Arial"/>
                <w:i/>
                <w:iCs/>
                <w:noProof/>
                <w:color w:val="A5A5A5"/>
                <w:sz w:val="20"/>
                <w:szCs w:val="20"/>
              </w:rPr>
              <w:t>1</w:t>
            </w:r>
          </w:p>
        </w:tc>
        <w:tc>
          <w:tcPr>
            <w:tcW w:w="804" w:type="dxa"/>
            <w:tcBorders>
              <w:top w:val="nil"/>
              <w:left w:val="single" w:sz="4" w:space="0" w:color="auto"/>
              <w:bottom w:val="single" w:sz="4" w:space="0" w:color="auto"/>
              <w:right w:val="nil"/>
            </w:tcBorders>
            <w:shd w:val="clear" w:color="000000" w:fill="FFFFFF"/>
            <w:hideMark/>
          </w:tcPr>
          <w:p>
            <w:pPr>
              <w:spacing w:before="0" w:after="0"/>
              <w:rPr>
                <w:rFonts w:ascii="Arial" w:hAnsi="Arial" w:cs="Arial"/>
                <w:i/>
                <w:iCs/>
                <w:noProof/>
                <w:color w:val="A5A5A5"/>
                <w:sz w:val="20"/>
                <w:szCs w:val="20"/>
              </w:rPr>
            </w:pPr>
            <w:r>
              <w:rPr>
                <w:rFonts w:ascii="Arial" w:hAnsi="Arial"/>
                <w:i/>
                <w:iCs/>
                <w:noProof/>
                <w:color w:val="A5A5A5"/>
                <w:sz w:val="20"/>
                <w:szCs w:val="20"/>
              </w:rPr>
              <w:t>3</w:t>
            </w:r>
          </w:p>
        </w:tc>
        <w:tc>
          <w:tcPr>
            <w:tcW w:w="850" w:type="dxa"/>
            <w:tcBorders>
              <w:top w:val="nil"/>
              <w:left w:val="single" w:sz="8" w:space="0" w:color="auto"/>
              <w:bottom w:val="single" w:sz="4" w:space="0" w:color="auto"/>
              <w:right w:val="single" w:sz="8" w:space="0" w:color="auto"/>
            </w:tcBorders>
            <w:shd w:val="clear" w:color="000000" w:fill="FFFFFF"/>
            <w:hideMark/>
          </w:tcPr>
          <w:p>
            <w:pPr>
              <w:spacing w:before="0" w:after="0"/>
              <w:rPr>
                <w:rFonts w:ascii="Arial" w:hAnsi="Arial" w:cs="Arial"/>
                <w:b/>
                <w:i/>
                <w:iCs/>
                <w:noProof/>
                <w:color w:val="A5A5A5"/>
                <w:sz w:val="20"/>
                <w:szCs w:val="20"/>
              </w:rPr>
            </w:pPr>
            <w:r>
              <w:rPr>
                <w:rFonts w:ascii="Arial" w:hAnsi="Arial"/>
                <w:b/>
                <w:i/>
                <w:iCs/>
                <w:noProof/>
                <w:color w:val="A5A5A5"/>
                <w:sz w:val="20"/>
                <w:szCs w:val="20"/>
              </w:rPr>
              <w:t>150</w:t>
            </w:r>
          </w:p>
        </w:tc>
      </w:tr>
      <w:tr>
        <w:trPr>
          <w:trHeight w:val="324"/>
        </w:trPr>
        <w:tc>
          <w:tcPr>
            <w:tcW w:w="2122" w:type="dxa"/>
            <w:tcBorders>
              <w:top w:val="nil"/>
              <w:left w:val="single" w:sz="4" w:space="0" w:color="auto"/>
              <w:bottom w:val="single" w:sz="4" w:space="0" w:color="auto"/>
              <w:right w:val="single" w:sz="4" w:space="0" w:color="auto"/>
            </w:tcBorders>
            <w:shd w:val="clear" w:color="auto" w:fill="auto"/>
            <w:hideMark/>
          </w:tcPr>
          <w:p>
            <w:pPr>
              <w:spacing w:before="0" w:after="0"/>
              <w:jc w:val="left"/>
              <w:rPr>
                <w:rFonts w:ascii="Arial" w:hAnsi="Arial" w:cs="Arial"/>
                <w:noProof/>
                <w:sz w:val="20"/>
                <w:szCs w:val="20"/>
              </w:rPr>
            </w:pPr>
            <w:r>
              <w:rPr>
                <w:rFonts w:ascii="Arial" w:hAnsi="Arial"/>
                <w:noProof/>
                <w:sz w:val="20"/>
                <w:szCs w:val="20"/>
              </w:rPr>
              <w:t>Consejo</w:t>
            </w:r>
          </w:p>
        </w:tc>
        <w:tc>
          <w:tcPr>
            <w:tcW w:w="113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14</w:t>
            </w:r>
          </w:p>
        </w:tc>
        <w:tc>
          <w:tcPr>
            <w:tcW w:w="113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59</w:t>
            </w:r>
          </w:p>
        </w:tc>
        <w:tc>
          <w:tcPr>
            <w:tcW w:w="1103" w:type="dxa"/>
            <w:tcBorders>
              <w:top w:val="nil"/>
              <w:left w:val="nil"/>
              <w:bottom w:val="single" w:sz="4" w:space="0" w:color="auto"/>
              <w:right w:val="nil"/>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Arial" w:hAnsi="Arial" w:cs="Arial"/>
                <w:noProof/>
                <w:sz w:val="20"/>
                <w:szCs w:val="20"/>
              </w:rPr>
            </w:pPr>
            <w:r>
              <w:rPr>
                <w:rFonts w:ascii="Arial" w:hAnsi="Arial"/>
                <w:noProof/>
                <w:sz w:val="20"/>
                <w:szCs w:val="20"/>
              </w:rPr>
              <w:t>0</w:t>
            </w:r>
          </w:p>
        </w:tc>
        <w:tc>
          <w:tcPr>
            <w:tcW w:w="804"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nil"/>
              <w:left w:val="single" w:sz="8" w:space="0" w:color="auto"/>
              <w:bottom w:val="single" w:sz="4" w:space="0" w:color="auto"/>
              <w:right w:val="single" w:sz="8" w:space="0" w:color="auto"/>
            </w:tcBorders>
            <w:shd w:val="clear" w:color="000000" w:fill="FFFFFF"/>
            <w:hideMark/>
          </w:tcPr>
          <w:p>
            <w:pPr>
              <w:spacing w:before="0" w:after="0"/>
              <w:jc w:val="right"/>
              <w:rPr>
                <w:rFonts w:ascii="Arial" w:hAnsi="Arial" w:cs="Arial"/>
                <w:b/>
                <w:noProof/>
                <w:color w:val="000000"/>
                <w:sz w:val="20"/>
                <w:szCs w:val="20"/>
              </w:rPr>
            </w:pPr>
            <w:r>
              <w:rPr>
                <w:rFonts w:ascii="Arial" w:hAnsi="Arial"/>
                <w:b/>
                <w:noProof/>
                <w:color w:val="000000"/>
                <w:sz w:val="20"/>
                <w:szCs w:val="20"/>
              </w:rPr>
              <w:t>77</w:t>
            </w:r>
          </w:p>
        </w:tc>
      </w:tr>
      <w:tr>
        <w:trPr>
          <w:trHeight w:val="324"/>
        </w:trPr>
        <w:tc>
          <w:tcPr>
            <w:tcW w:w="2122" w:type="dxa"/>
            <w:tcBorders>
              <w:top w:val="nil"/>
              <w:left w:val="single" w:sz="4" w:space="0" w:color="auto"/>
              <w:bottom w:val="single" w:sz="4" w:space="0" w:color="auto"/>
              <w:right w:val="single" w:sz="4" w:space="0" w:color="auto"/>
            </w:tcBorders>
            <w:shd w:val="clear" w:color="auto" w:fill="auto"/>
            <w:hideMark/>
          </w:tcPr>
          <w:p>
            <w:pPr>
              <w:spacing w:before="0" w:after="0"/>
              <w:jc w:val="left"/>
              <w:rPr>
                <w:rFonts w:ascii="Arial" w:hAnsi="Arial" w:cs="Arial"/>
                <w:noProof/>
                <w:sz w:val="20"/>
                <w:szCs w:val="20"/>
              </w:rPr>
            </w:pPr>
            <w:r>
              <w:rPr>
                <w:rFonts w:ascii="Arial" w:hAnsi="Arial"/>
                <w:noProof/>
                <w:sz w:val="20"/>
                <w:szCs w:val="20"/>
              </w:rPr>
              <w:t>Parlamento</w:t>
            </w:r>
          </w:p>
        </w:tc>
        <w:tc>
          <w:tcPr>
            <w:tcW w:w="113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103"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80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single" w:sz="8" w:space="0" w:color="auto"/>
              <w:left w:val="single" w:sz="8" w:space="0" w:color="auto"/>
              <w:bottom w:val="single" w:sz="4" w:space="0" w:color="auto"/>
              <w:right w:val="single" w:sz="8" w:space="0" w:color="auto"/>
            </w:tcBorders>
            <w:shd w:val="clear" w:color="000000" w:fill="FFFFFF"/>
            <w:hideMark/>
          </w:tcPr>
          <w:p>
            <w:pPr>
              <w:spacing w:before="0" w:after="0"/>
              <w:jc w:val="right"/>
              <w:rPr>
                <w:rFonts w:ascii="Arial" w:hAnsi="Arial" w:cs="Arial"/>
                <w:b/>
                <w:noProof/>
                <w:color w:val="000000"/>
                <w:sz w:val="20"/>
                <w:szCs w:val="20"/>
              </w:rPr>
            </w:pPr>
            <w:r>
              <w:rPr>
                <w:rFonts w:ascii="Arial" w:hAnsi="Arial"/>
                <w:b/>
                <w:noProof/>
                <w:color w:val="000000"/>
                <w:sz w:val="20"/>
                <w:szCs w:val="20"/>
              </w:rPr>
              <w:t>0</w:t>
            </w:r>
          </w:p>
        </w:tc>
      </w:tr>
      <w:tr>
        <w:trPr>
          <w:trHeight w:val="324"/>
        </w:trPr>
        <w:tc>
          <w:tcPr>
            <w:tcW w:w="2122" w:type="dxa"/>
            <w:tcBorders>
              <w:top w:val="nil"/>
              <w:left w:val="single" w:sz="4" w:space="0" w:color="auto"/>
              <w:bottom w:val="single" w:sz="4" w:space="0" w:color="auto"/>
              <w:right w:val="single" w:sz="4" w:space="0" w:color="auto"/>
            </w:tcBorders>
            <w:shd w:val="clear" w:color="auto" w:fill="auto"/>
            <w:hideMark/>
          </w:tcPr>
          <w:p>
            <w:pPr>
              <w:spacing w:before="0" w:after="0"/>
              <w:jc w:val="left"/>
              <w:rPr>
                <w:rFonts w:ascii="Arial" w:hAnsi="Arial" w:cs="Arial"/>
                <w:noProof/>
                <w:sz w:val="20"/>
                <w:szCs w:val="20"/>
              </w:rPr>
            </w:pPr>
            <w:r>
              <w:rPr>
                <w:rFonts w:ascii="Arial" w:hAnsi="Arial"/>
                <w:noProof/>
                <w:sz w:val="20"/>
                <w:szCs w:val="20"/>
              </w:rPr>
              <w:t>Tribunal de Justicia</w:t>
            </w:r>
          </w:p>
        </w:tc>
        <w:tc>
          <w:tcPr>
            <w:tcW w:w="113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10</w:t>
            </w:r>
          </w:p>
        </w:tc>
        <w:tc>
          <w:tcPr>
            <w:tcW w:w="113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16</w:t>
            </w:r>
          </w:p>
        </w:tc>
        <w:tc>
          <w:tcPr>
            <w:tcW w:w="1103"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1</w:t>
            </w:r>
          </w:p>
        </w:tc>
        <w:tc>
          <w:tcPr>
            <w:tcW w:w="96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80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single" w:sz="8" w:space="0" w:color="auto"/>
              <w:left w:val="single" w:sz="8" w:space="0" w:color="auto"/>
              <w:bottom w:val="single" w:sz="4" w:space="0" w:color="auto"/>
              <w:right w:val="single" w:sz="8" w:space="0" w:color="auto"/>
            </w:tcBorders>
            <w:shd w:val="clear" w:color="000000" w:fill="FFFFFF"/>
            <w:hideMark/>
          </w:tcPr>
          <w:p>
            <w:pPr>
              <w:spacing w:before="0" w:after="0"/>
              <w:jc w:val="right"/>
              <w:rPr>
                <w:rFonts w:ascii="Arial" w:hAnsi="Arial" w:cs="Arial"/>
                <w:b/>
                <w:noProof/>
                <w:color w:val="000000"/>
                <w:sz w:val="20"/>
                <w:szCs w:val="20"/>
              </w:rPr>
            </w:pPr>
            <w:r>
              <w:rPr>
                <w:rFonts w:ascii="Arial" w:hAnsi="Arial"/>
                <w:b/>
                <w:noProof/>
                <w:color w:val="000000"/>
                <w:sz w:val="20"/>
                <w:szCs w:val="20"/>
              </w:rPr>
              <w:t>27</w:t>
            </w:r>
          </w:p>
        </w:tc>
      </w:tr>
      <w:tr>
        <w:trPr>
          <w:trHeight w:val="324"/>
        </w:trPr>
        <w:tc>
          <w:tcPr>
            <w:tcW w:w="2122" w:type="dxa"/>
            <w:tcBorders>
              <w:top w:val="nil"/>
              <w:left w:val="single" w:sz="4" w:space="0" w:color="auto"/>
              <w:bottom w:val="single" w:sz="4" w:space="0" w:color="auto"/>
              <w:right w:val="single" w:sz="4" w:space="0" w:color="auto"/>
            </w:tcBorders>
            <w:shd w:val="clear" w:color="000000" w:fill="FFFFFF"/>
            <w:hideMark/>
          </w:tcPr>
          <w:p>
            <w:pPr>
              <w:spacing w:before="0" w:after="0"/>
              <w:jc w:val="left"/>
              <w:rPr>
                <w:rFonts w:ascii="Arial" w:hAnsi="Arial" w:cs="Arial"/>
                <w:noProof/>
                <w:sz w:val="20"/>
                <w:szCs w:val="20"/>
              </w:rPr>
            </w:pPr>
            <w:r>
              <w:rPr>
                <w:rFonts w:ascii="Arial" w:hAnsi="Arial"/>
                <w:noProof/>
                <w:sz w:val="20"/>
                <w:szCs w:val="20"/>
              </w:rPr>
              <w:t>Tribunal de Cuentas</w:t>
            </w:r>
          </w:p>
        </w:tc>
        <w:tc>
          <w:tcPr>
            <w:tcW w:w="113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103" w:type="dxa"/>
            <w:tcBorders>
              <w:top w:val="nil"/>
              <w:left w:val="nil"/>
              <w:bottom w:val="single" w:sz="4" w:space="0" w:color="auto"/>
              <w:right w:val="nil"/>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17</w:t>
            </w:r>
          </w:p>
        </w:tc>
        <w:tc>
          <w:tcPr>
            <w:tcW w:w="960" w:type="dxa"/>
            <w:tcBorders>
              <w:top w:val="nil"/>
              <w:left w:val="single" w:sz="4" w:space="0" w:color="auto"/>
              <w:bottom w:val="single" w:sz="4" w:space="0" w:color="auto"/>
              <w:right w:val="nil"/>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single" w:sz="4" w:space="0" w:color="auto"/>
              <w:bottom w:val="single" w:sz="4" w:space="0" w:color="auto"/>
              <w:right w:val="nil"/>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804" w:type="dxa"/>
            <w:tcBorders>
              <w:top w:val="nil"/>
              <w:left w:val="single" w:sz="4" w:space="0" w:color="auto"/>
              <w:bottom w:val="single" w:sz="4" w:space="0" w:color="auto"/>
              <w:right w:val="nil"/>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single" w:sz="8" w:space="0" w:color="auto"/>
              <w:left w:val="single" w:sz="8" w:space="0" w:color="auto"/>
              <w:bottom w:val="single" w:sz="4" w:space="0" w:color="auto"/>
              <w:right w:val="single" w:sz="8" w:space="0" w:color="auto"/>
            </w:tcBorders>
            <w:shd w:val="clear" w:color="000000" w:fill="FFFFFF"/>
            <w:hideMark/>
          </w:tcPr>
          <w:p>
            <w:pPr>
              <w:spacing w:before="0" w:after="0"/>
              <w:jc w:val="right"/>
              <w:rPr>
                <w:rFonts w:ascii="Arial" w:hAnsi="Arial" w:cs="Arial"/>
                <w:b/>
                <w:noProof/>
                <w:color w:val="000000"/>
                <w:sz w:val="20"/>
                <w:szCs w:val="20"/>
              </w:rPr>
            </w:pPr>
            <w:r>
              <w:rPr>
                <w:rFonts w:ascii="Arial" w:hAnsi="Arial"/>
                <w:b/>
                <w:noProof/>
                <w:color w:val="000000"/>
                <w:sz w:val="20"/>
                <w:szCs w:val="20"/>
              </w:rPr>
              <w:t>17</w:t>
            </w:r>
          </w:p>
        </w:tc>
      </w:tr>
      <w:tr>
        <w:trPr>
          <w:trHeight w:val="324"/>
        </w:trPr>
        <w:tc>
          <w:tcPr>
            <w:tcW w:w="2122" w:type="dxa"/>
            <w:tcBorders>
              <w:top w:val="nil"/>
              <w:left w:val="single" w:sz="4" w:space="0" w:color="auto"/>
              <w:bottom w:val="single" w:sz="4" w:space="0" w:color="auto"/>
              <w:right w:val="single" w:sz="4" w:space="0" w:color="auto"/>
            </w:tcBorders>
            <w:shd w:val="clear" w:color="000000" w:fill="FFFFFF"/>
            <w:hideMark/>
          </w:tcPr>
          <w:p>
            <w:pPr>
              <w:spacing w:before="0" w:after="0"/>
              <w:jc w:val="left"/>
              <w:rPr>
                <w:rFonts w:ascii="Arial" w:hAnsi="Arial" w:cs="Arial"/>
                <w:noProof/>
                <w:sz w:val="20"/>
                <w:szCs w:val="20"/>
              </w:rPr>
            </w:pPr>
            <w:r>
              <w:rPr>
                <w:rFonts w:ascii="Arial" w:hAnsi="Arial"/>
                <w:noProof/>
                <w:sz w:val="20"/>
                <w:szCs w:val="20"/>
              </w:rPr>
              <w:t>CESE</w:t>
            </w:r>
          </w:p>
        </w:tc>
        <w:tc>
          <w:tcPr>
            <w:tcW w:w="113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2</w:t>
            </w:r>
          </w:p>
        </w:tc>
        <w:tc>
          <w:tcPr>
            <w:tcW w:w="1103"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80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single" w:sz="8" w:space="0" w:color="auto"/>
              <w:left w:val="single" w:sz="8" w:space="0" w:color="auto"/>
              <w:bottom w:val="single" w:sz="4" w:space="0" w:color="auto"/>
              <w:right w:val="single" w:sz="8" w:space="0" w:color="auto"/>
            </w:tcBorders>
            <w:shd w:val="clear" w:color="000000" w:fill="FFFFFF"/>
            <w:hideMark/>
          </w:tcPr>
          <w:p>
            <w:pPr>
              <w:spacing w:before="0" w:after="0"/>
              <w:jc w:val="right"/>
              <w:rPr>
                <w:rFonts w:ascii="Arial" w:hAnsi="Arial" w:cs="Arial"/>
                <w:b/>
                <w:noProof/>
                <w:color w:val="000000"/>
                <w:sz w:val="20"/>
                <w:szCs w:val="20"/>
              </w:rPr>
            </w:pPr>
            <w:r>
              <w:rPr>
                <w:rFonts w:ascii="Arial" w:hAnsi="Arial"/>
                <w:b/>
                <w:noProof/>
                <w:color w:val="000000"/>
                <w:sz w:val="20"/>
                <w:szCs w:val="20"/>
              </w:rPr>
              <w:t>2</w:t>
            </w:r>
          </w:p>
        </w:tc>
      </w:tr>
      <w:tr>
        <w:trPr>
          <w:trHeight w:val="324"/>
        </w:trPr>
        <w:tc>
          <w:tcPr>
            <w:tcW w:w="2122" w:type="dxa"/>
            <w:tcBorders>
              <w:top w:val="nil"/>
              <w:left w:val="single" w:sz="4" w:space="0" w:color="auto"/>
              <w:bottom w:val="single" w:sz="4" w:space="0" w:color="auto"/>
              <w:right w:val="single" w:sz="4" w:space="0" w:color="auto"/>
            </w:tcBorders>
            <w:shd w:val="clear" w:color="auto" w:fill="auto"/>
            <w:hideMark/>
          </w:tcPr>
          <w:p>
            <w:pPr>
              <w:spacing w:before="0" w:after="0"/>
              <w:jc w:val="left"/>
              <w:rPr>
                <w:rFonts w:ascii="Arial" w:hAnsi="Arial" w:cs="Arial"/>
                <w:noProof/>
                <w:sz w:val="20"/>
                <w:szCs w:val="20"/>
              </w:rPr>
            </w:pPr>
            <w:r>
              <w:rPr>
                <w:rFonts w:ascii="Arial" w:hAnsi="Arial"/>
                <w:noProof/>
                <w:sz w:val="20"/>
                <w:szCs w:val="20"/>
              </w:rPr>
              <w:t>CDR</w:t>
            </w:r>
          </w:p>
        </w:tc>
        <w:tc>
          <w:tcPr>
            <w:tcW w:w="113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3</w:t>
            </w:r>
          </w:p>
        </w:tc>
        <w:tc>
          <w:tcPr>
            <w:tcW w:w="1103"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1</w:t>
            </w:r>
          </w:p>
        </w:tc>
        <w:tc>
          <w:tcPr>
            <w:tcW w:w="80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single" w:sz="8" w:space="0" w:color="auto"/>
              <w:left w:val="single" w:sz="8" w:space="0" w:color="auto"/>
              <w:bottom w:val="single" w:sz="4" w:space="0" w:color="auto"/>
              <w:right w:val="single" w:sz="8" w:space="0" w:color="auto"/>
            </w:tcBorders>
            <w:shd w:val="clear" w:color="000000" w:fill="FFFFFF"/>
            <w:hideMark/>
          </w:tcPr>
          <w:p>
            <w:pPr>
              <w:spacing w:before="0" w:after="0"/>
              <w:jc w:val="right"/>
              <w:rPr>
                <w:rFonts w:ascii="Arial" w:hAnsi="Arial" w:cs="Arial"/>
                <w:b/>
                <w:noProof/>
                <w:color w:val="000000"/>
                <w:sz w:val="20"/>
                <w:szCs w:val="20"/>
              </w:rPr>
            </w:pPr>
            <w:r>
              <w:rPr>
                <w:rFonts w:ascii="Arial" w:hAnsi="Arial"/>
                <w:b/>
                <w:noProof/>
                <w:color w:val="000000"/>
                <w:sz w:val="20"/>
                <w:szCs w:val="20"/>
              </w:rPr>
              <w:t>4</w:t>
            </w:r>
          </w:p>
        </w:tc>
      </w:tr>
      <w:tr>
        <w:trPr>
          <w:trHeight w:val="324"/>
        </w:trPr>
        <w:tc>
          <w:tcPr>
            <w:tcW w:w="2122" w:type="dxa"/>
            <w:tcBorders>
              <w:top w:val="nil"/>
              <w:left w:val="single" w:sz="4" w:space="0" w:color="auto"/>
              <w:bottom w:val="single" w:sz="4" w:space="0" w:color="auto"/>
              <w:right w:val="single" w:sz="4" w:space="0" w:color="auto"/>
            </w:tcBorders>
            <w:shd w:val="clear" w:color="000000" w:fill="FFFFFF"/>
            <w:hideMark/>
          </w:tcPr>
          <w:p>
            <w:pPr>
              <w:spacing w:before="0" w:after="0"/>
              <w:jc w:val="left"/>
              <w:rPr>
                <w:rFonts w:ascii="Arial" w:hAnsi="Arial" w:cs="Arial"/>
                <w:noProof/>
                <w:sz w:val="20"/>
                <w:szCs w:val="20"/>
              </w:rPr>
            </w:pPr>
            <w:r>
              <w:rPr>
                <w:rFonts w:ascii="Arial" w:hAnsi="Arial"/>
                <w:noProof/>
                <w:sz w:val="20"/>
                <w:szCs w:val="20"/>
              </w:rPr>
              <w:t>SEPD</w:t>
            </w:r>
          </w:p>
        </w:tc>
        <w:tc>
          <w:tcPr>
            <w:tcW w:w="113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103"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80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single" w:sz="8" w:space="0" w:color="auto"/>
              <w:left w:val="single" w:sz="8" w:space="0" w:color="auto"/>
              <w:bottom w:val="single" w:sz="4" w:space="0" w:color="auto"/>
              <w:right w:val="single" w:sz="8" w:space="0" w:color="auto"/>
            </w:tcBorders>
            <w:shd w:val="clear" w:color="000000" w:fill="FFFFFF"/>
            <w:hideMark/>
          </w:tcPr>
          <w:p>
            <w:pPr>
              <w:spacing w:before="0" w:after="0"/>
              <w:jc w:val="right"/>
              <w:rPr>
                <w:rFonts w:ascii="Arial" w:hAnsi="Arial" w:cs="Arial"/>
                <w:b/>
                <w:noProof/>
                <w:color w:val="000000"/>
                <w:sz w:val="20"/>
                <w:szCs w:val="20"/>
              </w:rPr>
            </w:pPr>
            <w:r>
              <w:rPr>
                <w:rFonts w:ascii="Arial" w:hAnsi="Arial"/>
                <w:b/>
                <w:noProof/>
                <w:color w:val="000000"/>
                <w:sz w:val="20"/>
                <w:szCs w:val="20"/>
              </w:rPr>
              <w:t>0</w:t>
            </w:r>
          </w:p>
        </w:tc>
      </w:tr>
      <w:tr>
        <w:trPr>
          <w:trHeight w:val="324"/>
        </w:trPr>
        <w:tc>
          <w:tcPr>
            <w:tcW w:w="2122" w:type="dxa"/>
            <w:tcBorders>
              <w:top w:val="nil"/>
              <w:left w:val="single" w:sz="4" w:space="0" w:color="auto"/>
              <w:bottom w:val="single" w:sz="4" w:space="0" w:color="auto"/>
              <w:right w:val="single" w:sz="4" w:space="0" w:color="auto"/>
            </w:tcBorders>
            <w:shd w:val="clear" w:color="000000" w:fill="FFFFFF"/>
            <w:hideMark/>
          </w:tcPr>
          <w:p>
            <w:pPr>
              <w:spacing w:before="0" w:after="0"/>
              <w:jc w:val="left"/>
              <w:rPr>
                <w:rFonts w:ascii="Arial" w:hAnsi="Arial" w:cs="Arial"/>
                <w:noProof/>
                <w:sz w:val="20"/>
                <w:szCs w:val="20"/>
              </w:rPr>
            </w:pPr>
            <w:r>
              <w:rPr>
                <w:rFonts w:ascii="Arial" w:hAnsi="Arial"/>
                <w:noProof/>
                <w:sz w:val="20"/>
                <w:szCs w:val="20"/>
              </w:rPr>
              <w:t>Defensor del Pueblo Europeo</w:t>
            </w:r>
          </w:p>
        </w:tc>
        <w:tc>
          <w:tcPr>
            <w:tcW w:w="113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103"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804"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single" w:sz="8" w:space="0" w:color="auto"/>
              <w:left w:val="single" w:sz="8" w:space="0" w:color="auto"/>
              <w:bottom w:val="single" w:sz="8" w:space="0" w:color="auto"/>
              <w:right w:val="single" w:sz="8" w:space="0" w:color="auto"/>
            </w:tcBorders>
            <w:shd w:val="clear" w:color="000000" w:fill="FFFFFF"/>
            <w:hideMark/>
          </w:tcPr>
          <w:p>
            <w:pPr>
              <w:spacing w:before="0" w:after="0"/>
              <w:jc w:val="right"/>
              <w:rPr>
                <w:rFonts w:ascii="Arial" w:hAnsi="Arial" w:cs="Arial"/>
                <w:b/>
                <w:noProof/>
                <w:color w:val="000000"/>
                <w:sz w:val="20"/>
                <w:szCs w:val="20"/>
              </w:rPr>
            </w:pPr>
            <w:r>
              <w:rPr>
                <w:rFonts w:ascii="Arial" w:hAnsi="Arial"/>
                <w:b/>
                <w:noProof/>
                <w:color w:val="000000"/>
                <w:sz w:val="20"/>
                <w:szCs w:val="20"/>
              </w:rPr>
              <w:t>0</w:t>
            </w:r>
          </w:p>
        </w:tc>
      </w:tr>
      <w:tr>
        <w:trPr>
          <w:trHeight w:val="324"/>
        </w:trPr>
        <w:tc>
          <w:tcPr>
            <w:tcW w:w="2122" w:type="dxa"/>
            <w:tcBorders>
              <w:top w:val="nil"/>
              <w:left w:val="single" w:sz="4" w:space="0" w:color="auto"/>
              <w:bottom w:val="single" w:sz="4" w:space="0" w:color="auto"/>
              <w:right w:val="single" w:sz="4" w:space="0" w:color="auto"/>
            </w:tcBorders>
            <w:shd w:val="clear" w:color="000000" w:fill="FFFFFF"/>
          </w:tcPr>
          <w:p>
            <w:pPr>
              <w:spacing w:before="0" w:after="0"/>
              <w:jc w:val="left"/>
              <w:rPr>
                <w:rFonts w:ascii="Arial" w:hAnsi="Arial" w:cs="Arial"/>
                <w:noProof/>
                <w:sz w:val="20"/>
                <w:szCs w:val="20"/>
              </w:rPr>
            </w:pPr>
            <w:r>
              <w:rPr>
                <w:rFonts w:ascii="Arial" w:hAnsi="Arial"/>
                <w:noProof/>
                <w:sz w:val="20"/>
                <w:szCs w:val="20"/>
              </w:rPr>
              <w:t>SEAE</w:t>
            </w:r>
          </w:p>
        </w:tc>
        <w:tc>
          <w:tcPr>
            <w:tcW w:w="113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14</w:t>
            </w:r>
          </w:p>
        </w:tc>
        <w:tc>
          <w:tcPr>
            <w:tcW w:w="113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9</w:t>
            </w:r>
          </w:p>
        </w:tc>
        <w:tc>
          <w:tcPr>
            <w:tcW w:w="1103"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1</w:t>
            </w:r>
          </w:p>
        </w:tc>
        <w:tc>
          <w:tcPr>
            <w:tcW w:w="960"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5</w:t>
            </w:r>
          </w:p>
        </w:tc>
        <w:tc>
          <w:tcPr>
            <w:tcW w:w="80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single" w:sz="8" w:space="0" w:color="auto"/>
              <w:left w:val="single" w:sz="8" w:space="0" w:color="auto"/>
              <w:bottom w:val="single" w:sz="8" w:space="0" w:color="auto"/>
              <w:right w:val="single" w:sz="8" w:space="0" w:color="auto"/>
            </w:tcBorders>
            <w:shd w:val="clear" w:color="000000" w:fill="FFFFFF"/>
          </w:tcPr>
          <w:p>
            <w:pPr>
              <w:spacing w:before="0" w:after="0"/>
              <w:jc w:val="right"/>
              <w:rPr>
                <w:rFonts w:ascii="Arial" w:hAnsi="Arial" w:cs="Arial"/>
                <w:b/>
                <w:noProof/>
                <w:color w:val="000000"/>
                <w:sz w:val="20"/>
                <w:szCs w:val="20"/>
              </w:rPr>
            </w:pPr>
            <w:r>
              <w:rPr>
                <w:rFonts w:ascii="Arial" w:hAnsi="Arial"/>
                <w:b/>
                <w:noProof/>
                <w:color w:val="000000"/>
                <w:sz w:val="20"/>
                <w:szCs w:val="20"/>
              </w:rPr>
              <w:t>29</w:t>
            </w:r>
          </w:p>
        </w:tc>
      </w:tr>
      <w:tr>
        <w:trPr>
          <w:trHeight w:val="175"/>
        </w:trPr>
        <w:tc>
          <w:tcPr>
            <w:tcW w:w="2122" w:type="dxa"/>
            <w:tcBorders>
              <w:top w:val="nil"/>
              <w:left w:val="single" w:sz="8" w:space="0" w:color="auto"/>
              <w:bottom w:val="single" w:sz="8" w:space="0" w:color="auto"/>
              <w:right w:val="single" w:sz="8" w:space="0" w:color="auto"/>
            </w:tcBorders>
            <w:shd w:val="clear" w:color="auto" w:fill="auto"/>
            <w:hideMark/>
          </w:tcPr>
          <w:p>
            <w:pPr>
              <w:spacing w:before="0" w:after="0"/>
              <w:jc w:val="right"/>
              <w:rPr>
                <w:rFonts w:ascii="Arial" w:hAnsi="Arial" w:cs="Arial"/>
                <w:b/>
                <w:bCs/>
                <w:noProof/>
                <w:color w:val="000000"/>
                <w:sz w:val="20"/>
                <w:szCs w:val="20"/>
              </w:rPr>
            </w:pPr>
            <w:r>
              <w:rPr>
                <w:rFonts w:ascii="Arial" w:hAnsi="Arial"/>
                <w:b/>
                <w:bCs/>
                <w:noProof/>
                <w:color w:val="000000"/>
                <w:sz w:val="20"/>
                <w:szCs w:val="20"/>
              </w:rPr>
              <w:t>Total</w:t>
            </w:r>
          </w:p>
        </w:tc>
        <w:tc>
          <w:tcPr>
            <w:tcW w:w="1134" w:type="dxa"/>
            <w:tcBorders>
              <w:top w:val="single" w:sz="8" w:space="0" w:color="auto"/>
              <w:left w:val="nil"/>
              <w:bottom w:val="single" w:sz="8" w:space="0" w:color="auto"/>
              <w:right w:val="single" w:sz="8" w:space="0" w:color="auto"/>
            </w:tcBorders>
            <w:shd w:val="clear" w:color="auto" w:fill="auto"/>
            <w:hideMark/>
          </w:tcPr>
          <w:p>
            <w:pPr>
              <w:spacing w:before="0" w:after="0"/>
              <w:jc w:val="right"/>
              <w:rPr>
                <w:rFonts w:ascii="Arial" w:hAnsi="Arial" w:cs="Arial"/>
                <w:b/>
                <w:bCs/>
                <w:noProof/>
                <w:color w:val="000000"/>
                <w:sz w:val="20"/>
                <w:szCs w:val="20"/>
              </w:rPr>
            </w:pPr>
            <w:r>
              <w:rPr>
                <w:rFonts w:ascii="Arial" w:hAnsi="Arial"/>
                <w:b/>
                <w:bCs/>
                <w:noProof/>
                <w:color w:val="000000"/>
                <w:sz w:val="20"/>
                <w:szCs w:val="20"/>
              </w:rPr>
              <w:t>158</w:t>
            </w:r>
          </w:p>
        </w:tc>
        <w:tc>
          <w:tcPr>
            <w:tcW w:w="1134" w:type="dxa"/>
            <w:tcBorders>
              <w:top w:val="single" w:sz="8" w:space="0" w:color="auto"/>
              <w:left w:val="nil"/>
              <w:bottom w:val="single" w:sz="8" w:space="0" w:color="auto"/>
              <w:right w:val="single" w:sz="8" w:space="0" w:color="auto"/>
            </w:tcBorders>
            <w:shd w:val="clear" w:color="auto" w:fill="auto"/>
            <w:hideMark/>
          </w:tcPr>
          <w:p>
            <w:pPr>
              <w:spacing w:before="0" w:after="0"/>
              <w:jc w:val="right"/>
              <w:rPr>
                <w:rFonts w:ascii="Arial" w:hAnsi="Arial" w:cs="Arial"/>
                <w:b/>
                <w:bCs/>
                <w:noProof/>
                <w:color w:val="000000"/>
                <w:sz w:val="20"/>
                <w:szCs w:val="20"/>
              </w:rPr>
            </w:pPr>
            <w:r>
              <w:rPr>
                <w:rFonts w:ascii="Arial" w:hAnsi="Arial"/>
                <w:b/>
                <w:bCs/>
                <w:noProof/>
                <w:color w:val="000000"/>
                <w:sz w:val="20"/>
                <w:szCs w:val="20"/>
              </w:rPr>
              <w:t>299,33</w:t>
            </w:r>
          </w:p>
        </w:tc>
        <w:tc>
          <w:tcPr>
            <w:tcW w:w="1103" w:type="dxa"/>
            <w:tcBorders>
              <w:top w:val="single" w:sz="8" w:space="0" w:color="auto"/>
              <w:left w:val="nil"/>
              <w:bottom w:val="single" w:sz="8" w:space="0" w:color="auto"/>
              <w:right w:val="single" w:sz="8" w:space="0" w:color="auto"/>
            </w:tcBorders>
            <w:shd w:val="clear" w:color="auto" w:fill="auto"/>
            <w:hideMark/>
          </w:tcPr>
          <w:p>
            <w:pPr>
              <w:spacing w:before="0" w:after="0"/>
              <w:jc w:val="right"/>
              <w:rPr>
                <w:rFonts w:ascii="Arial" w:hAnsi="Arial" w:cs="Arial"/>
                <w:b/>
                <w:bCs/>
                <w:noProof/>
                <w:color w:val="000000"/>
                <w:sz w:val="20"/>
                <w:szCs w:val="20"/>
              </w:rPr>
            </w:pPr>
            <w:r>
              <w:rPr>
                <w:rFonts w:ascii="Arial" w:hAnsi="Arial"/>
                <w:b/>
                <w:bCs/>
                <w:noProof/>
                <w:color w:val="000000"/>
                <w:sz w:val="20"/>
                <w:szCs w:val="20"/>
              </w:rPr>
              <w:t>73,67</w:t>
            </w:r>
          </w:p>
        </w:tc>
        <w:tc>
          <w:tcPr>
            <w:tcW w:w="960" w:type="dxa"/>
            <w:tcBorders>
              <w:top w:val="single" w:sz="8" w:space="0" w:color="auto"/>
              <w:left w:val="nil"/>
              <w:bottom w:val="single" w:sz="8" w:space="0" w:color="auto"/>
              <w:right w:val="single" w:sz="8" w:space="0" w:color="auto"/>
            </w:tcBorders>
            <w:shd w:val="clear" w:color="auto" w:fill="auto"/>
            <w:hideMark/>
          </w:tcPr>
          <w:p>
            <w:pPr>
              <w:spacing w:before="0" w:after="0"/>
              <w:jc w:val="right"/>
              <w:rPr>
                <w:rFonts w:ascii="Arial" w:hAnsi="Arial" w:cs="Arial"/>
                <w:b/>
                <w:bCs/>
                <w:noProof/>
                <w:color w:val="000000"/>
                <w:sz w:val="20"/>
                <w:szCs w:val="20"/>
              </w:rPr>
            </w:pPr>
            <w:r>
              <w:rPr>
                <w:rFonts w:ascii="Arial" w:hAnsi="Arial"/>
                <w:b/>
                <w:bCs/>
                <w:noProof/>
                <w:color w:val="000000"/>
                <w:sz w:val="20"/>
                <w:szCs w:val="20"/>
              </w:rPr>
              <w:t>11</w:t>
            </w:r>
          </w:p>
        </w:tc>
        <w:tc>
          <w:tcPr>
            <w:tcW w:w="960" w:type="dxa"/>
            <w:tcBorders>
              <w:top w:val="single" w:sz="8" w:space="0" w:color="auto"/>
              <w:left w:val="nil"/>
              <w:bottom w:val="single" w:sz="8" w:space="0" w:color="auto"/>
              <w:right w:val="single" w:sz="8" w:space="0" w:color="auto"/>
            </w:tcBorders>
            <w:shd w:val="clear" w:color="auto" w:fill="auto"/>
            <w:hideMark/>
          </w:tcPr>
          <w:p>
            <w:pPr>
              <w:spacing w:before="0" w:after="0"/>
              <w:jc w:val="right"/>
              <w:rPr>
                <w:rFonts w:ascii="Arial" w:hAnsi="Arial" w:cs="Arial"/>
                <w:b/>
                <w:bCs/>
                <w:noProof/>
                <w:color w:val="000000"/>
                <w:sz w:val="20"/>
                <w:szCs w:val="20"/>
              </w:rPr>
            </w:pPr>
            <w:r>
              <w:rPr>
                <w:rFonts w:ascii="Arial" w:hAnsi="Arial"/>
                <w:b/>
                <w:bCs/>
                <w:noProof/>
                <w:color w:val="000000"/>
                <w:sz w:val="20"/>
                <w:szCs w:val="20"/>
              </w:rPr>
              <w:t>22</w:t>
            </w:r>
          </w:p>
        </w:tc>
        <w:tc>
          <w:tcPr>
            <w:tcW w:w="804" w:type="dxa"/>
            <w:tcBorders>
              <w:top w:val="single" w:sz="8" w:space="0" w:color="auto"/>
              <w:left w:val="nil"/>
              <w:bottom w:val="single" w:sz="8" w:space="0" w:color="auto"/>
              <w:right w:val="single" w:sz="8" w:space="0" w:color="auto"/>
            </w:tcBorders>
            <w:shd w:val="clear" w:color="auto" w:fill="auto"/>
            <w:hideMark/>
          </w:tcPr>
          <w:p>
            <w:pPr>
              <w:spacing w:before="0" w:after="0"/>
              <w:jc w:val="right"/>
              <w:rPr>
                <w:rFonts w:ascii="Arial" w:hAnsi="Arial" w:cs="Arial"/>
                <w:b/>
                <w:bCs/>
                <w:noProof/>
                <w:color w:val="000000"/>
                <w:sz w:val="20"/>
                <w:szCs w:val="20"/>
              </w:rPr>
            </w:pPr>
            <w:r>
              <w:rPr>
                <w:rFonts w:ascii="Arial" w:hAnsi="Arial"/>
                <w:b/>
                <w:bCs/>
                <w:noProof/>
                <w:color w:val="000000"/>
                <w:sz w:val="20"/>
                <w:szCs w:val="20"/>
              </w:rPr>
              <w:t>8</w:t>
            </w:r>
          </w:p>
        </w:tc>
        <w:tc>
          <w:tcPr>
            <w:tcW w:w="850" w:type="dxa"/>
            <w:tcBorders>
              <w:top w:val="nil"/>
              <w:left w:val="nil"/>
              <w:bottom w:val="single" w:sz="8" w:space="0" w:color="auto"/>
              <w:right w:val="single" w:sz="8" w:space="0" w:color="auto"/>
            </w:tcBorders>
            <w:shd w:val="clear" w:color="auto" w:fill="auto"/>
            <w:hideMark/>
          </w:tcPr>
          <w:p>
            <w:pPr>
              <w:spacing w:before="0" w:after="0"/>
              <w:jc w:val="right"/>
              <w:rPr>
                <w:rFonts w:ascii="Arial" w:hAnsi="Arial" w:cs="Arial"/>
                <w:b/>
                <w:bCs/>
                <w:noProof/>
                <w:color w:val="000000"/>
                <w:sz w:val="20"/>
                <w:szCs w:val="20"/>
              </w:rPr>
            </w:pPr>
            <w:r>
              <w:rPr>
                <w:rFonts w:ascii="Arial" w:hAnsi="Arial"/>
                <w:b/>
                <w:bCs/>
                <w:noProof/>
                <w:color w:val="000000"/>
                <w:sz w:val="20"/>
                <w:szCs w:val="20"/>
              </w:rPr>
              <w:t>572</w:t>
            </w:r>
          </w:p>
        </w:tc>
      </w:tr>
    </w:tbl>
    <w:p>
      <w:pPr>
        <w:rPr>
          <w:noProof/>
        </w:rPr>
      </w:pPr>
      <w:r>
        <w:rPr>
          <w:noProof/>
        </w:rPr>
        <w:br w:type="page"/>
      </w:r>
    </w:p>
    <w:p>
      <w:pPr>
        <w:pStyle w:val="Heading2"/>
        <w:numPr>
          <w:ilvl w:val="0"/>
          <w:numId w:val="0"/>
        </w:numPr>
        <w:spacing w:before="0" w:after="0"/>
        <w:rPr>
          <w:noProof/>
        </w:rPr>
      </w:pPr>
      <w:r>
        <w:rPr>
          <w:noProof/>
        </w:rPr>
        <w:t>2.2.</w:t>
      </w:r>
      <w:r>
        <w:rPr>
          <w:noProof/>
        </w:rPr>
        <w:tab/>
        <w:t>Número de beneficiarios por clase de obligaciones especiales:</w:t>
      </w:r>
    </w:p>
    <w:tbl>
      <w:tblPr>
        <w:tblW w:w="8880" w:type="dxa"/>
        <w:tblInd w:w="113" w:type="dxa"/>
        <w:tblLook w:val="04A0" w:firstRow="1" w:lastRow="0" w:firstColumn="1" w:lastColumn="0" w:noHBand="0" w:noVBand="1"/>
      </w:tblPr>
      <w:tblGrid>
        <w:gridCol w:w="2840"/>
        <w:gridCol w:w="1120"/>
        <w:gridCol w:w="1720"/>
        <w:gridCol w:w="2080"/>
        <w:gridCol w:w="1120"/>
      </w:tblGrid>
      <w:tr>
        <w:trPr>
          <w:trHeight w:val="540"/>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0"/>
              <w:jc w:val="left"/>
              <w:rPr>
                <w:rFonts w:ascii="Arial" w:hAnsi="Arial" w:cs="Arial"/>
                <w:b/>
                <w:bCs/>
                <w:noProof/>
                <w:sz w:val="20"/>
                <w:szCs w:val="20"/>
              </w:rPr>
            </w:pPr>
            <w:r>
              <w:rPr>
                <w:rFonts w:ascii="Arial" w:hAnsi="Arial"/>
                <w:b/>
                <w:bCs/>
                <w:noProof/>
                <w:sz w:val="20"/>
                <w:szCs w:val="20"/>
              </w:rPr>
              <w:t>1. Número de beneficiarios por clase de obligaciones especiales</w:t>
            </w:r>
          </w:p>
        </w:tc>
        <w:tc>
          <w:tcPr>
            <w:tcW w:w="6040" w:type="dxa"/>
            <w:gridSpan w:val="4"/>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Arial" w:hAnsi="Arial" w:cs="Arial"/>
                <w:b/>
                <w:bCs/>
                <w:noProof/>
                <w:sz w:val="20"/>
                <w:szCs w:val="20"/>
              </w:rPr>
            </w:pPr>
            <w:r>
              <w:rPr>
                <w:rFonts w:ascii="Arial" w:hAnsi="Arial"/>
                <w:b/>
                <w:bCs/>
                <w:noProof/>
                <w:sz w:val="20"/>
                <w:szCs w:val="20"/>
              </w:rPr>
              <w:t>Año 2018</w:t>
            </w:r>
          </w:p>
        </w:tc>
      </w:tr>
      <w:tr>
        <w:trPr>
          <w:trHeight w:val="528"/>
        </w:trPr>
        <w:tc>
          <w:tcPr>
            <w:tcW w:w="2840" w:type="dxa"/>
            <w:vMerge w:val="restart"/>
            <w:tcBorders>
              <w:top w:val="nil"/>
              <w:left w:val="single" w:sz="4" w:space="0" w:color="auto"/>
              <w:bottom w:val="single" w:sz="4" w:space="0" w:color="000000"/>
              <w:right w:val="single" w:sz="4" w:space="0" w:color="auto"/>
            </w:tcBorders>
            <w:shd w:val="clear" w:color="auto" w:fill="auto"/>
            <w:noWrap/>
            <w:vAlign w:val="bottom"/>
            <w:hideMark/>
          </w:tcPr>
          <w:p>
            <w:pPr>
              <w:spacing w:before="0" w:after="0"/>
              <w:jc w:val="center"/>
              <w:rPr>
                <w:rFonts w:ascii="Arial" w:hAnsi="Arial" w:cs="Arial"/>
                <w:b/>
                <w:bCs/>
                <w:noProof/>
                <w:sz w:val="20"/>
                <w:szCs w:val="20"/>
              </w:rPr>
            </w:pPr>
            <w:r>
              <w:rPr>
                <w:rFonts w:ascii="Arial" w:hAnsi="Arial"/>
                <w:b/>
                <w:bCs/>
                <w:noProof/>
                <w:sz w:val="20"/>
                <w:szCs w:val="20"/>
              </w:rPr>
              <w:t>Institución</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pPr>
              <w:spacing w:before="0" w:after="0"/>
              <w:jc w:val="center"/>
              <w:rPr>
                <w:rFonts w:ascii="Arial" w:hAnsi="Arial" w:cs="Arial"/>
                <w:b/>
                <w:bCs/>
                <w:noProof/>
                <w:sz w:val="20"/>
                <w:szCs w:val="20"/>
              </w:rPr>
            </w:pPr>
            <w:r>
              <w:rPr>
                <w:rFonts w:ascii="Arial" w:hAnsi="Arial"/>
                <w:b/>
                <w:bCs/>
                <w:noProof/>
                <w:sz w:val="20"/>
                <w:szCs w:val="20"/>
              </w:rPr>
              <w:t>En el domicilio</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pPr>
              <w:spacing w:before="0" w:after="0"/>
              <w:jc w:val="center"/>
              <w:rPr>
                <w:rFonts w:ascii="Arial" w:hAnsi="Arial" w:cs="Arial"/>
                <w:b/>
                <w:bCs/>
                <w:noProof/>
                <w:sz w:val="20"/>
                <w:szCs w:val="20"/>
              </w:rPr>
            </w:pPr>
            <w:r>
              <w:rPr>
                <w:rFonts w:ascii="Arial" w:hAnsi="Arial"/>
                <w:b/>
                <w:bCs/>
                <w:noProof/>
                <w:sz w:val="20"/>
                <w:szCs w:val="20"/>
              </w:rPr>
              <w:t>En el domicilio y en el lugar de trabajo</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pPr>
              <w:spacing w:before="0" w:after="0"/>
              <w:jc w:val="center"/>
              <w:rPr>
                <w:rFonts w:ascii="Arial" w:hAnsi="Arial" w:cs="Arial"/>
                <w:b/>
                <w:bCs/>
                <w:noProof/>
                <w:sz w:val="20"/>
                <w:szCs w:val="20"/>
              </w:rPr>
            </w:pPr>
            <w:r>
              <w:rPr>
                <w:rFonts w:ascii="Arial" w:hAnsi="Arial"/>
                <w:b/>
                <w:bCs/>
                <w:noProof/>
                <w:sz w:val="20"/>
                <w:szCs w:val="20"/>
              </w:rPr>
              <w:t>En el lugar de trabajo</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center"/>
              <w:rPr>
                <w:rFonts w:ascii="Arial" w:hAnsi="Arial" w:cs="Arial"/>
                <w:b/>
                <w:bCs/>
                <w:noProof/>
                <w:sz w:val="20"/>
                <w:szCs w:val="20"/>
              </w:rPr>
            </w:pPr>
            <w:r>
              <w:rPr>
                <w:rFonts w:ascii="Arial" w:hAnsi="Arial"/>
                <w:b/>
                <w:bCs/>
                <w:noProof/>
                <w:sz w:val="20"/>
                <w:szCs w:val="20"/>
              </w:rPr>
              <w:t xml:space="preserve">Total </w:t>
            </w:r>
          </w:p>
        </w:tc>
      </w:tr>
      <w:tr>
        <w:trPr>
          <w:trHeight w:val="230"/>
        </w:trPr>
        <w:tc>
          <w:tcPr>
            <w:tcW w:w="284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Arial" w:hAnsi="Arial" w:cs="Arial"/>
                <w:b/>
                <w:bCs/>
                <w:noProof/>
                <w:sz w:val="20"/>
                <w:szCs w:val="20"/>
                <w:lang w:eastAsia="en-GB"/>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ascii="Arial" w:hAnsi="Arial" w:cs="Arial"/>
                <w:b/>
                <w:bCs/>
                <w:noProof/>
                <w:sz w:val="20"/>
                <w:szCs w:val="20"/>
                <w:lang w:eastAsia="en-GB"/>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ascii="Arial" w:hAnsi="Arial" w:cs="Arial"/>
                <w:b/>
                <w:bCs/>
                <w:noProof/>
                <w:sz w:val="20"/>
                <w:szCs w:val="20"/>
                <w:lang w:eastAsia="en-GB"/>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ascii="Arial" w:hAnsi="Arial" w:cs="Arial"/>
                <w:b/>
                <w:bCs/>
                <w:noProof/>
                <w:sz w:val="20"/>
                <w:szCs w:val="20"/>
                <w:lang w:eastAsia="en-GB"/>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ascii="Arial" w:hAnsi="Arial" w:cs="Arial"/>
                <w:b/>
                <w:bCs/>
                <w:noProof/>
                <w:sz w:val="20"/>
                <w:szCs w:val="20"/>
                <w:lang w:eastAsia="en-GB"/>
              </w:rPr>
            </w:pPr>
          </w:p>
        </w:tc>
      </w:tr>
      <w:tr>
        <w:trPr>
          <w:trHeight w:val="324"/>
        </w:trPr>
        <w:tc>
          <w:tcPr>
            <w:tcW w:w="2840" w:type="dxa"/>
            <w:tcBorders>
              <w:top w:val="nil"/>
              <w:left w:val="single" w:sz="4" w:space="0" w:color="auto"/>
              <w:bottom w:val="single" w:sz="4" w:space="0" w:color="auto"/>
              <w:right w:val="single" w:sz="4" w:space="0" w:color="auto"/>
            </w:tcBorders>
            <w:shd w:val="clear" w:color="000000" w:fill="FFFFFF"/>
            <w:hideMark/>
          </w:tcPr>
          <w:p>
            <w:pPr>
              <w:spacing w:before="0" w:after="0"/>
              <w:rPr>
                <w:rFonts w:ascii="Arial" w:hAnsi="Arial" w:cs="Arial"/>
                <w:noProof/>
                <w:sz w:val="20"/>
                <w:szCs w:val="20"/>
              </w:rPr>
            </w:pPr>
            <w:r>
              <w:rPr>
                <w:rFonts w:ascii="Arial" w:hAnsi="Arial"/>
                <w:noProof/>
                <w:sz w:val="20"/>
                <w:szCs w:val="20"/>
              </w:rPr>
              <w:t>Comisión</w:t>
            </w:r>
          </w:p>
        </w:tc>
        <w:tc>
          <w:tcPr>
            <w:tcW w:w="1120" w:type="dxa"/>
            <w:tcBorders>
              <w:top w:val="nil"/>
              <w:left w:val="nil"/>
              <w:bottom w:val="single" w:sz="4" w:space="0" w:color="auto"/>
              <w:right w:val="single" w:sz="4" w:space="0" w:color="auto"/>
            </w:tcBorders>
            <w:shd w:val="clear" w:color="000000" w:fill="FFFFFF"/>
            <w:hideMark/>
          </w:tcPr>
          <w:p>
            <w:pPr>
              <w:spacing w:before="0" w:after="0"/>
              <w:jc w:val="right"/>
              <w:rPr>
                <w:rFonts w:ascii="Arial" w:hAnsi="Arial" w:cs="Arial"/>
                <w:noProof/>
                <w:sz w:val="20"/>
                <w:szCs w:val="20"/>
              </w:rPr>
            </w:pPr>
            <w:r>
              <w:rPr>
                <w:rFonts w:ascii="Arial" w:hAnsi="Arial"/>
                <w:noProof/>
                <w:sz w:val="20"/>
                <w:szCs w:val="20"/>
              </w:rPr>
              <w:t>399</w:t>
            </w:r>
          </w:p>
        </w:tc>
        <w:tc>
          <w:tcPr>
            <w:tcW w:w="1720" w:type="dxa"/>
            <w:tcBorders>
              <w:top w:val="nil"/>
              <w:left w:val="nil"/>
              <w:bottom w:val="single" w:sz="4" w:space="0" w:color="auto"/>
              <w:right w:val="single" w:sz="4" w:space="0" w:color="auto"/>
            </w:tcBorders>
            <w:shd w:val="clear" w:color="000000" w:fill="FFFFFF"/>
            <w:hideMark/>
          </w:tcPr>
          <w:p>
            <w:pPr>
              <w:spacing w:before="0" w:after="0"/>
              <w:jc w:val="right"/>
              <w:rPr>
                <w:rFonts w:ascii="Arial" w:hAnsi="Arial" w:cs="Arial"/>
                <w:noProof/>
                <w:sz w:val="20"/>
                <w:szCs w:val="20"/>
              </w:rPr>
            </w:pPr>
            <w:r>
              <w:rPr>
                <w:rFonts w:ascii="Arial" w:hAnsi="Arial"/>
                <w:noProof/>
                <w:sz w:val="20"/>
                <w:szCs w:val="20"/>
              </w:rPr>
              <w:t>6</w:t>
            </w:r>
          </w:p>
        </w:tc>
        <w:tc>
          <w:tcPr>
            <w:tcW w:w="2080" w:type="dxa"/>
            <w:tcBorders>
              <w:top w:val="nil"/>
              <w:left w:val="nil"/>
              <w:bottom w:val="single" w:sz="4" w:space="0" w:color="auto"/>
              <w:right w:val="nil"/>
            </w:tcBorders>
            <w:shd w:val="clear" w:color="000000" w:fill="FFFFFF"/>
            <w:hideMark/>
          </w:tcPr>
          <w:p>
            <w:pPr>
              <w:spacing w:before="0" w:after="0"/>
              <w:jc w:val="right"/>
              <w:rPr>
                <w:rFonts w:ascii="Arial" w:hAnsi="Arial" w:cs="Arial"/>
                <w:noProof/>
                <w:sz w:val="20"/>
                <w:szCs w:val="20"/>
              </w:rPr>
            </w:pPr>
            <w:r>
              <w:rPr>
                <w:rFonts w:ascii="Arial" w:hAnsi="Arial"/>
                <w:noProof/>
                <w:sz w:val="20"/>
                <w:szCs w:val="20"/>
              </w:rPr>
              <w:t>11</w:t>
            </w:r>
          </w:p>
        </w:tc>
        <w:tc>
          <w:tcPr>
            <w:tcW w:w="1120" w:type="dxa"/>
            <w:tcBorders>
              <w:top w:val="single" w:sz="8" w:space="0" w:color="auto"/>
              <w:left w:val="single" w:sz="8" w:space="0" w:color="auto"/>
              <w:bottom w:val="single" w:sz="8" w:space="0" w:color="auto"/>
              <w:right w:val="single" w:sz="8"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416</w:t>
            </w:r>
          </w:p>
        </w:tc>
      </w:tr>
      <w:tr>
        <w:trPr>
          <w:trHeight w:val="324"/>
        </w:trPr>
        <w:tc>
          <w:tcPr>
            <w:tcW w:w="2840" w:type="dxa"/>
            <w:tcBorders>
              <w:top w:val="nil"/>
              <w:left w:val="single" w:sz="4" w:space="0" w:color="auto"/>
              <w:bottom w:val="single" w:sz="4" w:space="0" w:color="auto"/>
              <w:right w:val="single" w:sz="4" w:space="0" w:color="auto"/>
            </w:tcBorders>
            <w:shd w:val="clear" w:color="000000" w:fill="FFFFFF"/>
            <w:hideMark/>
          </w:tcPr>
          <w:p>
            <w:pPr>
              <w:spacing w:before="0" w:after="0"/>
              <w:rPr>
                <w:rFonts w:ascii="Arial" w:hAnsi="Arial" w:cs="Arial"/>
                <w:i/>
                <w:iCs/>
                <w:noProof/>
                <w:color w:val="A5A5A5"/>
                <w:sz w:val="20"/>
                <w:szCs w:val="20"/>
              </w:rPr>
            </w:pPr>
            <w:r>
              <w:rPr>
                <w:rFonts w:ascii="Arial" w:hAnsi="Arial"/>
                <w:i/>
                <w:iCs/>
                <w:noProof/>
                <w:color w:val="A5A5A5"/>
                <w:sz w:val="20"/>
                <w:szCs w:val="20"/>
              </w:rPr>
              <w:t>- incluido el JRC:</w:t>
            </w:r>
          </w:p>
        </w:tc>
        <w:tc>
          <w:tcPr>
            <w:tcW w:w="1120" w:type="dxa"/>
            <w:tcBorders>
              <w:top w:val="nil"/>
              <w:left w:val="nil"/>
              <w:bottom w:val="single" w:sz="4" w:space="0" w:color="auto"/>
              <w:right w:val="single" w:sz="4" w:space="0" w:color="auto"/>
            </w:tcBorders>
            <w:shd w:val="clear" w:color="000000" w:fill="FFFFFF"/>
            <w:hideMark/>
          </w:tcPr>
          <w:p>
            <w:pPr>
              <w:spacing w:before="0" w:after="0"/>
              <w:rPr>
                <w:rFonts w:ascii="Arial" w:hAnsi="Arial" w:cs="Arial"/>
                <w:i/>
                <w:iCs/>
                <w:noProof/>
                <w:color w:val="A5A5A5"/>
                <w:sz w:val="20"/>
                <w:szCs w:val="20"/>
              </w:rPr>
            </w:pPr>
            <w:r>
              <w:rPr>
                <w:rFonts w:ascii="Arial" w:hAnsi="Arial"/>
                <w:i/>
                <w:iCs/>
                <w:noProof/>
                <w:color w:val="A5A5A5"/>
                <w:sz w:val="20"/>
                <w:szCs w:val="20"/>
              </w:rPr>
              <w:t>134</w:t>
            </w:r>
          </w:p>
        </w:tc>
        <w:tc>
          <w:tcPr>
            <w:tcW w:w="1720" w:type="dxa"/>
            <w:tcBorders>
              <w:top w:val="nil"/>
              <w:left w:val="nil"/>
              <w:bottom w:val="single" w:sz="4" w:space="0" w:color="auto"/>
              <w:right w:val="single" w:sz="4" w:space="0" w:color="auto"/>
            </w:tcBorders>
            <w:shd w:val="clear" w:color="000000" w:fill="FFFFFF"/>
            <w:hideMark/>
          </w:tcPr>
          <w:p>
            <w:pPr>
              <w:spacing w:before="0" w:after="0"/>
              <w:rPr>
                <w:rFonts w:ascii="Arial" w:hAnsi="Arial" w:cs="Arial"/>
                <w:i/>
                <w:iCs/>
                <w:noProof/>
                <w:color w:val="A5A5A5"/>
                <w:sz w:val="20"/>
                <w:szCs w:val="20"/>
              </w:rPr>
            </w:pPr>
            <w:r>
              <w:rPr>
                <w:rFonts w:ascii="Arial" w:hAnsi="Arial"/>
                <w:i/>
                <w:iCs/>
                <w:noProof/>
                <w:color w:val="A5A5A5"/>
                <w:sz w:val="20"/>
                <w:szCs w:val="20"/>
              </w:rPr>
              <w:t>6</w:t>
            </w:r>
          </w:p>
        </w:tc>
        <w:tc>
          <w:tcPr>
            <w:tcW w:w="2080" w:type="dxa"/>
            <w:tcBorders>
              <w:top w:val="nil"/>
              <w:left w:val="nil"/>
              <w:bottom w:val="single" w:sz="4" w:space="0" w:color="auto"/>
              <w:right w:val="nil"/>
            </w:tcBorders>
            <w:shd w:val="clear" w:color="000000" w:fill="FFFFFF"/>
            <w:hideMark/>
          </w:tcPr>
          <w:p>
            <w:pPr>
              <w:spacing w:before="0" w:after="0"/>
              <w:rPr>
                <w:rFonts w:ascii="Arial" w:hAnsi="Arial" w:cs="Arial"/>
                <w:i/>
                <w:iCs/>
                <w:noProof/>
                <w:color w:val="A5A5A5"/>
                <w:sz w:val="20"/>
                <w:szCs w:val="20"/>
              </w:rPr>
            </w:pPr>
            <w:r>
              <w:rPr>
                <w:rFonts w:ascii="Arial" w:hAnsi="Arial"/>
                <w:i/>
                <w:iCs/>
                <w:noProof/>
                <w:color w:val="A5A5A5"/>
                <w:sz w:val="20"/>
                <w:szCs w:val="20"/>
              </w:rPr>
              <w:t>10</w:t>
            </w:r>
          </w:p>
        </w:tc>
        <w:tc>
          <w:tcPr>
            <w:tcW w:w="1120" w:type="dxa"/>
            <w:tcBorders>
              <w:top w:val="single" w:sz="4" w:space="0" w:color="auto"/>
              <w:left w:val="single" w:sz="8" w:space="0" w:color="auto"/>
              <w:bottom w:val="single" w:sz="4" w:space="0" w:color="auto"/>
              <w:right w:val="single" w:sz="8" w:space="0" w:color="auto"/>
            </w:tcBorders>
            <w:shd w:val="clear" w:color="000000" w:fill="FFFFFF"/>
            <w:hideMark/>
          </w:tcPr>
          <w:p>
            <w:pPr>
              <w:spacing w:before="0" w:after="0"/>
              <w:rPr>
                <w:rFonts w:ascii="Arial" w:hAnsi="Arial" w:cs="Arial"/>
                <w:i/>
                <w:iCs/>
                <w:noProof/>
                <w:sz w:val="20"/>
                <w:szCs w:val="20"/>
              </w:rPr>
            </w:pPr>
            <w:r>
              <w:rPr>
                <w:rFonts w:ascii="Arial" w:hAnsi="Arial"/>
                <w:i/>
                <w:iCs/>
                <w:noProof/>
                <w:sz w:val="20"/>
                <w:szCs w:val="20"/>
              </w:rPr>
              <w:t>150</w:t>
            </w:r>
          </w:p>
        </w:tc>
      </w:tr>
      <w:tr>
        <w:trPr>
          <w:trHeight w:val="324"/>
        </w:trPr>
        <w:tc>
          <w:tcPr>
            <w:tcW w:w="2840" w:type="dxa"/>
            <w:tcBorders>
              <w:top w:val="nil"/>
              <w:left w:val="single" w:sz="4" w:space="0" w:color="auto"/>
              <w:bottom w:val="single" w:sz="4" w:space="0" w:color="auto"/>
              <w:right w:val="single" w:sz="4" w:space="0" w:color="auto"/>
            </w:tcBorders>
            <w:shd w:val="clear" w:color="auto" w:fill="auto"/>
            <w:hideMark/>
          </w:tcPr>
          <w:p>
            <w:pPr>
              <w:spacing w:before="0" w:after="0"/>
              <w:rPr>
                <w:rFonts w:ascii="Arial" w:hAnsi="Arial" w:cs="Arial"/>
                <w:noProof/>
                <w:sz w:val="20"/>
                <w:szCs w:val="20"/>
              </w:rPr>
            </w:pPr>
            <w:r>
              <w:rPr>
                <w:rFonts w:ascii="Arial" w:hAnsi="Arial"/>
                <w:noProof/>
                <w:sz w:val="20"/>
                <w:szCs w:val="20"/>
              </w:rPr>
              <w:t>Consejo</w:t>
            </w:r>
          </w:p>
        </w:tc>
        <w:tc>
          <w:tcPr>
            <w:tcW w:w="112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77</w:t>
            </w:r>
          </w:p>
        </w:tc>
        <w:tc>
          <w:tcPr>
            <w:tcW w:w="172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2080" w:type="dxa"/>
            <w:tcBorders>
              <w:top w:val="nil"/>
              <w:left w:val="nil"/>
              <w:bottom w:val="single" w:sz="4" w:space="0" w:color="auto"/>
              <w:right w:val="nil"/>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120" w:type="dxa"/>
            <w:tcBorders>
              <w:top w:val="nil"/>
              <w:left w:val="single" w:sz="8" w:space="0" w:color="auto"/>
              <w:bottom w:val="single" w:sz="8" w:space="0" w:color="auto"/>
              <w:right w:val="single" w:sz="8"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77</w:t>
            </w:r>
          </w:p>
        </w:tc>
      </w:tr>
      <w:tr>
        <w:trPr>
          <w:trHeight w:val="324"/>
        </w:trPr>
        <w:tc>
          <w:tcPr>
            <w:tcW w:w="2840" w:type="dxa"/>
            <w:tcBorders>
              <w:top w:val="nil"/>
              <w:left w:val="single" w:sz="4" w:space="0" w:color="auto"/>
              <w:bottom w:val="single" w:sz="4" w:space="0" w:color="auto"/>
              <w:right w:val="single" w:sz="4" w:space="0" w:color="auto"/>
            </w:tcBorders>
            <w:shd w:val="clear" w:color="auto" w:fill="auto"/>
            <w:hideMark/>
          </w:tcPr>
          <w:p>
            <w:pPr>
              <w:spacing w:before="0" w:after="0"/>
              <w:rPr>
                <w:rFonts w:ascii="Arial" w:hAnsi="Arial" w:cs="Arial"/>
                <w:noProof/>
                <w:sz w:val="20"/>
                <w:szCs w:val="20"/>
              </w:rPr>
            </w:pPr>
            <w:r>
              <w:rPr>
                <w:rFonts w:ascii="Arial" w:hAnsi="Arial"/>
                <w:noProof/>
                <w:sz w:val="20"/>
                <w:szCs w:val="20"/>
              </w:rPr>
              <w:t>Parlamento</w:t>
            </w:r>
          </w:p>
        </w:tc>
        <w:tc>
          <w:tcPr>
            <w:tcW w:w="112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72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2080" w:type="dxa"/>
            <w:tcBorders>
              <w:top w:val="nil"/>
              <w:left w:val="nil"/>
              <w:bottom w:val="single" w:sz="4" w:space="0" w:color="auto"/>
              <w:right w:val="nil"/>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120" w:type="dxa"/>
            <w:tcBorders>
              <w:top w:val="nil"/>
              <w:left w:val="single" w:sz="8" w:space="0" w:color="auto"/>
              <w:bottom w:val="single" w:sz="8" w:space="0" w:color="auto"/>
              <w:right w:val="single" w:sz="8"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r>
      <w:tr>
        <w:trPr>
          <w:trHeight w:val="324"/>
        </w:trPr>
        <w:tc>
          <w:tcPr>
            <w:tcW w:w="2840" w:type="dxa"/>
            <w:tcBorders>
              <w:top w:val="nil"/>
              <w:left w:val="single" w:sz="4" w:space="0" w:color="auto"/>
              <w:bottom w:val="single" w:sz="4" w:space="0" w:color="auto"/>
              <w:right w:val="single" w:sz="4" w:space="0" w:color="auto"/>
            </w:tcBorders>
            <w:shd w:val="clear" w:color="auto" w:fill="auto"/>
            <w:hideMark/>
          </w:tcPr>
          <w:p>
            <w:pPr>
              <w:spacing w:before="0" w:after="0"/>
              <w:rPr>
                <w:rFonts w:ascii="Arial" w:hAnsi="Arial" w:cs="Arial"/>
                <w:noProof/>
                <w:sz w:val="20"/>
                <w:szCs w:val="20"/>
              </w:rPr>
            </w:pPr>
            <w:r>
              <w:rPr>
                <w:rFonts w:ascii="Arial" w:hAnsi="Arial"/>
                <w:noProof/>
                <w:sz w:val="20"/>
                <w:szCs w:val="20"/>
              </w:rPr>
              <w:t>Tribunal de Justicia</w:t>
            </w:r>
          </w:p>
        </w:tc>
        <w:tc>
          <w:tcPr>
            <w:tcW w:w="112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27</w:t>
            </w:r>
          </w:p>
        </w:tc>
        <w:tc>
          <w:tcPr>
            <w:tcW w:w="172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2080" w:type="dxa"/>
            <w:tcBorders>
              <w:top w:val="nil"/>
              <w:left w:val="nil"/>
              <w:bottom w:val="single" w:sz="4" w:space="0" w:color="auto"/>
              <w:right w:val="nil"/>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120" w:type="dxa"/>
            <w:tcBorders>
              <w:top w:val="nil"/>
              <w:left w:val="single" w:sz="8" w:space="0" w:color="auto"/>
              <w:bottom w:val="single" w:sz="8" w:space="0" w:color="auto"/>
              <w:right w:val="single" w:sz="8" w:space="0" w:color="auto"/>
            </w:tcBorders>
            <w:shd w:val="clear" w:color="auto" w:fill="auto"/>
            <w:hideMark/>
          </w:tcPr>
          <w:p>
            <w:pPr>
              <w:spacing w:before="0" w:after="0"/>
              <w:jc w:val="right"/>
              <w:rPr>
                <w:rFonts w:ascii="Arial" w:hAnsi="Arial" w:cs="Arial"/>
                <w:b/>
                <w:noProof/>
                <w:color w:val="000000"/>
                <w:sz w:val="20"/>
                <w:szCs w:val="20"/>
              </w:rPr>
            </w:pPr>
            <w:r>
              <w:rPr>
                <w:rFonts w:ascii="Arial" w:hAnsi="Arial"/>
                <w:b/>
                <w:noProof/>
                <w:color w:val="000000"/>
                <w:sz w:val="20"/>
                <w:szCs w:val="20"/>
              </w:rPr>
              <w:t>27</w:t>
            </w:r>
          </w:p>
        </w:tc>
      </w:tr>
      <w:tr>
        <w:trPr>
          <w:trHeight w:val="324"/>
        </w:trPr>
        <w:tc>
          <w:tcPr>
            <w:tcW w:w="2840" w:type="dxa"/>
            <w:tcBorders>
              <w:top w:val="nil"/>
              <w:left w:val="single" w:sz="4" w:space="0" w:color="auto"/>
              <w:bottom w:val="single" w:sz="4" w:space="0" w:color="auto"/>
              <w:right w:val="single" w:sz="4" w:space="0" w:color="auto"/>
            </w:tcBorders>
            <w:shd w:val="clear" w:color="000000" w:fill="FFFFFF"/>
            <w:hideMark/>
          </w:tcPr>
          <w:p>
            <w:pPr>
              <w:spacing w:before="0" w:after="0"/>
              <w:jc w:val="left"/>
              <w:rPr>
                <w:rFonts w:ascii="Arial" w:hAnsi="Arial" w:cs="Arial"/>
                <w:noProof/>
                <w:sz w:val="20"/>
                <w:szCs w:val="20"/>
              </w:rPr>
            </w:pPr>
            <w:r>
              <w:rPr>
                <w:rFonts w:ascii="Arial" w:hAnsi="Arial"/>
                <w:noProof/>
                <w:sz w:val="20"/>
                <w:szCs w:val="20"/>
              </w:rPr>
              <w:t>Tribunal de Cuentas</w:t>
            </w:r>
          </w:p>
        </w:tc>
        <w:tc>
          <w:tcPr>
            <w:tcW w:w="112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17</w:t>
            </w:r>
          </w:p>
        </w:tc>
        <w:tc>
          <w:tcPr>
            <w:tcW w:w="172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2080" w:type="dxa"/>
            <w:tcBorders>
              <w:top w:val="nil"/>
              <w:left w:val="nil"/>
              <w:bottom w:val="single" w:sz="4" w:space="0" w:color="auto"/>
              <w:right w:val="nil"/>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120" w:type="dxa"/>
            <w:tcBorders>
              <w:top w:val="nil"/>
              <w:left w:val="single" w:sz="8" w:space="0" w:color="auto"/>
              <w:bottom w:val="single" w:sz="8" w:space="0" w:color="auto"/>
              <w:right w:val="single" w:sz="8" w:space="0" w:color="auto"/>
            </w:tcBorders>
            <w:shd w:val="clear" w:color="auto" w:fill="auto"/>
            <w:hideMark/>
          </w:tcPr>
          <w:p>
            <w:pPr>
              <w:spacing w:before="0" w:after="0"/>
              <w:jc w:val="right"/>
              <w:rPr>
                <w:rFonts w:ascii="Arial" w:hAnsi="Arial" w:cs="Arial"/>
                <w:b/>
                <w:noProof/>
                <w:color w:val="000000"/>
                <w:sz w:val="20"/>
                <w:szCs w:val="20"/>
              </w:rPr>
            </w:pPr>
            <w:r>
              <w:rPr>
                <w:rFonts w:ascii="Arial" w:hAnsi="Arial"/>
                <w:b/>
                <w:noProof/>
                <w:color w:val="000000"/>
                <w:sz w:val="20"/>
                <w:szCs w:val="20"/>
              </w:rPr>
              <w:t>17</w:t>
            </w:r>
          </w:p>
        </w:tc>
      </w:tr>
      <w:tr>
        <w:trPr>
          <w:trHeight w:val="324"/>
        </w:trPr>
        <w:tc>
          <w:tcPr>
            <w:tcW w:w="2840" w:type="dxa"/>
            <w:tcBorders>
              <w:top w:val="nil"/>
              <w:left w:val="single" w:sz="4" w:space="0" w:color="auto"/>
              <w:bottom w:val="single" w:sz="4" w:space="0" w:color="auto"/>
              <w:right w:val="single" w:sz="4" w:space="0" w:color="auto"/>
            </w:tcBorders>
            <w:shd w:val="clear" w:color="000000" w:fill="FFFFFF"/>
            <w:hideMark/>
          </w:tcPr>
          <w:p>
            <w:pPr>
              <w:spacing w:before="0" w:after="0"/>
              <w:rPr>
                <w:rFonts w:ascii="Arial" w:hAnsi="Arial" w:cs="Arial"/>
                <w:noProof/>
                <w:sz w:val="20"/>
                <w:szCs w:val="20"/>
              </w:rPr>
            </w:pPr>
            <w:r>
              <w:rPr>
                <w:rFonts w:ascii="Arial" w:hAnsi="Arial"/>
                <w:noProof/>
                <w:sz w:val="20"/>
                <w:szCs w:val="20"/>
              </w:rPr>
              <w:t>CESE</w:t>
            </w:r>
          </w:p>
        </w:tc>
        <w:tc>
          <w:tcPr>
            <w:tcW w:w="112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2</w:t>
            </w:r>
          </w:p>
        </w:tc>
        <w:tc>
          <w:tcPr>
            <w:tcW w:w="172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2080" w:type="dxa"/>
            <w:tcBorders>
              <w:top w:val="nil"/>
              <w:left w:val="nil"/>
              <w:bottom w:val="single" w:sz="4" w:space="0" w:color="auto"/>
              <w:right w:val="nil"/>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120" w:type="dxa"/>
            <w:tcBorders>
              <w:top w:val="nil"/>
              <w:left w:val="single" w:sz="8" w:space="0" w:color="auto"/>
              <w:bottom w:val="single" w:sz="8" w:space="0" w:color="auto"/>
              <w:right w:val="single" w:sz="8" w:space="0" w:color="auto"/>
            </w:tcBorders>
            <w:shd w:val="clear" w:color="auto" w:fill="auto"/>
            <w:hideMark/>
          </w:tcPr>
          <w:p>
            <w:pPr>
              <w:spacing w:before="0" w:after="0"/>
              <w:jc w:val="right"/>
              <w:rPr>
                <w:rFonts w:ascii="Arial" w:hAnsi="Arial" w:cs="Arial"/>
                <w:b/>
                <w:noProof/>
                <w:color w:val="000000"/>
                <w:sz w:val="20"/>
                <w:szCs w:val="20"/>
              </w:rPr>
            </w:pPr>
            <w:r>
              <w:rPr>
                <w:rFonts w:ascii="Arial" w:hAnsi="Arial"/>
                <w:b/>
                <w:noProof/>
                <w:color w:val="000000"/>
                <w:sz w:val="20"/>
                <w:szCs w:val="20"/>
              </w:rPr>
              <w:t>2</w:t>
            </w:r>
          </w:p>
        </w:tc>
      </w:tr>
      <w:tr>
        <w:trPr>
          <w:trHeight w:val="324"/>
        </w:trPr>
        <w:tc>
          <w:tcPr>
            <w:tcW w:w="2840" w:type="dxa"/>
            <w:tcBorders>
              <w:top w:val="nil"/>
              <w:left w:val="single" w:sz="4" w:space="0" w:color="auto"/>
              <w:bottom w:val="single" w:sz="4" w:space="0" w:color="auto"/>
              <w:right w:val="single" w:sz="4" w:space="0" w:color="auto"/>
            </w:tcBorders>
            <w:shd w:val="clear" w:color="auto" w:fill="auto"/>
            <w:hideMark/>
          </w:tcPr>
          <w:p>
            <w:pPr>
              <w:spacing w:before="0" w:after="0"/>
              <w:rPr>
                <w:rFonts w:ascii="Arial" w:hAnsi="Arial" w:cs="Arial"/>
                <w:noProof/>
                <w:sz w:val="20"/>
                <w:szCs w:val="20"/>
              </w:rPr>
            </w:pPr>
            <w:r>
              <w:rPr>
                <w:rFonts w:ascii="Arial" w:hAnsi="Arial"/>
                <w:noProof/>
                <w:sz w:val="20"/>
                <w:szCs w:val="20"/>
              </w:rPr>
              <w:t>CDR</w:t>
            </w:r>
          </w:p>
        </w:tc>
        <w:tc>
          <w:tcPr>
            <w:tcW w:w="112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4</w:t>
            </w:r>
          </w:p>
        </w:tc>
        <w:tc>
          <w:tcPr>
            <w:tcW w:w="172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2080" w:type="dxa"/>
            <w:tcBorders>
              <w:top w:val="nil"/>
              <w:left w:val="nil"/>
              <w:bottom w:val="single" w:sz="4" w:space="0" w:color="auto"/>
              <w:right w:val="nil"/>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120" w:type="dxa"/>
            <w:tcBorders>
              <w:top w:val="nil"/>
              <w:left w:val="single" w:sz="8" w:space="0" w:color="auto"/>
              <w:bottom w:val="single" w:sz="8" w:space="0" w:color="auto"/>
              <w:right w:val="single" w:sz="8" w:space="0" w:color="auto"/>
            </w:tcBorders>
            <w:shd w:val="clear" w:color="auto" w:fill="auto"/>
            <w:hideMark/>
          </w:tcPr>
          <w:p>
            <w:pPr>
              <w:spacing w:before="0" w:after="0"/>
              <w:jc w:val="right"/>
              <w:rPr>
                <w:rFonts w:ascii="Arial" w:hAnsi="Arial" w:cs="Arial"/>
                <w:b/>
                <w:noProof/>
                <w:color w:val="000000"/>
                <w:sz w:val="20"/>
                <w:szCs w:val="20"/>
              </w:rPr>
            </w:pPr>
            <w:r>
              <w:rPr>
                <w:rFonts w:ascii="Arial" w:hAnsi="Arial"/>
                <w:b/>
                <w:noProof/>
                <w:color w:val="000000"/>
                <w:sz w:val="20"/>
                <w:szCs w:val="20"/>
              </w:rPr>
              <w:t>4</w:t>
            </w:r>
          </w:p>
        </w:tc>
      </w:tr>
      <w:tr>
        <w:trPr>
          <w:trHeight w:val="324"/>
        </w:trPr>
        <w:tc>
          <w:tcPr>
            <w:tcW w:w="2840" w:type="dxa"/>
            <w:tcBorders>
              <w:top w:val="nil"/>
              <w:left w:val="single" w:sz="4" w:space="0" w:color="auto"/>
              <w:bottom w:val="single" w:sz="4" w:space="0" w:color="auto"/>
              <w:right w:val="single" w:sz="4" w:space="0" w:color="auto"/>
            </w:tcBorders>
            <w:shd w:val="clear" w:color="000000" w:fill="FFFFFF"/>
            <w:hideMark/>
          </w:tcPr>
          <w:p>
            <w:pPr>
              <w:spacing w:before="0" w:after="0"/>
              <w:rPr>
                <w:rFonts w:ascii="Arial" w:hAnsi="Arial" w:cs="Arial"/>
                <w:noProof/>
                <w:sz w:val="20"/>
                <w:szCs w:val="20"/>
              </w:rPr>
            </w:pPr>
            <w:r>
              <w:rPr>
                <w:rFonts w:ascii="Arial" w:hAnsi="Arial"/>
                <w:noProof/>
                <w:sz w:val="20"/>
                <w:szCs w:val="20"/>
              </w:rPr>
              <w:t>SEPD</w:t>
            </w:r>
          </w:p>
        </w:tc>
        <w:tc>
          <w:tcPr>
            <w:tcW w:w="112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72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2080" w:type="dxa"/>
            <w:tcBorders>
              <w:top w:val="nil"/>
              <w:left w:val="nil"/>
              <w:bottom w:val="single" w:sz="4" w:space="0" w:color="auto"/>
              <w:right w:val="nil"/>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120" w:type="dxa"/>
            <w:tcBorders>
              <w:top w:val="nil"/>
              <w:left w:val="single" w:sz="8" w:space="0" w:color="auto"/>
              <w:bottom w:val="single" w:sz="8" w:space="0" w:color="auto"/>
              <w:right w:val="single" w:sz="8" w:space="0" w:color="auto"/>
            </w:tcBorders>
            <w:shd w:val="clear" w:color="auto" w:fill="auto"/>
            <w:hideMark/>
          </w:tcPr>
          <w:p>
            <w:pPr>
              <w:spacing w:before="0" w:after="0"/>
              <w:jc w:val="right"/>
              <w:rPr>
                <w:rFonts w:ascii="Arial" w:hAnsi="Arial" w:cs="Arial"/>
                <w:b/>
                <w:noProof/>
                <w:color w:val="000000"/>
                <w:sz w:val="20"/>
                <w:szCs w:val="20"/>
              </w:rPr>
            </w:pPr>
            <w:r>
              <w:rPr>
                <w:rFonts w:ascii="Arial" w:hAnsi="Arial"/>
                <w:b/>
                <w:noProof/>
                <w:color w:val="000000"/>
                <w:sz w:val="20"/>
                <w:szCs w:val="20"/>
              </w:rPr>
              <w:t>0</w:t>
            </w:r>
          </w:p>
        </w:tc>
      </w:tr>
      <w:tr>
        <w:trPr>
          <w:trHeight w:val="324"/>
        </w:trPr>
        <w:tc>
          <w:tcPr>
            <w:tcW w:w="2840" w:type="dxa"/>
            <w:tcBorders>
              <w:top w:val="nil"/>
              <w:left w:val="single" w:sz="4" w:space="0" w:color="auto"/>
              <w:bottom w:val="single" w:sz="4" w:space="0" w:color="auto"/>
              <w:right w:val="single" w:sz="4" w:space="0" w:color="auto"/>
            </w:tcBorders>
            <w:shd w:val="clear" w:color="000000" w:fill="FFFFFF"/>
            <w:hideMark/>
          </w:tcPr>
          <w:p>
            <w:pPr>
              <w:spacing w:before="0" w:after="0"/>
              <w:rPr>
                <w:rFonts w:ascii="Arial" w:hAnsi="Arial" w:cs="Arial"/>
                <w:noProof/>
                <w:sz w:val="20"/>
                <w:szCs w:val="20"/>
              </w:rPr>
            </w:pPr>
            <w:r>
              <w:rPr>
                <w:rFonts w:ascii="Arial" w:hAnsi="Arial"/>
                <w:noProof/>
                <w:sz w:val="20"/>
                <w:szCs w:val="20"/>
              </w:rPr>
              <w:t>Defensor del Pueblo Europeo</w:t>
            </w:r>
          </w:p>
        </w:tc>
        <w:tc>
          <w:tcPr>
            <w:tcW w:w="112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720" w:type="dxa"/>
            <w:tcBorders>
              <w:top w:val="nil"/>
              <w:left w:val="nil"/>
              <w:bottom w:val="single" w:sz="4" w:space="0" w:color="auto"/>
              <w:right w:val="single" w:sz="4" w:space="0" w:color="auto"/>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2080" w:type="dxa"/>
            <w:tcBorders>
              <w:top w:val="nil"/>
              <w:left w:val="nil"/>
              <w:bottom w:val="single" w:sz="4" w:space="0" w:color="auto"/>
              <w:right w:val="nil"/>
            </w:tcBorders>
            <w:shd w:val="clear" w:color="auto" w:fill="auto"/>
            <w:hideMark/>
          </w:tcPr>
          <w:p>
            <w:pPr>
              <w:spacing w:before="0" w:after="0"/>
              <w:jc w:val="right"/>
              <w:rPr>
                <w:rFonts w:ascii="Arial" w:hAnsi="Arial" w:cs="Arial"/>
                <w:noProof/>
                <w:sz w:val="20"/>
                <w:szCs w:val="20"/>
              </w:rPr>
            </w:pPr>
            <w:r>
              <w:rPr>
                <w:rFonts w:ascii="Arial" w:hAnsi="Arial"/>
                <w:noProof/>
                <w:sz w:val="20"/>
                <w:szCs w:val="20"/>
              </w:rPr>
              <w:t>0</w:t>
            </w:r>
          </w:p>
        </w:tc>
        <w:tc>
          <w:tcPr>
            <w:tcW w:w="1120" w:type="dxa"/>
            <w:tcBorders>
              <w:top w:val="nil"/>
              <w:left w:val="single" w:sz="8" w:space="0" w:color="auto"/>
              <w:bottom w:val="single" w:sz="8" w:space="0" w:color="auto"/>
              <w:right w:val="single" w:sz="8" w:space="0" w:color="auto"/>
            </w:tcBorders>
            <w:shd w:val="clear" w:color="auto" w:fill="auto"/>
            <w:hideMark/>
          </w:tcPr>
          <w:p>
            <w:pPr>
              <w:spacing w:before="0" w:after="0"/>
              <w:jc w:val="right"/>
              <w:rPr>
                <w:rFonts w:ascii="Arial" w:hAnsi="Arial" w:cs="Arial"/>
                <w:b/>
                <w:noProof/>
                <w:color w:val="000000"/>
                <w:sz w:val="20"/>
                <w:szCs w:val="20"/>
              </w:rPr>
            </w:pPr>
            <w:r>
              <w:rPr>
                <w:rFonts w:ascii="Arial" w:hAnsi="Arial"/>
                <w:b/>
                <w:noProof/>
                <w:color w:val="000000"/>
                <w:sz w:val="20"/>
                <w:szCs w:val="20"/>
              </w:rPr>
              <w:t>0</w:t>
            </w:r>
          </w:p>
        </w:tc>
      </w:tr>
      <w:tr>
        <w:trPr>
          <w:trHeight w:val="324"/>
        </w:trPr>
        <w:tc>
          <w:tcPr>
            <w:tcW w:w="2840" w:type="dxa"/>
            <w:tcBorders>
              <w:top w:val="nil"/>
              <w:left w:val="single" w:sz="4" w:space="0" w:color="auto"/>
              <w:bottom w:val="single" w:sz="4" w:space="0" w:color="auto"/>
              <w:right w:val="single" w:sz="4" w:space="0" w:color="auto"/>
            </w:tcBorders>
            <w:shd w:val="clear" w:color="000000" w:fill="FFFFFF"/>
          </w:tcPr>
          <w:p>
            <w:pPr>
              <w:spacing w:before="0" w:after="0"/>
              <w:rPr>
                <w:rFonts w:ascii="Arial" w:hAnsi="Arial" w:cs="Arial"/>
                <w:noProof/>
                <w:sz w:val="20"/>
                <w:szCs w:val="20"/>
              </w:rPr>
            </w:pPr>
            <w:r>
              <w:rPr>
                <w:rFonts w:ascii="Arial" w:hAnsi="Arial"/>
                <w:noProof/>
                <w:sz w:val="20"/>
                <w:szCs w:val="20"/>
              </w:rPr>
              <w:t>SEAE</w:t>
            </w:r>
          </w:p>
        </w:tc>
        <w:tc>
          <w:tcPr>
            <w:tcW w:w="1120" w:type="dxa"/>
            <w:tcBorders>
              <w:top w:val="single" w:sz="4" w:space="0" w:color="auto"/>
              <w:left w:val="nil"/>
              <w:bottom w:val="single" w:sz="8"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29</w:t>
            </w:r>
          </w:p>
        </w:tc>
        <w:tc>
          <w:tcPr>
            <w:tcW w:w="1720" w:type="dxa"/>
            <w:tcBorders>
              <w:top w:val="single" w:sz="4" w:space="0" w:color="auto"/>
              <w:left w:val="nil"/>
              <w:bottom w:val="single" w:sz="8"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2080" w:type="dxa"/>
            <w:tcBorders>
              <w:top w:val="single" w:sz="4" w:space="0" w:color="auto"/>
              <w:left w:val="nil"/>
              <w:bottom w:val="single" w:sz="8" w:space="0" w:color="auto"/>
              <w:right w:val="nil"/>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120" w:type="dxa"/>
            <w:tcBorders>
              <w:top w:val="nil"/>
              <w:left w:val="single" w:sz="8" w:space="0" w:color="auto"/>
              <w:bottom w:val="single" w:sz="8" w:space="0" w:color="auto"/>
              <w:right w:val="single" w:sz="8" w:space="0" w:color="auto"/>
            </w:tcBorders>
            <w:shd w:val="clear" w:color="auto" w:fill="auto"/>
          </w:tcPr>
          <w:p>
            <w:pPr>
              <w:spacing w:before="0" w:after="0"/>
              <w:jc w:val="right"/>
              <w:rPr>
                <w:rFonts w:ascii="Arial" w:hAnsi="Arial" w:cs="Arial"/>
                <w:b/>
                <w:noProof/>
                <w:color w:val="000000"/>
                <w:sz w:val="20"/>
                <w:szCs w:val="20"/>
              </w:rPr>
            </w:pPr>
            <w:r>
              <w:rPr>
                <w:rFonts w:ascii="Arial" w:hAnsi="Arial"/>
                <w:b/>
                <w:noProof/>
                <w:color w:val="000000"/>
                <w:sz w:val="20"/>
                <w:szCs w:val="20"/>
              </w:rPr>
              <w:t>29</w:t>
            </w:r>
          </w:p>
        </w:tc>
      </w:tr>
      <w:tr>
        <w:trPr>
          <w:trHeight w:val="336"/>
        </w:trPr>
        <w:tc>
          <w:tcPr>
            <w:tcW w:w="2840" w:type="dxa"/>
            <w:tcBorders>
              <w:top w:val="nil"/>
              <w:left w:val="single" w:sz="8" w:space="0" w:color="auto"/>
              <w:bottom w:val="single" w:sz="8" w:space="0" w:color="auto"/>
              <w:right w:val="single" w:sz="8" w:space="0" w:color="auto"/>
            </w:tcBorders>
            <w:shd w:val="clear" w:color="auto" w:fill="auto"/>
            <w:hideMark/>
          </w:tcPr>
          <w:p>
            <w:pPr>
              <w:spacing w:before="0" w:after="0"/>
              <w:rPr>
                <w:rFonts w:ascii="Arial" w:hAnsi="Arial" w:cs="Arial"/>
                <w:b/>
                <w:bCs/>
                <w:noProof/>
                <w:color w:val="000000"/>
                <w:sz w:val="20"/>
                <w:szCs w:val="20"/>
              </w:rPr>
            </w:pPr>
            <w:r>
              <w:rPr>
                <w:rFonts w:ascii="Arial" w:hAnsi="Arial"/>
                <w:b/>
                <w:bCs/>
                <w:noProof/>
                <w:color w:val="000000"/>
                <w:sz w:val="20"/>
                <w:szCs w:val="20"/>
              </w:rPr>
              <w:t>Total</w:t>
            </w:r>
          </w:p>
        </w:tc>
        <w:tc>
          <w:tcPr>
            <w:tcW w:w="1120" w:type="dxa"/>
            <w:tcBorders>
              <w:top w:val="single" w:sz="8" w:space="0" w:color="auto"/>
              <w:left w:val="nil"/>
              <w:bottom w:val="single" w:sz="8" w:space="0" w:color="auto"/>
              <w:right w:val="single" w:sz="8" w:space="0" w:color="auto"/>
            </w:tcBorders>
            <w:shd w:val="clear" w:color="auto" w:fill="auto"/>
            <w:hideMark/>
          </w:tcPr>
          <w:p>
            <w:pPr>
              <w:spacing w:before="0" w:after="0"/>
              <w:jc w:val="right"/>
              <w:rPr>
                <w:rFonts w:ascii="Arial" w:hAnsi="Arial" w:cs="Arial"/>
                <w:b/>
                <w:bCs/>
                <w:noProof/>
                <w:color w:val="000000"/>
                <w:sz w:val="20"/>
                <w:szCs w:val="20"/>
              </w:rPr>
            </w:pPr>
            <w:r>
              <w:rPr>
                <w:rFonts w:ascii="Arial" w:hAnsi="Arial"/>
                <w:b/>
                <w:bCs/>
                <w:noProof/>
                <w:color w:val="000000"/>
                <w:sz w:val="20"/>
                <w:szCs w:val="20"/>
              </w:rPr>
              <w:t>555</w:t>
            </w:r>
          </w:p>
        </w:tc>
        <w:tc>
          <w:tcPr>
            <w:tcW w:w="1720" w:type="dxa"/>
            <w:tcBorders>
              <w:top w:val="single" w:sz="8" w:space="0" w:color="auto"/>
              <w:left w:val="nil"/>
              <w:bottom w:val="single" w:sz="8" w:space="0" w:color="auto"/>
              <w:right w:val="single" w:sz="8" w:space="0" w:color="auto"/>
            </w:tcBorders>
            <w:shd w:val="clear" w:color="auto" w:fill="auto"/>
            <w:hideMark/>
          </w:tcPr>
          <w:p>
            <w:pPr>
              <w:spacing w:before="0" w:after="0"/>
              <w:jc w:val="right"/>
              <w:rPr>
                <w:rFonts w:ascii="Arial" w:hAnsi="Arial" w:cs="Arial"/>
                <w:b/>
                <w:bCs/>
                <w:noProof/>
                <w:color w:val="000000"/>
                <w:sz w:val="20"/>
                <w:szCs w:val="20"/>
              </w:rPr>
            </w:pPr>
            <w:r>
              <w:rPr>
                <w:rFonts w:ascii="Arial" w:hAnsi="Arial"/>
                <w:b/>
                <w:bCs/>
                <w:noProof/>
                <w:color w:val="000000"/>
                <w:sz w:val="20"/>
                <w:szCs w:val="20"/>
              </w:rPr>
              <w:t>6</w:t>
            </w:r>
          </w:p>
        </w:tc>
        <w:tc>
          <w:tcPr>
            <w:tcW w:w="2080" w:type="dxa"/>
            <w:tcBorders>
              <w:top w:val="single" w:sz="8" w:space="0" w:color="auto"/>
              <w:left w:val="nil"/>
              <w:bottom w:val="single" w:sz="8" w:space="0" w:color="auto"/>
              <w:right w:val="single" w:sz="8" w:space="0" w:color="auto"/>
            </w:tcBorders>
            <w:shd w:val="clear" w:color="auto" w:fill="auto"/>
            <w:hideMark/>
          </w:tcPr>
          <w:p>
            <w:pPr>
              <w:spacing w:before="0" w:after="0"/>
              <w:jc w:val="right"/>
              <w:rPr>
                <w:rFonts w:ascii="Arial" w:hAnsi="Arial" w:cs="Arial"/>
                <w:b/>
                <w:bCs/>
                <w:noProof/>
                <w:color w:val="000000"/>
                <w:sz w:val="20"/>
                <w:szCs w:val="20"/>
              </w:rPr>
            </w:pPr>
            <w:r>
              <w:rPr>
                <w:rFonts w:ascii="Arial" w:hAnsi="Arial"/>
                <w:b/>
                <w:bCs/>
                <w:noProof/>
                <w:color w:val="000000"/>
                <w:sz w:val="20"/>
                <w:szCs w:val="20"/>
              </w:rPr>
              <w:t>11</w:t>
            </w:r>
          </w:p>
        </w:tc>
        <w:tc>
          <w:tcPr>
            <w:tcW w:w="1120" w:type="dxa"/>
            <w:tcBorders>
              <w:top w:val="nil"/>
              <w:left w:val="nil"/>
              <w:bottom w:val="single" w:sz="8" w:space="0" w:color="auto"/>
              <w:right w:val="single" w:sz="8" w:space="0" w:color="auto"/>
            </w:tcBorders>
            <w:shd w:val="clear" w:color="auto" w:fill="auto"/>
            <w:hideMark/>
          </w:tcPr>
          <w:p>
            <w:pPr>
              <w:spacing w:before="0" w:after="0"/>
              <w:jc w:val="right"/>
              <w:rPr>
                <w:rFonts w:ascii="Arial" w:hAnsi="Arial" w:cs="Arial"/>
                <w:b/>
                <w:bCs/>
                <w:noProof/>
                <w:color w:val="000000"/>
                <w:sz w:val="20"/>
                <w:szCs w:val="20"/>
              </w:rPr>
            </w:pPr>
            <w:r>
              <w:rPr>
                <w:rFonts w:ascii="Arial" w:hAnsi="Arial"/>
                <w:b/>
                <w:bCs/>
                <w:noProof/>
                <w:color w:val="000000"/>
                <w:sz w:val="20"/>
                <w:szCs w:val="20"/>
              </w:rPr>
              <w:t>572</w:t>
            </w:r>
          </w:p>
        </w:tc>
      </w:tr>
    </w:tbl>
    <w:p>
      <w:pPr>
        <w:rPr>
          <w:noProof/>
          <w:lang w:val="fr-BE"/>
        </w:rPr>
      </w:pPr>
    </w:p>
    <w:p>
      <w:pPr>
        <w:pStyle w:val="Heading2"/>
        <w:numPr>
          <w:ilvl w:val="0"/>
          <w:numId w:val="0"/>
        </w:numPr>
        <w:spacing w:before="0" w:after="0"/>
        <w:rPr>
          <w:noProof/>
        </w:rPr>
      </w:pPr>
      <w:r>
        <w:rPr>
          <w:noProof/>
        </w:rPr>
        <w:t>2.3.</w:t>
      </w:r>
      <w:r>
        <w:rPr>
          <w:noProof/>
        </w:rPr>
        <w:tab/>
        <w:t>Número de beneficiarios por destino</w:t>
      </w:r>
    </w:p>
    <w:tbl>
      <w:tblPr>
        <w:tblW w:w="9654" w:type="dxa"/>
        <w:tblInd w:w="93" w:type="dxa"/>
        <w:tblLayout w:type="fixed"/>
        <w:tblLook w:val="0000" w:firstRow="0" w:lastRow="0" w:firstColumn="0" w:lastColumn="0" w:noHBand="0" w:noVBand="0"/>
      </w:tblPr>
      <w:tblGrid>
        <w:gridCol w:w="1575"/>
        <w:gridCol w:w="708"/>
        <w:gridCol w:w="1276"/>
        <w:gridCol w:w="1701"/>
        <w:gridCol w:w="1276"/>
        <w:gridCol w:w="567"/>
        <w:gridCol w:w="850"/>
        <w:gridCol w:w="851"/>
        <w:gridCol w:w="850"/>
      </w:tblGrid>
      <w:tr>
        <w:trPr>
          <w:trHeight w:val="645"/>
        </w:trPr>
        <w:tc>
          <w:tcPr>
            <w:tcW w:w="1575" w:type="dxa"/>
            <w:tcBorders>
              <w:top w:val="single" w:sz="4" w:space="0" w:color="auto"/>
              <w:left w:val="single" w:sz="4" w:space="0" w:color="auto"/>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Institución</w:t>
            </w:r>
          </w:p>
        </w:tc>
        <w:tc>
          <w:tcPr>
            <w:tcW w:w="708"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JRC</w:t>
            </w:r>
          </w:p>
        </w:tc>
        <w:tc>
          <w:tcPr>
            <w:tcW w:w="1276"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Acciones indirectas</w:t>
            </w:r>
          </w:p>
        </w:tc>
        <w:tc>
          <w:tcPr>
            <w:tcW w:w="1701"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Instalaciones técnicas</w:t>
            </w:r>
          </w:p>
        </w:tc>
        <w:tc>
          <w:tcPr>
            <w:tcW w:w="1276"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Seguridad</w:t>
            </w:r>
          </w:p>
        </w:tc>
        <w:tc>
          <w:tcPr>
            <w:tcW w:w="567"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TIC</w:t>
            </w:r>
          </w:p>
        </w:tc>
        <w:tc>
          <w:tcPr>
            <w:tcW w:w="850"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PESC/PCSD</w:t>
            </w:r>
          </w:p>
        </w:tc>
        <w:tc>
          <w:tcPr>
            <w:tcW w:w="851" w:type="dxa"/>
            <w:tcBorders>
              <w:top w:val="single" w:sz="8" w:space="0" w:color="auto"/>
              <w:left w:val="nil"/>
              <w:bottom w:val="single" w:sz="4" w:space="0" w:color="auto"/>
              <w:right w:val="single" w:sz="8" w:space="0" w:color="auto"/>
            </w:tcBorders>
            <w:vAlign w:val="center"/>
          </w:tcPr>
          <w:p>
            <w:pPr>
              <w:spacing w:before="0" w:after="0"/>
              <w:jc w:val="center"/>
              <w:rPr>
                <w:rFonts w:ascii="Arial" w:hAnsi="Arial" w:cs="Arial"/>
                <w:b/>
                <w:bCs/>
                <w:noProof/>
                <w:sz w:val="20"/>
                <w:szCs w:val="20"/>
              </w:rPr>
            </w:pPr>
            <w:r>
              <w:rPr>
                <w:rFonts w:ascii="Arial" w:hAnsi="Arial"/>
                <w:b/>
                <w:bCs/>
                <w:noProof/>
                <w:sz w:val="20"/>
                <w:szCs w:val="20"/>
              </w:rPr>
              <w:t>EM 24/7</w:t>
            </w:r>
          </w:p>
        </w:tc>
        <w:tc>
          <w:tcPr>
            <w:tcW w:w="850" w:type="dxa"/>
            <w:tcBorders>
              <w:top w:val="single" w:sz="8" w:space="0" w:color="auto"/>
              <w:left w:val="single" w:sz="8" w:space="0" w:color="auto"/>
              <w:bottom w:val="single" w:sz="8" w:space="0" w:color="auto"/>
              <w:right w:val="single" w:sz="8" w:space="0" w:color="auto"/>
            </w:tcBorders>
            <w:vAlign w:val="center"/>
          </w:tcPr>
          <w:p>
            <w:pPr>
              <w:spacing w:before="0" w:after="0"/>
              <w:jc w:val="center"/>
              <w:rPr>
                <w:rFonts w:ascii="Arial" w:hAnsi="Arial" w:cs="Arial"/>
                <w:b/>
                <w:bCs/>
                <w:noProof/>
                <w:sz w:val="20"/>
                <w:szCs w:val="20"/>
              </w:rPr>
            </w:pPr>
            <w:r>
              <w:rPr>
                <w:rFonts w:ascii="Arial" w:hAnsi="Arial"/>
                <w:b/>
                <w:bCs/>
                <w:noProof/>
                <w:sz w:val="20"/>
                <w:szCs w:val="20"/>
              </w:rPr>
              <w:t>Total</w:t>
            </w:r>
          </w:p>
        </w:tc>
      </w:tr>
      <w:tr>
        <w:trPr>
          <w:trHeight w:val="274"/>
        </w:trPr>
        <w:tc>
          <w:tcPr>
            <w:tcW w:w="1575" w:type="dxa"/>
            <w:tcBorders>
              <w:top w:val="single" w:sz="4" w:space="0" w:color="auto"/>
              <w:left w:val="single" w:sz="4" w:space="0" w:color="auto"/>
              <w:bottom w:val="single" w:sz="4" w:space="0" w:color="auto"/>
              <w:right w:val="single" w:sz="4" w:space="0" w:color="auto"/>
            </w:tcBorders>
            <w:shd w:val="clear" w:color="auto" w:fill="FFFFFF"/>
          </w:tcPr>
          <w:p>
            <w:pPr>
              <w:spacing w:before="0" w:after="0"/>
              <w:jc w:val="left"/>
              <w:rPr>
                <w:rFonts w:ascii="Arial" w:hAnsi="Arial" w:cs="Arial"/>
                <w:noProof/>
                <w:sz w:val="20"/>
                <w:szCs w:val="20"/>
              </w:rPr>
            </w:pPr>
            <w:r>
              <w:rPr>
                <w:rFonts w:ascii="Arial" w:hAnsi="Arial"/>
                <w:noProof/>
                <w:sz w:val="20"/>
                <w:szCs w:val="20"/>
              </w:rPr>
              <w:t>Comisión</w:t>
            </w:r>
          </w:p>
        </w:tc>
        <w:tc>
          <w:tcPr>
            <w:tcW w:w="708" w:type="dxa"/>
            <w:tcBorders>
              <w:top w:val="single" w:sz="4" w:space="0" w:color="auto"/>
              <w:left w:val="nil"/>
              <w:bottom w:val="single" w:sz="4" w:space="0" w:color="auto"/>
              <w:right w:val="single" w:sz="4" w:space="0" w:color="auto"/>
            </w:tcBorders>
            <w:shd w:val="clear" w:color="auto" w:fill="FFFFFF"/>
          </w:tcPr>
          <w:p>
            <w:pPr>
              <w:spacing w:before="0" w:after="0"/>
              <w:jc w:val="right"/>
              <w:rPr>
                <w:rFonts w:ascii="Arial" w:hAnsi="Arial" w:cs="Arial"/>
                <w:noProof/>
                <w:sz w:val="20"/>
                <w:szCs w:val="20"/>
              </w:rPr>
            </w:pPr>
            <w:r>
              <w:rPr>
                <w:rFonts w:ascii="Arial" w:hAnsi="Arial"/>
                <w:noProof/>
                <w:sz w:val="20"/>
                <w:szCs w:val="20"/>
              </w:rPr>
              <w:t>150</w:t>
            </w:r>
          </w:p>
        </w:tc>
        <w:tc>
          <w:tcPr>
            <w:tcW w:w="1276" w:type="dxa"/>
            <w:tcBorders>
              <w:top w:val="single" w:sz="4" w:space="0" w:color="auto"/>
              <w:left w:val="nil"/>
              <w:bottom w:val="single" w:sz="4" w:space="0" w:color="auto"/>
              <w:right w:val="single" w:sz="4" w:space="0" w:color="auto"/>
            </w:tcBorders>
            <w:shd w:val="clear" w:color="auto" w:fill="FFFFFF"/>
          </w:tcPr>
          <w:p>
            <w:pPr>
              <w:spacing w:before="0" w:after="0"/>
              <w:jc w:val="right"/>
              <w:rPr>
                <w:rFonts w:ascii="Arial" w:hAnsi="Arial" w:cs="Arial"/>
                <w:noProof/>
                <w:sz w:val="20"/>
                <w:szCs w:val="20"/>
              </w:rPr>
            </w:pPr>
            <w:r>
              <w:rPr>
                <w:rFonts w:ascii="Arial" w:hAnsi="Arial"/>
                <w:noProof/>
                <w:sz w:val="20"/>
                <w:szCs w:val="20"/>
              </w:rPr>
              <w:t>2</w:t>
            </w:r>
          </w:p>
        </w:tc>
        <w:tc>
          <w:tcPr>
            <w:tcW w:w="1701" w:type="dxa"/>
            <w:tcBorders>
              <w:top w:val="single" w:sz="4" w:space="0" w:color="auto"/>
              <w:left w:val="nil"/>
              <w:bottom w:val="single" w:sz="4" w:space="0" w:color="auto"/>
              <w:right w:val="single" w:sz="4" w:space="0" w:color="auto"/>
            </w:tcBorders>
            <w:shd w:val="clear" w:color="auto" w:fill="FFFFFF"/>
          </w:tcPr>
          <w:p>
            <w:pPr>
              <w:spacing w:before="0" w:after="0"/>
              <w:jc w:val="right"/>
              <w:rPr>
                <w:rFonts w:ascii="Arial" w:hAnsi="Arial" w:cs="Arial"/>
                <w:noProof/>
                <w:sz w:val="20"/>
                <w:szCs w:val="20"/>
              </w:rPr>
            </w:pPr>
            <w:r>
              <w:rPr>
                <w:rFonts w:ascii="Arial" w:hAnsi="Arial"/>
                <w:noProof/>
                <w:sz w:val="20"/>
                <w:szCs w:val="20"/>
              </w:rPr>
              <w:t>70</w:t>
            </w:r>
          </w:p>
        </w:tc>
        <w:tc>
          <w:tcPr>
            <w:tcW w:w="1276" w:type="dxa"/>
            <w:tcBorders>
              <w:top w:val="single" w:sz="4" w:space="0" w:color="auto"/>
              <w:left w:val="nil"/>
              <w:bottom w:val="single" w:sz="4" w:space="0" w:color="auto"/>
              <w:right w:val="single" w:sz="4" w:space="0" w:color="auto"/>
            </w:tcBorders>
            <w:shd w:val="clear" w:color="auto" w:fill="FFFFFF"/>
          </w:tcPr>
          <w:p>
            <w:pPr>
              <w:spacing w:before="0" w:after="0"/>
              <w:jc w:val="right"/>
              <w:rPr>
                <w:rFonts w:ascii="Arial" w:hAnsi="Arial" w:cs="Arial"/>
                <w:noProof/>
                <w:sz w:val="20"/>
                <w:szCs w:val="20"/>
              </w:rPr>
            </w:pPr>
            <w:r>
              <w:rPr>
                <w:rFonts w:ascii="Arial" w:hAnsi="Arial"/>
                <w:noProof/>
                <w:sz w:val="20"/>
                <w:szCs w:val="20"/>
              </w:rPr>
              <w:t>41</w:t>
            </w:r>
          </w:p>
        </w:tc>
        <w:tc>
          <w:tcPr>
            <w:tcW w:w="567" w:type="dxa"/>
            <w:tcBorders>
              <w:top w:val="single" w:sz="4" w:space="0" w:color="auto"/>
              <w:left w:val="nil"/>
              <w:bottom w:val="single" w:sz="4" w:space="0" w:color="auto"/>
              <w:right w:val="single" w:sz="4" w:space="0" w:color="auto"/>
            </w:tcBorders>
            <w:shd w:val="clear" w:color="auto" w:fill="FFFFFF"/>
          </w:tcPr>
          <w:p>
            <w:pPr>
              <w:spacing w:before="0" w:after="0"/>
              <w:jc w:val="right"/>
              <w:rPr>
                <w:rFonts w:ascii="Arial" w:hAnsi="Arial" w:cs="Arial"/>
                <w:noProof/>
                <w:sz w:val="20"/>
                <w:szCs w:val="20"/>
              </w:rPr>
            </w:pPr>
            <w:r>
              <w:rPr>
                <w:rFonts w:ascii="Arial" w:hAnsi="Arial"/>
                <w:noProof/>
                <w:sz w:val="20"/>
                <w:szCs w:val="20"/>
              </w:rPr>
              <w:t>103</w:t>
            </w:r>
          </w:p>
        </w:tc>
        <w:tc>
          <w:tcPr>
            <w:tcW w:w="850" w:type="dxa"/>
            <w:tcBorders>
              <w:top w:val="single" w:sz="4" w:space="0" w:color="auto"/>
              <w:left w:val="nil"/>
              <w:bottom w:val="single" w:sz="4" w:space="0" w:color="auto"/>
              <w:right w:val="single" w:sz="4" w:space="0" w:color="auto"/>
            </w:tcBorders>
            <w:shd w:val="clear" w:color="auto" w:fill="FFFFFF"/>
          </w:tcPr>
          <w:p>
            <w:pPr>
              <w:spacing w:before="0" w:after="0"/>
              <w:jc w:val="right"/>
              <w:rPr>
                <w:rFonts w:ascii="Arial" w:hAnsi="Arial" w:cs="Arial"/>
                <w:noProof/>
                <w:sz w:val="20"/>
                <w:szCs w:val="20"/>
              </w:rPr>
            </w:pPr>
            <w:r>
              <w:rPr>
                <w:rFonts w:ascii="Arial" w:hAnsi="Arial"/>
                <w:noProof/>
                <w:sz w:val="20"/>
                <w:szCs w:val="20"/>
              </w:rPr>
              <w:t>0</w:t>
            </w:r>
          </w:p>
        </w:tc>
        <w:tc>
          <w:tcPr>
            <w:tcW w:w="851" w:type="dxa"/>
            <w:tcBorders>
              <w:top w:val="single" w:sz="4" w:space="0" w:color="auto"/>
              <w:left w:val="single" w:sz="4" w:space="0" w:color="auto"/>
              <w:bottom w:val="single" w:sz="4" w:space="0" w:color="auto"/>
              <w:right w:val="single" w:sz="8" w:space="0" w:color="auto"/>
            </w:tcBorders>
            <w:shd w:val="clear" w:color="auto" w:fill="FFFFFF"/>
          </w:tcPr>
          <w:p>
            <w:pPr>
              <w:spacing w:before="0" w:after="0"/>
              <w:jc w:val="right"/>
              <w:rPr>
                <w:rFonts w:ascii="Arial" w:hAnsi="Arial" w:cs="Arial"/>
                <w:noProof/>
                <w:sz w:val="20"/>
                <w:szCs w:val="20"/>
              </w:rPr>
            </w:pPr>
            <w:r>
              <w:rPr>
                <w:rFonts w:ascii="Arial" w:hAnsi="Arial"/>
                <w:noProof/>
                <w:sz w:val="20"/>
                <w:szCs w:val="20"/>
              </w:rPr>
              <w:t>50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pPr>
              <w:spacing w:before="0" w:after="0"/>
              <w:jc w:val="right"/>
              <w:rPr>
                <w:rFonts w:ascii="Arial" w:hAnsi="Arial" w:cs="Arial"/>
                <w:b/>
                <w:noProof/>
                <w:sz w:val="20"/>
                <w:szCs w:val="20"/>
              </w:rPr>
            </w:pPr>
            <w:r>
              <w:rPr>
                <w:rFonts w:ascii="Arial" w:hAnsi="Arial"/>
                <w:b/>
                <w:noProof/>
                <w:sz w:val="20"/>
                <w:szCs w:val="20"/>
              </w:rPr>
              <w:t>416</w:t>
            </w:r>
          </w:p>
        </w:tc>
      </w:tr>
      <w:tr>
        <w:trPr>
          <w:trHeight w:val="214"/>
        </w:trPr>
        <w:tc>
          <w:tcPr>
            <w:tcW w:w="1575" w:type="dxa"/>
            <w:tcBorders>
              <w:top w:val="nil"/>
              <w:left w:val="single" w:sz="4" w:space="0" w:color="auto"/>
              <w:bottom w:val="single" w:sz="4" w:space="0" w:color="auto"/>
              <w:right w:val="single" w:sz="4" w:space="0" w:color="auto"/>
            </w:tcBorders>
            <w:shd w:val="clear" w:color="auto" w:fill="FFFFFF"/>
          </w:tcPr>
          <w:p>
            <w:pPr>
              <w:spacing w:before="0" w:after="0"/>
              <w:jc w:val="left"/>
              <w:rPr>
                <w:rFonts w:ascii="Arial" w:hAnsi="Arial" w:cs="Arial"/>
                <w:i/>
                <w:iCs/>
                <w:noProof/>
                <w:color w:val="808080"/>
                <w:sz w:val="20"/>
                <w:szCs w:val="20"/>
              </w:rPr>
            </w:pPr>
            <w:r>
              <w:rPr>
                <w:rFonts w:ascii="Arial" w:hAnsi="Arial"/>
                <w:i/>
                <w:iCs/>
                <w:noProof/>
                <w:color w:val="808080"/>
                <w:sz w:val="20"/>
                <w:szCs w:val="20"/>
              </w:rPr>
              <w:t>- incluido el JRC:</w:t>
            </w:r>
          </w:p>
        </w:tc>
        <w:tc>
          <w:tcPr>
            <w:tcW w:w="708" w:type="dxa"/>
            <w:tcBorders>
              <w:top w:val="nil"/>
              <w:left w:val="nil"/>
              <w:bottom w:val="single" w:sz="4" w:space="0" w:color="auto"/>
              <w:right w:val="single" w:sz="4" w:space="0" w:color="auto"/>
            </w:tcBorders>
            <w:shd w:val="clear" w:color="auto" w:fill="FFFFFF"/>
          </w:tcPr>
          <w:p>
            <w:pPr>
              <w:spacing w:before="0" w:after="0"/>
              <w:rPr>
                <w:rFonts w:ascii="Arial" w:hAnsi="Arial" w:cs="Arial"/>
                <w:i/>
                <w:iCs/>
                <w:noProof/>
                <w:color w:val="808080"/>
                <w:sz w:val="20"/>
                <w:szCs w:val="20"/>
              </w:rPr>
            </w:pPr>
            <w:r>
              <w:rPr>
                <w:rFonts w:ascii="Arial" w:hAnsi="Arial"/>
                <w:i/>
                <w:iCs/>
                <w:noProof/>
                <w:color w:val="808080"/>
                <w:sz w:val="20"/>
                <w:szCs w:val="20"/>
              </w:rPr>
              <w:t>150</w:t>
            </w:r>
          </w:p>
        </w:tc>
        <w:tc>
          <w:tcPr>
            <w:tcW w:w="1276" w:type="dxa"/>
            <w:tcBorders>
              <w:top w:val="nil"/>
              <w:left w:val="nil"/>
              <w:bottom w:val="single" w:sz="4" w:space="0" w:color="auto"/>
              <w:right w:val="single" w:sz="4" w:space="0" w:color="auto"/>
            </w:tcBorders>
            <w:shd w:val="clear" w:color="auto" w:fill="FFFFFF"/>
          </w:tcPr>
          <w:p>
            <w:pPr>
              <w:spacing w:before="0" w:after="0"/>
              <w:rPr>
                <w:rFonts w:ascii="Arial" w:hAnsi="Arial" w:cs="Arial"/>
                <w:i/>
                <w:iCs/>
                <w:noProof/>
                <w:color w:val="808080"/>
                <w:sz w:val="20"/>
                <w:szCs w:val="20"/>
              </w:rPr>
            </w:pPr>
            <w:r>
              <w:rPr>
                <w:rFonts w:ascii="Arial" w:hAnsi="Arial"/>
                <w:i/>
                <w:iCs/>
                <w:noProof/>
                <w:color w:val="808080"/>
                <w:sz w:val="20"/>
                <w:szCs w:val="20"/>
              </w:rPr>
              <w:t>0</w:t>
            </w:r>
          </w:p>
        </w:tc>
        <w:tc>
          <w:tcPr>
            <w:tcW w:w="1701" w:type="dxa"/>
            <w:tcBorders>
              <w:top w:val="nil"/>
              <w:left w:val="nil"/>
              <w:bottom w:val="single" w:sz="4" w:space="0" w:color="auto"/>
              <w:right w:val="single" w:sz="4" w:space="0" w:color="auto"/>
            </w:tcBorders>
            <w:shd w:val="clear" w:color="auto" w:fill="FFFFFF"/>
          </w:tcPr>
          <w:p>
            <w:pPr>
              <w:spacing w:before="0" w:after="0"/>
              <w:rPr>
                <w:rFonts w:ascii="Arial" w:hAnsi="Arial" w:cs="Arial"/>
                <w:i/>
                <w:iCs/>
                <w:noProof/>
                <w:color w:val="808080"/>
                <w:sz w:val="20"/>
                <w:szCs w:val="20"/>
              </w:rPr>
            </w:pPr>
            <w:r>
              <w:rPr>
                <w:rFonts w:ascii="Arial" w:hAnsi="Arial"/>
                <w:i/>
                <w:iCs/>
                <w:noProof/>
                <w:color w:val="808080"/>
                <w:sz w:val="20"/>
                <w:szCs w:val="20"/>
              </w:rPr>
              <w:t>0</w:t>
            </w:r>
          </w:p>
        </w:tc>
        <w:tc>
          <w:tcPr>
            <w:tcW w:w="1276" w:type="dxa"/>
            <w:tcBorders>
              <w:top w:val="nil"/>
              <w:left w:val="nil"/>
              <w:bottom w:val="single" w:sz="4" w:space="0" w:color="auto"/>
              <w:right w:val="single" w:sz="4" w:space="0" w:color="auto"/>
            </w:tcBorders>
            <w:shd w:val="clear" w:color="auto" w:fill="FFFFFF"/>
          </w:tcPr>
          <w:p>
            <w:pPr>
              <w:spacing w:before="0" w:after="0"/>
              <w:rPr>
                <w:rFonts w:ascii="Arial" w:hAnsi="Arial" w:cs="Arial"/>
                <w:i/>
                <w:iCs/>
                <w:noProof/>
                <w:color w:val="808080"/>
                <w:sz w:val="20"/>
                <w:szCs w:val="20"/>
              </w:rPr>
            </w:pPr>
            <w:r>
              <w:rPr>
                <w:rFonts w:ascii="Arial" w:hAnsi="Arial"/>
                <w:i/>
                <w:iCs/>
                <w:noProof/>
                <w:color w:val="808080"/>
                <w:sz w:val="20"/>
                <w:szCs w:val="20"/>
              </w:rPr>
              <w:t>0</w:t>
            </w:r>
          </w:p>
        </w:tc>
        <w:tc>
          <w:tcPr>
            <w:tcW w:w="567" w:type="dxa"/>
            <w:tcBorders>
              <w:top w:val="nil"/>
              <w:left w:val="nil"/>
              <w:bottom w:val="single" w:sz="4" w:space="0" w:color="auto"/>
              <w:right w:val="single" w:sz="4" w:space="0" w:color="auto"/>
            </w:tcBorders>
            <w:shd w:val="clear" w:color="auto" w:fill="FFFFFF"/>
          </w:tcPr>
          <w:p>
            <w:pPr>
              <w:spacing w:before="0" w:after="0"/>
              <w:rPr>
                <w:rFonts w:ascii="Arial" w:hAnsi="Arial" w:cs="Arial"/>
                <w:i/>
                <w:iCs/>
                <w:noProof/>
                <w:color w:val="808080"/>
                <w:sz w:val="20"/>
                <w:szCs w:val="20"/>
              </w:rPr>
            </w:pPr>
            <w:r>
              <w:rPr>
                <w:rFonts w:ascii="Arial" w:hAnsi="Arial"/>
                <w:i/>
                <w:iCs/>
                <w:noProof/>
                <w:color w:val="808080"/>
                <w:sz w:val="20"/>
                <w:szCs w:val="20"/>
              </w:rPr>
              <w:t>0</w:t>
            </w:r>
          </w:p>
        </w:tc>
        <w:tc>
          <w:tcPr>
            <w:tcW w:w="850" w:type="dxa"/>
            <w:tcBorders>
              <w:top w:val="nil"/>
              <w:left w:val="nil"/>
              <w:bottom w:val="single" w:sz="4" w:space="0" w:color="auto"/>
              <w:right w:val="single" w:sz="4" w:space="0" w:color="auto"/>
            </w:tcBorders>
            <w:shd w:val="clear" w:color="auto" w:fill="FFFFFF"/>
          </w:tcPr>
          <w:p>
            <w:pPr>
              <w:spacing w:before="0" w:after="0"/>
              <w:rPr>
                <w:rFonts w:ascii="Arial" w:hAnsi="Arial" w:cs="Arial"/>
                <w:i/>
                <w:iCs/>
                <w:noProof/>
                <w:color w:val="808080"/>
                <w:sz w:val="20"/>
                <w:szCs w:val="20"/>
              </w:rPr>
            </w:pPr>
            <w:r>
              <w:rPr>
                <w:rFonts w:ascii="Arial" w:hAnsi="Arial"/>
                <w:i/>
                <w:iCs/>
                <w:noProof/>
                <w:color w:val="808080"/>
                <w:sz w:val="20"/>
                <w:szCs w:val="20"/>
              </w:rPr>
              <w:t>0</w:t>
            </w:r>
          </w:p>
        </w:tc>
        <w:tc>
          <w:tcPr>
            <w:tcW w:w="851" w:type="dxa"/>
            <w:tcBorders>
              <w:top w:val="single" w:sz="4" w:space="0" w:color="auto"/>
              <w:left w:val="single" w:sz="4" w:space="0" w:color="auto"/>
              <w:bottom w:val="single" w:sz="4" w:space="0" w:color="auto"/>
              <w:right w:val="single" w:sz="8" w:space="0" w:color="auto"/>
            </w:tcBorders>
            <w:shd w:val="clear" w:color="auto" w:fill="FFFFFF"/>
          </w:tcPr>
          <w:p>
            <w:pPr>
              <w:spacing w:before="0" w:after="0"/>
              <w:rPr>
                <w:rFonts w:ascii="Arial" w:hAnsi="Arial" w:cs="Arial"/>
                <w:i/>
                <w:iCs/>
                <w:noProof/>
                <w:color w:val="808080"/>
                <w:sz w:val="20"/>
                <w:szCs w:val="20"/>
              </w:rPr>
            </w:pPr>
            <w:r>
              <w:rPr>
                <w:rFonts w:ascii="Arial" w:hAnsi="Arial"/>
                <w:i/>
                <w:iCs/>
                <w:noProof/>
                <w:color w:val="808080"/>
                <w:sz w:val="20"/>
                <w:szCs w:val="20"/>
              </w:rPr>
              <w:t>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pPr>
              <w:spacing w:before="0" w:after="0"/>
              <w:rPr>
                <w:rFonts w:ascii="Arial" w:hAnsi="Arial" w:cs="Arial"/>
                <w:b/>
                <w:i/>
                <w:iCs/>
                <w:noProof/>
                <w:color w:val="808080"/>
                <w:sz w:val="20"/>
                <w:szCs w:val="20"/>
              </w:rPr>
            </w:pPr>
            <w:r>
              <w:rPr>
                <w:rFonts w:ascii="Arial" w:hAnsi="Arial"/>
                <w:b/>
                <w:i/>
                <w:iCs/>
                <w:noProof/>
                <w:color w:val="808080"/>
                <w:sz w:val="20"/>
                <w:szCs w:val="20"/>
              </w:rPr>
              <w:t>150</w:t>
            </w:r>
          </w:p>
        </w:tc>
      </w:tr>
      <w:tr>
        <w:trPr>
          <w:trHeight w:val="202"/>
        </w:trPr>
        <w:tc>
          <w:tcPr>
            <w:tcW w:w="1575" w:type="dxa"/>
            <w:tcBorders>
              <w:top w:val="nil"/>
              <w:left w:val="single" w:sz="4" w:space="0" w:color="auto"/>
              <w:bottom w:val="single" w:sz="4" w:space="0" w:color="auto"/>
              <w:right w:val="single" w:sz="4" w:space="0" w:color="auto"/>
            </w:tcBorders>
            <w:shd w:val="clear" w:color="auto" w:fill="auto"/>
          </w:tcPr>
          <w:p>
            <w:pPr>
              <w:spacing w:before="0" w:after="0"/>
              <w:jc w:val="left"/>
              <w:rPr>
                <w:rFonts w:ascii="Arial" w:hAnsi="Arial" w:cs="Arial"/>
                <w:noProof/>
                <w:sz w:val="20"/>
                <w:szCs w:val="20"/>
              </w:rPr>
            </w:pPr>
            <w:r>
              <w:rPr>
                <w:rFonts w:ascii="Arial" w:hAnsi="Arial"/>
                <w:noProof/>
                <w:sz w:val="20"/>
                <w:szCs w:val="20"/>
              </w:rPr>
              <w:t>Consejo</w:t>
            </w:r>
          </w:p>
        </w:tc>
        <w:tc>
          <w:tcPr>
            <w:tcW w:w="70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70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21</w:t>
            </w:r>
          </w:p>
        </w:tc>
        <w:tc>
          <w:tcPr>
            <w:tcW w:w="567"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44</w:t>
            </w:r>
          </w:p>
        </w:tc>
        <w:tc>
          <w:tcPr>
            <w:tcW w:w="850"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12</w:t>
            </w:r>
          </w:p>
        </w:tc>
        <w:tc>
          <w:tcPr>
            <w:tcW w:w="851"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77</w:t>
            </w:r>
          </w:p>
        </w:tc>
      </w:tr>
      <w:tr>
        <w:trPr>
          <w:trHeight w:val="202"/>
        </w:trPr>
        <w:tc>
          <w:tcPr>
            <w:tcW w:w="1575" w:type="dxa"/>
            <w:tcBorders>
              <w:top w:val="nil"/>
              <w:left w:val="single" w:sz="4" w:space="0" w:color="auto"/>
              <w:bottom w:val="single" w:sz="4" w:space="0" w:color="auto"/>
              <w:right w:val="single" w:sz="4" w:space="0" w:color="auto"/>
            </w:tcBorders>
            <w:shd w:val="clear" w:color="auto" w:fill="auto"/>
          </w:tcPr>
          <w:p>
            <w:pPr>
              <w:spacing w:before="0" w:after="0"/>
              <w:jc w:val="left"/>
              <w:rPr>
                <w:rFonts w:ascii="Arial" w:hAnsi="Arial" w:cs="Arial"/>
                <w:noProof/>
                <w:sz w:val="20"/>
                <w:szCs w:val="20"/>
              </w:rPr>
            </w:pPr>
            <w:r>
              <w:rPr>
                <w:rFonts w:ascii="Arial" w:hAnsi="Arial"/>
                <w:noProof/>
                <w:sz w:val="20"/>
                <w:szCs w:val="20"/>
              </w:rPr>
              <w:t>Parlamento</w:t>
            </w:r>
          </w:p>
        </w:tc>
        <w:tc>
          <w:tcPr>
            <w:tcW w:w="70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70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567"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51"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0</w:t>
            </w:r>
          </w:p>
        </w:tc>
      </w:tr>
      <w:tr>
        <w:trPr>
          <w:trHeight w:val="178"/>
        </w:trPr>
        <w:tc>
          <w:tcPr>
            <w:tcW w:w="1575" w:type="dxa"/>
            <w:tcBorders>
              <w:top w:val="nil"/>
              <w:left w:val="single" w:sz="4" w:space="0" w:color="auto"/>
              <w:bottom w:val="single" w:sz="4" w:space="0" w:color="auto"/>
              <w:right w:val="single" w:sz="4" w:space="0" w:color="auto"/>
            </w:tcBorders>
            <w:shd w:val="clear" w:color="auto" w:fill="auto"/>
          </w:tcPr>
          <w:p>
            <w:pPr>
              <w:spacing w:before="0" w:after="0"/>
              <w:jc w:val="left"/>
              <w:rPr>
                <w:rFonts w:ascii="Arial" w:hAnsi="Arial" w:cs="Arial"/>
                <w:noProof/>
                <w:sz w:val="20"/>
                <w:szCs w:val="20"/>
              </w:rPr>
            </w:pPr>
            <w:r>
              <w:rPr>
                <w:rFonts w:ascii="Arial" w:hAnsi="Arial"/>
                <w:noProof/>
                <w:sz w:val="20"/>
                <w:szCs w:val="20"/>
              </w:rPr>
              <w:t>Tribunal de Justicia</w:t>
            </w:r>
          </w:p>
        </w:tc>
        <w:tc>
          <w:tcPr>
            <w:tcW w:w="70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70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15</w:t>
            </w:r>
          </w:p>
        </w:tc>
        <w:tc>
          <w:tcPr>
            <w:tcW w:w="127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12</w:t>
            </w:r>
          </w:p>
        </w:tc>
        <w:tc>
          <w:tcPr>
            <w:tcW w:w="567"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51"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27</w:t>
            </w:r>
          </w:p>
        </w:tc>
      </w:tr>
      <w:tr>
        <w:trPr>
          <w:trHeight w:val="166"/>
        </w:trPr>
        <w:tc>
          <w:tcPr>
            <w:tcW w:w="1575" w:type="dxa"/>
            <w:tcBorders>
              <w:top w:val="nil"/>
              <w:left w:val="single" w:sz="4" w:space="0" w:color="auto"/>
              <w:bottom w:val="single" w:sz="4" w:space="0" w:color="auto"/>
              <w:right w:val="single" w:sz="4" w:space="0" w:color="auto"/>
            </w:tcBorders>
            <w:shd w:val="clear" w:color="auto" w:fill="FFFFFF"/>
          </w:tcPr>
          <w:p>
            <w:pPr>
              <w:spacing w:before="0" w:after="0"/>
              <w:jc w:val="left"/>
              <w:rPr>
                <w:rFonts w:ascii="Arial" w:hAnsi="Arial" w:cs="Arial"/>
                <w:noProof/>
                <w:sz w:val="20"/>
                <w:szCs w:val="20"/>
              </w:rPr>
            </w:pPr>
            <w:r>
              <w:rPr>
                <w:rFonts w:ascii="Arial" w:hAnsi="Arial"/>
                <w:noProof/>
                <w:sz w:val="20"/>
                <w:szCs w:val="20"/>
              </w:rPr>
              <w:t>Tribunal de Cuentas</w:t>
            </w:r>
          </w:p>
        </w:tc>
        <w:tc>
          <w:tcPr>
            <w:tcW w:w="70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70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17</w:t>
            </w:r>
          </w:p>
        </w:tc>
        <w:tc>
          <w:tcPr>
            <w:tcW w:w="567"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51"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17</w:t>
            </w:r>
          </w:p>
        </w:tc>
      </w:tr>
      <w:tr>
        <w:trPr>
          <w:trHeight w:val="166"/>
        </w:trPr>
        <w:tc>
          <w:tcPr>
            <w:tcW w:w="1575" w:type="dxa"/>
            <w:tcBorders>
              <w:top w:val="nil"/>
              <w:left w:val="single" w:sz="4" w:space="0" w:color="auto"/>
              <w:bottom w:val="single" w:sz="4" w:space="0" w:color="auto"/>
              <w:right w:val="single" w:sz="4" w:space="0" w:color="auto"/>
            </w:tcBorders>
            <w:shd w:val="clear" w:color="auto" w:fill="auto"/>
          </w:tcPr>
          <w:p>
            <w:pPr>
              <w:spacing w:before="0" w:after="0"/>
              <w:jc w:val="left"/>
              <w:rPr>
                <w:rFonts w:ascii="Arial" w:hAnsi="Arial" w:cs="Arial"/>
                <w:noProof/>
                <w:sz w:val="20"/>
                <w:szCs w:val="20"/>
              </w:rPr>
            </w:pPr>
            <w:r>
              <w:rPr>
                <w:rFonts w:ascii="Arial" w:hAnsi="Arial"/>
                <w:noProof/>
                <w:sz w:val="20"/>
                <w:szCs w:val="20"/>
              </w:rPr>
              <w:t>CESE</w:t>
            </w:r>
          </w:p>
        </w:tc>
        <w:tc>
          <w:tcPr>
            <w:tcW w:w="70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70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2</w:t>
            </w:r>
          </w:p>
        </w:tc>
        <w:tc>
          <w:tcPr>
            <w:tcW w:w="567"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51"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2</w:t>
            </w:r>
          </w:p>
        </w:tc>
      </w:tr>
      <w:tr>
        <w:trPr>
          <w:trHeight w:val="154"/>
        </w:trPr>
        <w:tc>
          <w:tcPr>
            <w:tcW w:w="1575" w:type="dxa"/>
            <w:tcBorders>
              <w:top w:val="nil"/>
              <w:left w:val="single" w:sz="4" w:space="0" w:color="auto"/>
              <w:bottom w:val="single" w:sz="4" w:space="0" w:color="auto"/>
              <w:right w:val="single" w:sz="4" w:space="0" w:color="auto"/>
            </w:tcBorders>
            <w:shd w:val="clear" w:color="auto" w:fill="auto"/>
          </w:tcPr>
          <w:p>
            <w:pPr>
              <w:spacing w:before="0" w:after="0"/>
              <w:jc w:val="left"/>
              <w:rPr>
                <w:rFonts w:ascii="Arial" w:hAnsi="Arial" w:cs="Arial"/>
                <w:noProof/>
                <w:sz w:val="20"/>
                <w:szCs w:val="20"/>
              </w:rPr>
            </w:pPr>
            <w:r>
              <w:rPr>
                <w:rFonts w:ascii="Arial" w:hAnsi="Arial"/>
                <w:noProof/>
                <w:sz w:val="20"/>
                <w:szCs w:val="20"/>
              </w:rPr>
              <w:t>CDR</w:t>
            </w:r>
          </w:p>
        </w:tc>
        <w:tc>
          <w:tcPr>
            <w:tcW w:w="70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70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4</w:t>
            </w:r>
          </w:p>
        </w:tc>
        <w:tc>
          <w:tcPr>
            <w:tcW w:w="567"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51"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4</w:t>
            </w:r>
          </w:p>
        </w:tc>
      </w:tr>
      <w:tr>
        <w:trPr>
          <w:trHeight w:val="142"/>
        </w:trPr>
        <w:tc>
          <w:tcPr>
            <w:tcW w:w="1575" w:type="dxa"/>
            <w:tcBorders>
              <w:top w:val="nil"/>
              <w:left w:val="single" w:sz="4" w:space="0" w:color="auto"/>
              <w:bottom w:val="single" w:sz="4" w:space="0" w:color="auto"/>
              <w:right w:val="single" w:sz="4" w:space="0" w:color="auto"/>
            </w:tcBorders>
            <w:shd w:val="clear" w:color="auto" w:fill="FFFFFF"/>
          </w:tcPr>
          <w:p>
            <w:pPr>
              <w:spacing w:before="0" w:after="0"/>
              <w:jc w:val="left"/>
              <w:rPr>
                <w:rFonts w:ascii="Arial" w:hAnsi="Arial" w:cs="Arial"/>
                <w:noProof/>
                <w:sz w:val="20"/>
                <w:szCs w:val="20"/>
              </w:rPr>
            </w:pPr>
            <w:r>
              <w:rPr>
                <w:rFonts w:ascii="Arial" w:hAnsi="Arial"/>
                <w:noProof/>
                <w:sz w:val="20"/>
                <w:szCs w:val="20"/>
              </w:rPr>
              <w:t>SEPD</w:t>
            </w:r>
          </w:p>
        </w:tc>
        <w:tc>
          <w:tcPr>
            <w:tcW w:w="70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70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567"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51"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0</w:t>
            </w:r>
          </w:p>
        </w:tc>
      </w:tr>
      <w:tr>
        <w:trPr>
          <w:trHeight w:val="142"/>
        </w:trPr>
        <w:tc>
          <w:tcPr>
            <w:tcW w:w="1575" w:type="dxa"/>
            <w:tcBorders>
              <w:top w:val="single" w:sz="4" w:space="0" w:color="auto"/>
              <w:left w:val="single" w:sz="4" w:space="0" w:color="auto"/>
              <w:bottom w:val="nil"/>
              <w:right w:val="single" w:sz="4" w:space="0" w:color="auto"/>
            </w:tcBorders>
            <w:shd w:val="clear" w:color="auto" w:fill="FFFFFF"/>
          </w:tcPr>
          <w:p>
            <w:pPr>
              <w:spacing w:before="0" w:after="0"/>
              <w:jc w:val="left"/>
              <w:rPr>
                <w:rFonts w:ascii="Arial" w:hAnsi="Arial" w:cs="Arial"/>
                <w:noProof/>
                <w:sz w:val="20"/>
                <w:szCs w:val="20"/>
              </w:rPr>
            </w:pPr>
            <w:r>
              <w:rPr>
                <w:rFonts w:ascii="Arial" w:hAnsi="Arial"/>
                <w:noProof/>
                <w:sz w:val="20"/>
                <w:szCs w:val="20"/>
              </w:rPr>
              <w:t>Defensor del Pueblo Europeo</w:t>
            </w:r>
          </w:p>
        </w:tc>
        <w:tc>
          <w:tcPr>
            <w:tcW w:w="708" w:type="dxa"/>
            <w:tcBorders>
              <w:top w:val="single" w:sz="4" w:space="0" w:color="auto"/>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single" w:sz="4" w:space="0" w:color="auto"/>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701" w:type="dxa"/>
            <w:tcBorders>
              <w:top w:val="single" w:sz="4" w:space="0" w:color="auto"/>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single" w:sz="4" w:space="0" w:color="auto"/>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567" w:type="dxa"/>
            <w:tcBorders>
              <w:top w:val="single" w:sz="4" w:space="0" w:color="auto"/>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single" w:sz="4" w:space="0" w:color="auto"/>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51"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single" w:sz="4"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0</w:t>
            </w:r>
          </w:p>
        </w:tc>
      </w:tr>
      <w:tr>
        <w:trPr>
          <w:trHeight w:val="118"/>
        </w:trPr>
        <w:tc>
          <w:tcPr>
            <w:tcW w:w="1575" w:type="dxa"/>
            <w:tcBorders>
              <w:top w:val="single" w:sz="4" w:space="0" w:color="auto"/>
              <w:left w:val="single" w:sz="4" w:space="0" w:color="auto"/>
              <w:bottom w:val="single" w:sz="2" w:space="0" w:color="auto"/>
              <w:right w:val="single" w:sz="4" w:space="0" w:color="auto"/>
            </w:tcBorders>
            <w:shd w:val="clear" w:color="auto" w:fill="FFFFFF"/>
          </w:tcPr>
          <w:p>
            <w:pPr>
              <w:spacing w:before="0" w:after="0"/>
              <w:jc w:val="left"/>
              <w:rPr>
                <w:rFonts w:ascii="Arial" w:hAnsi="Arial" w:cs="Arial"/>
                <w:noProof/>
                <w:sz w:val="20"/>
                <w:szCs w:val="20"/>
              </w:rPr>
            </w:pPr>
            <w:r>
              <w:rPr>
                <w:rFonts w:ascii="Arial" w:hAnsi="Arial"/>
                <w:noProof/>
                <w:sz w:val="20"/>
                <w:szCs w:val="20"/>
              </w:rPr>
              <w:t>SEAE</w:t>
            </w:r>
          </w:p>
        </w:tc>
        <w:tc>
          <w:tcPr>
            <w:tcW w:w="708" w:type="dxa"/>
            <w:tcBorders>
              <w:top w:val="single" w:sz="4" w:space="0" w:color="auto"/>
              <w:left w:val="nil"/>
              <w:bottom w:val="single" w:sz="2"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single" w:sz="4" w:space="0" w:color="auto"/>
              <w:left w:val="nil"/>
              <w:bottom w:val="single" w:sz="2"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701" w:type="dxa"/>
            <w:tcBorders>
              <w:top w:val="single" w:sz="4" w:space="0" w:color="auto"/>
              <w:left w:val="nil"/>
              <w:bottom w:val="single" w:sz="2"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single" w:sz="4" w:space="0" w:color="auto"/>
              <w:left w:val="nil"/>
              <w:bottom w:val="single" w:sz="2"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4</w:t>
            </w:r>
          </w:p>
        </w:tc>
        <w:tc>
          <w:tcPr>
            <w:tcW w:w="567" w:type="dxa"/>
            <w:tcBorders>
              <w:top w:val="single" w:sz="4" w:space="0" w:color="auto"/>
              <w:left w:val="nil"/>
              <w:bottom w:val="single" w:sz="2"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9</w:t>
            </w:r>
          </w:p>
        </w:tc>
        <w:tc>
          <w:tcPr>
            <w:tcW w:w="850" w:type="dxa"/>
            <w:tcBorders>
              <w:top w:val="single" w:sz="4" w:space="0" w:color="auto"/>
              <w:left w:val="nil"/>
              <w:bottom w:val="single" w:sz="2"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16</w:t>
            </w:r>
          </w:p>
        </w:tc>
        <w:tc>
          <w:tcPr>
            <w:tcW w:w="851" w:type="dxa"/>
            <w:tcBorders>
              <w:top w:val="single" w:sz="4" w:space="0" w:color="auto"/>
              <w:left w:val="single" w:sz="4" w:space="0" w:color="auto"/>
              <w:bottom w:val="single" w:sz="2"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single" w:sz="4" w:space="0" w:color="auto"/>
              <w:left w:val="single" w:sz="8" w:space="0" w:color="auto"/>
              <w:bottom w:val="single" w:sz="2"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29</w:t>
            </w:r>
          </w:p>
        </w:tc>
      </w:tr>
      <w:tr>
        <w:trPr>
          <w:trHeight w:val="330"/>
        </w:trPr>
        <w:tc>
          <w:tcPr>
            <w:tcW w:w="1575"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iCs/>
                <w:noProof/>
                <w:sz w:val="20"/>
                <w:szCs w:val="20"/>
              </w:rPr>
            </w:pPr>
            <w:r>
              <w:rPr>
                <w:rFonts w:ascii="Arial" w:hAnsi="Arial"/>
                <w:b/>
                <w:bCs/>
                <w:iCs/>
                <w:noProof/>
                <w:sz w:val="20"/>
                <w:szCs w:val="20"/>
              </w:rPr>
              <w:t>Total</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150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2</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85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101</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156</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28</w:t>
            </w:r>
          </w:p>
        </w:tc>
        <w:tc>
          <w:tcPr>
            <w:tcW w:w="851" w:type="dxa"/>
            <w:tcBorders>
              <w:top w:val="single" w:sz="2" w:space="0" w:color="auto"/>
              <w:left w:val="single" w:sz="2" w:space="0" w:color="auto"/>
              <w:bottom w:val="single" w:sz="2" w:space="0" w:color="auto"/>
              <w:right w:val="single" w:sz="2" w:space="0" w:color="auto"/>
            </w:tcBorders>
            <w:vAlign w:val="center"/>
          </w:tcPr>
          <w:p>
            <w:pPr>
              <w:spacing w:before="0" w:after="0"/>
              <w:jc w:val="right"/>
              <w:rPr>
                <w:rFonts w:ascii="Arial" w:hAnsi="Arial" w:cs="Arial"/>
                <w:b/>
                <w:bCs/>
                <w:noProof/>
                <w:sz w:val="20"/>
                <w:szCs w:val="20"/>
              </w:rPr>
            </w:pPr>
            <w:r>
              <w:rPr>
                <w:rFonts w:ascii="Arial" w:hAnsi="Arial"/>
                <w:b/>
                <w:bCs/>
                <w:noProof/>
                <w:sz w:val="20"/>
                <w:szCs w:val="20"/>
              </w:rPr>
              <w:t>50</w:t>
            </w:r>
          </w:p>
        </w:tc>
        <w:tc>
          <w:tcPr>
            <w:tcW w:w="850" w:type="dxa"/>
            <w:tcBorders>
              <w:top w:val="single" w:sz="2" w:space="0" w:color="auto"/>
              <w:left w:val="single" w:sz="2" w:space="0" w:color="auto"/>
              <w:bottom w:val="single" w:sz="2" w:space="0" w:color="auto"/>
              <w:right w:val="single" w:sz="2" w:space="0" w:color="auto"/>
            </w:tcBorders>
            <w:vAlign w:val="center"/>
          </w:tcPr>
          <w:p>
            <w:pPr>
              <w:spacing w:before="0" w:after="0"/>
              <w:jc w:val="right"/>
              <w:rPr>
                <w:rFonts w:ascii="Arial" w:hAnsi="Arial" w:cs="Arial"/>
                <w:b/>
                <w:bCs/>
                <w:noProof/>
                <w:sz w:val="20"/>
                <w:szCs w:val="20"/>
              </w:rPr>
            </w:pPr>
            <w:r>
              <w:rPr>
                <w:rFonts w:ascii="Arial" w:hAnsi="Arial"/>
                <w:b/>
                <w:bCs/>
                <w:noProof/>
                <w:sz w:val="20"/>
                <w:szCs w:val="20"/>
              </w:rPr>
              <w:t>572</w:t>
            </w:r>
          </w:p>
        </w:tc>
      </w:tr>
    </w:tbl>
    <w:p>
      <w:pPr>
        <w:rPr>
          <w:bCs/>
          <w:smallCaps/>
          <w:noProof/>
          <w:lang w:val="fr-BE"/>
        </w:rPr>
      </w:pPr>
    </w:p>
    <w:p>
      <w:pPr>
        <w:pStyle w:val="Heading1"/>
        <w:numPr>
          <w:ilvl w:val="0"/>
          <w:numId w:val="0"/>
        </w:numPr>
        <w:spacing w:before="0" w:after="0"/>
        <w:ind w:left="850"/>
        <w:rPr>
          <w:bCs w:val="0"/>
          <w:noProof/>
        </w:rPr>
      </w:pPr>
      <w:r>
        <w:rPr>
          <w:noProof/>
        </w:rPr>
        <w:t>3.</w:t>
      </w:r>
      <w:r>
        <w:rPr>
          <w:noProof/>
        </w:rPr>
        <w:tab/>
        <w:t>Indemnización por condiciones de trabajo penosas</w:t>
      </w:r>
    </w:p>
    <w:p>
      <w:pPr>
        <w:rPr>
          <w:noProof/>
        </w:rPr>
      </w:pPr>
      <w:r>
        <w:rPr>
          <w:noProof/>
        </w:rPr>
        <w:t xml:space="preserve">Las bases jurídicas de esta indemnización son el artículo 56 </w:t>
      </w:r>
      <w:r>
        <w:rPr>
          <w:i/>
          <w:noProof/>
        </w:rPr>
        <w:t>quater</w:t>
      </w:r>
      <w:r>
        <w:rPr>
          <w:noProof/>
        </w:rPr>
        <w:t xml:space="preserve"> del Estatuto, así como el Reglamento n.º 858/2004 del Consejo, de 29 de abril de 2004, en su versión modificada.</w:t>
      </w:r>
      <w:r>
        <w:rPr>
          <w:noProof/>
        </w:rPr>
        <w:tab/>
        <w:t>La indemnización por condiciones de trabajo penosas se concede para compensar condiciones de trabajo particulares relativas 1) a la protección individual (uso de vestimenta especial incómoda, protección parcial), 2) al lugar de trabajo (lugares cerrados, ruidosos y peligrosos) y 3) a la naturaleza del trabajo (por ejemplo, manipulación de sustancias corrosivas, trabajo con explosivos)</w:t>
      </w:r>
      <w:r>
        <w:rPr>
          <w:rStyle w:val="FootnoteReference"/>
          <w:noProof/>
          <w:lang w:val="fr-BE"/>
        </w:rPr>
        <w:footnoteReference w:id="2"/>
      </w:r>
      <w:r>
        <w:rPr>
          <w:noProof/>
        </w:rPr>
        <w:t>.</w:t>
      </w:r>
    </w:p>
    <w:p>
      <w:pPr>
        <w:rPr>
          <w:noProof/>
        </w:rPr>
      </w:pPr>
      <w:r>
        <w:rPr>
          <w:noProof/>
        </w:rPr>
        <w:t xml:space="preserve"> La indemnización se expresa en puntos por hora de trabajo efectivamente cumplida. El número de puntos varía entre 2 puntos (por ejemplo, para un nivel medio de ruido superior a 85 decibelios) y un máximo de 50 puntos en el caso de un funcionario que utilice una escafandra autónoma contra incendios. Cada punto equivale a un 0,032 % del sueldo base de un funcionario de grado 1, escalón 1 (equivalente a 0,93 EUR en 2018).</w:t>
      </w:r>
    </w:p>
    <w:p>
      <w:pPr>
        <w:spacing w:before="0" w:after="0"/>
        <w:rPr>
          <w:noProof/>
        </w:rPr>
      </w:pPr>
    </w:p>
    <w:p>
      <w:pPr>
        <w:pStyle w:val="Heading2"/>
        <w:numPr>
          <w:ilvl w:val="0"/>
          <w:numId w:val="0"/>
        </w:numPr>
        <w:spacing w:before="0" w:after="0"/>
        <w:rPr>
          <w:bCs w:val="0"/>
          <w:noProof/>
        </w:rPr>
      </w:pPr>
      <w:r>
        <w:rPr>
          <w:noProof/>
        </w:rPr>
        <w:t>3.1.</w:t>
      </w:r>
      <w:r>
        <w:rPr>
          <w:noProof/>
        </w:rPr>
        <w:tab/>
        <w:t>Número de beneficiarios (funcionarios/agentes temporales y agentes contractuales):</w:t>
      </w:r>
    </w:p>
    <w:tbl>
      <w:tblPr>
        <w:tblW w:w="9100" w:type="dxa"/>
        <w:tblInd w:w="93" w:type="dxa"/>
        <w:tblLook w:val="0000" w:firstRow="0" w:lastRow="0" w:firstColumn="0" w:lastColumn="0" w:noHBand="0" w:noVBand="0"/>
      </w:tblPr>
      <w:tblGrid>
        <w:gridCol w:w="2295"/>
        <w:gridCol w:w="960"/>
        <w:gridCol w:w="960"/>
        <w:gridCol w:w="840"/>
        <w:gridCol w:w="960"/>
        <w:gridCol w:w="1080"/>
        <w:gridCol w:w="1045"/>
        <w:gridCol w:w="960"/>
      </w:tblGrid>
      <w:tr>
        <w:trPr>
          <w:trHeight w:val="330"/>
        </w:trPr>
        <w:tc>
          <w:tcPr>
            <w:tcW w:w="229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Institución</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AD</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AST/SC</w:t>
            </w:r>
          </w:p>
        </w:tc>
        <w:tc>
          <w:tcPr>
            <w:tcW w:w="3925" w:type="dxa"/>
            <w:gridSpan w:val="4"/>
            <w:tcBorders>
              <w:top w:val="single" w:sz="8" w:space="0" w:color="auto"/>
              <w:left w:val="nil"/>
              <w:bottom w:val="single" w:sz="4" w:space="0" w:color="auto"/>
              <w:right w:val="single" w:sz="8"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Agentes contractuales</w:t>
            </w:r>
          </w:p>
        </w:tc>
        <w:tc>
          <w:tcPr>
            <w:tcW w:w="9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Total</w:t>
            </w:r>
          </w:p>
        </w:tc>
      </w:tr>
      <w:tr>
        <w:trPr>
          <w:trHeight w:val="330"/>
        </w:trPr>
        <w:tc>
          <w:tcPr>
            <w:tcW w:w="2295" w:type="dxa"/>
            <w:vMerge/>
            <w:tcBorders>
              <w:top w:val="single" w:sz="8" w:space="0" w:color="auto"/>
              <w:left w:val="single" w:sz="8" w:space="0" w:color="auto"/>
              <w:bottom w:val="single" w:sz="8" w:space="0" w:color="000000"/>
              <w:right w:val="single" w:sz="4" w:space="0" w:color="auto"/>
            </w:tcBorders>
            <w:vAlign w:val="center"/>
          </w:tcPr>
          <w:p>
            <w:pPr>
              <w:spacing w:before="0" w:after="0"/>
              <w:jc w:val="left"/>
              <w:rPr>
                <w:rFonts w:ascii="Arial" w:hAnsi="Arial" w:cs="Arial"/>
                <w:b/>
                <w:bCs/>
                <w:noProof/>
                <w:sz w:val="20"/>
                <w:szCs w:val="20"/>
              </w:rPr>
            </w:pPr>
          </w:p>
        </w:tc>
        <w:tc>
          <w:tcPr>
            <w:tcW w:w="960" w:type="dxa"/>
            <w:vMerge/>
            <w:tcBorders>
              <w:top w:val="single" w:sz="8" w:space="0" w:color="auto"/>
              <w:left w:val="single" w:sz="4" w:space="0" w:color="auto"/>
              <w:bottom w:val="single" w:sz="8" w:space="0" w:color="000000"/>
              <w:right w:val="single" w:sz="4" w:space="0" w:color="auto"/>
            </w:tcBorders>
            <w:vAlign w:val="center"/>
          </w:tcPr>
          <w:p>
            <w:pPr>
              <w:spacing w:before="0" w:after="0"/>
              <w:jc w:val="left"/>
              <w:rPr>
                <w:rFonts w:ascii="Arial" w:hAnsi="Arial" w:cs="Arial"/>
                <w:b/>
                <w:bCs/>
                <w:noProof/>
                <w:sz w:val="20"/>
                <w:szCs w:val="20"/>
              </w:rPr>
            </w:pPr>
          </w:p>
        </w:tc>
        <w:tc>
          <w:tcPr>
            <w:tcW w:w="960" w:type="dxa"/>
            <w:vMerge/>
            <w:tcBorders>
              <w:top w:val="single" w:sz="8" w:space="0" w:color="auto"/>
              <w:left w:val="single" w:sz="4" w:space="0" w:color="auto"/>
              <w:bottom w:val="single" w:sz="8" w:space="0" w:color="000000"/>
              <w:right w:val="single" w:sz="4" w:space="0" w:color="auto"/>
            </w:tcBorders>
            <w:vAlign w:val="center"/>
          </w:tcPr>
          <w:p>
            <w:pPr>
              <w:spacing w:before="0" w:after="0"/>
              <w:jc w:val="left"/>
              <w:rPr>
                <w:rFonts w:ascii="Arial" w:hAnsi="Arial" w:cs="Arial"/>
                <w:b/>
                <w:bCs/>
                <w:noProof/>
                <w:sz w:val="20"/>
                <w:szCs w:val="20"/>
              </w:rPr>
            </w:pPr>
          </w:p>
        </w:tc>
        <w:tc>
          <w:tcPr>
            <w:tcW w:w="840" w:type="dxa"/>
            <w:tcBorders>
              <w:top w:val="nil"/>
              <w:left w:val="nil"/>
              <w:bottom w:val="single" w:sz="8" w:space="0" w:color="auto"/>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GF I</w:t>
            </w:r>
          </w:p>
        </w:tc>
        <w:tc>
          <w:tcPr>
            <w:tcW w:w="960" w:type="dxa"/>
            <w:tcBorders>
              <w:top w:val="nil"/>
              <w:left w:val="nil"/>
              <w:bottom w:val="single" w:sz="8" w:space="0" w:color="auto"/>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GF II</w:t>
            </w:r>
          </w:p>
        </w:tc>
        <w:tc>
          <w:tcPr>
            <w:tcW w:w="1080" w:type="dxa"/>
            <w:tcBorders>
              <w:top w:val="nil"/>
              <w:left w:val="nil"/>
              <w:bottom w:val="single" w:sz="8" w:space="0" w:color="auto"/>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GF III</w:t>
            </w:r>
          </w:p>
        </w:tc>
        <w:tc>
          <w:tcPr>
            <w:tcW w:w="1045" w:type="dxa"/>
            <w:tcBorders>
              <w:top w:val="nil"/>
              <w:left w:val="nil"/>
              <w:bottom w:val="single" w:sz="8" w:space="0" w:color="auto"/>
              <w:right w:val="single" w:sz="8"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GF IV</w:t>
            </w:r>
          </w:p>
        </w:tc>
        <w:tc>
          <w:tcPr>
            <w:tcW w:w="960" w:type="dxa"/>
            <w:vMerge/>
            <w:tcBorders>
              <w:top w:val="single" w:sz="8" w:space="0" w:color="auto"/>
              <w:left w:val="single" w:sz="8" w:space="0" w:color="auto"/>
              <w:bottom w:val="single" w:sz="8" w:space="0" w:color="auto"/>
              <w:right w:val="single" w:sz="8" w:space="0" w:color="auto"/>
            </w:tcBorders>
            <w:vAlign w:val="center"/>
          </w:tcPr>
          <w:p>
            <w:pPr>
              <w:spacing w:before="0" w:after="0"/>
              <w:jc w:val="left"/>
              <w:rPr>
                <w:rFonts w:ascii="Arial" w:hAnsi="Arial" w:cs="Arial"/>
                <w:b/>
                <w:bCs/>
                <w:noProof/>
                <w:sz w:val="20"/>
                <w:szCs w:val="20"/>
              </w:rPr>
            </w:pPr>
          </w:p>
        </w:tc>
      </w:tr>
      <w:tr>
        <w:trPr>
          <w:trHeight w:val="154"/>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Comisión</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31</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145</w:t>
            </w:r>
          </w:p>
        </w:tc>
        <w:tc>
          <w:tcPr>
            <w:tcW w:w="84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24</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w:t>
            </w:r>
          </w:p>
        </w:tc>
        <w:tc>
          <w:tcPr>
            <w:tcW w:w="1045"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7</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209</w:t>
            </w:r>
          </w:p>
        </w:tc>
      </w:tr>
      <w:tr>
        <w:trPr>
          <w:trHeight w:val="315"/>
        </w:trPr>
        <w:tc>
          <w:tcPr>
            <w:tcW w:w="2295" w:type="dxa"/>
            <w:tcBorders>
              <w:top w:val="nil"/>
              <w:left w:val="single" w:sz="8" w:space="0" w:color="auto"/>
              <w:bottom w:val="single" w:sz="4" w:space="0" w:color="auto"/>
              <w:right w:val="single" w:sz="4"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 incluido el JRC:</w:t>
            </w:r>
          </w:p>
        </w:tc>
        <w:tc>
          <w:tcPr>
            <w:tcW w:w="960" w:type="dxa"/>
            <w:tcBorders>
              <w:top w:val="nil"/>
              <w:left w:val="nil"/>
              <w:bottom w:val="single" w:sz="4" w:space="0" w:color="auto"/>
              <w:right w:val="single" w:sz="4"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31</w:t>
            </w:r>
          </w:p>
        </w:tc>
        <w:tc>
          <w:tcPr>
            <w:tcW w:w="960" w:type="dxa"/>
            <w:tcBorders>
              <w:top w:val="nil"/>
              <w:left w:val="nil"/>
              <w:bottom w:val="single" w:sz="4" w:space="0" w:color="auto"/>
              <w:right w:val="single" w:sz="4"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139</w:t>
            </w:r>
          </w:p>
        </w:tc>
        <w:tc>
          <w:tcPr>
            <w:tcW w:w="840" w:type="dxa"/>
            <w:tcBorders>
              <w:top w:val="nil"/>
              <w:left w:val="nil"/>
              <w:bottom w:val="single" w:sz="4" w:space="0" w:color="auto"/>
              <w:right w:val="single" w:sz="4"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16</w:t>
            </w:r>
          </w:p>
        </w:tc>
        <w:tc>
          <w:tcPr>
            <w:tcW w:w="960" w:type="dxa"/>
            <w:tcBorders>
              <w:top w:val="nil"/>
              <w:left w:val="nil"/>
              <w:bottom w:val="single" w:sz="4" w:space="0" w:color="auto"/>
              <w:right w:val="single" w:sz="4"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1</w:t>
            </w:r>
          </w:p>
        </w:tc>
        <w:tc>
          <w:tcPr>
            <w:tcW w:w="1080" w:type="dxa"/>
            <w:tcBorders>
              <w:top w:val="nil"/>
              <w:left w:val="nil"/>
              <w:bottom w:val="single" w:sz="4" w:space="0" w:color="auto"/>
              <w:right w:val="single" w:sz="4"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1</w:t>
            </w:r>
          </w:p>
        </w:tc>
        <w:tc>
          <w:tcPr>
            <w:tcW w:w="1045" w:type="dxa"/>
            <w:tcBorders>
              <w:top w:val="nil"/>
              <w:left w:val="nil"/>
              <w:bottom w:val="single" w:sz="4" w:space="0" w:color="auto"/>
              <w:right w:val="single" w:sz="8"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7</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left"/>
              <w:rPr>
                <w:rFonts w:ascii="Arial" w:hAnsi="Arial" w:cs="Arial"/>
                <w:b/>
                <w:i/>
                <w:iCs/>
                <w:noProof/>
                <w:color w:val="808080"/>
                <w:sz w:val="20"/>
                <w:szCs w:val="20"/>
              </w:rPr>
            </w:pPr>
            <w:r>
              <w:rPr>
                <w:rFonts w:ascii="Arial" w:hAnsi="Arial"/>
                <w:b/>
                <w:i/>
                <w:iCs/>
                <w:noProof/>
                <w:color w:val="808080"/>
                <w:sz w:val="20"/>
                <w:szCs w:val="20"/>
              </w:rPr>
              <w:t>195</w:t>
            </w:r>
          </w:p>
        </w:tc>
      </w:tr>
      <w:tr>
        <w:trPr>
          <w:trHeight w:val="166"/>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Consejo</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r>
      <w:tr>
        <w:trPr>
          <w:trHeight w:val="166"/>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Parlamento</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r>
      <w:tr>
        <w:trPr>
          <w:trHeight w:val="154"/>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Tribunal de Justicia</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r>
      <w:tr>
        <w:trPr>
          <w:trHeight w:val="142"/>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Tribunal de Cuentas</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r>
      <w:tr>
        <w:trPr>
          <w:trHeight w:val="142"/>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CESE</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r>
      <w:tr>
        <w:trPr>
          <w:trHeight w:val="214"/>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CDR</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r>
      <w:tr>
        <w:trPr>
          <w:trHeight w:val="106"/>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SEPD</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r>
      <w:tr>
        <w:trPr>
          <w:trHeight w:val="106"/>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Defensor del Pueblo Europeo</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r>
      <w:tr>
        <w:trPr>
          <w:trHeight w:val="94"/>
        </w:trPr>
        <w:tc>
          <w:tcPr>
            <w:tcW w:w="2295" w:type="dxa"/>
            <w:tcBorders>
              <w:top w:val="single" w:sz="4" w:space="0" w:color="auto"/>
              <w:left w:val="single" w:sz="4" w:space="0" w:color="auto"/>
              <w:bottom w:val="single" w:sz="2"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SEAE</w:t>
            </w:r>
          </w:p>
        </w:tc>
        <w:tc>
          <w:tcPr>
            <w:tcW w:w="960"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45"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r>
      <w:tr>
        <w:trPr>
          <w:trHeight w:val="324"/>
        </w:trPr>
        <w:tc>
          <w:tcPr>
            <w:tcW w:w="2295"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iCs/>
                <w:noProof/>
                <w:sz w:val="20"/>
                <w:szCs w:val="20"/>
              </w:rPr>
            </w:pPr>
            <w:r>
              <w:rPr>
                <w:rFonts w:ascii="Arial" w:hAnsi="Arial"/>
                <w:b/>
                <w:bCs/>
                <w:iCs/>
                <w:noProof/>
                <w:sz w:val="20"/>
                <w:szCs w:val="20"/>
              </w:rPr>
              <w:t>Total</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szCs w:val="20"/>
              </w:rPr>
              <w:t>31</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szCs w:val="20"/>
              </w:rPr>
              <w:t>145</w:t>
            </w: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szCs w:val="20"/>
              </w:rPr>
              <w:t>24</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szCs w:val="20"/>
              </w:rPr>
              <w:t>1</w:t>
            </w:r>
          </w:p>
        </w:tc>
        <w:tc>
          <w:tcPr>
            <w:tcW w:w="108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szCs w:val="20"/>
              </w:rPr>
              <w:t>1</w:t>
            </w:r>
          </w:p>
        </w:tc>
        <w:tc>
          <w:tcPr>
            <w:tcW w:w="1045"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szCs w:val="20"/>
              </w:rPr>
              <w:t>7</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szCs w:val="20"/>
              </w:rPr>
              <w:t>209</w:t>
            </w:r>
          </w:p>
        </w:tc>
      </w:tr>
    </w:tbl>
    <w:p>
      <w:pPr>
        <w:rPr>
          <w:noProof/>
          <w:lang w:val="fr-BE"/>
        </w:rPr>
      </w:pPr>
    </w:p>
    <w:p>
      <w:pPr>
        <w:pStyle w:val="Heading1"/>
        <w:numPr>
          <w:ilvl w:val="0"/>
          <w:numId w:val="0"/>
        </w:numPr>
        <w:spacing w:before="0" w:after="0"/>
        <w:ind w:left="850"/>
        <w:rPr>
          <w:bCs w:val="0"/>
          <w:noProof/>
        </w:rPr>
      </w:pPr>
      <w:r>
        <w:rPr>
          <w:noProof/>
        </w:rPr>
        <w:t>4.</w:t>
      </w:r>
      <w:r>
        <w:rPr>
          <w:noProof/>
        </w:rPr>
        <w:tab/>
        <w:t>Indemnización por servicio continuo o por turnos</w:t>
      </w:r>
    </w:p>
    <w:p>
      <w:pPr>
        <w:spacing w:after="0"/>
        <w:rPr>
          <w:noProof/>
        </w:rPr>
      </w:pPr>
      <w:r>
        <w:rPr>
          <w:noProof/>
        </w:rPr>
        <w:t xml:space="preserve">Las bases jurídicas de esta indemnización son el artículo 56 </w:t>
      </w:r>
      <w:r>
        <w:rPr>
          <w:i/>
          <w:noProof/>
        </w:rPr>
        <w:t>bis</w:t>
      </w:r>
      <w:r>
        <w:rPr>
          <w:noProof/>
        </w:rPr>
        <w:t xml:space="preserve"> del Estatuto, así como el Reglamento n.º 300/76 del Consejo, de 9 de febrero de 1976, en su versión modificada.</w:t>
      </w:r>
    </w:p>
    <w:p>
      <w:pPr>
        <w:spacing w:after="0"/>
        <w:rPr>
          <w:noProof/>
        </w:rPr>
      </w:pPr>
      <w:r>
        <w:rPr>
          <w:noProof/>
        </w:rPr>
        <w:t>El pago de la indemnización se limita a funcionarios y otros agentes retribuidos con cargo a los créditos de investigación y destinados en:</w:t>
      </w:r>
    </w:p>
    <w:p>
      <w:pPr>
        <w:pStyle w:val="Tiret1"/>
        <w:numPr>
          <w:ilvl w:val="0"/>
          <w:numId w:val="25"/>
        </w:numPr>
        <w:tabs>
          <w:tab w:val="clear" w:pos="1417"/>
          <w:tab w:val="num" w:pos="720"/>
        </w:tabs>
        <w:spacing w:before="0" w:after="0"/>
        <w:ind w:left="720" w:hanging="360"/>
        <w:rPr>
          <w:noProof/>
        </w:rPr>
      </w:pPr>
      <w:r>
        <w:rPr>
          <w:noProof/>
        </w:rPr>
        <w:t>un establecimiento del Centro Común de Investigación (JRC), o</w:t>
      </w:r>
    </w:p>
    <w:p>
      <w:pPr>
        <w:pStyle w:val="Tiret1"/>
        <w:numPr>
          <w:ilvl w:val="0"/>
          <w:numId w:val="25"/>
        </w:numPr>
        <w:tabs>
          <w:tab w:val="clear" w:pos="1417"/>
          <w:tab w:val="num" w:pos="720"/>
        </w:tabs>
        <w:spacing w:before="0" w:after="0"/>
        <w:ind w:left="720" w:hanging="360"/>
        <w:rPr>
          <w:noProof/>
        </w:rPr>
      </w:pPr>
      <w:r>
        <w:rPr>
          <w:noProof/>
        </w:rPr>
        <w:t xml:space="preserve">acciones indirectas, o </w:t>
      </w:r>
    </w:p>
    <w:p>
      <w:pPr>
        <w:spacing w:before="0" w:after="0"/>
        <w:rPr>
          <w:noProof/>
        </w:rPr>
      </w:pPr>
      <w:r>
        <w:rPr>
          <w:noProof/>
        </w:rPr>
        <w:t>retribuidos con cargo a los créditos de funcionamiento y destinados en:</w:t>
      </w:r>
    </w:p>
    <w:p>
      <w:pPr>
        <w:pStyle w:val="Tiret1"/>
        <w:numPr>
          <w:ilvl w:val="0"/>
          <w:numId w:val="25"/>
        </w:numPr>
        <w:tabs>
          <w:tab w:val="clear" w:pos="1417"/>
          <w:tab w:val="num" w:pos="720"/>
        </w:tabs>
        <w:spacing w:before="0" w:after="0"/>
        <w:ind w:left="720" w:hanging="360"/>
        <w:rPr>
          <w:noProof/>
        </w:rPr>
      </w:pPr>
      <w:r>
        <w:rPr>
          <w:noProof/>
        </w:rPr>
        <w:t>un servicio de tecnologías de la información y de la comunicación (TIC),</w:t>
      </w:r>
    </w:p>
    <w:p>
      <w:pPr>
        <w:pStyle w:val="Tiret1"/>
        <w:numPr>
          <w:ilvl w:val="0"/>
          <w:numId w:val="25"/>
        </w:numPr>
        <w:tabs>
          <w:tab w:val="clear" w:pos="1417"/>
          <w:tab w:val="num" w:pos="720"/>
        </w:tabs>
        <w:spacing w:before="0" w:after="0"/>
        <w:ind w:left="720" w:hanging="360"/>
        <w:rPr>
          <w:noProof/>
        </w:rPr>
      </w:pPr>
      <w:r>
        <w:rPr>
          <w:noProof/>
        </w:rPr>
        <w:t>un servicio de seguridad,</w:t>
      </w:r>
    </w:p>
    <w:p>
      <w:pPr>
        <w:pStyle w:val="Tiret1"/>
        <w:numPr>
          <w:ilvl w:val="0"/>
          <w:numId w:val="25"/>
        </w:numPr>
        <w:tabs>
          <w:tab w:val="clear" w:pos="1417"/>
          <w:tab w:val="num" w:pos="720"/>
        </w:tabs>
        <w:spacing w:before="0" w:after="0"/>
        <w:ind w:left="720" w:hanging="360"/>
        <w:rPr>
          <w:noProof/>
        </w:rPr>
      </w:pPr>
      <w:r>
        <w:rPr>
          <w:noProof/>
        </w:rPr>
        <w:t>un servicio de centralita telefónica o de información o en una oficina de recepción,</w:t>
      </w:r>
    </w:p>
    <w:p>
      <w:pPr>
        <w:pStyle w:val="Tiret1"/>
        <w:numPr>
          <w:ilvl w:val="0"/>
          <w:numId w:val="25"/>
        </w:numPr>
        <w:tabs>
          <w:tab w:val="clear" w:pos="1417"/>
          <w:tab w:val="num" w:pos="720"/>
        </w:tabs>
        <w:spacing w:before="0" w:after="0"/>
        <w:ind w:left="720" w:hanging="360"/>
        <w:rPr>
          <w:noProof/>
        </w:rPr>
      </w:pPr>
      <w:r>
        <w:rPr>
          <w:noProof/>
        </w:rPr>
        <w:t>un servicio de apoyo a la Política Exterior y de Seguridad Común (PESC) o a la Política Europea de Seguridad y Defensa (PCSD), o al dispositivo para la coordinación de situaciones de emergencia y de crisis,</w:t>
      </w:r>
    </w:p>
    <w:p>
      <w:pPr>
        <w:pStyle w:val="Tiret1"/>
        <w:numPr>
          <w:ilvl w:val="0"/>
          <w:numId w:val="25"/>
        </w:numPr>
        <w:tabs>
          <w:tab w:val="clear" w:pos="1417"/>
          <w:tab w:val="num" w:pos="720"/>
        </w:tabs>
        <w:spacing w:before="0" w:after="0"/>
        <w:ind w:left="720" w:hanging="360"/>
        <w:rPr>
          <w:noProof/>
        </w:rPr>
      </w:pPr>
      <w:r>
        <w:rPr>
          <w:noProof/>
        </w:rPr>
        <w:t>un servicio de apoyo en el marco de la coordinación en casos de urgencia o de crisis, o</w:t>
      </w:r>
    </w:p>
    <w:p>
      <w:pPr>
        <w:pStyle w:val="Tiret1"/>
        <w:numPr>
          <w:ilvl w:val="0"/>
          <w:numId w:val="25"/>
        </w:numPr>
        <w:tabs>
          <w:tab w:val="clear" w:pos="1417"/>
          <w:tab w:val="num" w:pos="720"/>
        </w:tabs>
        <w:spacing w:before="0" w:after="0"/>
        <w:ind w:left="720" w:hanging="360"/>
        <w:rPr>
          <w:noProof/>
        </w:rPr>
      </w:pPr>
      <w:r>
        <w:rPr>
          <w:noProof/>
        </w:rPr>
        <w:t>un puesto de desempeño de funciones de manejo o vigilancia de instalaciones técnicas.</w:t>
      </w:r>
    </w:p>
    <w:p>
      <w:pPr>
        <w:spacing w:after="0"/>
        <w:rPr>
          <w:noProof/>
        </w:rPr>
      </w:pPr>
      <w:r>
        <w:rPr>
          <w:noProof/>
        </w:rPr>
        <w:t>Las siguientes cifras indican el número de indemnizaciones concedidas por cada institución en el año 2018.</w:t>
      </w:r>
    </w:p>
    <w:p>
      <w:pPr>
        <w:spacing w:before="0" w:after="0"/>
        <w:rPr>
          <w:noProof/>
        </w:rPr>
      </w:pPr>
    </w:p>
    <w:p>
      <w:pPr>
        <w:pStyle w:val="Heading2"/>
        <w:numPr>
          <w:ilvl w:val="0"/>
          <w:numId w:val="0"/>
        </w:numPr>
        <w:spacing w:before="0" w:after="0"/>
        <w:rPr>
          <w:bCs w:val="0"/>
          <w:noProof/>
        </w:rPr>
      </w:pPr>
      <w:r>
        <w:rPr>
          <w:noProof/>
        </w:rPr>
        <w:t>4.1.</w:t>
      </w:r>
      <w:r>
        <w:rPr>
          <w:noProof/>
        </w:rPr>
        <w:tab/>
        <w:t>Número de beneficiarios (funcionarios/agentes temporales y agentes contractuales):</w:t>
      </w:r>
    </w:p>
    <w:tbl>
      <w:tblPr>
        <w:tblW w:w="9087" w:type="dxa"/>
        <w:tblInd w:w="93" w:type="dxa"/>
        <w:tblLook w:val="0000" w:firstRow="0" w:lastRow="0" w:firstColumn="0" w:lastColumn="0" w:noHBand="0" w:noVBand="0"/>
      </w:tblPr>
      <w:tblGrid>
        <w:gridCol w:w="2142"/>
        <w:gridCol w:w="1134"/>
        <w:gridCol w:w="1134"/>
        <w:gridCol w:w="1110"/>
        <w:gridCol w:w="954"/>
        <w:gridCol w:w="954"/>
        <w:gridCol w:w="667"/>
        <w:gridCol w:w="992"/>
      </w:tblGrid>
      <w:tr>
        <w:trPr>
          <w:trHeight w:val="255"/>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Institución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AD</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AST/SC</w:t>
            </w:r>
          </w:p>
        </w:tc>
        <w:tc>
          <w:tcPr>
            <w:tcW w:w="3685" w:type="dxa"/>
            <w:gridSpan w:val="4"/>
            <w:tcBorders>
              <w:top w:val="single" w:sz="4" w:space="0" w:color="auto"/>
              <w:left w:val="nil"/>
              <w:bottom w:val="single" w:sz="4" w:space="0" w:color="auto"/>
              <w:right w:val="single" w:sz="8" w:space="0" w:color="auto"/>
            </w:tcBorders>
            <w:shd w:val="clear" w:color="auto" w:fill="auto"/>
            <w:noWrap/>
            <w:vAlign w:val="bottom"/>
          </w:tcPr>
          <w:p>
            <w:pPr>
              <w:spacing w:before="0" w:after="0"/>
              <w:jc w:val="center"/>
              <w:rPr>
                <w:rFonts w:ascii="Arial" w:hAnsi="Arial" w:cs="Arial"/>
                <w:b/>
                <w:bCs/>
                <w:noProof/>
                <w:sz w:val="20"/>
                <w:szCs w:val="20"/>
              </w:rPr>
            </w:pPr>
            <w:r>
              <w:rPr>
                <w:rFonts w:ascii="Arial" w:hAnsi="Arial"/>
                <w:b/>
                <w:bCs/>
                <w:noProof/>
                <w:sz w:val="20"/>
                <w:szCs w:val="20"/>
              </w:rPr>
              <w:t>AC</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 xml:space="preserve">Total </w:t>
            </w:r>
          </w:p>
        </w:tc>
      </w:tr>
      <w:tr>
        <w:trPr>
          <w:trHeight w:val="466"/>
        </w:trPr>
        <w:tc>
          <w:tcPr>
            <w:tcW w:w="2142"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lang w:val="fr-BE"/>
              </w:rPr>
            </w:pPr>
          </w:p>
        </w:tc>
        <w:tc>
          <w:tcPr>
            <w:tcW w:w="1134"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lang w:val="fr-BE"/>
              </w:rPr>
            </w:pPr>
          </w:p>
        </w:tc>
        <w:tc>
          <w:tcPr>
            <w:tcW w:w="1134"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lang w:val="fr-BE"/>
              </w:rPr>
            </w:pPr>
          </w:p>
        </w:tc>
        <w:tc>
          <w:tcPr>
            <w:tcW w:w="1110" w:type="dxa"/>
            <w:tcBorders>
              <w:top w:val="single" w:sz="4" w:space="0" w:color="auto"/>
              <w:left w:val="nil"/>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GF I</w:t>
            </w:r>
          </w:p>
        </w:tc>
        <w:tc>
          <w:tcPr>
            <w:tcW w:w="954" w:type="dxa"/>
            <w:tcBorders>
              <w:top w:val="single" w:sz="4" w:space="0" w:color="auto"/>
              <w:left w:val="nil"/>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GF II</w:t>
            </w:r>
          </w:p>
        </w:tc>
        <w:tc>
          <w:tcPr>
            <w:tcW w:w="954" w:type="dxa"/>
            <w:tcBorders>
              <w:top w:val="single" w:sz="4" w:space="0" w:color="auto"/>
              <w:left w:val="nil"/>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GF III</w:t>
            </w:r>
          </w:p>
        </w:tc>
        <w:tc>
          <w:tcPr>
            <w:tcW w:w="667"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GF IV</w:t>
            </w:r>
          </w:p>
        </w:tc>
        <w:tc>
          <w:tcPr>
            <w:tcW w:w="992" w:type="dxa"/>
            <w:vMerge/>
            <w:tcBorders>
              <w:top w:val="single" w:sz="8" w:space="0" w:color="auto"/>
              <w:left w:val="single" w:sz="8" w:space="0" w:color="auto"/>
              <w:bottom w:val="single" w:sz="8" w:space="0" w:color="auto"/>
              <w:right w:val="single" w:sz="8" w:space="0" w:color="auto"/>
            </w:tcBorders>
            <w:vAlign w:val="center"/>
          </w:tcPr>
          <w:p>
            <w:pPr>
              <w:spacing w:before="0" w:after="0"/>
              <w:jc w:val="left"/>
              <w:rPr>
                <w:rFonts w:ascii="Arial" w:hAnsi="Arial" w:cs="Arial"/>
                <w:b/>
                <w:bCs/>
                <w:noProof/>
                <w:sz w:val="20"/>
                <w:szCs w:val="20"/>
              </w:rPr>
            </w:pPr>
          </w:p>
        </w:tc>
      </w:tr>
      <w:tr>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Comisión</w:t>
            </w:r>
          </w:p>
        </w:tc>
        <w:tc>
          <w:tcPr>
            <w:tcW w:w="113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76</w:t>
            </w:r>
          </w:p>
        </w:tc>
        <w:tc>
          <w:tcPr>
            <w:tcW w:w="111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16</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12</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8</w:t>
            </w:r>
          </w:p>
        </w:tc>
        <w:tc>
          <w:tcPr>
            <w:tcW w:w="667"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112</w:t>
            </w:r>
          </w:p>
        </w:tc>
      </w:tr>
      <w:tr>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 incluido el JRC:</w:t>
            </w:r>
          </w:p>
        </w:tc>
        <w:tc>
          <w:tcPr>
            <w:tcW w:w="1134"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20</w:t>
            </w:r>
          </w:p>
        </w:tc>
        <w:tc>
          <w:tcPr>
            <w:tcW w:w="1110"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5</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667" w:type="dxa"/>
            <w:tcBorders>
              <w:top w:val="nil"/>
              <w:left w:val="nil"/>
              <w:bottom w:val="single" w:sz="4" w:space="0" w:color="auto"/>
              <w:right w:val="single" w:sz="8"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left"/>
              <w:rPr>
                <w:rFonts w:ascii="Arial" w:hAnsi="Arial" w:cs="Arial"/>
                <w:b/>
                <w:i/>
                <w:iCs/>
                <w:noProof/>
                <w:color w:val="808080"/>
                <w:sz w:val="20"/>
                <w:szCs w:val="20"/>
              </w:rPr>
            </w:pPr>
            <w:r>
              <w:rPr>
                <w:rFonts w:ascii="Arial" w:hAnsi="Arial"/>
                <w:b/>
                <w:i/>
                <w:iCs/>
                <w:noProof/>
                <w:color w:val="808080"/>
                <w:sz w:val="20"/>
                <w:szCs w:val="20"/>
              </w:rPr>
              <w:t>25</w:t>
            </w:r>
          </w:p>
        </w:tc>
      </w:tr>
      <w:tr>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Consejo</w:t>
            </w:r>
          </w:p>
        </w:tc>
        <w:tc>
          <w:tcPr>
            <w:tcW w:w="113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65</w:t>
            </w:r>
          </w:p>
        </w:tc>
        <w:tc>
          <w:tcPr>
            <w:tcW w:w="111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667"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75</w:t>
            </w:r>
          </w:p>
        </w:tc>
      </w:tr>
      <w:tr>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Parlamento</w:t>
            </w:r>
          </w:p>
        </w:tc>
        <w:tc>
          <w:tcPr>
            <w:tcW w:w="113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4</w:t>
            </w:r>
          </w:p>
        </w:tc>
        <w:tc>
          <w:tcPr>
            <w:tcW w:w="113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57</w:t>
            </w:r>
          </w:p>
        </w:tc>
        <w:tc>
          <w:tcPr>
            <w:tcW w:w="111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527</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5</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8</w:t>
            </w:r>
          </w:p>
        </w:tc>
        <w:tc>
          <w:tcPr>
            <w:tcW w:w="667"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603</w:t>
            </w:r>
          </w:p>
        </w:tc>
      </w:tr>
      <w:tr>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Tribunal de Justicia</w:t>
            </w:r>
          </w:p>
        </w:tc>
        <w:tc>
          <w:tcPr>
            <w:tcW w:w="113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1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667"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0</w:t>
            </w:r>
          </w:p>
        </w:tc>
      </w:tr>
      <w:tr>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Tribunal de Cuentas</w:t>
            </w:r>
          </w:p>
        </w:tc>
        <w:tc>
          <w:tcPr>
            <w:tcW w:w="113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1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19</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667"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19</w:t>
            </w:r>
          </w:p>
        </w:tc>
      </w:tr>
      <w:tr>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CESE</w:t>
            </w:r>
          </w:p>
        </w:tc>
        <w:tc>
          <w:tcPr>
            <w:tcW w:w="113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w:t>
            </w:r>
          </w:p>
        </w:tc>
        <w:tc>
          <w:tcPr>
            <w:tcW w:w="111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667"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2</w:t>
            </w:r>
          </w:p>
        </w:tc>
      </w:tr>
      <w:tr>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CDR</w:t>
            </w:r>
          </w:p>
        </w:tc>
        <w:tc>
          <w:tcPr>
            <w:tcW w:w="113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3</w:t>
            </w:r>
          </w:p>
        </w:tc>
        <w:tc>
          <w:tcPr>
            <w:tcW w:w="111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w:t>
            </w:r>
          </w:p>
        </w:tc>
        <w:tc>
          <w:tcPr>
            <w:tcW w:w="667"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4</w:t>
            </w:r>
          </w:p>
        </w:tc>
      </w:tr>
      <w:tr>
        <w:trPr>
          <w:trHeight w:val="26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SEPD</w:t>
            </w:r>
          </w:p>
        </w:tc>
        <w:tc>
          <w:tcPr>
            <w:tcW w:w="113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10"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667"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0</w:t>
            </w:r>
          </w:p>
        </w:tc>
      </w:tr>
      <w:tr>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Defensor del Pueblo Europeo</w:t>
            </w:r>
          </w:p>
        </w:tc>
        <w:tc>
          <w:tcPr>
            <w:tcW w:w="113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10"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667"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0</w:t>
            </w:r>
          </w:p>
        </w:tc>
      </w:tr>
      <w:tr>
        <w:trPr>
          <w:trHeight w:val="270"/>
        </w:trPr>
        <w:tc>
          <w:tcPr>
            <w:tcW w:w="2142" w:type="dxa"/>
            <w:tcBorders>
              <w:top w:val="single" w:sz="4" w:space="0" w:color="auto"/>
              <w:left w:val="single" w:sz="4" w:space="0" w:color="auto"/>
              <w:bottom w:val="single" w:sz="2"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SEAE</w:t>
            </w:r>
          </w:p>
        </w:tc>
        <w:tc>
          <w:tcPr>
            <w:tcW w:w="1134" w:type="dxa"/>
            <w:tcBorders>
              <w:top w:val="single" w:sz="4" w:space="0" w:color="auto"/>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single" w:sz="4" w:space="0" w:color="auto"/>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37</w:t>
            </w:r>
          </w:p>
        </w:tc>
        <w:tc>
          <w:tcPr>
            <w:tcW w:w="1110" w:type="dxa"/>
            <w:tcBorders>
              <w:top w:val="single" w:sz="4" w:space="0" w:color="auto"/>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single" w:sz="4" w:space="0" w:color="auto"/>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single" w:sz="4" w:space="0" w:color="auto"/>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667" w:type="dxa"/>
            <w:tcBorders>
              <w:top w:val="single" w:sz="4" w:space="0" w:color="auto"/>
              <w:left w:val="nil"/>
              <w:bottom w:val="single" w:sz="2"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92" w:type="dxa"/>
            <w:tcBorders>
              <w:top w:val="single" w:sz="8" w:space="0" w:color="auto"/>
              <w:left w:val="single" w:sz="8" w:space="0" w:color="auto"/>
              <w:bottom w:val="single" w:sz="2"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37</w:t>
            </w:r>
          </w:p>
        </w:tc>
      </w:tr>
      <w:tr>
        <w:trPr>
          <w:trHeight w:val="324"/>
        </w:trPr>
        <w:tc>
          <w:tcPr>
            <w:tcW w:w="2142"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iCs/>
                <w:noProof/>
                <w:sz w:val="20"/>
                <w:szCs w:val="20"/>
              </w:rPr>
            </w:pPr>
            <w:r>
              <w:rPr>
                <w:rFonts w:ascii="Arial" w:hAnsi="Arial"/>
                <w:b/>
                <w:bCs/>
                <w:iCs/>
                <w:noProof/>
                <w:sz w:val="20"/>
                <w:szCs w:val="20"/>
              </w:rPr>
              <w:t>Total</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4</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240</w:t>
            </w:r>
          </w:p>
        </w:tc>
        <w:tc>
          <w:tcPr>
            <w:tcW w:w="111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572</w:t>
            </w: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17</w:t>
            </w: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17</w:t>
            </w:r>
          </w:p>
        </w:tc>
        <w:tc>
          <w:tcPr>
            <w:tcW w:w="667"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2</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852</w:t>
            </w:r>
          </w:p>
        </w:tc>
      </w:tr>
    </w:tbl>
    <w:p>
      <w:pPr>
        <w:spacing w:after="0"/>
        <w:rPr>
          <w:noProof/>
        </w:rPr>
      </w:pPr>
      <w:r>
        <w:rPr>
          <w:noProof/>
        </w:rPr>
        <w:t>Se prevén cuatro índices diferentes de indemnización mensual (cifras correspondientes al año 2018):</w:t>
      </w:r>
    </w:p>
    <w:p>
      <w:pPr>
        <w:pStyle w:val="Tiret1"/>
        <w:numPr>
          <w:ilvl w:val="0"/>
          <w:numId w:val="25"/>
        </w:numPr>
        <w:tabs>
          <w:tab w:val="clear" w:pos="1417"/>
          <w:tab w:val="num" w:pos="720"/>
        </w:tabs>
        <w:spacing w:before="0" w:after="0"/>
        <w:ind w:left="720" w:hanging="360"/>
        <w:rPr>
          <w:noProof/>
        </w:rPr>
      </w:pPr>
      <w:r>
        <w:rPr>
          <w:noProof/>
        </w:rPr>
        <w:t>clase 1: servicio en dos turnos, excluidos los fines de semana y los días festivos: 420,64 EUR;</w:t>
      </w:r>
    </w:p>
    <w:p>
      <w:pPr>
        <w:pStyle w:val="Tiret1"/>
        <w:numPr>
          <w:ilvl w:val="0"/>
          <w:numId w:val="25"/>
        </w:numPr>
        <w:tabs>
          <w:tab w:val="clear" w:pos="1417"/>
          <w:tab w:val="num" w:pos="720"/>
        </w:tabs>
        <w:spacing w:before="0" w:after="0"/>
        <w:ind w:left="720" w:right="-287" w:hanging="360"/>
        <w:rPr>
          <w:noProof/>
        </w:rPr>
      </w:pPr>
      <w:r>
        <w:rPr>
          <w:noProof/>
        </w:rPr>
        <w:t>clase 2: servicio en dos turnos, incluidas las noches, los fines de semana y los días festivos: 634,89 EUR;</w:t>
      </w:r>
    </w:p>
    <w:p>
      <w:pPr>
        <w:pStyle w:val="Tiret1"/>
        <w:numPr>
          <w:ilvl w:val="0"/>
          <w:numId w:val="25"/>
        </w:numPr>
        <w:tabs>
          <w:tab w:val="clear" w:pos="1417"/>
          <w:tab w:val="num" w:pos="720"/>
        </w:tabs>
        <w:spacing w:before="0" w:after="0"/>
        <w:ind w:left="720" w:hanging="360"/>
        <w:rPr>
          <w:noProof/>
        </w:rPr>
      </w:pPr>
      <w:r>
        <w:rPr>
          <w:noProof/>
        </w:rPr>
        <w:t>clase 3: 24 horas al día, excluidos los fines de semana y los días festivos: 694,17 EUR;</w:t>
      </w:r>
    </w:p>
    <w:p>
      <w:pPr>
        <w:pStyle w:val="Tiret1"/>
        <w:numPr>
          <w:ilvl w:val="0"/>
          <w:numId w:val="25"/>
        </w:numPr>
        <w:tabs>
          <w:tab w:val="clear" w:pos="1417"/>
          <w:tab w:val="num" w:pos="720"/>
        </w:tabs>
        <w:spacing w:before="0" w:after="0"/>
        <w:ind w:left="720" w:hanging="360"/>
        <w:rPr>
          <w:noProof/>
        </w:rPr>
      </w:pPr>
      <w:r>
        <w:rPr>
          <w:noProof/>
        </w:rPr>
        <w:t>clase 4: 24 horas al día y 7 días por semana: 946,38 EUR.</w:t>
      </w:r>
    </w:p>
    <w:p>
      <w:pPr>
        <w:pStyle w:val="Tiret1"/>
        <w:numPr>
          <w:ilvl w:val="0"/>
          <w:numId w:val="0"/>
        </w:numPr>
        <w:spacing w:before="0" w:after="0"/>
        <w:ind w:left="720"/>
        <w:rPr>
          <w:noProof/>
        </w:rPr>
      </w:pPr>
    </w:p>
    <w:p>
      <w:pPr>
        <w:pStyle w:val="Heading2"/>
        <w:numPr>
          <w:ilvl w:val="0"/>
          <w:numId w:val="0"/>
        </w:numPr>
        <w:spacing w:before="0" w:after="0"/>
        <w:rPr>
          <w:noProof/>
        </w:rPr>
      </w:pPr>
      <w:r>
        <w:rPr>
          <w:noProof/>
        </w:rPr>
        <w:t>4.2.</w:t>
      </w:r>
      <w:r>
        <w:rPr>
          <w:noProof/>
        </w:rPr>
        <w:tab/>
        <w:t>Número de beneficiarios por clase:</w:t>
      </w:r>
    </w:p>
    <w:tbl>
      <w:tblPr>
        <w:tblW w:w="9087" w:type="dxa"/>
        <w:tblInd w:w="93" w:type="dxa"/>
        <w:tblLayout w:type="fixed"/>
        <w:tblLook w:val="0000" w:firstRow="0" w:lastRow="0" w:firstColumn="0" w:lastColumn="0" w:noHBand="0" w:noVBand="0"/>
      </w:tblPr>
      <w:tblGrid>
        <w:gridCol w:w="2425"/>
        <w:gridCol w:w="1360"/>
        <w:gridCol w:w="1361"/>
        <w:gridCol w:w="1361"/>
        <w:gridCol w:w="1361"/>
        <w:gridCol w:w="1219"/>
      </w:tblGrid>
      <w:tr>
        <w:trPr>
          <w:trHeight w:val="322"/>
        </w:trPr>
        <w:tc>
          <w:tcPr>
            <w:tcW w:w="242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pPr>
              <w:spacing w:before="0" w:after="0"/>
              <w:jc w:val="center"/>
              <w:rPr>
                <w:rFonts w:ascii="Arial" w:hAnsi="Arial" w:cs="Arial"/>
                <w:b/>
                <w:noProof/>
                <w:sz w:val="20"/>
                <w:szCs w:val="20"/>
              </w:rPr>
            </w:pPr>
            <w:r>
              <w:rPr>
                <w:rFonts w:ascii="Arial" w:hAnsi="Arial"/>
                <w:b/>
                <w:noProof/>
                <w:sz w:val="20"/>
                <w:szCs w:val="20"/>
              </w:rPr>
              <w:t>Institución</w:t>
            </w:r>
          </w:p>
        </w:tc>
        <w:tc>
          <w:tcPr>
            <w:tcW w:w="1360" w:type="dxa"/>
            <w:tcBorders>
              <w:top w:val="single" w:sz="8" w:space="0" w:color="auto"/>
              <w:left w:val="nil"/>
              <w:bottom w:val="single" w:sz="4" w:space="0" w:color="auto"/>
              <w:right w:val="single" w:sz="4" w:space="0" w:color="auto"/>
            </w:tcBorders>
            <w:shd w:val="clear" w:color="auto" w:fill="auto"/>
            <w:noWrap/>
            <w:vAlign w:val="bottom"/>
          </w:tcPr>
          <w:p>
            <w:pPr>
              <w:spacing w:before="0" w:after="0"/>
              <w:jc w:val="center"/>
              <w:rPr>
                <w:rFonts w:ascii="Arial" w:hAnsi="Arial" w:cs="Arial"/>
                <w:b/>
                <w:noProof/>
                <w:sz w:val="20"/>
                <w:szCs w:val="20"/>
              </w:rPr>
            </w:pPr>
            <w:r>
              <w:rPr>
                <w:rFonts w:ascii="Arial" w:hAnsi="Arial"/>
                <w:b/>
                <w:noProof/>
                <w:sz w:val="20"/>
                <w:szCs w:val="20"/>
              </w:rPr>
              <w:t>Índice 1</w:t>
            </w:r>
          </w:p>
        </w:tc>
        <w:tc>
          <w:tcPr>
            <w:tcW w:w="1361" w:type="dxa"/>
            <w:tcBorders>
              <w:top w:val="single" w:sz="8" w:space="0" w:color="auto"/>
              <w:left w:val="nil"/>
              <w:bottom w:val="single" w:sz="4" w:space="0" w:color="auto"/>
              <w:right w:val="single" w:sz="4" w:space="0" w:color="auto"/>
            </w:tcBorders>
            <w:shd w:val="clear" w:color="auto" w:fill="auto"/>
            <w:noWrap/>
            <w:vAlign w:val="bottom"/>
          </w:tcPr>
          <w:p>
            <w:pPr>
              <w:spacing w:before="0" w:after="0"/>
              <w:jc w:val="center"/>
              <w:rPr>
                <w:rFonts w:ascii="Arial" w:hAnsi="Arial" w:cs="Arial"/>
                <w:b/>
                <w:noProof/>
                <w:sz w:val="20"/>
                <w:szCs w:val="20"/>
              </w:rPr>
            </w:pPr>
            <w:r>
              <w:rPr>
                <w:rFonts w:ascii="Arial" w:hAnsi="Arial"/>
                <w:b/>
                <w:noProof/>
                <w:sz w:val="20"/>
                <w:szCs w:val="20"/>
              </w:rPr>
              <w:t>Índice 2</w:t>
            </w:r>
          </w:p>
        </w:tc>
        <w:tc>
          <w:tcPr>
            <w:tcW w:w="1361" w:type="dxa"/>
            <w:tcBorders>
              <w:top w:val="single" w:sz="8" w:space="0" w:color="auto"/>
              <w:left w:val="nil"/>
              <w:bottom w:val="single" w:sz="4" w:space="0" w:color="auto"/>
              <w:right w:val="single" w:sz="4" w:space="0" w:color="auto"/>
            </w:tcBorders>
            <w:shd w:val="clear" w:color="auto" w:fill="auto"/>
            <w:noWrap/>
            <w:vAlign w:val="bottom"/>
          </w:tcPr>
          <w:p>
            <w:pPr>
              <w:spacing w:before="0" w:after="0"/>
              <w:jc w:val="center"/>
              <w:rPr>
                <w:rFonts w:ascii="Arial" w:hAnsi="Arial" w:cs="Arial"/>
                <w:b/>
                <w:noProof/>
                <w:sz w:val="20"/>
                <w:szCs w:val="20"/>
              </w:rPr>
            </w:pPr>
            <w:r>
              <w:rPr>
                <w:rFonts w:ascii="Arial" w:hAnsi="Arial"/>
                <w:b/>
                <w:noProof/>
                <w:sz w:val="20"/>
                <w:szCs w:val="20"/>
              </w:rPr>
              <w:t>Índice 3</w:t>
            </w:r>
          </w:p>
        </w:tc>
        <w:tc>
          <w:tcPr>
            <w:tcW w:w="1361" w:type="dxa"/>
            <w:tcBorders>
              <w:top w:val="single" w:sz="8" w:space="0" w:color="auto"/>
              <w:left w:val="nil"/>
              <w:bottom w:val="single" w:sz="4" w:space="0" w:color="auto"/>
              <w:right w:val="nil"/>
            </w:tcBorders>
            <w:shd w:val="clear" w:color="auto" w:fill="auto"/>
            <w:noWrap/>
            <w:vAlign w:val="bottom"/>
          </w:tcPr>
          <w:p>
            <w:pPr>
              <w:spacing w:before="0" w:after="0"/>
              <w:jc w:val="center"/>
              <w:rPr>
                <w:rFonts w:ascii="Arial" w:hAnsi="Arial" w:cs="Arial"/>
                <w:b/>
                <w:noProof/>
                <w:sz w:val="20"/>
                <w:szCs w:val="20"/>
              </w:rPr>
            </w:pPr>
            <w:r>
              <w:rPr>
                <w:rFonts w:ascii="Arial" w:hAnsi="Arial"/>
                <w:b/>
                <w:noProof/>
                <w:sz w:val="20"/>
                <w:szCs w:val="20"/>
              </w:rPr>
              <w:t>Índice 4</w:t>
            </w:r>
          </w:p>
        </w:tc>
        <w:tc>
          <w:tcPr>
            <w:tcW w:w="121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Total</w:t>
            </w:r>
          </w:p>
        </w:tc>
      </w:tr>
      <w:tr>
        <w:trPr>
          <w:trHeight w:val="526"/>
        </w:trPr>
        <w:tc>
          <w:tcPr>
            <w:tcW w:w="2425" w:type="dxa"/>
            <w:vMerge/>
            <w:tcBorders>
              <w:top w:val="single" w:sz="8" w:space="0" w:color="auto"/>
              <w:left w:val="single" w:sz="8" w:space="0" w:color="auto"/>
              <w:bottom w:val="single" w:sz="8" w:space="0" w:color="000000"/>
              <w:right w:val="single" w:sz="4" w:space="0" w:color="auto"/>
            </w:tcBorders>
            <w:vAlign w:val="center"/>
          </w:tcPr>
          <w:p>
            <w:pPr>
              <w:spacing w:before="0" w:after="0"/>
              <w:jc w:val="left"/>
              <w:rPr>
                <w:rFonts w:ascii="Arial" w:hAnsi="Arial" w:cs="Arial"/>
                <w:noProof/>
                <w:sz w:val="20"/>
                <w:szCs w:val="20"/>
              </w:rPr>
            </w:pPr>
          </w:p>
        </w:tc>
        <w:tc>
          <w:tcPr>
            <w:tcW w:w="1360" w:type="dxa"/>
            <w:tcBorders>
              <w:top w:val="nil"/>
              <w:left w:val="nil"/>
              <w:bottom w:val="single" w:sz="8" w:space="0" w:color="auto"/>
              <w:right w:val="single" w:sz="4" w:space="0" w:color="auto"/>
            </w:tcBorders>
            <w:shd w:val="clear" w:color="auto" w:fill="auto"/>
            <w:noWrap/>
            <w:vAlign w:val="center"/>
          </w:tcPr>
          <w:p>
            <w:pPr>
              <w:spacing w:before="0" w:after="0"/>
              <w:jc w:val="center"/>
              <w:rPr>
                <w:rFonts w:ascii="Arial" w:hAnsi="Arial" w:cs="Arial"/>
                <w:noProof/>
                <w:sz w:val="20"/>
                <w:szCs w:val="20"/>
              </w:rPr>
            </w:pPr>
            <w:r>
              <w:rPr>
                <w:noProof/>
                <w:sz w:val="22"/>
              </w:rPr>
              <w:t>420,64 EUR </w:t>
            </w:r>
          </w:p>
        </w:tc>
        <w:tc>
          <w:tcPr>
            <w:tcW w:w="1361" w:type="dxa"/>
            <w:tcBorders>
              <w:top w:val="nil"/>
              <w:left w:val="nil"/>
              <w:bottom w:val="single" w:sz="8" w:space="0" w:color="auto"/>
              <w:right w:val="single" w:sz="4" w:space="0" w:color="auto"/>
            </w:tcBorders>
            <w:shd w:val="clear" w:color="auto" w:fill="auto"/>
            <w:noWrap/>
            <w:vAlign w:val="center"/>
          </w:tcPr>
          <w:p>
            <w:pPr>
              <w:spacing w:before="0" w:after="0"/>
              <w:jc w:val="center"/>
              <w:rPr>
                <w:rFonts w:ascii="Arial" w:hAnsi="Arial" w:cs="Arial"/>
                <w:noProof/>
                <w:sz w:val="20"/>
                <w:szCs w:val="20"/>
              </w:rPr>
            </w:pPr>
            <w:r>
              <w:rPr>
                <w:noProof/>
                <w:sz w:val="22"/>
              </w:rPr>
              <w:t>634,89 EUR</w:t>
            </w:r>
          </w:p>
        </w:tc>
        <w:tc>
          <w:tcPr>
            <w:tcW w:w="1361" w:type="dxa"/>
            <w:tcBorders>
              <w:top w:val="nil"/>
              <w:left w:val="nil"/>
              <w:bottom w:val="single" w:sz="8" w:space="0" w:color="auto"/>
              <w:right w:val="single" w:sz="4" w:space="0" w:color="auto"/>
            </w:tcBorders>
            <w:shd w:val="clear" w:color="auto" w:fill="auto"/>
            <w:noWrap/>
            <w:vAlign w:val="center"/>
          </w:tcPr>
          <w:p>
            <w:pPr>
              <w:spacing w:before="0" w:after="0"/>
              <w:jc w:val="center"/>
              <w:rPr>
                <w:rFonts w:ascii="Arial" w:hAnsi="Arial" w:cs="Arial"/>
                <w:noProof/>
                <w:sz w:val="20"/>
                <w:szCs w:val="20"/>
              </w:rPr>
            </w:pPr>
            <w:r>
              <w:rPr>
                <w:noProof/>
                <w:sz w:val="22"/>
              </w:rPr>
              <w:t>694,17 EUR </w:t>
            </w:r>
          </w:p>
        </w:tc>
        <w:tc>
          <w:tcPr>
            <w:tcW w:w="1361" w:type="dxa"/>
            <w:tcBorders>
              <w:top w:val="nil"/>
              <w:left w:val="nil"/>
              <w:bottom w:val="single" w:sz="8" w:space="0" w:color="auto"/>
              <w:right w:val="nil"/>
            </w:tcBorders>
            <w:shd w:val="clear" w:color="auto" w:fill="auto"/>
            <w:noWrap/>
            <w:vAlign w:val="center"/>
          </w:tcPr>
          <w:p>
            <w:pPr>
              <w:spacing w:before="0" w:after="0"/>
              <w:jc w:val="center"/>
              <w:rPr>
                <w:rFonts w:ascii="Arial" w:hAnsi="Arial" w:cs="Arial"/>
                <w:noProof/>
                <w:sz w:val="20"/>
                <w:szCs w:val="20"/>
              </w:rPr>
            </w:pPr>
            <w:r>
              <w:rPr>
                <w:noProof/>
                <w:sz w:val="22"/>
              </w:rPr>
              <w:t>946,38 EUR </w:t>
            </w:r>
          </w:p>
        </w:tc>
        <w:tc>
          <w:tcPr>
            <w:tcW w:w="1219" w:type="dxa"/>
            <w:vMerge/>
            <w:tcBorders>
              <w:top w:val="single" w:sz="8" w:space="0" w:color="auto"/>
              <w:left w:val="single" w:sz="8" w:space="0" w:color="auto"/>
              <w:bottom w:val="single" w:sz="8" w:space="0" w:color="auto"/>
              <w:right w:val="single" w:sz="8" w:space="0" w:color="auto"/>
            </w:tcBorders>
            <w:vAlign w:val="center"/>
          </w:tcPr>
          <w:p>
            <w:pPr>
              <w:spacing w:before="0" w:after="0"/>
              <w:jc w:val="left"/>
              <w:rPr>
                <w:rFonts w:ascii="Arial" w:hAnsi="Arial" w:cs="Arial"/>
                <w:b/>
                <w:bCs/>
                <w:noProof/>
                <w:sz w:val="20"/>
                <w:szCs w:val="20"/>
              </w:rPr>
            </w:pPr>
          </w:p>
        </w:tc>
      </w:tr>
      <w:tr>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Comisión</w:t>
            </w:r>
          </w:p>
        </w:tc>
        <w:tc>
          <w:tcPr>
            <w:tcW w:w="13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14</w:t>
            </w:r>
          </w:p>
        </w:tc>
        <w:tc>
          <w:tcPr>
            <w:tcW w:w="1361"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8</w:t>
            </w:r>
          </w:p>
        </w:tc>
        <w:tc>
          <w:tcPr>
            <w:tcW w:w="1361"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90</w:t>
            </w:r>
          </w:p>
        </w:tc>
        <w:tc>
          <w:tcPr>
            <w:tcW w:w="1219"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bCs/>
                <w:noProof/>
                <w:sz w:val="20"/>
                <w:szCs w:val="20"/>
              </w:rPr>
              <w:t>112</w:t>
            </w:r>
          </w:p>
        </w:tc>
      </w:tr>
      <w:tr>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 incluido el JRC:</w:t>
            </w:r>
          </w:p>
        </w:tc>
        <w:tc>
          <w:tcPr>
            <w:tcW w:w="1360"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1361"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1361"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8</w:t>
            </w:r>
          </w:p>
        </w:tc>
        <w:tc>
          <w:tcPr>
            <w:tcW w:w="1361" w:type="dxa"/>
            <w:tcBorders>
              <w:top w:val="nil"/>
              <w:left w:val="nil"/>
              <w:bottom w:val="single" w:sz="4" w:space="0" w:color="auto"/>
              <w:right w:val="nil"/>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17</w:t>
            </w:r>
          </w:p>
        </w:tc>
        <w:tc>
          <w:tcPr>
            <w:tcW w:w="1219"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25</w:t>
            </w:r>
          </w:p>
        </w:tc>
      </w:tr>
      <w:tr>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Consejo</w:t>
            </w:r>
          </w:p>
        </w:tc>
        <w:tc>
          <w:tcPr>
            <w:tcW w:w="13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25</w:t>
            </w:r>
          </w:p>
        </w:tc>
        <w:tc>
          <w:tcPr>
            <w:tcW w:w="1361"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50</w:t>
            </w:r>
          </w:p>
        </w:tc>
        <w:tc>
          <w:tcPr>
            <w:tcW w:w="1219"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bCs/>
                <w:noProof/>
                <w:sz w:val="20"/>
                <w:szCs w:val="20"/>
              </w:rPr>
              <w:t>75</w:t>
            </w:r>
          </w:p>
        </w:tc>
      </w:tr>
      <w:tr>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Parlamento</w:t>
            </w:r>
          </w:p>
        </w:tc>
        <w:tc>
          <w:tcPr>
            <w:tcW w:w="13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48</w:t>
            </w:r>
          </w:p>
        </w:tc>
        <w:tc>
          <w:tcPr>
            <w:tcW w:w="1361"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500</w:t>
            </w:r>
          </w:p>
        </w:tc>
        <w:tc>
          <w:tcPr>
            <w:tcW w:w="1361"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55</w:t>
            </w:r>
          </w:p>
        </w:tc>
        <w:tc>
          <w:tcPr>
            <w:tcW w:w="1219"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bCs/>
                <w:noProof/>
                <w:sz w:val="20"/>
                <w:szCs w:val="20"/>
              </w:rPr>
              <w:t>603</w:t>
            </w:r>
          </w:p>
        </w:tc>
      </w:tr>
      <w:tr>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Tribunal de Justicia</w:t>
            </w:r>
          </w:p>
        </w:tc>
        <w:tc>
          <w:tcPr>
            <w:tcW w:w="13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19"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bCs/>
                <w:noProof/>
                <w:sz w:val="20"/>
                <w:szCs w:val="20"/>
              </w:rPr>
              <w:t>0</w:t>
            </w:r>
          </w:p>
        </w:tc>
      </w:tr>
      <w:tr>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Tribunal de Cuentas</w:t>
            </w:r>
          </w:p>
        </w:tc>
        <w:tc>
          <w:tcPr>
            <w:tcW w:w="13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w:t>
            </w:r>
          </w:p>
        </w:tc>
        <w:tc>
          <w:tcPr>
            <w:tcW w:w="1361"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17</w:t>
            </w:r>
          </w:p>
        </w:tc>
        <w:tc>
          <w:tcPr>
            <w:tcW w:w="1219"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bCs/>
                <w:noProof/>
                <w:sz w:val="20"/>
                <w:szCs w:val="20"/>
              </w:rPr>
              <w:t>19</w:t>
            </w:r>
          </w:p>
        </w:tc>
      </w:tr>
      <w:tr>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CESE</w:t>
            </w:r>
          </w:p>
        </w:tc>
        <w:tc>
          <w:tcPr>
            <w:tcW w:w="13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w:t>
            </w:r>
          </w:p>
        </w:tc>
        <w:tc>
          <w:tcPr>
            <w:tcW w:w="1361"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19"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bCs/>
                <w:noProof/>
                <w:sz w:val="20"/>
                <w:szCs w:val="20"/>
              </w:rPr>
              <w:t>2</w:t>
            </w:r>
          </w:p>
        </w:tc>
      </w:tr>
      <w:tr>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CDR</w:t>
            </w:r>
          </w:p>
        </w:tc>
        <w:tc>
          <w:tcPr>
            <w:tcW w:w="13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4</w:t>
            </w:r>
          </w:p>
        </w:tc>
        <w:tc>
          <w:tcPr>
            <w:tcW w:w="1361"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19"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bCs/>
                <w:noProof/>
                <w:sz w:val="20"/>
                <w:szCs w:val="20"/>
              </w:rPr>
              <w:t>4</w:t>
            </w:r>
          </w:p>
        </w:tc>
      </w:tr>
      <w:tr>
        <w:trPr>
          <w:trHeight w:val="262"/>
        </w:trPr>
        <w:tc>
          <w:tcPr>
            <w:tcW w:w="2425" w:type="dxa"/>
            <w:tcBorders>
              <w:top w:val="nil"/>
              <w:left w:val="single" w:sz="4" w:space="0" w:color="auto"/>
              <w:bottom w:val="single" w:sz="4" w:space="0" w:color="auto"/>
              <w:right w:val="single" w:sz="4" w:space="0" w:color="auto"/>
            </w:tcBorders>
            <w:shd w:val="clear" w:color="auto" w:fill="auto"/>
            <w:vAlign w:val="bottom"/>
          </w:tcPr>
          <w:p>
            <w:pPr>
              <w:spacing w:before="0" w:after="0"/>
              <w:jc w:val="left"/>
              <w:rPr>
                <w:rFonts w:ascii="Arial" w:hAnsi="Arial" w:cs="Arial"/>
                <w:noProof/>
                <w:sz w:val="20"/>
                <w:szCs w:val="20"/>
              </w:rPr>
            </w:pPr>
            <w:r>
              <w:rPr>
                <w:rFonts w:ascii="Arial" w:hAnsi="Arial"/>
                <w:noProof/>
                <w:sz w:val="20"/>
                <w:szCs w:val="20"/>
              </w:rPr>
              <w:t>SEPD</w:t>
            </w:r>
          </w:p>
        </w:tc>
        <w:tc>
          <w:tcPr>
            <w:tcW w:w="136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4" w:space="0" w:color="auto"/>
              <w:right w:val="nil"/>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1219"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0</w:t>
            </w:r>
          </w:p>
        </w:tc>
      </w:tr>
      <w:tr>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Defensor del Pueblo Europeo</w:t>
            </w:r>
          </w:p>
        </w:tc>
        <w:tc>
          <w:tcPr>
            <w:tcW w:w="13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19"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bCs/>
                <w:noProof/>
                <w:sz w:val="20"/>
                <w:szCs w:val="20"/>
              </w:rPr>
              <w:t>0</w:t>
            </w:r>
          </w:p>
        </w:tc>
      </w:tr>
      <w:tr>
        <w:trPr>
          <w:trHeight w:val="270"/>
        </w:trPr>
        <w:tc>
          <w:tcPr>
            <w:tcW w:w="2425" w:type="dxa"/>
            <w:tcBorders>
              <w:top w:val="single" w:sz="4" w:space="0" w:color="auto"/>
              <w:left w:val="single" w:sz="4" w:space="0" w:color="auto"/>
              <w:bottom w:val="single" w:sz="2"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SEAE</w:t>
            </w:r>
          </w:p>
        </w:tc>
        <w:tc>
          <w:tcPr>
            <w:tcW w:w="1360"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25</w:t>
            </w:r>
          </w:p>
        </w:tc>
        <w:tc>
          <w:tcPr>
            <w:tcW w:w="1361"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61" w:type="dxa"/>
            <w:tcBorders>
              <w:top w:val="nil"/>
              <w:left w:val="nil"/>
              <w:bottom w:val="single" w:sz="2"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12</w:t>
            </w:r>
          </w:p>
        </w:tc>
        <w:tc>
          <w:tcPr>
            <w:tcW w:w="1219" w:type="dxa"/>
            <w:tcBorders>
              <w:top w:val="single" w:sz="8" w:space="0" w:color="auto"/>
              <w:left w:val="single" w:sz="8" w:space="0" w:color="auto"/>
              <w:bottom w:val="single" w:sz="2"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bCs/>
                <w:noProof/>
                <w:sz w:val="20"/>
                <w:szCs w:val="20"/>
              </w:rPr>
              <w:t>37</w:t>
            </w:r>
          </w:p>
        </w:tc>
      </w:tr>
      <w:tr>
        <w:trPr>
          <w:trHeight w:val="372"/>
        </w:trPr>
        <w:tc>
          <w:tcPr>
            <w:tcW w:w="2425"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i/>
                <w:iCs/>
                <w:noProof/>
                <w:sz w:val="20"/>
                <w:szCs w:val="20"/>
              </w:rPr>
            </w:pPr>
            <w:r>
              <w:rPr>
                <w:rFonts w:ascii="Arial" w:hAnsi="Arial"/>
                <w:b/>
                <w:bCs/>
                <w:iCs/>
                <w:noProof/>
                <w:sz w:val="20"/>
                <w:szCs w:val="20"/>
              </w:rPr>
              <w:t>Total</w:t>
            </w:r>
          </w:p>
        </w:tc>
        <w:tc>
          <w:tcPr>
            <w:tcW w:w="136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120</w:t>
            </w:r>
          </w:p>
        </w:tc>
        <w:tc>
          <w:tcPr>
            <w:tcW w:w="1361"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500</w:t>
            </w:r>
          </w:p>
        </w:tc>
        <w:tc>
          <w:tcPr>
            <w:tcW w:w="1361"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8</w:t>
            </w:r>
          </w:p>
        </w:tc>
        <w:tc>
          <w:tcPr>
            <w:tcW w:w="1361"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224</w:t>
            </w:r>
          </w:p>
        </w:tc>
        <w:tc>
          <w:tcPr>
            <w:tcW w:w="1219"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852</w:t>
            </w:r>
          </w:p>
        </w:tc>
      </w:tr>
    </w:tbl>
    <w:p>
      <w:pPr>
        <w:rPr>
          <w:noProof/>
        </w:rPr>
      </w:pPr>
      <w:r>
        <w:rPr>
          <w:noProof/>
        </w:rPr>
        <w:br w:type="page"/>
      </w:r>
    </w:p>
    <w:p>
      <w:pPr>
        <w:pStyle w:val="Heading2"/>
        <w:numPr>
          <w:ilvl w:val="0"/>
          <w:numId w:val="0"/>
        </w:numPr>
        <w:spacing w:before="0" w:after="0"/>
        <w:rPr>
          <w:noProof/>
        </w:rPr>
      </w:pPr>
      <w:r>
        <w:rPr>
          <w:noProof/>
        </w:rPr>
        <w:t>4.3.</w:t>
      </w:r>
      <w:r>
        <w:rPr>
          <w:noProof/>
        </w:rPr>
        <w:tab/>
        <w:t>Número de beneficiarios por destino:</w:t>
      </w:r>
    </w:p>
    <w:p>
      <w:pPr>
        <w:rPr>
          <w:noProof/>
        </w:rPr>
      </w:pPr>
    </w:p>
    <w:tbl>
      <w:tblPr>
        <w:tblW w:w="10920" w:type="dxa"/>
        <w:tblInd w:w="-852" w:type="dxa"/>
        <w:tblLayout w:type="fixed"/>
        <w:tblLook w:val="0000" w:firstRow="0" w:lastRow="0" w:firstColumn="0" w:lastColumn="0" w:noHBand="0" w:noVBand="0"/>
      </w:tblPr>
      <w:tblGrid>
        <w:gridCol w:w="1811"/>
        <w:gridCol w:w="709"/>
        <w:gridCol w:w="1275"/>
        <w:gridCol w:w="567"/>
        <w:gridCol w:w="1276"/>
        <w:gridCol w:w="1276"/>
        <w:gridCol w:w="850"/>
        <w:gridCol w:w="993"/>
        <w:gridCol w:w="1203"/>
        <w:gridCol w:w="960"/>
      </w:tblGrid>
      <w:tr>
        <w:trPr>
          <w:trHeight w:val="838"/>
        </w:trPr>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Institución</w:t>
            </w:r>
          </w:p>
        </w:tc>
        <w:tc>
          <w:tcPr>
            <w:tcW w:w="709" w:type="dxa"/>
            <w:tcBorders>
              <w:top w:val="single" w:sz="4" w:space="0" w:color="auto"/>
              <w:left w:val="nil"/>
              <w:bottom w:val="single" w:sz="4" w:space="0" w:color="auto"/>
              <w:right w:val="single" w:sz="4" w:space="0" w:color="auto"/>
            </w:tcBorders>
            <w:shd w:val="clear" w:color="auto" w:fill="auto"/>
          </w:tcPr>
          <w:p>
            <w:pPr>
              <w:spacing w:before="0" w:after="0"/>
              <w:jc w:val="center"/>
              <w:rPr>
                <w:rFonts w:ascii="Arial" w:hAnsi="Arial" w:cs="Arial"/>
                <w:b/>
                <w:bCs/>
                <w:noProof/>
                <w:sz w:val="20"/>
                <w:szCs w:val="20"/>
              </w:rPr>
            </w:pPr>
            <w:r>
              <w:rPr>
                <w:rFonts w:ascii="Arial" w:hAnsi="Arial"/>
                <w:b/>
                <w:bCs/>
                <w:noProof/>
                <w:sz w:val="20"/>
                <w:szCs w:val="20"/>
              </w:rPr>
              <w:t>JRC</w:t>
            </w:r>
          </w:p>
        </w:tc>
        <w:tc>
          <w:tcPr>
            <w:tcW w:w="1275" w:type="dxa"/>
            <w:tcBorders>
              <w:top w:val="single" w:sz="4" w:space="0" w:color="auto"/>
              <w:left w:val="nil"/>
              <w:bottom w:val="single" w:sz="4" w:space="0" w:color="auto"/>
              <w:right w:val="single" w:sz="4" w:space="0" w:color="auto"/>
            </w:tcBorders>
            <w:shd w:val="clear" w:color="auto" w:fill="auto"/>
          </w:tcPr>
          <w:p>
            <w:pPr>
              <w:spacing w:before="0" w:after="0"/>
              <w:jc w:val="center"/>
              <w:rPr>
                <w:rFonts w:ascii="Arial" w:hAnsi="Arial" w:cs="Arial"/>
                <w:b/>
                <w:bCs/>
                <w:noProof/>
                <w:sz w:val="20"/>
                <w:szCs w:val="20"/>
              </w:rPr>
            </w:pPr>
            <w:r>
              <w:rPr>
                <w:rFonts w:ascii="Arial" w:hAnsi="Arial"/>
                <w:b/>
                <w:bCs/>
                <w:noProof/>
                <w:sz w:val="20"/>
                <w:szCs w:val="20"/>
              </w:rPr>
              <w:t>Coord.</w:t>
            </w:r>
          </w:p>
          <w:p>
            <w:pPr>
              <w:spacing w:before="0" w:after="0"/>
              <w:jc w:val="center"/>
              <w:rPr>
                <w:rFonts w:ascii="Arial" w:hAnsi="Arial" w:cs="Arial"/>
                <w:b/>
                <w:bCs/>
                <w:noProof/>
                <w:sz w:val="20"/>
                <w:szCs w:val="20"/>
              </w:rPr>
            </w:pPr>
            <w:r>
              <w:rPr>
                <w:rFonts w:ascii="Arial" w:hAnsi="Arial"/>
                <w:b/>
                <w:bCs/>
                <w:noProof/>
                <w:sz w:val="20"/>
                <w:szCs w:val="20"/>
              </w:rPr>
              <w:t>Crisis/Emergencia</w:t>
            </w:r>
          </w:p>
        </w:tc>
        <w:tc>
          <w:tcPr>
            <w:tcW w:w="567" w:type="dxa"/>
            <w:tcBorders>
              <w:top w:val="single" w:sz="4" w:space="0" w:color="auto"/>
              <w:left w:val="nil"/>
              <w:bottom w:val="single" w:sz="4" w:space="0" w:color="auto"/>
              <w:right w:val="single" w:sz="4" w:space="0" w:color="auto"/>
            </w:tcBorders>
            <w:shd w:val="clear" w:color="auto" w:fill="auto"/>
          </w:tcPr>
          <w:p>
            <w:pPr>
              <w:spacing w:before="0" w:after="0"/>
              <w:jc w:val="center"/>
              <w:rPr>
                <w:rFonts w:ascii="Arial" w:hAnsi="Arial" w:cs="Arial"/>
                <w:b/>
                <w:bCs/>
                <w:noProof/>
                <w:sz w:val="20"/>
                <w:szCs w:val="20"/>
              </w:rPr>
            </w:pPr>
            <w:r>
              <w:rPr>
                <w:rFonts w:ascii="Arial" w:hAnsi="Arial"/>
                <w:b/>
                <w:bCs/>
                <w:noProof/>
                <w:sz w:val="20"/>
                <w:szCs w:val="20"/>
              </w:rPr>
              <w:t>TIC</w:t>
            </w:r>
          </w:p>
        </w:tc>
        <w:tc>
          <w:tcPr>
            <w:tcW w:w="1276" w:type="dxa"/>
            <w:tcBorders>
              <w:top w:val="single" w:sz="4" w:space="0" w:color="auto"/>
              <w:left w:val="nil"/>
              <w:bottom w:val="single" w:sz="4" w:space="0" w:color="auto"/>
              <w:right w:val="single" w:sz="4" w:space="0" w:color="auto"/>
            </w:tcBorders>
            <w:shd w:val="clear" w:color="auto" w:fill="auto"/>
          </w:tcPr>
          <w:p>
            <w:pPr>
              <w:spacing w:before="0" w:after="0"/>
              <w:jc w:val="center"/>
              <w:rPr>
                <w:rFonts w:ascii="Arial" w:hAnsi="Arial" w:cs="Arial"/>
                <w:b/>
                <w:bCs/>
                <w:noProof/>
                <w:sz w:val="20"/>
                <w:szCs w:val="20"/>
              </w:rPr>
            </w:pPr>
            <w:r>
              <w:rPr>
                <w:rFonts w:ascii="Arial" w:hAnsi="Arial"/>
                <w:b/>
                <w:bCs/>
                <w:noProof/>
                <w:sz w:val="20"/>
                <w:szCs w:val="20"/>
              </w:rPr>
              <w:t>Seguridad</w:t>
            </w:r>
          </w:p>
        </w:tc>
        <w:tc>
          <w:tcPr>
            <w:tcW w:w="1276" w:type="dxa"/>
            <w:tcBorders>
              <w:top w:val="single" w:sz="4" w:space="0" w:color="auto"/>
              <w:left w:val="nil"/>
              <w:bottom w:val="single" w:sz="4" w:space="0" w:color="auto"/>
              <w:right w:val="single" w:sz="4" w:space="0" w:color="auto"/>
            </w:tcBorders>
            <w:shd w:val="clear" w:color="auto" w:fill="auto"/>
          </w:tcPr>
          <w:p>
            <w:pPr>
              <w:spacing w:before="0" w:after="0"/>
              <w:jc w:val="center"/>
              <w:rPr>
                <w:rFonts w:ascii="Arial" w:hAnsi="Arial" w:cs="Arial"/>
                <w:b/>
                <w:bCs/>
                <w:noProof/>
                <w:sz w:val="20"/>
                <w:szCs w:val="20"/>
              </w:rPr>
            </w:pPr>
            <w:r>
              <w:rPr>
                <w:rFonts w:ascii="Arial" w:hAnsi="Arial"/>
                <w:b/>
                <w:bCs/>
                <w:noProof/>
                <w:sz w:val="20"/>
                <w:szCs w:val="20"/>
              </w:rPr>
              <w:t>Centralita/Recepción</w:t>
            </w:r>
          </w:p>
        </w:tc>
        <w:tc>
          <w:tcPr>
            <w:tcW w:w="850" w:type="dxa"/>
            <w:tcBorders>
              <w:top w:val="single" w:sz="4" w:space="0" w:color="auto"/>
              <w:left w:val="nil"/>
              <w:bottom w:val="single" w:sz="4" w:space="0" w:color="auto"/>
              <w:right w:val="single" w:sz="4" w:space="0" w:color="auto"/>
            </w:tcBorders>
            <w:shd w:val="clear" w:color="auto" w:fill="auto"/>
          </w:tcPr>
          <w:p>
            <w:pPr>
              <w:spacing w:before="0" w:after="0"/>
              <w:jc w:val="center"/>
              <w:rPr>
                <w:rFonts w:ascii="Arial" w:hAnsi="Arial" w:cs="Arial"/>
                <w:b/>
                <w:bCs/>
                <w:noProof/>
                <w:sz w:val="20"/>
                <w:szCs w:val="20"/>
              </w:rPr>
            </w:pPr>
            <w:r>
              <w:rPr>
                <w:rFonts w:ascii="Arial" w:hAnsi="Arial"/>
                <w:b/>
                <w:bCs/>
                <w:noProof/>
                <w:sz w:val="20"/>
                <w:szCs w:val="20"/>
              </w:rPr>
              <w:t>PESC/PCSD</w:t>
            </w:r>
          </w:p>
        </w:tc>
        <w:tc>
          <w:tcPr>
            <w:tcW w:w="993" w:type="dxa"/>
            <w:tcBorders>
              <w:top w:val="single" w:sz="4" w:space="0" w:color="auto"/>
              <w:left w:val="single" w:sz="4" w:space="0" w:color="auto"/>
              <w:bottom w:val="single" w:sz="4" w:space="0" w:color="auto"/>
              <w:right w:val="single" w:sz="8" w:space="0" w:color="auto"/>
            </w:tcBorders>
          </w:tcPr>
          <w:p>
            <w:pPr>
              <w:spacing w:before="0" w:after="0"/>
              <w:jc w:val="center"/>
              <w:rPr>
                <w:rFonts w:ascii="Arial" w:hAnsi="Arial" w:cs="Arial"/>
                <w:b/>
                <w:bCs/>
                <w:noProof/>
                <w:sz w:val="20"/>
                <w:szCs w:val="20"/>
              </w:rPr>
            </w:pPr>
            <w:r>
              <w:rPr>
                <w:rFonts w:ascii="Arial" w:hAnsi="Arial"/>
                <w:b/>
                <w:bCs/>
                <w:noProof/>
                <w:sz w:val="20"/>
                <w:szCs w:val="20"/>
              </w:rPr>
              <w:t>Inst. técn.</w:t>
            </w:r>
          </w:p>
        </w:tc>
        <w:tc>
          <w:tcPr>
            <w:tcW w:w="1203" w:type="dxa"/>
            <w:tcBorders>
              <w:top w:val="single" w:sz="8" w:space="0" w:color="auto"/>
              <w:left w:val="single" w:sz="8" w:space="0" w:color="auto"/>
              <w:bottom w:val="single" w:sz="8" w:space="0" w:color="auto"/>
              <w:right w:val="single" w:sz="8" w:space="0" w:color="auto"/>
            </w:tcBorders>
          </w:tcPr>
          <w:p>
            <w:pPr>
              <w:spacing w:before="0" w:after="0"/>
              <w:jc w:val="center"/>
              <w:rPr>
                <w:rFonts w:ascii="Arial" w:hAnsi="Arial" w:cs="Arial"/>
                <w:b/>
                <w:bCs/>
                <w:noProof/>
                <w:sz w:val="20"/>
                <w:szCs w:val="20"/>
              </w:rPr>
            </w:pPr>
            <w:r>
              <w:rPr>
                <w:rFonts w:ascii="Arial" w:hAnsi="Arial"/>
                <w:b/>
                <w:bCs/>
                <w:noProof/>
                <w:sz w:val="20"/>
                <w:szCs w:val="20"/>
              </w:rPr>
              <w:t>Acciones Ind.</w:t>
            </w:r>
          </w:p>
        </w:tc>
        <w:tc>
          <w:tcPr>
            <w:tcW w:w="960" w:type="dxa"/>
            <w:tcBorders>
              <w:top w:val="single" w:sz="8" w:space="0" w:color="auto"/>
              <w:left w:val="single" w:sz="8" w:space="0" w:color="auto"/>
              <w:bottom w:val="single" w:sz="8" w:space="0" w:color="auto"/>
              <w:right w:val="single" w:sz="8" w:space="0" w:color="auto"/>
            </w:tcBorders>
            <w:vAlign w:val="center"/>
          </w:tcPr>
          <w:p>
            <w:pPr>
              <w:spacing w:before="0" w:after="0"/>
              <w:jc w:val="center"/>
              <w:rPr>
                <w:rFonts w:ascii="Arial" w:hAnsi="Arial" w:cs="Arial"/>
                <w:b/>
                <w:bCs/>
                <w:noProof/>
                <w:sz w:val="20"/>
                <w:szCs w:val="20"/>
              </w:rPr>
            </w:pPr>
            <w:r>
              <w:rPr>
                <w:rFonts w:ascii="Arial" w:hAnsi="Arial"/>
                <w:b/>
                <w:bCs/>
                <w:noProof/>
                <w:sz w:val="20"/>
                <w:szCs w:val="20"/>
              </w:rPr>
              <w:t>Total</w:t>
            </w:r>
          </w:p>
        </w:tc>
      </w:tr>
      <w:tr>
        <w:trPr>
          <w:trHeight w:val="255"/>
        </w:trPr>
        <w:tc>
          <w:tcPr>
            <w:tcW w:w="1811"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Comisión</w:t>
            </w:r>
          </w:p>
        </w:tc>
        <w:tc>
          <w:tcPr>
            <w:tcW w:w="709"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25</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9</w:t>
            </w:r>
          </w:p>
        </w:tc>
        <w:tc>
          <w:tcPr>
            <w:tcW w:w="567"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14</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64</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93"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szCs w:val="20"/>
              </w:rPr>
              <w:t>0</w:t>
            </w:r>
          </w:p>
        </w:tc>
        <w:tc>
          <w:tcPr>
            <w:tcW w:w="1203"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112</w:t>
            </w:r>
          </w:p>
        </w:tc>
      </w:tr>
      <w:tr>
        <w:trPr>
          <w:trHeight w:val="255"/>
        </w:trPr>
        <w:tc>
          <w:tcPr>
            <w:tcW w:w="1811"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 incluido el JRC:</w:t>
            </w:r>
          </w:p>
        </w:tc>
        <w:tc>
          <w:tcPr>
            <w:tcW w:w="709"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25</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567"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850"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993" w:type="dxa"/>
            <w:tcBorders>
              <w:top w:val="single" w:sz="4" w:space="0" w:color="auto"/>
              <w:left w:val="single" w:sz="4" w:space="0" w:color="auto"/>
              <w:bottom w:val="single" w:sz="4" w:space="0" w:color="auto"/>
              <w:right w:val="single" w:sz="8" w:space="0" w:color="auto"/>
            </w:tcBorders>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1203" w:type="dxa"/>
            <w:tcBorders>
              <w:top w:val="single" w:sz="8" w:space="0" w:color="auto"/>
              <w:left w:val="single" w:sz="8" w:space="0" w:color="auto"/>
              <w:bottom w:val="single" w:sz="8" w:space="0" w:color="auto"/>
              <w:right w:val="single" w:sz="8" w:space="0" w:color="auto"/>
            </w:tcBorders>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left"/>
              <w:rPr>
                <w:rFonts w:ascii="Arial" w:hAnsi="Arial" w:cs="Arial"/>
                <w:b/>
                <w:i/>
                <w:iCs/>
                <w:noProof/>
                <w:color w:val="808080"/>
                <w:sz w:val="20"/>
                <w:szCs w:val="20"/>
              </w:rPr>
            </w:pPr>
            <w:r>
              <w:rPr>
                <w:rFonts w:ascii="Arial" w:hAnsi="Arial"/>
                <w:b/>
                <w:i/>
                <w:iCs/>
                <w:noProof/>
                <w:color w:val="808080"/>
                <w:sz w:val="20"/>
                <w:szCs w:val="20"/>
              </w:rPr>
              <w:t>25</w:t>
            </w:r>
          </w:p>
        </w:tc>
      </w:tr>
      <w:tr>
        <w:trPr>
          <w:trHeight w:val="255"/>
        </w:trPr>
        <w:tc>
          <w:tcPr>
            <w:tcW w:w="1811"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Consejo</w:t>
            </w:r>
          </w:p>
        </w:tc>
        <w:tc>
          <w:tcPr>
            <w:tcW w:w="709"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567"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75</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93"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szCs w:val="20"/>
              </w:rPr>
              <w:t>0</w:t>
            </w:r>
          </w:p>
        </w:tc>
        <w:tc>
          <w:tcPr>
            <w:tcW w:w="1203"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75</w:t>
            </w:r>
          </w:p>
        </w:tc>
      </w:tr>
      <w:tr>
        <w:trPr>
          <w:trHeight w:val="255"/>
        </w:trPr>
        <w:tc>
          <w:tcPr>
            <w:tcW w:w="1811"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Parlamento</w:t>
            </w:r>
          </w:p>
        </w:tc>
        <w:tc>
          <w:tcPr>
            <w:tcW w:w="709"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567"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545</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58</w:t>
            </w:r>
          </w:p>
        </w:tc>
        <w:tc>
          <w:tcPr>
            <w:tcW w:w="85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93"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szCs w:val="20"/>
              </w:rPr>
              <w:t>0</w:t>
            </w:r>
          </w:p>
        </w:tc>
        <w:tc>
          <w:tcPr>
            <w:tcW w:w="1203"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603</w:t>
            </w:r>
          </w:p>
        </w:tc>
      </w:tr>
      <w:tr>
        <w:trPr>
          <w:trHeight w:val="255"/>
        </w:trPr>
        <w:tc>
          <w:tcPr>
            <w:tcW w:w="1811"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Tribunal de Justicia</w:t>
            </w:r>
          </w:p>
        </w:tc>
        <w:tc>
          <w:tcPr>
            <w:tcW w:w="709"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567"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93"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szCs w:val="20"/>
              </w:rPr>
              <w:t>0</w:t>
            </w:r>
          </w:p>
        </w:tc>
        <w:tc>
          <w:tcPr>
            <w:tcW w:w="1203"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0</w:t>
            </w:r>
          </w:p>
        </w:tc>
      </w:tr>
      <w:tr>
        <w:trPr>
          <w:trHeight w:val="255"/>
        </w:trPr>
        <w:tc>
          <w:tcPr>
            <w:tcW w:w="1811"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Tribunal de Cuentas</w:t>
            </w:r>
          </w:p>
        </w:tc>
        <w:tc>
          <w:tcPr>
            <w:tcW w:w="709"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1275"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17</w:t>
            </w:r>
          </w:p>
        </w:tc>
        <w:tc>
          <w:tcPr>
            <w:tcW w:w="1276"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2</w:t>
            </w:r>
          </w:p>
        </w:tc>
        <w:tc>
          <w:tcPr>
            <w:tcW w:w="85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993" w:type="dxa"/>
            <w:tcBorders>
              <w:top w:val="single" w:sz="4" w:space="0" w:color="auto"/>
              <w:left w:val="single" w:sz="4" w:space="0" w:color="auto"/>
              <w:bottom w:val="single" w:sz="4" w:space="0" w:color="auto"/>
              <w:right w:val="single" w:sz="8" w:space="0" w:color="auto"/>
            </w:tcBorders>
            <w:vAlign w:val="center"/>
          </w:tcPr>
          <w:p>
            <w:pPr>
              <w:spacing w:before="0" w:after="0"/>
              <w:jc w:val="right"/>
              <w:rPr>
                <w:rFonts w:ascii="Arial" w:hAnsi="Arial" w:cs="Arial"/>
                <w:noProof/>
                <w:sz w:val="20"/>
                <w:szCs w:val="20"/>
              </w:rPr>
            </w:pPr>
            <w:r>
              <w:rPr>
                <w:rFonts w:ascii="Arial" w:hAnsi="Arial"/>
                <w:noProof/>
                <w:sz w:val="20"/>
                <w:szCs w:val="20"/>
              </w:rPr>
              <w:t>0</w:t>
            </w:r>
          </w:p>
        </w:tc>
        <w:tc>
          <w:tcPr>
            <w:tcW w:w="1203" w:type="dxa"/>
            <w:tcBorders>
              <w:top w:val="single" w:sz="8" w:space="0" w:color="auto"/>
              <w:left w:val="single" w:sz="8" w:space="0" w:color="auto"/>
              <w:bottom w:val="single" w:sz="8" w:space="0" w:color="auto"/>
              <w:right w:val="single" w:sz="8" w:space="0" w:color="auto"/>
            </w:tcBorders>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vAlign w:val="center"/>
          </w:tcPr>
          <w:p>
            <w:pPr>
              <w:spacing w:before="0" w:after="0"/>
              <w:jc w:val="right"/>
              <w:rPr>
                <w:rFonts w:ascii="Arial" w:hAnsi="Arial" w:cs="Arial"/>
                <w:b/>
                <w:noProof/>
                <w:sz w:val="20"/>
                <w:szCs w:val="20"/>
              </w:rPr>
            </w:pPr>
            <w:r>
              <w:rPr>
                <w:rFonts w:ascii="Arial" w:hAnsi="Arial"/>
                <w:b/>
                <w:noProof/>
                <w:sz w:val="20"/>
                <w:szCs w:val="20"/>
              </w:rPr>
              <w:t>19</w:t>
            </w:r>
          </w:p>
        </w:tc>
      </w:tr>
      <w:tr>
        <w:trPr>
          <w:trHeight w:val="255"/>
        </w:trPr>
        <w:tc>
          <w:tcPr>
            <w:tcW w:w="1811"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CESE</w:t>
            </w:r>
          </w:p>
        </w:tc>
        <w:tc>
          <w:tcPr>
            <w:tcW w:w="709"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567"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93"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szCs w:val="20"/>
              </w:rPr>
              <w:t>0</w:t>
            </w:r>
          </w:p>
        </w:tc>
        <w:tc>
          <w:tcPr>
            <w:tcW w:w="1203"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2</w:t>
            </w:r>
          </w:p>
        </w:tc>
      </w:tr>
      <w:tr>
        <w:trPr>
          <w:trHeight w:val="255"/>
        </w:trPr>
        <w:tc>
          <w:tcPr>
            <w:tcW w:w="1811"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CDR</w:t>
            </w:r>
          </w:p>
        </w:tc>
        <w:tc>
          <w:tcPr>
            <w:tcW w:w="709"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567"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4</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93"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szCs w:val="20"/>
              </w:rPr>
              <w:t>0</w:t>
            </w:r>
          </w:p>
        </w:tc>
        <w:tc>
          <w:tcPr>
            <w:tcW w:w="1203"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4</w:t>
            </w:r>
          </w:p>
        </w:tc>
      </w:tr>
      <w:tr>
        <w:trPr>
          <w:trHeight w:val="283"/>
        </w:trPr>
        <w:tc>
          <w:tcPr>
            <w:tcW w:w="1811" w:type="dxa"/>
            <w:tcBorders>
              <w:top w:val="nil"/>
              <w:left w:val="single" w:sz="4" w:space="0" w:color="auto"/>
              <w:bottom w:val="single" w:sz="4" w:space="0" w:color="auto"/>
              <w:right w:val="single" w:sz="4" w:space="0" w:color="auto"/>
            </w:tcBorders>
            <w:shd w:val="clear" w:color="auto" w:fill="auto"/>
            <w:noWrap/>
            <w:vAlign w:val="center"/>
          </w:tcPr>
          <w:p>
            <w:pPr>
              <w:spacing w:before="0" w:after="0"/>
              <w:jc w:val="left"/>
              <w:rPr>
                <w:rFonts w:ascii="Arial" w:hAnsi="Arial" w:cs="Arial"/>
                <w:noProof/>
                <w:sz w:val="20"/>
                <w:szCs w:val="20"/>
              </w:rPr>
            </w:pPr>
            <w:r>
              <w:rPr>
                <w:rFonts w:ascii="Arial" w:hAnsi="Arial"/>
                <w:noProof/>
                <w:sz w:val="20"/>
                <w:szCs w:val="20"/>
              </w:rPr>
              <w:t>SEPD</w:t>
            </w:r>
          </w:p>
        </w:tc>
        <w:tc>
          <w:tcPr>
            <w:tcW w:w="709"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1275"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993" w:type="dxa"/>
            <w:tcBorders>
              <w:top w:val="single" w:sz="4" w:space="0" w:color="auto"/>
              <w:left w:val="single" w:sz="4" w:space="0" w:color="auto"/>
              <w:bottom w:val="single" w:sz="4" w:space="0" w:color="auto"/>
              <w:right w:val="single" w:sz="8" w:space="0" w:color="auto"/>
            </w:tcBorders>
            <w:vAlign w:val="center"/>
          </w:tcPr>
          <w:p>
            <w:pPr>
              <w:spacing w:before="0" w:after="0"/>
              <w:jc w:val="right"/>
              <w:rPr>
                <w:rFonts w:ascii="Arial" w:hAnsi="Arial" w:cs="Arial"/>
                <w:noProof/>
                <w:sz w:val="20"/>
                <w:szCs w:val="20"/>
              </w:rPr>
            </w:pPr>
            <w:r>
              <w:rPr>
                <w:rFonts w:ascii="Arial" w:hAnsi="Arial"/>
                <w:noProof/>
                <w:sz w:val="20"/>
                <w:szCs w:val="20"/>
              </w:rPr>
              <w:t>0</w:t>
            </w:r>
          </w:p>
        </w:tc>
        <w:tc>
          <w:tcPr>
            <w:tcW w:w="1203"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vAlign w:val="center"/>
          </w:tcPr>
          <w:p>
            <w:pPr>
              <w:spacing w:before="0" w:after="0"/>
              <w:jc w:val="right"/>
              <w:rPr>
                <w:rFonts w:ascii="Arial" w:hAnsi="Arial" w:cs="Arial"/>
                <w:b/>
                <w:noProof/>
                <w:sz w:val="20"/>
                <w:szCs w:val="20"/>
              </w:rPr>
            </w:pPr>
            <w:r>
              <w:rPr>
                <w:rFonts w:ascii="Arial" w:hAnsi="Arial"/>
                <w:b/>
                <w:noProof/>
                <w:sz w:val="20"/>
                <w:szCs w:val="20"/>
              </w:rPr>
              <w:t>0</w:t>
            </w:r>
          </w:p>
        </w:tc>
      </w:tr>
      <w:tr>
        <w:trPr>
          <w:trHeight w:val="270"/>
        </w:trPr>
        <w:tc>
          <w:tcPr>
            <w:tcW w:w="1811" w:type="dxa"/>
            <w:tcBorders>
              <w:top w:val="single" w:sz="4" w:space="0" w:color="auto"/>
              <w:left w:val="single" w:sz="4" w:space="0" w:color="auto"/>
              <w:bottom w:val="nil"/>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Defensor del Pueblo Europeo</w:t>
            </w:r>
          </w:p>
        </w:tc>
        <w:tc>
          <w:tcPr>
            <w:tcW w:w="709"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567"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single" w:sz="4" w:space="0" w:color="auto"/>
              <w:left w:val="nil"/>
              <w:bottom w:val="nil"/>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93"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szCs w:val="20"/>
              </w:rPr>
              <w:t>0</w:t>
            </w:r>
          </w:p>
        </w:tc>
        <w:tc>
          <w:tcPr>
            <w:tcW w:w="1203"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0</w:t>
            </w:r>
          </w:p>
        </w:tc>
      </w:tr>
      <w:tr>
        <w:trPr>
          <w:trHeight w:val="270"/>
        </w:trPr>
        <w:tc>
          <w:tcPr>
            <w:tcW w:w="1811" w:type="dxa"/>
            <w:tcBorders>
              <w:top w:val="single" w:sz="4" w:space="0" w:color="auto"/>
              <w:left w:val="single" w:sz="4" w:space="0" w:color="auto"/>
              <w:bottom w:val="single" w:sz="2"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SEAE</w:t>
            </w:r>
          </w:p>
        </w:tc>
        <w:tc>
          <w:tcPr>
            <w:tcW w:w="709"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5"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567"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13</w:t>
            </w:r>
          </w:p>
        </w:tc>
        <w:tc>
          <w:tcPr>
            <w:tcW w:w="1276"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12</w:t>
            </w:r>
          </w:p>
        </w:tc>
        <w:tc>
          <w:tcPr>
            <w:tcW w:w="1276" w:type="dxa"/>
            <w:tcBorders>
              <w:top w:val="single" w:sz="4" w:space="0" w:color="auto"/>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850"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12</w:t>
            </w:r>
          </w:p>
        </w:tc>
        <w:tc>
          <w:tcPr>
            <w:tcW w:w="993" w:type="dxa"/>
            <w:tcBorders>
              <w:top w:val="single" w:sz="4" w:space="0" w:color="auto"/>
              <w:left w:val="single" w:sz="4" w:space="0" w:color="auto"/>
              <w:bottom w:val="single" w:sz="2"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szCs w:val="20"/>
              </w:rPr>
              <w:t>0</w:t>
            </w:r>
          </w:p>
        </w:tc>
        <w:tc>
          <w:tcPr>
            <w:tcW w:w="1203" w:type="dxa"/>
            <w:tcBorders>
              <w:top w:val="single" w:sz="8" w:space="0" w:color="auto"/>
              <w:left w:val="single" w:sz="8" w:space="0" w:color="auto"/>
              <w:bottom w:val="single" w:sz="2"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2"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37</w:t>
            </w:r>
          </w:p>
        </w:tc>
      </w:tr>
      <w:tr>
        <w:trPr>
          <w:trHeight w:val="396"/>
        </w:trPr>
        <w:tc>
          <w:tcPr>
            <w:tcW w:w="1811"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Total</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25</w:t>
            </w:r>
          </w:p>
        </w:tc>
        <w:tc>
          <w:tcPr>
            <w:tcW w:w="1275"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9</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27</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719</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60</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12</w:t>
            </w:r>
          </w:p>
        </w:tc>
        <w:tc>
          <w:tcPr>
            <w:tcW w:w="993" w:type="dxa"/>
            <w:tcBorders>
              <w:top w:val="single" w:sz="2" w:space="0" w:color="auto"/>
              <w:left w:val="single" w:sz="2" w:space="0" w:color="auto"/>
              <w:bottom w:val="single" w:sz="2" w:space="0" w:color="auto"/>
              <w:right w:val="single" w:sz="2" w:space="0" w:color="auto"/>
            </w:tcBorders>
            <w:vAlign w:val="center"/>
          </w:tcPr>
          <w:p>
            <w:pPr>
              <w:spacing w:before="0" w:after="0"/>
              <w:jc w:val="right"/>
              <w:rPr>
                <w:rFonts w:ascii="Arial" w:hAnsi="Arial" w:cs="Arial"/>
                <w:b/>
                <w:bCs/>
                <w:noProof/>
                <w:sz w:val="20"/>
                <w:szCs w:val="20"/>
              </w:rPr>
            </w:pPr>
            <w:r>
              <w:rPr>
                <w:rFonts w:ascii="Arial" w:hAnsi="Arial"/>
                <w:b/>
                <w:bCs/>
                <w:noProof/>
                <w:sz w:val="20"/>
                <w:szCs w:val="20"/>
              </w:rPr>
              <w:t>0</w:t>
            </w:r>
          </w:p>
        </w:tc>
        <w:tc>
          <w:tcPr>
            <w:tcW w:w="1203" w:type="dxa"/>
            <w:tcBorders>
              <w:top w:val="single" w:sz="2" w:space="0" w:color="auto"/>
              <w:left w:val="single" w:sz="2" w:space="0" w:color="auto"/>
              <w:bottom w:val="single" w:sz="2" w:space="0" w:color="auto"/>
              <w:right w:val="single" w:sz="2" w:space="0" w:color="auto"/>
            </w:tcBorders>
            <w:vAlign w:val="center"/>
          </w:tcPr>
          <w:p>
            <w:pPr>
              <w:spacing w:before="0" w:after="0"/>
              <w:jc w:val="right"/>
              <w:rPr>
                <w:rFonts w:ascii="Arial" w:hAnsi="Arial" w:cs="Arial"/>
                <w:b/>
                <w:bCs/>
                <w:noProof/>
                <w:sz w:val="20"/>
                <w:szCs w:val="20"/>
              </w:rPr>
            </w:pPr>
            <w:r>
              <w:rPr>
                <w:rFonts w:ascii="Arial" w:hAnsi="Arial"/>
                <w:b/>
                <w:bCs/>
                <w:noProof/>
                <w:sz w:val="20"/>
                <w:szCs w:val="20"/>
              </w:rPr>
              <w:t>0</w:t>
            </w:r>
          </w:p>
        </w:tc>
        <w:tc>
          <w:tcPr>
            <w:tcW w:w="960" w:type="dxa"/>
            <w:tcBorders>
              <w:top w:val="single" w:sz="2" w:space="0" w:color="auto"/>
              <w:left w:val="single" w:sz="2" w:space="0" w:color="auto"/>
              <w:bottom w:val="single" w:sz="2" w:space="0" w:color="auto"/>
              <w:right w:val="single" w:sz="2" w:space="0" w:color="auto"/>
            </w:tcBorders>
            <w:vAlign w:val="center"/>
          </w:tcPr>
          <w:p>
            <w:pPr>
              <w:spacing w:before="0" w:after="0"/>
              <w:jc w:val="right"/>
              <w:rPr>
                <w:rFonts w:ascii="Arial" w:hAnsi="Arial" w:cs="Arial"/>
                <w:b/>
                <w:bCs/>
                <w:noProof/>
                <w:sz w:val="20"/>
                <w:szCs w:val="20"/>
              </w:rPr>
            </w:pPr>
            <w:r>
              <w:rPr>
                <w:rFonts w:ascii="Arial" w:hAnsi="Arial"/>
                <w:b/>
                <w:bCs/>
                <w:noProof/>
                <w:sz w:val="20"/>
                <w:szCs w:val="20"/>
              </w:rPr>
              <w:t>852</w:t>
            </w:r>
          </w:p>
        </w:tc>
      </w:tr>
    </w:tbl>
    <w:p>
      <w:pPr>
        <w:rPr>
          <w:noProof/>
          <w:lang w:val="fr-BE"/>
        </w:rPr>
      </w:pPr>
    </w:p>
    <w:p>
      <w:pPr>
        <w:pStyle w:val="Heading1"/>
        <w:numPr>
          <w:ilvl w:val="0"/>
          <w:numId w:val="0"/>
        </w:numPr>
        <w:spacing w:before="0" w:after="0"/>
        <w:rPr>
          <w:bCs w:val="0"/>
          <w:noProof/>
        </w:rPr>
      </w:pPr>
      <w:r>
        <w:rPr>
          <w:noProof/>
        </w:rPr>
        <w:t>5.</w:t>
      </w:r>
      <w:r>
        <w:rPr>
          <w:noProof/>
        </w:rPr>
        <w:tab/>
        <w:t>Servicios afectados y motivos</w:t>
      </w:r>
    </w:p>
    <w:p>
      <w:pPr>
        <w:rPr>
          <w:noProof/>
        </w:rPr>
      </w:pPr>
      <w:r>
        <w:rPr>
          <w:noProof/>
        </w:rPr>
        <w:t xml:space="preserve">El Consejo, la Comisión, el SEAE, el Parlamento Europeo, el Tribunal de Justicia y el Tribunal de Cuentas recurren al trabajo sometido a obligaciones especiales y al servicio continuo o por turnos y proceden al pago de las indemnizaciones previstas por la legislación. </w:t>
      </w:r>
    </w:p>
    <w:p>
      <w:pPr>
        <w:rPr>
          <w:noProof/>
        </w:rPr>
      </w:pPr>
      <w:r>
        <w:rPr>
          <w:noProof/>
        </w:rPr>
        <w:t>Desde 2017, el Comité de las Regiones y el Comité Económico y Social han establecido un servicio común de obligaciones especiales y un servicio continuo o por turnos.</w:t>
      </w:r>
    </w:p>
    <w:p>
      <w:pPr>
        <w:rPr>
          <w:noProof/>
        </w:rPr>
      </w:pPr>
      <w:r>
        <w:rPr>
          <w:noProof/>
        </w:rPr>
        <w:t>La Comisión es la única institución que abona indemnizaciones por condiciones de trabajo penosas en el JRC, en la Oficina de Infraestructuras y Logística de Bruselas (OIB) y a los inspectores nucleares de la DG ENER (nuevo servicio creado en 2018).</w:t>
      </w:r>
    </w:p>
    <w:p>
      <w:pPr>
        <w:spacing w:before="0" w:after="0"/>
        <w:ind w:left="851"/>
        <w:jc w:val="left"/>
        <w:rPr>
          <w:noProof/>
        </w:rPr>
      </w:pPr>
    </w:p>
    <w:p>
      <w:pPr>
        <w:pStyle w:val="Heading2"/>
        <w:numPr>
          <w:ilvl w:val="0"/>
          <w:numId w:val="0"/>
        </w:numPr>
        <w:spacing w:before="0" w:after="0"/>
        <w:rPr>
          <w:bCs w:val="0"/>
          <w:noProof/>
        </w:rPr>
      </w:pPr>
      <w:r>
        <w:rPr>
          <w:noProof/>
        </w:rPr>
        <w:t>5.1.</w:t>
      </w:r>
      <w:r>
        <w:rPr>
          <w:noProof/>
        </w:rPr>
        <w:tab/>
        <w:t>Motivos para recurrir al servicio con obligaciones especiales</w:t>
      </w:r>
    </w:p>
    <w:p>
      <w:pPr>
        <w:rPr>
          <w:noProof/>
        </w:rPr>
      </w:pPr>
      <w:r>
        <w:rPr>
          <w:b/>
          <w:i/>
          <w:noProof/>
        </w:rPr>
        <w:t>Comisión:</w:t>
      </w:r>
      <w:r>
        <w:rPr>
          <w:b/>
          <w:i/>
          <w:noProof/>
        </w:rPr>
        <w:tab/>
      </w:r>
      <w:r>
        <w:rPr>
          <w:b/>
          <w:i/>
          <w:noProof/>
        </w:rPr>
        <w:tab/>
      </w:r>
      <w:r>
        <w:rPr>
          <w:b/>
          <w:i/>
          <w:noProof/>
        </w:rPr>
        <w:br/>
      </w:r>
      <w:r>
        <w:rPr>
          <w:noProof/>
        </w:rPr>
        <w:t>En 2018, la Comisión abonó indemnizaciones por obligaciones especiales a 416 miembros de su personal. En 2017 fueron 394. Alrededor del 36 % (150) de los afectados se encuentra en centros de investigación. Como en años anteriores, las razones para recurrir al trabajo sometido a obligaciones especiales siguen estando en general relacionadas con la seguridad y la protección (servicio de lucha contra incendios, control de las radiaciones, protección radiológica, etc.). La mayoría de los casos de disponibilidad u obligaciones especiales del JRC se realizan en el domicilio, con excepción de Ispra (donde las prestaciones se realizan en el lugar de trabajo o en el domicilio, debido a la especificidad de las tareas).</w:t>
      </w:r>
    </w:p>
    <w:p>
      <w:pPr>
        <w:spacing w:after="0"/>
        <w:rPr>
          <w:noProof/>
        </w:rPr>
      </w:pPr>
      <w:r>
        <w:rPr>
          <w:noProof/>
        </w:rPr>
        <w:t>En las demás Direcciones Generales de la Comisión, cabe mencionar un aumento significativo del número de beneficiarios en los servicios informáticos (103 frente a los 83 de 2017). Esto fue especialmente cierto en el caso de la DG DIGIT, tras la creación de 3 nuevos servicios, a saber 1) DISS (gestión central de las identidades digitales y los derechos de acceso), 2) TESTA (comunicación segura con los Estados miembros y las instituciones y agencias europeas) y 3) EU SEND (comunicación electrónica segura entre las instituciones europeas). En los demás servicios, la situación es prácticamente igual a la de 2017.</w:t>
      </w:r>
      <w:r>
        <w:rPr>
          <w:i/>
          <w:noProof/>
        </w:rPr>
        <w:t xml:space="preserve"> </w:t>
      </w:r>
      <w:r>
        <w:rPr>
          <w:noProof/>
        </w:rPr>
        <w:t xml:space="preserve">Se observó un ligero aumento del número de beneficiarios (50 en 2018 frente a los 45 de 2017) en la DG ECHO en el contexto de la asistencia a los Estados miembros 24 horas al día y 7 días a la semana, que garantiza una vigilancia en tiempo real y una respuesta inmediata a las catástrofes en todo el mundo. </w:t>
      </w:r>
    </w:p>
    <w:p>
      <w:pPr>
        <w:rPr>
          <w:noProof/>
        </w:rPr>
      </w:pPr>
      <w:r>
        <w:rPr>
          <w:b/>
          <w:i/>
          <w:noProof/>
        </w:rPr>
        <w:t>Consejo:</w:t>
      </w:r>
      <w:r>
        <w:rPr>
          <w:noProof/>
        </w:rPr>
        <w:t xml:space="preserve"> El Consejo abonó indemnizaciones por obligaciones especiales a 77 miembros del personal en 2018 y a 71 en 2017. Se han establecido tres servicios para cubrir las siguientes áreas: 1) tecnologías de la información y de la comunicación (TIC), con intervenciones garantizadas para la protección y el funcionamiento correcto de las redes informáticas y de comunicación; 2) seguridad, para responder de manera inmediata a todo tipo de incidentes que puedan afectar al personal de la Secretaría General del Consejo y a las actividades del Consejo y del Consejo Europeo, así como para prestar asistencia 24 horas al día y 7 días por semana a los oficiales de seguridad en misión; 3) intervención rápida para la redacción, publicación en internet y difusión de las declaraciones inmediatas y urgentes de la Presidencia de turno y del Presidente del Consejo Europeo en el marco de la PESC/PCSD. En 2018, las obligaciones especiales se efectuaron exclusivamente en el domicilio. </w:t>
      </w:r>
    </w:p>
    <w:p>
      <w:pPr>
        <w:rPr>
          <w:noProof/>
        </w:rPr>
      </w:pPr>
      <w:r>
        <w:rPr>
          <w:b/>
          <w:i/>
          <w:noProof/>
        </w:rPr>
        <w:t>Tribunal de Cuentas:</w:t>
      </w:r>
      <w:r>
        <w:rPr>
          <w:noProof/>
        </w:rPr>
        <w:t xml:space="preserve"> </w:t>
      </w:r>
      <w:r>
        <w:rPr>
          <w:noProof/>
          <w:color w:val="222222"/>
        </w:rPr>
        <w:t>La planificación mensual del servicio de seguridad establecido en 2011 incluía, en 2018, tareas de disponibilidad en el domicilio para 17 agentes (14 en 2017). Debían garantizar la seguridad de los edificios y sus ocupantes sin interrupción y durante todo el año</w:t>
      </w:r>
      <w:r>
        <w:rPr>
          <w:noProof/>
        </w:rPr>
        <w:t>.</w:t>
      </w:r>
    </w:p>
    <w:p>
      <w:pPr>
        <w:rPr>
          <w:noProof/>
          <w:color w:val="222222"/>
        </w:rPr>
      </w:pPr>
      <w:r>
        <w:rPr>
          <w:b/>
          <w:i/>
          <w:noProof/>
        </w:rPr>
        <w:t>SEAE</w:t>
      </w:r>
      <w:r>
        <w:rPr>
          <w:noProof/>
        </w:rPr>
        <w:t>: En 2018, el SEAE abonó indemnizaciones por obligaciones especiales en el domicilio a 29 miembros de su personal. En 2017 fueron 15. Estos servicios por obligaciones especiales cubrieron 3 ámbitos de trabajo: 1) servicios de seguridad, para proteger permanentemente el personal del SEAE, los visitantes, los edificios y los bienes materiales en Bruselas, y la información clasificada (en la sede y en las delegaciones);</w:t>
      </w:r>
      <w:r>
        <w:rPr>
          <w:noProof/>
          <w:color w:val="222222"/>
        </w:rPr>
        <w:t xml:space="preserve"> </w:t>
      </w:r>
      <w:r>
        <w:rPr>
          <w:noProof/>
        </w:rPr>
        <w:t>2) servicios de apoyo a la PESC/PCSD, para supervisar los eventos en todo el mundo 24 horas al día y 7 días por semana; responder a las crisis, incidentes, situaciones críticas, específicas o urgentes; prestar apoyo al alto representante y a los actores de la UE, y facilitar las reuniones de la plataforma de crisis del SEAE fuera del horario laboral normal;</w:t>
      </w:r>
      <w:r>
        <w:rPr>
          <w:noProof/>
          <w:color w:val="222222"/>
        </w:rPr>
        <w:t xml:space="preserve"> </w:t>
      </w:r>
      <w:r>
        <w:rPr>
          <w:noProof/>
        </w:rPr>
        <w:t>3) servicio de tecnología de la información y la comunicación a través del COMCEN (Centro de Comunicación), para comunicar información clasificada a todos los miembros del personal del SEAE, garantizando asimismo los servicios prestados al secretario general del Consejo para que haya siempre un tratamiento rápido de la información clasificada urgente.</w:t>
      </w:r>
      <w:r>
        <w:rPr>
          <w:noProof/>
          <w:color w:val="222222"/>
        </w:rPr>
        <w:t xml:space="preserve"> </w:t>
      </w:r>
    </w:p>
    <w:p>
      <w:pPr>
        <w:rPr>
          <w:noProof/>
        </w:rPr>
      </w:pPr>
      <w:r>
        <w:rPr>
          <w:b/>
          <w:i/>
          <w:noProof/>
        </w:rPr>
        <w:t xml:space="preserve">Tribunal de Justicia: </w:t>
      </w:r>
      <w:r>
        <w:rPr>
          <w:noProof/>
        </w:rPr>
        <w:t>En 2018, el Tribunal de Justicia abonó indemnizaciones por obligaciones especiales a 27 miembros de su personal. Este servicio se instauró en noviembre de 2014 dentro de la Dirección General de Infraestructuras. La dirección de los edificios es responsable de proteger la institución, prevenir los incendios y vigilar la higiene y seguridad en el trabajo.</w:t>
      </w:r>
      <w:r>
        <w:rPr>
          <w:noProof/>
          <w:color w:val="222222"/>
        </w:rPr>
        <w:t xml:space="preserve"> Está formado por tres unidades encargadas de los nuevos trabajos, la gestión de los edificios y la seguridad. </w:t>
      </w:r>
    </w:p>
    <w:p>
      <w:pPr>
        <w:rPr>
          <w:noProof/>
        </w:rPr>
      </w:pPr>
      <w:r>
        <w:rPr>
          <w:b/>
          <w:i/>
          <w:noProof/>
        </w:rPr>
        <w:t>CDR-CESE:</w:t>
      </w:r>
      <w:r>
        <w:rPr>
          <w:noProof/>
        </w:rPr>
        <w:t xml:space="preserve"> </w:t>
      </w:r>
      <w:r>
        <w:rPr>
          <w:noProof/>
          <w:color w:val="222222"/>
        </w:rPr>
        <w:t>Dentro del servicio de seguridad, se estableció un servicio común de obligaciones especiales para el CDR y el CESE el 1 de marzo de 2017 para garantizar que se pueda acceder al personal de seguridad en cualquier momento en caso de incidente si la institución está cerrada, y que este pueda intervenir adecuadamente. En 2018 el servicio de obligaciones especiales en el domicilio ha incluido a 4 miembros del personal del CDR y a 2 del CESE.</w:t>
      </w:r>
    </w:p>
    <w:p>
      <w:pPr>
        <w:spacing w:before="0" w:after="0"/>
        <w:ind w:left="851"/>
        <w:jc w:val="left"/>
        <w:rPr>
          <w:noProof/>
        </w:rPr>
      </w:pPr>
    </w:p>
    <w:p>
      <w:pPr>
        <w:pStyle w:val="Heading2"/>
        <w:numPr>
          <w:ilvl w:val="0"/>
          <w:numId w:val="0"/>
        </w:numPr>
        <w:spacing w:before="0" w:after="0"/>
        <w:rPr>
          <w:bCs w:val="0"/>
          <w:noProof/>
        </w:rPr>
      </w:pPr>
      <w:r>
        <w:rPr>
          <w:noProof/>
        </w:rPr>
        <w:t>5.2.</w:t>
      </w:r>
      <w:r>
        <w:rPr>
          <w:noProof/>
        </w:rPr>
        <w:tab/>
        <w:t>Motivos para recurrir a la indemnización por condiciones de trabajo penosas</w:t>
      </w:r>
    </w:p>
    <w:p>
      <w:pPr>
        <w:rPr>
          <w:noProof/>
        </w:rPr>
      </w:pPr>
      <w:r>
        <w:rPr>
          <w:b/>
          <w:i/>
          <w:noProof/>
        </w:rPr>
        <w:t>Comisión</w:t>
      </w:r>
      <w:r>
        <w:rPr>
          <w:i/>
          <w:noProof/>
        </w:rPr>
        <w:t xml:space="preserve">: </w:t>
      </w:r>
      <w:r>
        <w:rPr>
          <w:noProof/>
        </w:rPr>
        <w:t xml:space="preserve">La Comisión es la única institución que recurrió a esta posibilidad en 2018. La Oficina de Infraestructuras y Logística de Bruselas (OIB) introdujo esta posibilidad en 2008 en uno de sus servicios (servicio de reproducción), además del Centro Común de Investigación, que ya la utilizaba. En 2018, la DG ENER también introdujo esta posibilidad en el marco de las inspecciones de instalaciones nucleares (19 beneficiarios que acumularon un total de 986,5 horas). </w:t>
      </w:r>
    </w:p>
    <w:p>
      <w:pPr>
        <w:spacing w:after="0"/>
        <w:rPr>
          <w:noProof/>
        </w:rPr>
      </w:pPr>
      <w:r>
        <w:rPr>
          <w:noProof/>
        </w:rPr>
        <w:t>En 2018 el número total de horas prestadas en estas condiciones se distribuyó del siguiente modo:</w:t>
      </w:r>
    </w:p>
    <w:p>
      <w:pPr>
        <w:pStyle w:val="Text1"/>
        <w:numPr>
          <w:ilvl w:val="0"/>
          <w:numId w:val="29"/>
        </w:numPr>
        <w:spacing w:before="0" w:after="0"/>
        <w:ind w:left="360"/>
        <w:rPr>
          <w:noProof/>
        </w:rPr>
      </w:pPr>
      <w:r>
        <w:rPr>
          <w:noProof/>
        </w:rPr>
        <w:t>65 808,19 horas relacionadas con la protección individual (por ejemplo, utilización de prendas especiales incómodas, necesarias a efectos de protección),</w:t>
      </w:r>
    </w:p>
    <w:p>
      <w:pPr>
        <w:pStyle w:val="Text1"/>
        <w:numPr>
          <w:ilvl w:val="0"/>
          <w:numId w:val="29"/>
        </w:numPr>
        <w:spacing w:before="0" w:after="0"/>
        <w:ind w:left="360"/>
        <w:rPr>
          <w:noProof/>
        </w:rPr>
      </w:pPr>
      <w:r>
        <w:rPr>
          <w:noProof/>
        </w:rPr>
        <w:t>117 127,13 horas relacionadas con el lugar de trabajo (por ejemplo, niveles de ruido elevados o lugares peligrosos),</w:t>
      </w:r>
    </w:p>
    <w:p>
      <w:pPr>
        <w:pStyle w:val="Text1"/>
        <w:numPr>
          <w:ilvl w:val="0"/>
          <w:numId w:val="29"/>
        </w:numPr>
        <w:spacing w:before="0" w:after="0"/>
        <w:ind w:left="360"/>
        <w:jc w:val="left"/>
        <w:rPr>
          <w:noProof/>
        </w:rPr>
      </w:pPr>
      <w:r>
        <w:rPr>
          <w:noProof/>
        </w:rPr>
        <w:t>11 539,68 horas relacionadas con la naturaleza del trabajo (por ejemplo, manipulación de productos corrosivos);</w:t>
      </w:r>
    </w:p>
    <w:p>
      <w:pPr>
        <w:pStyle w:val="Text1"/>
        <w:numPr>
          <w:ilvl w:val="0"/>
          <w:numId w:val="29"/>
        </w:numPr>
        <w:spacing w:before="0"/>
        <w:ind w:left="360"/>
        <w:jc w:val="left"/>
        <w:rPr>
          <w:noProof/>
        </w:rPr>
      </w:pPr>
      <w:r>
        <w:rPr>
          <w:noProof/>
        </w:rPr>
        <w:t>26,20 horas relacionadas con la combinación de protección personal y lugares de trabajo (inspectores nucleares: niveles de ruido elevados, trajes de protección con aparato respiratorio autónomo).</w:t>
      </w:r>
    </w:p>
    <w:p>
      <w:pPr>
        <w:pStyle w:val="Text1"/>
        <w:spacing w:before="0" w:after="0"/>
        <w:ind w:left="851"/>
        <w:jc w:val="left"/>
        <w:rPr>
          <w:noProof/>
        </w:rPr>
      </w:pPr>
    </w:p>
    <w:p>
      <w:pPr>
        <w:pStyle w:val="Heading2"/>
        <w:numPr>
          <w:ilvl w:val="0"/>
          <w:numId w:val="0"/>
        </w:numPr>
        <w:spacing w:before="0" w:after="0"/>
        <w:rPr>
          <w:noProof/>
        </w:rPr>
      </w:pPr>
      <w:r>
        <w:rPr>
          <w:noProof/>
        </w:rPr>
        <w:t>5.3.</w:t>
      </w:r>
      <w:r>
        <w:rPr>
          <w:noProof/>
        </w:rPr>
        <w:tab/>
        <w:t>Motivos para recurrir al servicio continuo o por turnos</w:t>
      </w:r>
    </w:p>
    <w:p>
      <w:pPr>
        <w:rPr>
          <w:noProof/>
        </w:rPr>
      </w:pPr>
      <w:r>
        <w:rPr>
          <w:b/>
          <w:i/>
          <w:noProof/>
        </w:rPr>
        <w:t>Comisión:</w:t>
      </w:r>
      <w:r>
        <w:rPr>
          <w:noProof/>
        </w:rPr>
        <w:t xml:space="preserve"> En la Comisión, el JRC (por razones inherentes a las tareas realizadas) y la DG HR (servicio de seguridad y prevención) necesitaron este tipo de organización del trabajo (25 y 56 personas, respectivamente, en 2018). </w:t>
      </w:r>
    </w:p>
    <w:p>
      <w:pPr>
        <w:spacing w:after="0"/>
        <w:rPr>
          <w:noProof/>
        </w:rPr>
      </w:pPr>
      <w:r>
        <w:rPr>
          <w:noProof/>
        </w:rPr>
        <w:t>En las otras DG (presupuesto de funcionamiento), en 2018 efectuaron el servicio por turnos 31 personas, en los ámbitos siguientes:</w:t>
      </w:r>
    </w:p>
    <w:p>
      <w:pPr>
        <w:pStyle w:val="Tiret1"/>
        <w:numPr>
          <w:ilvl w:val="0"/>
          <w:numId w:val="25"/>
        </w:numPr>
        <w:spacing w:before="0" w:after="0"/>
        <w:ind w:left="1418"/>
        <w:rPr>
          <w:noProof/>
        </w:rPr>
      </w:pPr>
      <w:r>
        <w:rPr>
          <w:noProof/>
        </w:rPr>
        <w:t>seguridad y prevención: 8 (OIL)</w:t>
      </w:r>
    </w:p>
    <w:p>
      <w:pPr>
        <w:pStyle w:val="Tiret1"/>
        <w:numPr>
          <w:ilvl w:val="0"/>
          <w:numId w:val="25"/>
        </w:numPr>
        <w:spacing w:before="0" w:after="0"/>
        <w:ind w:left="1418"/>
        <w:rPr>
          <w:noProof/>
        </w:rPr>
      </w:pPr>
      <w:r>
        <w:rPr>
          <w:noProof/>
        </w:rPr>
        <w:t>tecnologías de la información y la comunicación: 14 (DG COMM), y</w:t>
      </w:r>
    </w:p>
    <w:p>
      <w:pPr>
        <w:pStyle w:val="Tiret1"/>
        <w:numPr>
          <w:ilvl w:val="0"/>
          <w:numId w:val="25"/>
        </w:numPr>
        <w:spacing w:before="0" w:after="0"/>
        <w:ind w:left="1418"/>
        <w:rPr>
          <w:noProof/>
        </w:rPr>
      </w:pPr>
      <w:r>
        <w:rPr>
          <w:noProof/>
        </w:rPr>
        <w:t>asistencia a los Estados miembros: 9 (DG ECHO).</w:t>
      </w:r>
    </w:p>
    <w:p>
      <w:pPr>
        <w:rPr>
          <w:noProof/>
        </w:rPr>
      </w:pPr>
      <w:r>
        <w:rPr>
          <w:noProof/>
        </w:rPr>
        <w:t>El servicio por turnos de la DG COMM se creó en 2015 para garantizar el funcionamiento oportuno del servicio de prensa del presidente, el Colegio y el Servicio del Portavoz.</w:t>
      </w:r>
    </w:p>
    <w:p>
      <w:pPr>
        <w:rPr>
          <w:noProof/>
        </w:rPr>
      </w:pPr>
      <w:r>
        <w:rPr>
          <w:noProof/>
        </w:rPr>
        <w:t>El servicio continuo de la DG ECHO funciona desde 2013 a raíz de la creación de un centro de control e información destinado a asistir a los Estados miembros y a la Comisión en caso de catástrofes.</w:t>
      </w:r>
    </w:p>
    <w:p>
      <w:pPr>
        <w:spacing w:before="0"/>
        <w:rPr>
          <w:noProof/>
        </w:rPr>
      </w:pPr>
      <w:r>
        <w:rPr>
          <w:noProof/>
        </w:rPr>
        <w:t>En la Comisión, se aplican los índices (clases de indemnización) 1, 3 y 4, aunque el índice 4 (servicio continuo) se utiliza esencialmente para los servicios de seguridad.</w:t>
      </w:r>
    </w:p>
    <w:p>
      <w:pPr>
        <w:shd w:val="clear" w:color="auto" w:fill="FFFFFF"/>
        <w:rPr>
          <w:noProof/>
        </w:rPr>
      </w:pPr>
      <w:r>
        <w:rPr>
          <w:b/>
          <w:i/>
          <w:noProof/>
        </w:rPr>
        <w:t>Consejo:</w:t>
      </w:r>
      <w:r>
        <w:rPr>
          <w:noProof/>
        </w:rPr>
        <w:t xml:space="preserve"> El Consejo dispone de un sistema de servicio por turnos indispensable para garantizar la continuidad de los servicios encargados de la prevención y seguridad de los edificios y las personas que se encuentran en los dos edificios de la institución.</w:t>
      </w:r>
    </w:p>
    <w:p>
      <w:pPr>
        <w:shd w:val="clear" w:color="auto" w:fill="FFFFFF"/>
        <w:rPr>
          <w:noProof/>
        </w:rPr>
      </w:pPr>
      <w:r>
        <w:rPr>
          <w:noProof/>
        </w:rPr>
        <w:t>Se observó un ligero descenso del número de beneficiarios en 2018 (75 frente a los 85 de 2017) y del coste (637 506,99 EUR frente a los 672 443,72 EUR de 2017). Esto se debe, por una parte, a la supresión del servicio en dos turnos en la Dirección de Prevención y Seguridad y, por otra, al hecho de que un número de puestos de trabajo de los servicios organizados por turnos o continuos no ha sido ocupado por razones varias.</w:t>
      </w:r>
    </w:p>
    <w:p>
      <w:pPr>
        <w:shd w:val="clear" w:color="auto" w:fill="FFFFFF"/>
        <w:rPr>
          <w:noProof/>
          <w:color w:val="222222"/>
        </w:rPr>
      </w:pPr>
      <w:r>
        <w:rPr>
          <w:b/>
          <w:i/>
          <w:noProof/>
        </w:rPr>
        <w:t>Parlamento Europeo:</w:t>
      </w:r>
      <w:r>
        <w:rPr>
          <w:noProof/>
        </w:rPr>
        <w:t xml:space="preserve"> En 2018, el Parlamento Europeo abonó indemnizaciones por el servicio continuo o por turnos para cubrir 1) los servicios encargados de la seguridad y protección en los tres lugares de trabajo:</w:t>
      </w:r>
      <w:r>
        <w:rPr>
          <w:noProof/>
          <w:color w:val="222222"/>
        </w:rPr>
        <w:t xml:space="preserve"> </w:t>
      </w:r>
      <w:r>
        <w:rPr>
          <w:noProof/>
        </w:rPr>
        <w:t>Bruselas, Estrasburgo y Luxemburgo; 2) los servicios vinculados a la recepción, la seguridad y el control de los visitantes al Parlementarium, a la Casa de la Historia Europea (desde 2017) y al complejo deportivo (desde 2017), así como los vinculados a la comunicación a través de la central telefónica, que ofrece en varios idiomas una variedad de servicios como la transferencia de llamadas entrantes y salientes, la divulgación de información de contacto (números de teléfono y de fax, direcciones electrónicas y postales), e información sobre las reuniones y los edificios del Parlamento Europeo.</w:t>
      </w:r>
      <w:r>
        <w:rPr>
          <w:noProof/>
          <w:color w:val="222222"/>
        </w:rPr>
        <w:t xml:space="preserve"> </w:t>
      </w:r>
    </w:p>
    <w:p>
      <w:pPr>
        <w:shd w:val="clear" w:color="auto" w:fill="FFFFFF"/>
        <w:rPr>
          <w:noProof/>
        </w:rPr>
      </w:pPr>
      <w:r>
        <w:rPr>
          <w:noProof/>
        </w:rPr>
        <w:t xml:space="preserve">Los servicios establecidos son un régimen en dos turnos (índice 1), un régimen en dos turnos que incluye noches, fines de semana y días festivos (índice 2) o un servicio ininterrumpido de 24 horas al día (índice 4). El número de beneficiarios en 2018 ascendió a 603 (581 en 2017). Este aumento se debe al refuerzo de los servicios de la DG COMM para el Parlamentarium y la Casa de la Historia Europea (+10 personas) y del complejo deportivo a disposición de los eurodiputados y del personal en Bruselas (+5 personas). El número de personas afectadas por misiones de seguridad también aumentó en 7. </w:t>
      </w:r>
    </w:p>
    <w:p>
      <w:pPr>
        <w:shd w:val="clear" w:color="auto" w:fill="FFFFFF"/>
        <w:rPr>
          <w:noProof/>
        </w:rPr>
      </w:pPr>
      <w:r>
        <w:rPr>
          <w:noProof/>
        </w:rPr>
        <w:t>La nueva organización del trabajo establecida en 2018 para las misiones de vigilancia y prevención generó un aumento significativo del número de personas beneficiarias del índice 2. El número de beneficiarios en 2018 ascendió a 500 (205 en 2017).</w:t>
      </w:r>
      <w:r>
        <w:rPr>
          <w:noProof/>
        </w:rPr>
        <w:tab/>
      </w:r>
      <w:r>
        <w:rPr>
          <w:noProof/>
        </w:rPr>
        <w:br/>
        <w:t>En este año, una media de 140 personas ha pasado del índice 2 al índice 4 durante cuatro o cinco meses.</w:t>
      </w:r>
    </w:p>
    <w:p>
      <w:pPr>
        <w:rPr>
          <w:noProof/>
        </w:rPr>
      </w:pPr>
      <w:r>
        <w:rPr>
          <w:b/>
          <w:i/>
          <w:noProof/>
        </w:rPr>
        <w:t>Tribunal de Cuentas:</w:t>
      </w:r>
      <w:r>
        <w:rPr>
          <w:noProof/>
        </w:rPr>
        <w:t xml:space="preserve"> Desde 2011, el Tribunal de Cuentas dispone de servicios continuos o por turnos, relacionados con los ámbitos de la seguridad y la telefonía/recepción. Existen dos tipos de servicio continuo o por turnos, bien un régimen de dos turnos (índice 1), bien un servicio ininterrumpido de 24 horas al día (índice 4). El número de beneficiarios en 2018 ascendió a 19 (16 en 2017).</w:t>
      </w:r>
    </w:p>
    <w:p>
      <w:pPr>
        <w:rPr>
          <w:noProof/>
        </w:rPr>
      </w:pPr>
      <w:r>
        <w:rPr>
          <w:b/>
          <w:i/>
          <w:noProof/>
        </w:rPr>
        <w:t>SEAE</w:t>
      </w:r>
      <w:r>
        <w:rPr>
          <w:noProof/>
        </w:rPr>
        <w:t>: En 2018 el SEAE abonó 37 indemnizaciones por el servicio continuo o por turnos para garantizar diariamente la vigilancia, el análisis y dar la alerta en caso de incidentes o situaciones importantes en el ámbito político 24 horas al día y 7 días por semana, así como para comunicar la información clasificada a todo el personal de la SEAE, al alto representante y demás actores de la Unión Europea (Comisión Europea, Secretaría General del Consejo, agencias y Estados miembros de la UE).</w:t>
      </w:r>
    </w:p>
    <w:p>
      <w:pPr>
        <w:rPr>
          <w:noProof/>
        </w:rPr>
      </w:pPr>
      <w:r>
        <w:rPr>
          <w:noProof/>
          <w:color w:val="222222"/>
        </w:rPr>
        <w:t>En el SEAE, se han aplicado dos modos de asignación: principalmente el índice 1 y el 4. El número de beneficiarios ha permanecido estable</w:t>
      </w:r>
      <w:r>
        <w:rPr>
          <w:noProof/>
        </w:rPr>
        <w:t xml:space="preserve">. </w:t>
      </w:r>
    </w:p>
    <w:p>
      <w:pPr>
        <w:rPr>
          <w:noProof/>
        </w:rPr>
      </w:pPr>
      <w:r>
        <w:rPr>
          <w:b/>
          <w:i/>
          <w:noProof/>
        </w:rPr>
        <w:t>CDR-CESE</w:t>
      </w:r>
      <w:r>
        <w:rPr>
          <w:noProof/>
        </w:rPr>
        <w:t>: El servicio común por turnos se estableció en el CDR y el CESE el 1 de marzo de 2017 para cubrir la necesidad de una presencia continua en el servicio de seguridad. El CDR abonó las indemnizaciones a 4 beneficiaros (índice 1) y el CESE a 2 (índice 1).</w:t>
      </w:r>
    </w:p>
    <w:p>
      <w:pPr>
        <w:keepNext/>
        <w:spacing w:before="360" w:after="240"/>
        <w:ind w:left="851" w:hanging="851"/>
        <w:outlineLvl w:val="0"/>
        <w:rPr>
          <w:b/>
          <w:smallCaps/>
          <w:noProof/>
        </w:rPr>
      </w:pPr>
      <w:r>
        <w:rPr>
          <w:b/>
          <w:smallCaps/>
          <w:noProof/>
        </w:rPr>
        <w:t>6.</w:t>
      </w:r>
      <w:r>
        <w:rPr>
          <w:b/>
          <w:smallCaps/>
          <w:noProof/>
        </w:rPr>
        <w:tab/>
        <w:t>Gastos presupuestarios, por institución y por indemnización (en EUR)</w:t>
      </w:r>
    </w:p>
    <w:tbl>
      <w:tblPr>
        <w:tblW w:w="8946" w:type="dxa"/>
        <w:tblInd w:w="93" w:type="dxa"/>
        <w:tblLook w:val="0000" w:firstRow="0" w:lastRow="0" w:firstColumn="0" w:lastColumn="0" w:noHBand="0" w:noVBand="0"/>
      </w:tblPr>
      <w:tblGrid>
        <w:gridCol w:w="1977"/>
        <w:gridCol w:w="1837"/>
        <w:gridCol w:w="1768"/>
        <w:gridCol w:w="1980"/>
        <w:gridCol w:w="1384"/>
      </w:tblGrid>
      <w:tr>
        <w:trPr>
          <w:trHeight w:val="645"/>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Institución</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Servicio continuo o por turnos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Obligaciones especiales</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Condiciones de trabajo penosas</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Total</w:t>
            </w:r>
          </w:p>
        </w:tc>
      </w:tr>
      <w:tr>
        <w:trPr>
          <w:trHeight w:val="330"/>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szCs w:val="20"/>
              </w:rPr>
              <w:t>Comisión</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1 048 653,70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1 448 792,37</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587 286,38</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3 084 732,45</w:t>
            </w:r>
          </w:p>
        </w:tc>
      </w:tr>
      <w:tr>
        <w:trPr>
          <w:trHeight w:val="330"/>
        </w:trPr>
        <w:tc>
          <w:tcPr>
            <w:tcW w:w="2055" w:type="dxa"/>
            <w:tcBorders>
              <w:top w:val="single" w:sz="4" w:space="0" w:color="auto"/>
              <w:left w:val="single" w:sz="8" w:space="0" w:color="auto"/>
              <w:bottom w:val="single" w:sz="8" w:space="0" w:color="auto"/>
              <w:right w:val="single" w:sz="8"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 incluido el JRC:</w:t>
            </w:r>
          </w:p>
        </w:tc>
        <w:tc>
          <w:tcPr>
            <w:tcW w:w="1920" w:type="dxa"/>
            <w:tcBorders>
              <w:top w:val="single" w:sz="4" w:space="0" w:color="auto"/>
              <w:left w:val="nil"/>
              <w:bottom w:val="single" w:sz="8" w:space="0" w:color="auto"/>
              <w:right w:val="single" w:sz="8"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238 496,39</w:t>
            </w:r>
          </w:p>
        </w:tc>
        <w:tc>
          <w:tcPr>
            <w:tcW w:w="1800" w:type="dxa"/>
            <w:tcBorders>
              <w:top w:val="single" w:sz="4" w:space="0" w:color="auto"/>
              <w:left w:val="nil"/>
              <w:bottom w:val="single" w:sz="8" w:space="0" w:color="auto"/>
              <w:right w:val="single" w:sz="8"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570 567,92</w:t>
            </w:r>
          </w:p>
        </w:tc>
        <w:tc>
          <w:tcPr>
            <w:tcW w:w="2040" w:type="dxa"/>
            <w:tcBorders>
              <w:top w:val="single" w:sz="4" w:space="0" w:color="auto"/>
              <w:left w:val="nil"/>
              <w:bottom w:val="single" w:sz="8" w:space="0" w:color="auto"/>
              <w:right w:val="single" w:sz="8"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562 839,26</w:t>
            </w:r>
          </w:p>
        </w:tc>
        <w:tc>
          <w:tcPr>
            <w:tcW w:w="1131" w:type="dxa"/>
            <w:tcBorders>
              <w:top w:val="single" w:sz="4" w:space="0" w:color="auto"/>
              <w:left w:val="nil"/>
              <w:bottom w:val="single" w:sz="8" w:space="0" w:color="auto"/>
              <w:right w:val="single" w:sz="8" w:space="0" w:color="auto"/>
            </w:tcBorders>
            <w:shd w:val="clear" w:color="auto" w:fill="FFFFFF"/>
            <w:vAlign w:val="center"/>
          </w:tcPr>
          <w:p>
            <w:pPr>
              <w:spacing w:before="0" w:after="0"/>
              <w:jc w:val="left"/>
              <w:rPr>
                <w:rFonts w:ascii="Arial" w:hAnsi="Arial" w:cs="Arial"/>
                <w:b/>
                <w:i/>
                <w:iCs/>
                <w:noProof/>
                <w:color w:val="808080"/>
                <w:sz w:val="20"/>
                <w:szCs w:val="20"/>
              </w:rPr>
            </w:pPr>
            <w:r>
              <w:rPr>
                <w:rFonts w:ascii="Arial" w:hAnsi="Arial"/>
                <w:b/>
                <w:i/>
                <w:iCs/>
                <w:noProof/>
                <w:color w:val="808080"/>
                <w:sz w:val="20"/>
                <w:szCs w:val="20"/>
              </w:rPr>
              <w:t>1 371 903,57</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Consejo</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637 506,99</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242 336,00</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31"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879 842,99</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Parlamento</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4 861 738,73</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31"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4 861 738,73</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Tribunal de Justicia</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60 065,09</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31"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60 065,09</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Tribunal de Cuentas</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164 473,07</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13 829,08</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31"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178 302,15</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CESE</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10 011,00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31"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10 011,00</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CDR</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20 022,00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13 159,26</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31"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33 181,26</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SEPD</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31"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0</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Defensor del Pueblo Europeo</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31"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0</w:t>
            </w:r>
          </w:p>
        </w:tc>
      </w:tr>
      <w:tr>
        <w:trPr>
          <w:trHeight w:val="330"/>
        </w:trPr>
        <w:tc>
          <w:tcPr>
            <w:tcW w:w="2055" w:type="dxa"/>
            <w:tcBorders>
              <w:top w:val="nil"/>
              <w:left w:val="single" w:sz="8" w:space="0" w:color="auto"/>
              <w:bottom w:val="single" w:sz="2"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SEAE</w:t>
            </w:r>
          </w:p>
        </w:tc>
        <w:tc>
          <w:tcPr>
            <w:tcW w:w="1920" w:type="dxa"/>
            <w:tcBorders>
              <w:top w:val="nil"/>
              <w:left w:val="nil"/>
              <w:bottom w:val="single" w:sz="2"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217 847,34</w:t>
            </w:r>
          </w:p>
        </w:tc>
        <w:tc>
          <w:tcPr>
            <w:tcW w:w="1800" w:type="dxa"/>
            <w:tcBorders>
              <w:top w:val="nil"/>
              <w:left w:val="nil"/>
              <w:bottom w:val="single" w:sz="2"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52 616,36</w:t>
            </w:r>
          </w:p>
        </w:tc>
        <w:tc>
          <w:tcPr>
            <w:tcW w:w="2040" w:type="dxa"/>
            <w:tcBorders>
              <w:top w:val="nil"/>
              <w:left w:val="nil"/>
              <w:bottom w:val="single" w:sz="2"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31" w:type="dxa"/>
            <w:tcBorders>
              <w:top w:val="nil"/>
              <w:left w:val="nil"/>
              <w:bottom w:val="single" w:sz="2"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270 463,70</w:t>
            </w:r>
          </w:p>
        </w:tc>
      </w:tr>
      <w:tr>
        <w:trPr>
          <w:trHeight w:val="492"/>
        </w:trPr>
        <w:tc>
          <w:tcPr>
            <w:tcW w:w="2055"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Total</w:t>
            </w:r>
          </w:p>
        </w:tc>
        <w:tc>
          <w:tcPr>
            <w:tcW w:w="192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6 960 252,83</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1 830 798,16</w:t>
            </w:r>
          </w:p>
        </w:tc>
        <w:tc>
          <w:tcPr>
            <w:tcW w:w="204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587 286,38</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9 378 337,37</w:t>
            </w:r>
          </w:p>
        </w:tc>
      </w:tr>
    </w:tbl>
    <w:p>
      <w:pPr>
        <w:spacing w:before="240"/>
        <w:rPr>
          <w:noProof/>
        </w:rPr>
      </w:pPr>
      <w:r>
        <w:rPr>
          <w:noProof/>
        </w:rPr>
        <w:t>En 2018, la cantidad desembolsada para las tres indemnizaciones por todas las instituciones europeas ascendió a 9 378 337,37 EUR (8 118 966,55 EUR en 2017</w:t>
      </w:r>
      <w:bookmarkStart w:id="2" w:name="_CopyToNewDocument_"/>
      <w:bookmarkEnd w:id="2"/>
      <w:r>
        <w:rPr>
          <w:noProof/>
        </w:rPr>
        <w:t xml:space="preserve">). </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rPr>
        <w:lang w:val="fr-B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ListParagraph"/>
        <w:ind w:left="0"/>
      </w:pPr>
      <w:r>
        <w:rPr>
          <w:rStyle w:val="FootnoteReference"/>
          <w:sz w:val="20"/>
          <w:szCs w:val="20"/>
        </w:rPr>
        <w:footnoteRef/>
      </w:r>
      <w:r>
        <w:rPr>
          <w:sz w:val="20"/>
          <w:szCs w:val="20"/>
        </w:rPr>
        <w:t xml:space="preserve">En la OLAF, el servicio de disponibilidad está garantizado las 24 horas del día, los 7 días de la semana, por 0,33 AD/ 0,33 AST-SC/ 0,33 GF I (total = 1 beneficiario) del equipo de seguridad de permanencia. </w:t>
      </w:r>
      <w:r>
        <w:rPr>
          <w:sz w:val="20"/>
          <w:szCs w:val="20"/>
        </w:rPr>
        <w:br/>
      </w:r>
    </w:p>
  </w:footnote>
  <w:footnote w:id="2">
    <w:p>
      <w:pPr>
        <w:pStyle w:val="FootnoteText"/>
      </w:pPr>
      <w:r>
        <w:rPr>
          <w:rStyle w:val="FootnoteReference"/>
        </w:rPr>
        <w:footnoteRef/>
      </w:r>
      <w:r>
        <w:t xml:space="preserve"> Artículo 3 del Reglamento n.º 858/2004 del Consejo.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1664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30D8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807A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FCEA9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DCA37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82E70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F04D12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0EAE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8D241E"/>
    <w:multiLevelType w:val="hybridMultilevel"/>
    <w:tmpl w:val="074EA930"/>
    <w:lvl w:ilvl="0" w:tplc="0809000B">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3">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4">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5">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6">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19">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2">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24">
    <w:nsid w:val="6CFA7791"/>
    <w:multiLevelType w:val="hybridMultilevel"/>
    <w:tmpl w:val="159690E8"/>
    <w:lvl w:ilvl="0" w:tplc="2544F14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5C26F71"/>
    <w:multiLevelType w:val="multilevel"/>
    <w:tmpl w:val="E01E770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7"/>
  </w:num>
  <w:num w:numId="2">
    <w:abstractNumId w:val="11"/>
  </w:num>
  <w:num w:numId="3">
    <w:abstractNumId w:val="20"/>
  </w:num>
  <w:num w:numId="4">
    <w:abstractNumId w:val="19"/>
  </w:num>
  <w:num w:numId="5">
    <w:abstractNumId w:val="16"/>
  </w:num>
  <w:num w:numId="6">
    <w:abstractNumId w:val="23"/>
  </w:num>
  <w:num w:numId="7">
    <w:abstractNumId w:val="26"/>
  </w:num>
  <w:num w:numId="8">
    <w:abstractNumId w:val="25"/>
  </w:num>
  <w:num w:numId="9">
    <w:abstractNumId w:val="27"/>
  </w:num>
  <w:num w:numId="10">
    <w:abstractNumId w:val="13"/>
  </w:num>
  <w:num w:numId="11">
    <w:abstractNumId w:val="12"/>
  </w:num>
  <w:num w:numId="12">
    <w:abstractNumId w:val="21"/>
  </w:num>
  <w:num w:numId="13">
    <w:abstractNumId w:val="14"/>
  </w:num>
  <w:num w:numId="14">
    <w:abstractNumId w:val="18"/>
  </w:num>
  <w:num w:numId="15">
    <w:abstractNumId w:val="6"/>
  </w:num>
  <w:num w:numId="16">
    <w:abstractNumId w:val="2"/>
  </w:num>
  <w:num w:numId="17">
    <w:abstractNumId w:val="1"/>
  </w:num>
  <w:num w:numId="18">
    <w:abstractNumId w:val="0"/>
  </w:num>
  <w:num w:numId="19">
    <w:abstractNumId w:val="7"/>
  </w:num>
  <w:num w:numId="20">
    <w:abstractNumId w:val="5"/>
  </w:num>
  <w:num w:numId="21">
    <w:abstractNumId w:val="4"/>
  </w:num>
  <w:num w:numId="22">
    <w:abstractNumId w:val="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15"/>
  </w:num>
  <w:num w:numId="26">
    <w:abstractNumId w:val="22"/>
  </w:num>
  <w:num w:numId="27">
    <w:abstractNumId w:val="24"/>
  </w:num>
  <w:num w:numId="28">
    <w:abstractNumId w:val="24"/>
  </w:num>
  <w:num w:numId="29">
    <w:abstractNumId w:val="10"/>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characterSpacingControl w:val="doNotCompress"/>
  <w:hdrShapeDefaults>
    <o:shapedefaults v:ext="edit" spidmax="26625"/>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EA148642-CA77-4F49-A773-0B3A350D4BD0"/>
    <w:docVar w:name="LW_COVERPAGE_TYPE" w:val="1"/>
    <w:docVar w:name="LW_CROSSREFERENCE" w:val="&lt;UNUSED&gt;"/>
    <w:docVar w:name="LW_DocType" w:val="NORMAL"/>
    <w:docVar w:name="LW_EMISSION" w:val="8.10.2020"/>
    <w:docVar w:name="LW_EMISSION_ISODATE" w:val="2020-10-08"/>
    <w:docVar w:name="LW_EMISSION_LOCATION" w:val="BRX"/>
    <w:docVar w:name="LW_EMISSION_PREFIX" w:val="Bruselas, "/>
    <w:docVar w:name="LW_EMISSION_SUFFIX" w:val=" "/>
    <w:docVar w:name="LW_ID_DOCTYPE_NONLW" w:val="CP-005"/>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0) 6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sobre la aplicación efectuada por las instituciones, en 2018, de los Reglamentos del Consejo n.º 495/77, modificado en último lugar por el Reglamento n.º 1945/2006 (sobre obligaciones especiales), n.º 858/2004 (sobre condiciones de trabajo penosas) y n.º 300/76, modificado en último lugar por el Reglamento n.º 1873/2006 del Consejo (sobre el servicio continuo o por turnos)"/>
    <w:docVar w:name="LW_TYPE.DOC.CP" w:val="INFORME DE LA COMISIÓN AL CONSEJO Y AL PARLAMENTO EUROPEO"/>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sz w:val="24"/>
      <w:szCs w:val="24"/>
      <w:lang w:val="es-ES"/>
    </w:rPr>
  </w:style>
  <w:style w:type="paragraph" w:styleId="Heading1">
    <w:name w:val="heading 1"/>
    <w:basedOn w:val="Normal"/>
    <w:next w:val="Normal"/>
    <w:link w:val="Heading1Char"/>
    <w:uiPriority w:val="9"/>
    <w:qFormat/>
    <w:pPr>
      <w:keepNext/>
      <w:numPr>
        <w:numId w:val="7"/>
      </w:numPr>
      <w:spacing w:before="360"/>
      <w:outlineLvl w:val="0"/>
    </w:pPr>
    <w:rPr>
      <w:b/>
      <w:bCs/>
      <w:smallCaps/>
      <w:szCs w:val="32"/>
    </w:rPr>
  </w:style>
  <w:style w:type="paragraph" w:styleId="Heading2">
    <w:name w:val="heading 2"/>
    <w:basedOn w:val="Normal"/>
    <w:next w:val="Normal"/>
    <w:link w:val="Heading2Char"/>
    <w:uiPriority w:val="9"/>
    <w:qFormat/>
    <w:pPr>
      <w:keepNext/>
      <w:numPr>
        <w:ilvl w:val="1"/>
        <w:numId w:val="7"/>
      </w:numPr>
      <w:outlineLvl w:val="1"/>
    </w:pPr>
    <w:rPr>
      <w:b/>
      <w:bCs/>
      <w:iCs/>
      <w:szCs w:val="28"/>
    </w:rPr>
  </w:style>
  <w:style w:type="paragraph" w:styleId="Heading3">
    <w:name w:val="heading 3"/>
    <w:basedOn w:val="Normal"/>
    <w:next w:val="Normal"/>
    <w:link w:val="Heading3Char"/>
    <w:uiPriority w:val="9"/>
    <w:qFormat/>
    <w:pPr>
      <w:keepNext/>
      <w:numPr>
        <w:ilvl w:val="2"/>
        <w:numId w:val="7"/>
      </w:numPr>
      <w:outlineLvl w:val="2"/>
    </w:pPr>
    <w:rPr>
      <w:bCs/>
      <w:i/>
      <w:szCs w:val="26"/>
    </w:rPr>
  </w:style>
  <w:style w:type="paragraph" w:styleId="Heading4">
    <w:name w:val="heading 4"/>
    <w:basedOn w:val="Normal"/>
    <w:next w:val="Normal"/>
    <w:link w:val="Heading4Char"/>
    <w:uiPriority w:val="9"/>
    <w:qFormat/>
    <w:pPr>
      <w:keepNext/>
      <w:numPr>
        <w:ilvl w:val="3"/>
        <w:numId w:val="7"/>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character" w:styleId="FootnoteReference">
    <w:name w:val="footnote reference"/>
    <w:uiPriority w:val="99"/>
    <w:semiHidden/>
    <w:rPr>
      <w:shd w:val="clear" w:color="auto" w:fill="auto"/>
      <w:vertAlign w:val="superscript"/>
    </w:rPr>
  </w:style>
  <w:style w:type="paragraph" w:styleId="FootnoteText">
    <w:name w:val="footnote text"/>
    <w:basedOn w:val="Normal"/>
    <w:link w:val="FootnoteTextChar"/>
    <w:uiPriority w:val="99"/>
    <w:semiHidden/>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link w:val="HeaderChar"/>
    <w:uiPriority w:val="99"/>
    <w:unhideWhenUsed/>
    <w:pPr>
      <w:tabs>
        <w:tab w:val="center" w:pos="4535"/>
        <w:tab w:val="right" w:pos="9071"/>
      </w:tabs>
      <w:spacing w:before="0"/>
    </w:pPr>
    <w:rPr>
      <w:rFonts w:eastAsia="Calibri"/>
      <w:szCs w:val="22"/>
    </w:rPr>
  </w:style>
  <w:style w:type="paragraph" w:customStyle="1" w:styleId="HeaderLandscape">
    <w:name w:val="HeaderLandscape"/>
    <w:basedOn w:val="Normal"/>
    <w:pPr>
      <w:tabs>
        <w:tab w:val="center" w:pos="7285"/>
        <w:tab w:val="right" w:pos="14003"/>
      </w:tabs>
      <w:spacing w:before="0"/>
    </w:pPr>
    <w:rPr>
      <w:rFonts w:eastAsia="Calibri"/>
      <w:szCs w:val="22"/>
    </w:r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8"/>
      </w:numPr>
    </w:pPr>
  </w:style>
  <w:style w:type="paragraph" w:customStyle="1" w:styleId="NumPar2">
    <w:name w:val="NumPar 2"/>
    <w:basedOn w:val="Normal"/>
    <w:next w:val="Normal"/>
    <w:pPr>
      <w:numPr>
        <w:ilvl w:val="1"/>
        <w:numId w:val="8"/>
      </w:numPr>
    </w:pPr>
  </w:style>
  <w:style w:type="paragraph" w:customStyle="1" w:styleId="NumPar3">
    <w:name w:val="NumPar 3"/>
    <w:basedOn w:val="Normal"/>
    <w:next w:val="Normal"/>
    <w:pPr>
      <w:numPr>
        <w:ilvl w:val="2"/>
        <w:numId w:val="8"/>
      </w:numPr>
    </w:pPr>
  </w:style>
  <w:style w:type="paragraph" w:customStyle="1" w:styleId="NumPar4">
    <w:name w:val="NumPar 4"/>
    <w:basedOn w:val="Normal"/>
    <w:next w:val="Normal"/>
    <w:pPr>
      <w:numPr>
        <w:ilvl w:val="3"/>
        <w:numId w:val="8"/>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9"/>
      </w:numPr>
    </w:pPr>
  </w:style>
  <w:style w:type="paragraph" w:customStyle="1" w:styleId="Point0number">
    <w:name w:val="Point 0 (number)"/>
    <w:basedOn w:val="Normal"/>
    <w:pPr>
      <w:numPr>
        <w:numId w:val="9"/>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9"/>
      </w:numPr>
    </w:pPr>
  </w:style>
  <w:style w:type="paragraph" w:customStyle="1" w:styleId="Point1number">
    <w:name w:val="Point 1 (number)"/>
    <w:basedOn w:val="Normal"/>
    <w:pPr>
      <w:numPr>
        <w:ilvl w:val="2"/>
        <w:numId w:val="9"/>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9"/>
      </w:numPr>
    </w:pPr>
  </w:style>
  <w:style w:type="paragraph" w:customStyle="1" w:styleId="Point2number">
    <w:name w:val="Point 2 (number)"/>
    <w:basedOn w:val="Normal"/>
    <w:pPr>
      <w:numPr>
        <w:ilvl w:val="4"/>
        <w:numId w:val="9"/>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9"/>
      </w:numPr>
    </w:pPr>
  </w:style>
  <w:style w:type="paragraph" w:customStyle="1" w:styleId="Point3number">
    <w:name w:val="Point 3 (number)"/>
    <w:basedOn w:val="Normal"/>
    <w:pPr>
      <w:numPr>
        <w:ilvl w:val="6"/>
        <w:numId w:val="9"/>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semiHidden/>
    <w:pPr>
      <w:tabs>
        <w:tab w:val="right" w:leader="dot" w:pos="9071"/>
      </w:tabs>
      <w:spacing w:before="60"/>
      <w:ind w:left="850" w:hanging="850"/>
      <w:jc w:val="left"/>
    </w:pPr>
  </w:style>
  <w:style w:type="paragraph" w:styleId="TOC2">
    <w:name w:val="toc 2"/>
    <w:basedOn w:val="Normal"/>
    <w:next w:val="Normal"/>
    <w:uiPriority w:val="39"/>
    <w:semiHidden/>
    <w:pPr>
      <w:tabs>
        <w:tab w:val="right" w:leader="dot" w:pos="9071"/>
      </w:tabs>
      <w:spacing w:before="60"/>
      <w:ind w:left="850" w:hanging="850"/>
      <w:jc w:val="left"/>
    </w:pPr>
  </w:style>
  <w:style w:type="paragraph" w:styleId="TOC3">
    <w:name w:val="toc 3"/>
    <w:basedOn w:val="Normal"/>
    <w:next w:val="Normal"/>
    <w:uiPriority w:val="39"/>
    <w:semiHidden/>
    <w:pPr>
      <w:tabs>
        <w:tab w:val="right" w:leader="dot" w:pos="9071"/>
      </w:tabs>
      <w:spacing w:before="60"/>
      <w:ind w:left="850" w:hanging="850"/>
      <w:jc w:val="left"/>
    </w:pPr>
  </w:style>
  <w:style w:type="paragraph" w:styleId="TOC4">
    <w:name w:val="toc 4"/>
    <w:basedOn w:val="Normal"/>
    <w:next w:val="Normal"/>
    <w:uiPriority w:val="39"/>
    <w:semiHidden/>
    <w:pPr>
      <w:tabs>
        <w:tab w:val="right" w:leader="dot" w:pos="9071"/>
      </w:tabs>
      <w:spacing w:before="60"/>
      <w:ind w:left="850" w:hanging="850"/>
      <w:jc w:val="left"/>
    </w:pPr>
  </w:style>
  <w:style w:type="paragraph" w:styleId="TOC5">
    <w:name w:val="toc 5"/>
    <w:basedOn w:val="Normal"/>
    <w:next w:val="Normal"/>
    <w:uiPriority w:val="39"/>
    <w:semiHidden/>
    <w:pPr>
      <w:tabs>
        <w:tab w:val="right" w:leader="dot" w:pos="9071"/>
      </w:tabs>
      <w:spacing w:before="300"/>
      <w:jc w:val="left"/>
    </w:pPr>
  </w:style>
  <w:style w:type="paragraph" w:styleId="TOC6">
    <w:name w:val="toc 6"/>
    <w:basedOn w:val="Normal"/>
    <w:next w:val="Normal"/>
    <w:uiPriority w:val="39"/>
    <w:semiHidden/>
    <w:pPr>
      <w:tabs>
        <w:tab w:val="right" w:leader="dot" w:pos="9071"/>
      </w:tabs>
      <w:spacing w:before="240"/>
      <w:jc w:val="left"/>
    </w:pPr>
  </w:style>
  <w:style w:type="paragraph" w:styleId="TOC7">
    <w:name w:val="toc 7"/>
    <w:basedOn w:val="Normal"/>
    <w:next w:val="Normal"/>
    <w:uiPriority w:val="39"/>
    <w:semiHidden/>
    <w:pPr>
      <w:tabs>
        <w:tab w:val="right" w:leader="dot" w:pos="9071"/>
      </w:tabs>
      <w:spacing w:before="180"/>
      <w:jc w:val="left"/>
    </w:pPr>
  </w:style>
  <w:style w:type="paragraph" w:styleId="TOC8">
    <w:name w:val="toc 8"/>
    <w:basedOn w:val="Normal"/>
    <w:next w:val="Normal"/>
    <w:uiPriority w:val="39"/>
    <w:semiHidden/>
    <w:pPr>
      <w:tabs>
        <w:tab w:val="right" w:leader="dot" w:pos="9071"/>
      </w:tabs>
      <w:jc w:val="left"/>
    </w:pPr>
  </w:style>
  <w:style w:type="paragraph" w:styleId="TOC9">
    <w:name w:val="toc 9"/>
    <w:basedOn w:val="Normal"/>
    <w:next w:val="Normal"/>
    <w:uiPriority w:val="39"/>
    <w:semiHidden/>
    <w:pPr>
      <w:tabs>
        <w:tab w:val="right" w:leader="dot" w:pos="9071"/>
      </w:tabs>
    </w:pPr>
  </w:style>
  <w:style w:type="paragraph" w:styleId="TOCHeading">
    <w:name w:val="TOC Heading"/>
    <w:basedOn w:val="Normal"/>
    <w:next w:val="Normal"/>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link w:val="TypedudocumentChar"/>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styleId="Caption">
    <w:name w:val="caption"/>
    <w:basedOn w:val="Normal"/>
    <w:next w:val="Normal"/>
    <w:qFormat/>
    <w:rPr>
      <w:b/>
      <w:bCs/>
      <w:sz w:val="20"/>
      <w:szCs w:val="20"/>
      <w:lang w:eastAsia="en-GB"/>
    </w:rPr>
  </w:style>
  <w:style w:type="paragraph" w:styleId="TableofFigures">
    <w:name w:val="table of figures"/>
    <w:basedOn w:val="Normal"/>
    <w:next w:val="Normal"/>
    <w:rPr>
      <w:szCs w:val="22"/>
      <w:lang w:eastAsia="en-GB"/>
    </w:rPr>
  </w:style>
  <w:style w:type="character" w:styleId="CommentReference">
    <w:name w:val="annotation reference"/>
    <w:rPr>
      <w:sz w:val="16"/>
      <w:szCs w:val="16"/>
      <w:shd w:val="clear" w:color="auto" w:fill="auto"/>
    </w:rPr>
  </w:style>
  <w:style w:type="paragraph" w:styleId="ListNumber">
    <w:name w:val="List Number"/>
    <w:basedOn w:val="Normal"/>
    <w:pPr>
      <w:numPr>
        <w:numId w:val="15"/>
      </w:numPr>
    </w:pPr>
    <w:rPr>
      <w:szCs w:val="22"/>
      <w:lang w:eastAsia="en-GB"/>
    </w:rPr>
  </w:style>
  <w:style w:type="paragraph" w:styleId="ListNumber2">
    <w:name w:val="List Number 2"/>
    <w:basedOn w:val="Normal"/>
    <w:pPr>
      <w:numPr>
        <w:numId w:val="16"/>
      </w:numPr>
    </w:pPr>
    <w:rPr>
      <w:szCs w:val="22"/>
      <w:lang w:eastAsia="en-GB"/>
    </w:rPr>
  </w:style>
  <w:style w:type="paragraph" w:styleId="ListNumber3">
    <w:name w:val="List Number 3"/>
    <w:basedOn w:val="Normal"/>
    <w:pPr>
      <w:numPr>
        <w:numId w:val="17"/>
      </w:numPr>
    </w:pPr>
    <w:rPr>
      <w:szCs w:val="22"/>
      <w:lang w:eastAsia="en-GB"/>
    </w:rPr>
  </w:style>
  <w:style w:type="paragraph" w:styleId="ListNumber4">
    <w:name w:val="List Number 4"/>
    <w:basedOn w:val="Normal"/>
    <w:pPr>
      <w:numPr>
        <w:numId w:val="18"/>
      </w:numPr>
    </w:pPr>
    <w:rPr>
      <w:szCs w:val="22"/>
      <w:lang w:eastAsia="en-GB"/>
    </w:rPr>
  </w:style>
  <w:style w:type="paragraph" w:styleId="ListBullet">
    <w:name w:val="List Bullet"/>
    <w:basedOn w:val="Normal"/>
    <w:pPr>
      <w:numPr>
        <w:numId w:val="19"/>
      </w:numPr>
    </w:pPr>
    <w:rPr>
      <w:szCs w:val="22"/>
      <w:lang w:eastAsia="en-GB"/>
    </w:rPr>
  </w:style>
  <w:style w:type="paragraph" w:styleId="ListBullet2">
    <w:name w:val="List Bullet 2"/>
    <w:basedOn w:val="Normal"/>
    <w:pPr>
      <w:numPr>
        <w:numId w:val="20"/>
      </w:numPr>
    </w:pPr>
    <w:rPr>
      <w:szCs w:val="22"/>
      <w:lang w:eastAsia="en-GB"/>
    </w:rPr>
  </w:style>
  <w:style w:type="paragraph" w:styleId="ListBullet3">
    <w:name w:val="List Bullet 3"/>
    <w:basedOn w:val="Normal"/>
    <w:pPr>
      <w:numPr>
        <w:numId w:val="21"/>
      </w:numPr>
    </w:pPr>
    <w:rPr>
      <w:szCs w:val="22"/>
      <w:lang w:eastAsia="en-GB"/>
    </w:rPr>
  </w:style>
  <w:style w:type="paragraph" w:styleId="ListBullet4">
    <w:name w:val="List Bullet 4"/>
    <w:basedOn w:val="Normal"/>
    <w:pPr>
      <w:numPr>
        <w:numId w:val="22"/>
      </w:numPr>
    </w:pPr>
    <w:rPr>
      <w:szCs w:val="22"/>
      <w:lang w:eastAsia="en-GB"/>
    </w:rPr>
  </w:style>
  <w:style w:type="paragraph" w:styleId="CommentText">
    <w:name w:val="annotation text"/>
    <w:basedOn w:val="Normal"/>
    <w:link w:val="CommentTextChar"/>
    <w:rPr>
      <w:sz w:val="20"/>
      <w:szCs w:val="20"/>
      <w:lang w:eastAsia="en-GB"/>
    </w:rPr>
  </w:style>
  <w:style w:type="character" w:customStyle="1" w:styleId="CommentTextChar">
    <w:name w:val="Comment Text Char"/>
    <w:link w:val="CommentText"/>
    <w:rPr>
      <w:shd w:val="clear" w:color="auto" w:fill="auto"/>
      <w:lang w:val="es-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val="es-ES"/>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lang w:eastAsia="en-GB"/>
    </w:rPr>
  </w:style>
  <w:style w:type="character" w:customStyle="1" w:styleId="BalloonTextChar">
    <w:name w:val="Balloon Text Char"/>
    <w:link w:val="BalloonText"/>
    <w:rPr>
      <w:rFonts w:ascii="Tahoma" w:hAnsi="Tahoma" w:cs="Tahoma"/>
      <w:sz w:val="16"/>
      <w:szCs w:val="16"/>
      <w:shd w:val="clear" w:color="auto" w:fill="auto"/>
      <w:lang w:val="es-ES"/>
    </w:rPr>
  </w:style>
  <w:style w:type="character" w:styleId="FollowedHyperlink">
    <w:name w:val="FollowedHyperlink"/>
    <w:rPr>
      <w:color w:val="800080"/>
      <w:u w:val="single"/>
      <w:shd w:val="clear" w:color="auto" w:fill="auto"/>
    </w:rPr>
  </w:style>
  <w:style w:type="character" w:styleId="PageNumber">
    <w:name w:val="page number"/>
    <w:rPr>
      <w:shd w:val="clear" w:color="auto" w:fill="auto"/>
    </w:rPr>
  </w:style>
  <w:style w:type="paragraph" w:styleId="Revision">
    <w:name w:val="Revision"/>
    <w:hidden/>
    <w:uiPriority w:val="99"/>
    <w:semiHidden/>
    <w:pPr>
      <w:spacing w:after="200" w:line="276" w:lineRule="auto"/>
    </w:pPr>
    <w:rPr>
      <w:sz w:val="24"/>
      <w:szCs w:val="24"/>
      <w:lang w:val="es-ES"/>
    </w:rPr>
  </w:style>
  <w:style w:type="character" w:customStyle="1" w:styleId="HeaderChar">
    <w:name w:val="Header Char"/>
    <w:link w:val="Header"/>
    <w:uiPriority w:val="99"/>
    <w:rPr>
      <w:rFonts w:eastAsia="Calibri"/>
      <w:sz w:val="24"/>
      <w:szCs w:val="22"/>
      <w:lang w:eastAsia="en-US"/>
    </w:rPr>
  </w:style>
  <w:style w:type="character" w:customStyle="1" w:styleId="FooterChar">
    <w:name w:val="Footer Char"/>
    <w:link w:val="Footer"/>
    <w:uiPriority w:val="99"/>
    <w:rPr>
      <w:rFonts w:eastAsia="Calibri"/>
      <w:sz w:val="24"/>
      <w:szCs w:val="22"/>
      <w:lang w:eastAsia="en-US"/>
    </w:rPr>
  </w:style>
  <w:style w:type="character" w:customStyle="1" w:styleId="FootnoteTextChar">
    <w:name w:val="Footnote Text Char"/>
    <w:link w:val="FootnoteText"/>
    <w:uiPriority w:val="99"/>
    <w:semiHidden/>
    <w:rPr>
      <w:lang w:eastAsia="en-US"/>
    </w:rPr>
  </w:style>
  <w:style w:type="character" w:customStyle="1" w:styleId="Heading1Char">
    <w:name w:val="Heading 1 Char"/>
    <w:link w:val="Heading1"/>
    <w:uiPriority w:val="9"/>
    <w:rPr>
      <w:b/>
      <w:bCs/>
      <w:smallCaps/>
      <w:sz w:val="24"/>
      <w:szCs w:val="32"/>
      <w:lang w:eastAsia="en-US"/>
    </w:rPr>
  </w:style>
  <w:style w:type="character" w:customStyle="1" w:styleId="Heading2Char">
    <w:name w:val="Heading 2 Char"/>
    <w:link w:val="Heading2"/>
    <w:uiPriority w:val="9"/>
    <w:rPr>
      <w:b/>
      <w:bCs/>
      <w:iCs/>
      <w:sz w:val="24"/>
      <w:szCs w:val="28"/>
      <w:lang w:eastAsia="en-US"/>
    </w:rPr>
  </w:style>
  <w:style w:type="character" w:customStyle="1" w:styleId="Heading3Char">
    <w:name w:val="Heading 3 Char"/>
    <w:link w:val="Heading3"/>
    <w:uiPriority w:val="9"/>
    <w:rPr>
      <w:bCs/>
      <w:i/>
      <w:sz w:val="24"/>
      <w:szCs w:val="26"/>
      <w:lang w:eastAsia="en-US"/>
    </w:rPr>
  </w:style>
  <w:style w:type="character" w:customStyle="1" w:styleId="Heading4Char">
    <w:name w:val="Heading 4 Char"/>
    <w:link w:val="Heading4"/>
    <w:uiPriority w:val="9"/>
    <w:rPr>
      <w:bCs/>
      <w:sz w:val="24"/>
      <w:szCs w:val="28"/>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link w:val="Typedudocument"/>
    <w:rPr>
      <w:b/>
      <w:sz w:val="24"/>
      <w:szCs w:val="24"/>
      <w:shd w:val="clear" w:color="auto" w:fill="auto"/>
      <w:lang w:eastAsia="en-US"/>
    </w:rPr>
  </w:style>
  <w:style w:type="character" w:customStyle="1" w:styleId="FooterCoverPageChar">
    <w:name w:val="Footer Cover Page Char"/>
    <w:link w:val="FooterCoverPage"/>
    <w:rPr>
      <w:sz w:val="24"/>
      <w:szCs w:val="24"/>
      <w:lang w:val="es-E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lang w:val="es-ES"/>
    </w:rPr>
  </w:style>
  <w:style w:type="paragraph" w:styleId="ListParagraph">
    <w:name w:val="List Paragraph"/>
    <w:basedOn w:val="Normal"/>
    <w:uiPriority w:val="34"/>
    <w:qFormat/>
    <w:pPr>
      <w:spacing w:before="0" w:after="0"/>
      <w:ind w:left="720"/>
      <w:jc w:val="left"/>
    </w:pPr>
    <w:rPr>
      <w:rFonts w:ascii="Calibri" w:eastAsia="Calibri" w:hAnsi="Calibri" w:cs="Calibri"/>
      <w:sz w:val="22"/>
      <w:szCs w:val="22"/>
    </w:rPr>
  </w:style>
  <w:style w:type="paragraph" w:customStyle="1" w:styleId="Declassification">
    <w:name w:val="Declassification"/>
    <w:basedOn w:val="Normal"/>
    <w:next w:val="Normal"/>
    <w:pPr>
      <w:spacing w:before="0" w:after="0"/>
    </w:pPr>
    <w:rPr>
      <w:rFonts w:eastAsia="Calibr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SecurityMarking">
    <w:name w:val="SecurityMarking"/>
    <w:basedOn w:val="Normal"/>
    <w:pPr>
      <w:spacing w:before="0" w:after="0" w:line="276" w:lineRule="auto"/>
      <w:ind w:left="5103"/>
      <w:jc w:val="left"/>
    </w:pPr>
    <w:rPr>
      <w:rFonts w:eastAsia="Calibri"/>
      <w:sz w:val="28"/>
      <w:szCs w:val="22"/>
    </w:rPr>
  </w:style>
  <w:style w:type="paragraph" w:customStyle="1" w:styleId="DateMarking">
    <w:name w:val="DateMarking"/>
    <w:basedOn w:val="Normal"/>
    <w:pPr>
      <w:spacing w:before="0" w:after="0" w:line="276" w:lineRule="auto"/>
      <w:ind w:left="5103"/>
      <w:jc w:val="left"/>
    </w:pPr>
    <w:rPr>
      <w:rFonts w:eastAsia="Calibri"/>
      <w:i/>
      <w:sz w:val="28"/>
      <w:szCs w:val="22"/>
    </w:rPr>
  </w:style>
  <w:style w:type="paragraph" w:customStyle="1" w:styleId="ReleasableTo">
    <w:name w:val="ReleasableTo"/>
    <w:basedOn w:val="Normal"/>
    <w:pPr>
      <w:spacing w:before="0" w:after="0" w:line="276" w:lineRule="auto"/>
      <w:ind w:left="5103"/>
      <w:jc w:val="left"/>
    </w:pPr>
    <w:rPr>
      <w:rFonts w:eastAsia="Calibri"/>
      <w:i/>
      <w:sz w:val="28"/>
      <w:szCs w:val="22"/>
    </w:rPr>
  </w:style>
  <w:style w:type="paragraph" w:customStyle="1" w:styleId="HeaderSensitivityRight">
    <w:name w:val="Header Sensitivity Right"/>
    <w:basedOn w:val="Normal"/>
    <w:pPr>
      <w:spacing w:before="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0357">
      <w:bodyDiv w:val="1"/>
      <w:marLeft w:val="0"/>
      <w:marRight w:val="0"/>
      <w:marTop w:val="0"/>
      <w:marBottom w:val="0"/>
      <w:divBdr>
        <w:top w:val="none" w:sz="0" w:space="0" w:color="auto"/>
        <w:left w:val="none" w:sz="0" w:space="0" w:color="auto"/>
        <w:bottom w:val="none" w:sz="0" w:space="0" w:color="auto"/>
        <w:right w:val="none" w:sz="0" w:space="0" w:color="auto"/>
      </w:divBdr>
    </w:div>
    <w:div w:id="604657675">
      <w:bodyDiv w:val="1"/>
      <w:marLeft w:val="0"/>
      <w:marRight w:val="0"/>
      <w:marTop w:val="0"/>
      <w:marBottom w:val="0"/>
      <w:divBdr>
        <w:top w:val="none" w:sz="0" w:space="0" w:color="auto"/>
        <w:left w:val="none" w:sz="0" w:space="0" w:color="auto"/>
        <w:bottom w:val="none" w:sz="0" w:space="0" w:color="auto"/>
        <w:right w:val="none" w:sz="0" w:space="0" w:color="auto"/>
      </w:divBdr>
    </w:div>
    <w:div w:id="741832189">
      <w:bodyDiv w:val="1"/>
      <w:marLeft w:val="0"/>
      <w:marRight w:val="0"/>
      <w:marTop w:val="0"/>
      <w:marBottom w:val="0"/>
      <w:divBdr>
        <w:top w:val="none" w:sz="0" w:space="0" w:color="auto"/>
        <w:left w:val="none" w:sz="0" w:space="0" w:color="auto"/>
        <w:bottom w:val="none" w:sz="0" w:space="0" w:color="auto"/>
        <w:right w:val="none" w:sz="0" w:space="0" w:color="auto"/>
      </w:divBdr>
    </w:div>
    <w:div w:id="941911499">
      <w:bodyDiv w:val="1"/>
      <w:marLeft w:val="0"/>
      <w:marRight w:val="0"/>
      <w:marTop w:val="0"/>
      <w:marBottom w:val="0"/>
      <w:divBdr>
        <w:top w:val="none" w:sz="0" w:space="0" w:color="auto"/>
        <w:left w:val="none" w:sz="0" w:space="0" w:color="auto"/>
        <w:bottom w:val="none" w:sz="0" w:space="0" w:color="auto"/>
        <w:right w:val="none" w:sz="0" w:space="0" w:color="auto"/>
      </w:divBdr>
    </w:div>
    <w:div w:id="1666660806">
      <w:bodyDiv w:val="1"/>
      <w:marLeft w:val="0"/>
      <w:marRight w:val="0"/>
      <w:marTop w:val="0"/>
      <w:marBottom w:val="0"/>
      <w:divBdr>
        <w:top w:val="none" w:sz="0" w:space="0" w:color="auto"/>
        <w:left w:val="none" w:sz="0" w:space="0" w:color="auto"/>
        <w:bottom w:val="none" w:sz="0" w:space="0" w:color="auto"/>
        <w:right w:val="none" w:sz="0" w:space="0" w:color="auto"/>
      </w:divBdr>
      <w:divsChild>
        <w:div w:id="117720648">
          <w:marLeft w:val="0"/>
          <w:marRight w:val="0"/>
          <w:marTop w:val="0"/>
          <w:marBottom w:val="0"/>
          <w:divBdr>
            <w:top w:val="none" w:sz="0" w:space="0" w:color="auto"/>
            <w:left w:val="none" w:sz="0" w:space="0" w:color="auto"/>
            <w:bottom w:val="none" w:sz="0" w:space="0" w:color="auto"/>
            <w:right w:val="none" w:sz="0" w:space="0" w:color="auto"/>
          </w:divBdr>
          <w:divsChild>
            <w:div w:id="1264916332">
              <w:marLeft w:val="0"/>
              <w:marRight w:val="0"/>
              <w:marTop w:val="0"/>
              <w:marBottom w:val="0"/>
              <w:divBdr>
                <w:top w:val="none" w:sz="0" w:space="0" w:color="auto"/>
                <w:left w:val="none" w:sz="0" w:space="0" w:color="auto"/>
                <w:bottom w:val="none" w:sz="0" w:space="0" w:color="auto"/>
                <w:right w:val="none" w:sz="0" w:space="0" w:color="auto"/>
              </w:divBdr>
              <w:divsChild>
                <w:div w:id="1444567839">
                  <w:marLeft w:val="0"/>
                  <w:marRight w:val="0"/>
                  <w:marTop w:val="0"/>
                  <w:marBottom w:val="0"/>
                  <w:divBdr>
                    <w:top w:val="none" w:sz="0" w:space="0" w:color="auto"/>
                    <w:left w:val="none" w:sz="0" w:space="0" w:color="auto"/>
                    <w:bottom w:val="none" w:sz="0" w:space="0" w:color="auto"/>
                    <w:right w:val="none" w:sz="0" w:space="0" w:color="auto"/>
                  </w:divBdr>
                  <w:divsChild>
                    <w:div w:id="1741975158">
                      <w:marLeft w:val="0"/>
                      <w:marRight w:val="0"/>
                      <w:marTop w:val="0"/>
                      <w:marBottom w:val="0"/>
                      <w:divBdr>
                        <w:top w:val="none" w:sz="0" w:space="0" w:color="auto"/>
                        <w:left w:val="none" w:sz="0" w:space="0" w:color="auto"/>
                        <w:bottom w:val="none" w:sz="0" w:space="0" w:color="auto"/>
                        <w:right w:val="none" w:sz="0" w:space="0" w:color="auto"/>
                      </w:divBdr>
                      <w:divsChild>
                        <w:div w:id="1530727975">
                          <w:marLeft w:val="0"/>
                          <w:marRight w:val="0"/>
                          <w:marTop w:val="0"/>
                          <w:marBottom w:val="0"/>
                          <w:divBdr>
                            <w:top w:val="none" w:sz="0" w:space="0" w:color="auto"/>
                            <w:left w:val="none" w:sz="0" w:space="0" w:color="auto"/>
                            <w:bottom w:val="none" w:sz="0" w:space="0" w:color="auto"/>
                            <w:right w:val="none" w:sz="0" w:space="0" w:color="auto"/>
                          </w:divBdr>
                          <w:divsChild>
                            <w:div w:id="1939678887">
                              <w:marLeft w:val="0"/>
                              <w:marRight w:val="0"/>
                              <w:marTop w:val="0"/>
                              <w:marBottom w:val="0"/>
                              <w:divBdr>
                                <w:top w:val="none" w:sz="0" w:space="0" w:color="auto"/>
                                <w:left w:val="none" w:sz="0" w:space="0" w:color="auto"/>
                                <w:bottom w:val="none" w:sz="0" w:space="0" w:color="auto"/>
                                <w:right w:val="none" w:sz="0" w:space="0" w:color="auto"/>
                              </w:divBdr>
                              <w:divsChild>
                                <w:div w:id="1345520029">
                                  <w:marLeft w:val="0"/>
                                  <w:marRight w:val="0"/>
                                  <w:marTop w:val="0"/>
                                  <w:marBottom w:val="0"/>
                                  <w:divBdr>
                                    <w:top w:val="none" w:sz="0" w:space="0" w:color="auto"/>
                                    <w:left w:val="none" w:sz="0" w:space="0" w:color="auto"/>
                                    <w:bottom w:val="none" w:sz="0" w:space="0" w:color="auto"/>
                                    <w:right w:val="none" w:sz="0" w:space="0" w:color="auto"/>
                                  </w:divBdr>
                                  <w:divsChild>
                                    <w:div w:id="1189224712">
                                      <w:marLeft w:val="60"/>
                                      <w:marRight w:val="0"/>
                                      <w:marTop w:val="0"/>
                                      <w:marBottom w:val="0"/>
                                      <w:divBdr>
                                        <w:top w:val="none" w:sz="0" w:space="0" w:color="auto"/>
                                        <w:left w:val="none" w:sz="0" w:space="0" w:color="auto"/>
                                        <w:bottom w:val="none" w:sz="0" w:space="0" w:color="auto"/>
                                        <w:right w:val="none" w:sz="0" w:space="0" w:color="auto"/>
                                      </w:divBdr>
                                      <w:divsChild>
                                        <w:div w:id="135879281">
                                          <w:marLeft w:val="0"/>
                                          <w:marRight w:val="0"/>
                                          <w:marTop w:val="0"/>
                                          <w:marBottom w:val="0"/>
                                          <w:divBdr>
                                            <w:top w:val="none" w:sz="0" w:space="0" w:color="auto"/>
                                            <w:left w:val="none" w:sz="0" w:space="0" w:color="auto"/>
                                            <w:bottom w:val="none" w:sz="0" w:space="0" w:color="auto"/>
                                            <w:right w:val="none" w:sz="0" w:space="0" w:color="auto"/>
                                          </w:divBdr>
                                          <w:divsChild>
                                            <w:div w:id="2034265776">
                                              <w:marLeft w:val="0"/>
                                              <w:marRight w:val="0"/>
                                              <w:marTop w:val="0"/>
                                              <w:marBottom w:val="120"/>
                                              <w:divBdr>
                                                <w:top w:val="single" w:sz="6" w:space="0" w:color="F5F5F5"/>
                                                <w:left w:val="single" w:sz="6" w:space="0" w:color="F5F5F5"/>
                                                <w:bottom w:val="single" w:sz="6" w:space="0" w:color="F5F5F5"/>
                                                <w:right w:val="single" w:sz="6" w:space="0" w:color="F5F5F5"/>
                                              </w:divBdr>
                                              <w:divsChild>
                                                <w:div w:id="811672421">
                                                  <w:marLeft w:val="0"/>
                                                  <w:marRight w:val="0"/>
                                                  <w:marTop w:val="0"/>
                                                  <w:marBottom w:val="0"/>
                                                  <w:divBdr>
                                                    <w:top w:val="none" w:sz="0" w:space="0" w:color="auto"/>
                                                    <w:left w:val="none" w:sz="0" w:space="0" w:color="auto"/>
                                                    <w:bottom w:val="none" w:sz="0" w:space="0" w:color="auto"/>
                                                    <w:right w:val="none" w:sz="0" w:space="0" w:color="auto"/>
                                                  </w:divBdr>
                                                  <w:divsChild>
                                                    <w:div w:id="1792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694354">
      <w:bodyDiv w:val="1"/>
      <w:marLeft w:val="0"/>
      <w:marRight w:val="0"/>
      <w:marTop w:val="0"/>
      <w:marBottom w:val="0"/>
      <w:divBdr>
        <w:top w:val="none" w:sz="0" w:space="0" w:color="auto"/>
        <w:left w:val="none" w:sz="0" w:space="0" w:color="auto"/>
        <w:bottom w:val="none" w:sz="0" w:space="0" w:color="auto"/>
        <w:right w:val="none" w:sz="0" w:space="0" w:color="auto"/>
      </w:divBdr>
    </w:div>
    <w:div w:id="2116706898">
      <w:bodyDiv w:val="1"/>
      <w:marLeft w:val="0"/>
      <w:marRight w:val="0"/>
      <w:marTop w:val="0"/>
      <w:marBottom w:val="0"/>
      <w:divBdr>
        <w:top w:val="none" w:sz="0" w:space="0" w:color="auto"/>
        <w:left w:val="none" w:sz="0" w:space="0" w:color="auto"/>
        <w:bottom w:val="none" w:sz="0" w:space="0" w:color="auto"/>
        <w:right w:val="none" w:sz="0" w:space="0" w:color="auto"/>
      </w:divBdr>
      <w:divsChild>
        <w:div w:id="1083449593">
          <w:marLeft w:val="0"/>
          <w:marRight w:val="0"/>
          <w:marTop w:val="0"/>
          <w:marBottom w:val="0"/>
          <w:divBdr>
            <w:top w:val="none" w:sz="0" w:space="0" w:color="auto"/>
            <w:left w:val="none" w:sz="0" w:space="0" w:color="auto"/>
            <w:bottom w:val="none" w:sz="0" w:space="0" w:color="auto"/>
            <w:right w:val="none" w:sz="0" w:space="0" w:color="auto"/>
          </w:divBdr>
          <w:divsChild>
            <w:div w:id="458914890">
              <w:marLeft w:val="0"/>
              <w:marRight w:val="0"/>
              <w:marTop w:val="0"/>
              <w:marBottom w:val="0"/>
              <w:divBdr>
                <w:top w:val="none" w:sz="0" w:space="0" w:color="auto"/>
                <w:left w:val="none" w:sz="0" w:space="0" w:color="auto"/>
                <w:bottom w:val="none" w:sz="0" w:space="0" w:color="auto"/>
                <w:right w:val="none" w:sz="0" w:space="0" w:color="auto"/>
              </w:divBdr>
              <w:divsChild>
                <w:div w:id="697121770">
                  <w:marLeft w:val="0"/>
                  <w:marRight w:val="0"/>
                  <w:marTop w:val="0"/>
                  <w:marBottom w:val="0"/>
                  <w:divBdr>
                    <w:top w:val="none" w:sz="0" w:space="0" w:color="auto"/>
                    <w:left w:val="none" w:sz="0" w:space="0" w:color="auto"/>
                    <w:bottom w:val="none" w:sz="0" w:space="0" w:color="auto"/>
                    <w:right w:val="none" w:sz="0" w:space="0" w:color="auto"/>
                  </w:divBdr>
                  <w:divsChild>
                    <w:div w:id="321348569">
                      <w:marLeft w:val="0"/>
                      <w:marRight w:val="0"/>
                      <w:marTop w:val="0"/>
                      <w:marBottom w:val="0"/>
                      <w:divBdr>
                        <w:top w:val="none" w:sz="0" w:space="0" w:color="auto"/>
                        <w:left w:val="none" w:sz="0" w:space="0" w:color="auto"/>
                        <w:bottom w:val="none" w:sz="0" w:space="0" w:color="auto"/>
                        <w:right w:val="none" w:sz="0" w:space="0" w:color="auto"/>
                      </w:divBdr>
                      <w:divsChild>
                        <w:div w:id="363483849">
                          <w:marLeft w:val="0"/>
                          <w:marRight w:val="0"/>
                          <w:marTop w:val="0"/>
                          <w:marBottom w:val="0"/>
                          <w:divBdr>
                            <w:top w:val="none" w:sz="0" w:space="0" w:color="auto"/>
                            <w:left w:val="none" w:sz="0" w:space="0" w:color="auto"/>
                            <w:bottom w:val="none" w:sz="0" w:space="0" w:color="auto"/>
                            <w:right w:val="none" w:sz="0" w:space="0" w:color="auto"/>
                          </w:divBdr>
                          <w:divsChild>
                            <w:div w:id="240023557">
                              <w:marLeft w:val="0"/>
                              <w:marRight w:val="0"/>
                              <w:marTop w:val="0"/>
                              <w:marBottom w:val="0"/>
                              <w:divBdr>
                                <w:top w:val="none" w:sz="0" w:space="0" w:color="auto"/>
                                <w:left w:val="none" w:sz="0" w:space="0" w:color="auto"/>
                                <w:bottom w:val="none" w:sz="0" w:space="0" w:color="auto"/>
                                <w:right w:val="none" w:sz="0" w:space="0" w:color="auto"/>
                              </w:divBdr>
                              <w:divsChild>
                                <w:div w:id="847405046">
                                  <w:marLeft w:val="0"/>
                                  <w:marRight w:val="0"/>
                                  <w:marTop w:val="0"/>
                                  <w:marBottom w:val="0"/>
                                  <w:divBdr>
                                    <w:top w:val="none" w:sz="0" w:space="0" w:color="auto"/>
                                    <w:left w:val="none" w:sz="0" w:space="0" w:color="auto"/>
                                    <w:bottom w:val="none" w:sz="0" w:space="0" w:color="auto"/>
                                    <w:right w:val="none" w:sz="0" w:space="0" w:color="auto"/>
                                  </w:divBdr>
                                  <w:divsChild>
                                    <w:div w:id="2076313999">
                                      <w:marLeft w:val="60"/>
                                      <w:marRight w:val="0"/>
                                      <w:marTop w:val="0"/>
                                      <w:marBottom w:val="0"/>
                                      <w:divBdr>
                                        <w:top w:val="none" w:sz="0" w:space="0" w:color="auto"/>
                                        <w:left w:val="none" w:sz="0" w:space="0" w:color="auto"/>
                                        <w:bottom w:val="none" w:sz="0" w:space="0" w:color="auto"/>
                                        <w:right w:val="none" w:sz="0" w:space="0" w:color="auto"/>
                                      </w:divBdr>
                                      <w:divsChild>
                                        <w:div w:id="82847149">
                                          <w:marLeft w:val="0"/>
                                          <w:marRight w:val="0"/>
                                          <w:marTop w:val="0"/>
                                          <w:marBottom w:val="0"/>
                                          <w:divBdr>
                                            <w:top w:val="none" w:sz="0" w:space="0" w:color="auto"/>
                                            <w:left w:val="none" w:sz="0" w:space="0" w:color="auto"/>
                                            <w:bottom w:val="none" w:sz="0" w:space="0" w:color="auto"/>
                                            <w:right w:val="none" w:sz="0" w:space="0" w:color="auto"/>
                                          </w:divBdr>
                                          <w:divsChild>
                                            <w:div w:id="1102411194">
                                              <w:marLeft w:val="0"/>
                                              <w:marRight w:val="0"/>
                                              <w:marTop w:val="0"/>
                                              <w:marBottom w:val="120"/>
                                              <w:divBdr>
                                                <w:top w:val="single" w:sz="6" w:space="0" w:color="F5F5F5"/>
                                                <w:left w:val="single" w:sz="6" w:space="0" w:color="F5F5F5"/>
                                                <w:bottom w:val="single" w:sz="6" w:space="0" w:color="F5F5F5"/>
                                                <w:right w:val="single" w:sz="6" w:space="0" w:color="F5F5F5"/>
                                              </w:divBdr>
                                              <w:divsChild>
                                                <w:div w:id="1321226304">
                                                  <w:marLeft w:val="0"/>
                                                  <w:marRight w:val="0"/>
                                                  <w:marTop w:val="0"/>
                                                  <w:marBottom w:val="0"/>
                                                  <w:divBdr>
                                                    <w:top w:val="none" w:sz="0" w:space="0" w:color="auto"/>
                                                    <w:left w:val="none" w:sz="0" w:space="0" w:color="auto"/>
                                                    <w:bottom w:val="none" w:sz="0" w:space="0" w:color="auto"/>
                                                    <w:right w:val="none" w:sz="0" w:space="0" w:color="auto"/>
                                                  </w:divBdr>
                                                  <w:divsChild>
                                                    <w:div w:id="40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FD8C-BEFC-45AE-8359-5C0DE960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3945</Words>
  <Characters>18191</Characters>
  <Application>Microsoft Office Word</Application>
  <DocSecurity>0</DocSecurity>
  <Lines>1136</Lines>
  <Paragraphs>1054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WES PDFC Administrator</cp:lastModifiedBy>
  <cp:revision>25</cp:revision>
  <cp:lastPrinted>2019-10-14T09:19:00Z</cp:lastPrinted>
  <dcterms:created xsi:type="dcterms:W3CDTF">2020-08-21T09:13:00Z</dcterms:created>
  <dcterms:modified xsi:type="dcterms:W3CDTF">2020-10-01T11:42:00Z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CP-005</vt:lpwstr>
  </property>
</Properties>
</file>